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CACC" w14:textId="55ABBA29" w:rsidR="008851BF" w:rsidRPr="00CF550C" w:rsidRDefault="00F33274" w:rsidP="00D17483">
      <w:pPr>
        <w:pStyle w:val="Title"/>
      </w:pPr>
      <w:r>
        <w:t xml:space="preserve">Uncertainty </w:t>
      </w:r>
      <w:r w:rsidR="00426ABB" w:rsidRPr="00D17483">
        <w:t>a</w:t>
      </w:r>
      <w:r w:rsidR="006D0DAB" w:rsidRPr="00D17483">
        <w:t>nalysis</w:t>
      </w:r>
      <w:r w:rsidR="006D0DAB">
        <w:t xml:space="preserve"> for </w:t>
      </w:r>
      <w:r w:rsidR="00426ABB">
        <w:t>g</w:t>
      </w:r>
      <w:r w:rsidR="006D0DAB">
        <w:t xml:space="preserve">roundwater </w:t>
      </w:r>
      <w:r w:rsidR="00426ABB">
        <w:t>m</w:t>
      </w:r>
      <w:r w:rsidR="006D0DAB">
        <w:t>odel</w:t>
      </w:r>
      <w:r w:rsidR="00A83D81">
        <w:t>ling</w:t>
      </w:r>
    </w:p>
    <w:p w14:paraId="698A101B" w14:textId="77777777" w:rsidR="008851BF" w:rsidRDefault="008851BF" w:rsidP="008851BF">
      <w:pPr>
        <w:pStyle w:val="Heading1"/>
        <w:sectPr w:rsidR="008851BF" w:rsidSect="007814E8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4489" w:right="1128" w:bottom="1871" w:left="1701" w:header="0" w:footer="182" w:gutter="0"/>
          <w:cols w:space="708"/>
          <w:titlePg/>
          <w:docGrid w:linePitch="360"/>
        </w:sectPr>
      </w:pPr>
    </w:p>
    <w:p w14:paraId="67837EF7" w14:textId="06377709" w:rsidR="00CF550C" w:rsidRPr="00D17483" w:rsidRDefault="00CF550C" w:rsidP="00D17483">
      <w:pPr>
        <w:pStyle w:val="Heading1"/>
      </w:pPr>
      <w:r>
        <w:t>Background</w:t>
      </w:r>
    </w:p>
    <w:p w14:paraId="0ED441F1" w14:textId="77777777" w:rsidR="00FC729D" w:rsidRDefault="00CF550C" w:rsidP="00B45BEB">
      <w:pPr>
        <w:pStyle w:val="BodyText"/>
      </w:pPr>
      <w:r w:rsidRPr="00CF550C">
        <w:t>Groundwater modelling is a core aspect of assessing the potential environmental impacts of coal seam gas and large</w:t>
      </w:r>
      <w:r>
        <w:t xml:space="preserve"> </w:t>
      </w:r>
      <w:r w:rsidRPr="00CF550C">
        <w:t xml:space="preserve">coal mines on </w:t>
      </w:r>
      <w:r w:rsidR="00034F53">
        <w:t>water resources</w:t>
      </w:r>
      <w:r w:rsidRPr="00CF550C">
        <w:t>.</w:t>
      </w:r>
    </w:p>
    <w:p w14:paraId="13D11481" w14:textId="77777777" w:rsidR="00FC729D" w:rsidRDefault="001F7C94" w:rsidP="00C36E84">
      <w:pPr>
        <w:pStyle w:val="BodyText"/>
      </w:pPr>
      <w:r w:rsidRPr="001F7C94">
        <w:t xml:space="preserve">The subsurface environment is complex, </w:t>
      </w:r>
      <w:proofErr w:type="gramStart"/>
      <w:r w:rsidRPr="001F7C94">
        <w:t>heterogeneous</w:t>
      </w:r>
      <w:proofErr w:type="gramEnd"/>
      <w:r w:rsidRPr="001F7C94">
        <w:t xml:space="preserve"> and difficult to directly observe, characterise or measure. Groundwater systems are influenced by geology, topography, vegetation, climate, </w:t>
      </w:r>
      <w:proofErr w:type="gramStart"/>
      <w:r w:rsidRPr="001F7C94">
        <w:t>hydrology</w:t>
      </w:r>
      <w:proofErr w:type="gramEnd"/>
      <w:r w:rsidRPr="001F7C94">
        <w:t xml:space="preserve"> and human activities. </w:t>
      </w:r>
      <w:r>
        <w:t>U</w:t>
      </w:r>
      <w:r w:rsidRPr="001F7C94">
        <w:t>ncertainty affects our ability to accurately measure or describe the existing or predicted states of these systems.</w:t>
      </w:r>
    </w:p>
    <w:p w14:paraId="105D5A50" w14:textId="77777777" w:rsidR="00FC729D" w:rsidRDefault="001F7C94" w:rsidP="00C36E84">
      <w:pPr>
        <w:pStyle w:val="BodyText"/>
      </w:pPr>
      <w:r>
        <w:t xml:space="preserve">Groundwater </w:t>
      </w:r>
      <w:r w:rsidRPr="001F7C94">
        <w:t>model</w:t>
      </w:r>
      <w:r w:rsidR="007C330C">
        <w:t>ling</w:t>
      </w:r>
      <w:r w:rsidRPr="001F7C94">
        <w:t xml:space="preserve"> </w:t>
      </w:r>
      <w:r>
        <w:t>play</w:t>
      </w:r>
      <w:r w:rsidR="007C330C">
        <w:t>s</w:t>
      </w:r>
      <w:r>
        <w:t xml:space="preserve"> a</w:t>
      </w:r>
      <w:r w:rsidR="00206677">
        <w:t xml:space="preserve"> key </w:t>
      </w:r>
      <w:r>
        <w:t xml:space="preserve">role in </w:t>
      </w:r>
      <w:r w:rsidRPr="001F7C94">
        <w:t xml:space="preserve">decision support </w:t>
      </w:r>
      <w:r>
        <w:t xml:space="preserve">by </w:t>
      </w:r>
      <w:r w:rsidRPr="001F7C94">
        <w:t xml:space="preserve">quantifying the level of risk associated with </w:t>
      </w:r>
      <w:r w:rsidR="00206677">
        <w:t xml:space="preserve">developments and </w:t>
      </w:r>
      <w:r w:rsidRPr="001F7C94">
        <w:t>management options</w:t>
      </w:r>
      <w:r w:rsidR="00D43171">
        <w:t xml:space="preserve">, and </w:t>
      </w:r>
      <w:r w:rsidR="00B45BEB">
        <w:t>providing evidence that the uncertainties affecting impact predictions are not underestimated and management risks are not understated</w:t>
      </w:r>
      <w:r>
        <w:t>.</w:t>
      </w:r>
    </w:p>
    <w:p w14:paraId="3FB8528C" w14:textId="5DC478A6" w:rsidR="00CF550C" w:rsidRDefault="00CF550C" w:rsidP="00B45BEB">
      <w:pPr>
        <w:pStyle w:val="BodyText"/>
        <w:rPr>
          <w:b/>
        </w:rPr>
      </w:pPr>
      <w:r w:rsidRPr="00CF550C">
        <w:t>Simply</w:t>
      </w:r>
      <w:r>
        <w:t xml:space="preserve"> </w:t>
      </w:r>
      <w:r w:rsidRPr="00CF550C">
        <w:t>put, risk</w:t>
      </w:r>
      <w:r w:rsidR="00426ABB">
        <w:t xml:space="preserve"> – </w:t>
      </w:r>
      <w:r w:rsidRPr="00CF550C">
        <w:t xml:space="preserve">involving both the likelihood and </w:t>
      </w:r>
      <w:r w:rsidR="00426ABB">
        <w:t xml:space="preserve">the </w:t>
      </w:r>
      <w:r w:rsidRPr="00CF550C">
        <w:t>consequence of a particular hazard or impact</w:t>
      </w:r>
      <w:r w:rsidR="00426ABB">
        <w:t xml:space="preserve"> – </w:t>
      </w:r>
      <w:r w:rsidRPr="00CF550C">
        <w:t>cannot be assessed</w:t>
      </w:r>
      <w:r>
        <w:t xml:space="preserve"> </w:t>
      </w:r>
      <w:r w:rsidRPr="00CF550C">
        <w:t xml:space="preserve">without an understanding of uncertainty. </w:t>
      </w:r>
      <w:r w:rsidR="00BE5A6C">
        <w:t>An uncertainty analysis</w:t>
      </w:r>
      <w:r w:rsidR="004C57B8">
        <w:t xml:space="preserve"> provides a range of model predictions, relevant to risk</w:t>
      </w:r>
      <w:r w:rsidR="007E49BB">
        <w:t>-based decision</w:t>
      </w:r>
      <w:r w:rsidR="00426ABB">
        <w:t>-</w:t>
      </w:r>
      <w:r w:rsidR="007E49BB">
        <w:t>making, that are consistent with knowledge of the system and with observations.</w:t>
      </w:r>
    </w:p>
    <w:p w14:paraId="096029FB" w14:textId="17F644F2" w:rsidR="00166274" w:rsidRPr="00114A4B" w:rsidRDefault="00411B54" w:rsidP="00B45BEB">
      <w:pPr>
        <w:pStyle w:val="BodyText"/>
        <w:rPr>
          <w:b/>
        </w:rPr>
      </w:pPr>
      <w:r>
        <w:t>Uncertainty analysis is essential</w:t>
      </w:r>
      <w:r w:rsidR="00CF550C" w:rsidRPr="00CF550C">
        <w:t xml:space="preserve"> to understand, quantify, predict, manage,</w:t>
      </w:r>
      <w:r w:rsidR="00CF550C">
        <w:t xml:space="preserve"> </w:t>
      </w:r>
      <w:r w:rsidR="00CF550C" w:rsidRPr="00CF550C">
        <w:t xml:space="preserve">mitigate, </w:t>
      </w:r>
      <w:proofErr w:type="gramStart"/>
      <w:r w:rsidR="00CF550C" w:rsidRPr="00CF550C">
        <w:t>reduce</w:t>
      </w:r>
      <w:proofErr w:type="gramEnd"/>
      <w:r w:rsidR="00CF550C" w:rsidRPr="00CF550C">
        <w:t xml:space="preserve"> and </w:t>
      </w:r>
      <w:r w:rsidR="00CF550C">
        <w:t>c</w:t>
      </w:r>
      <w:r w:rsidR="00CF550C" w:rsidRPr="00CF550C">
        <w:t>ommunicate</w:t>
      </w:r>
      <w:r w:rsidR="00CF550C">
        <w:t xml:space="preserve"> </w:t>
      </w:r>
      <w:r w:rsidR="00CF550C" w:rsidRPr="00CF550C">
        <w:t xml:space="preserve">uncertainty </w:t>
      </w:r>
      <w:r w:rsidR="00426ABB">
        <w:t xml:space="preserve">so as </w:t>
      </w:r>
      <w:r w:rsidR="00CF550C" w:rsidRPr="00CF550C">
        <w:t>to enable wise decision-making and inform management, policy and</w:t>
      </w:r>
      <w:r w:rsidR="00CF550C">
        <w:t xml:space="preserve"> </w:t>
      </w:r>
      <w:r w:rsidR="00CF550C" w:rsidRPr="00CF550C">
        <w:t>technical matters.</w:t>
      </w:r>
    </w:p>
    <w:p w14:paraId="0789DEB9" w14:textId="77777777" w:rsidR="00FC729D" w:rsidRDefault="00744182" w:rsidP="00D17483">
      <w:pPr>
        <w:pStyle w:val="Heading1"/>
        <w:keepNext/>
      </w:pPr>
      <w:r w:rsidRPr="00D17483">
        <w:t>Context</w:t>
      </w:r>
    </w:p>
    <w:p w14:paraId="1005577E" w14:textId="1C22E233" w:rsidR="00744182" w:rsidRPr="00981438" w:rsidRDefault="00744182" w:rsidP="00B45BEB">
      <w:pPr>
        <w:pStyle w:val="BodyText"/>
        <w:rPr>
          <w:b/>
          <w:szCs w:val="19"/>
        </w:rPr>
      </w:pPr>
      <w:r w:rsidRPr="00981438">
        <w:rPr>
          <w:szCs w:val="19"/>
        </w:rPr>
        <w:t xml:space="preserve">There are many unknowns and challenges in groundwater modelling of potential environmental impacts from coal resource developments. Our understanding and knowledge of the </w:t>
      </w:r>
      <w:r w:rsidR="000017C7" w:rsidRPr="00981438">
        <w:rPr>
          <w:szCs w:val="19"/>
        </w:rPr>
        <w:t xml:space="preserve">subsurface environment </w:t>
      </w:r>
      <w:r w:rsidRPr="00981438">
        <w:rPr>
          <w:szCs w:val="19"/>
        </w:rPr>
        <w:t>is not perfect</w:t>
      </w:r>
      <w:r w:rsidR="00426ABB">
        <w:rPr>
          <w:szCs w:val="19"/>
        </w:rPr>
        <w:t>;</w:t>
      </w:r>
      <w:r w:rsidRPr="00981438">
        <w:rPr>
          <w:szCs w:val="19"/>
        </w:rPr>
        <w:t xml:space="preserve"> nor is our ability to capture its complexity in groundwater models. This means that there will always be a degree of uncertainty in groundwater model predictions.</w:t>
      </w:r>
    </w:p>
    <w:p w14:paraId="6F74CAC4" w14:textId="77777777" w:rsidR="004956B3" w:rsidRPr="00981438" w:rsidRDefault="00744182" w:rsidP="00D17483">
      <w:pPr>
        <w:pStyle w:val="BodyText"/>
      </w:pPr>
      <w:r w:rsidRPr="00981438">
        <w:t>The IESC Information Guidelines suggest:</w:t>
      </w:r>
    </w:p>
    <w:p w14:paraId="72E19059" w14:textId="462E9846" w:rsidR="00744182" w:rsidRPr="00D17483" w:rsidRDefault="00744182" w:rsidP="00D17483">
      <w:pPr>
        <w:pStyle w:val="Bullet1"/>
      </w:pPr>
      <w:r w:rsidRPr="00D17483">
        <w:t>modelling results be presented to show the range of possible outcomes based on uncertainty analysis</w:t>
      </w:r>
      <w:r w:rsidR="00AF54A3" w:rsidRPr="00D17483">
        <w:t>, consi</w:t>
      </w:r>
      <w:r w:rsidR="0047317D" w:rsidRPr="00D17483">
        <w:t xml:space="preserve">stent with system understanding and </w:t>
      </w:r>
      <w:proofErr w:type="gramStart"/>
      <w:r w:rsidR="0047317D" w:rsidRPr="00D17483">
        <w:t>observations</w:t>
      </w:r>
      <w:proofErr w:type="gramEnd"/>
    </w:p>
    <w:p w14:paraId="7E17CC6B" w14:textId="3A59065B" w:rsidR="00744182" w:rsidRPr="00D17483" w:rsidRDefault="00744182" w:rsidP="00D17483">
      <w:pPr>
        <w:pStyle w:val="Bullet1"/>
      </w:pPr>
      <w:r w:rsidRPr="00D17483">
        <w:t>assessments of potential impacts outline the quality of the background data</w:t>
      </w:r>
      <w:r w:rsidR="00224538" w:rsidRPr="00D17483">
        <w:t>, and the risks and uncertainty inherent in</w:t>
      </w:r>
      <w:r w:rsidRPr="00D17483">
        <w:t xml:space="preserve"> the modelling, particularly with respect to predicted potential </w:t>
      </w:r>
      <w:proofErr w:type="gramStart"/>
      <w:r w:rsidRPr="00D17483">
        <w:t>scenarios</w:t>
      </w:r>
      <w:proofErr w:type="gramEnd"/>
    </w:p>
    <w:p w14:paraId="790CCB41" w14:textId="0455A1FC" w:rsidR="00744182" w:rsidRPr="00D17483" w:rsidRDefault="00744182" w:rsidP="00D17483">
      <w:pPr>
        <w:pStyle w:val="Bullet1"/>
      </w:pPr>
      <w:r w:rsidRPr="00D17483">
        <w:t>assessments acknowledge uncertainties, identify the sources of errors (</w:t>
      </w:r>
      <w:proofErr w:type="gramStart"/>
      <w:r w:rsidRPr="00D17483">
        <w:t>e.g.</w:t>
      </w:r>
      <w:proofErr w:type="gramEnd"/>
      <w:r w:rsidRPr="00D17483">
        <w:t xml:space="preserve"> conceptual model and parameter uncertainty) and quantify the level of uncertainty.</w:t>
      </w:r>
    </w:p>
    <w:p w14:paraId="4F6B1097" w14:textId="5A86DC4B" w:rsidR="00FC729D" w:rsidRDefault="00744182" w:rsidP="005C6F01">
      <w:pPr>
        <w:pStyle w:val="BodyText"/>
      </w:pPr>
      <w:r w:rsidRPr="00981438">
        <w:t>To assist with meeting the requirements of the IESC Information Guidelines</w:t>
      </w:r>
      <w:r w:rsidR="00AF3EF2" w:rsidRPr="00981438">
        <w:t xml:space="preserve"> and with further advancements in knowledge</w:t>
      </w:r>
      <w:r w:rsidRPr="00981438">
        <w:t xml:space="preserve">, the IESC </w:t>
      </w:r>
      <w:r w:rsidR="00B654F8" w:rsidRPr="00981438">
        <w:t>Explanatory Note</w:t>
      </w:r>
      <w:r w:rsidRPr="00981438">
        <w:t xml:space="preserve"> on </w:t>
      </w:r>
      <w:r w:rsidR="008656B7">
        <w:t>u</w:t>
      </w:r>
      <w:r w:rsidRPr="00981438">
        <w:t xml:space="preserve">ncertainty </w:t>
      </w:r>
      <w:r w:rsidR="008656B7">
        <w:t>a</w:t>
      </w:r>
      <w:r w:rsidRPr="00981438">
        <w:t xml:space="preserve">nalysis </w:t>
      </w:r>
      <w:r w:rsidR="00FC729D">
        <w:t>for</w:t>
      </w:r>
      <w:r w:rsidRPr="00981438">
        <w:t xml:space="preserve"> </w:t>
      </w:r>
      <w:r w:rsidR="008656B7">
        <w:t>g</w:t>
      </w:r>
      <w:r w:rsidRPr="00981438">
        <w:t xml:space="preserve">roundwater </w:t>
      </w:r>
      <w:r w:rsidR="008656B7">
        <w:t>m</w:t>
      </w:r>
      <w:r w:rsidRPr="00981438">
        <w:t>odel</w:t>
      </w:r>
      <w:r w:rsidR="0009277D" w:rsidRPr="00981438">
        <w:t>ling</w:t>
      </w:r>
      <w:r w:rsidRPr="00981438">
        <w:t xml:space="preserve"> provides additional guidance to </w:t>
      </w:r>
      <w:r w:rsidR="005A620E" w:rsidRPr="00981438">
        <w:t xml:space="preserve">stakeholders commissioning or reviewing </w:t>
      </w:r>
      <w:r w:rsidRPr="00981438">
        <w:t xml:space="preserve">an uncertainty </w:t>
      </w:r>
      <w:r w:rsidRPr="005C6F01">
        <w:t>analysis</w:t>
      </w:r>
      <w:r w:rsidR="005A620E" w:rsidRPr="00981438">
        <w:t>, and outlines some minimum standards:</w:t>
      </w:r>
    </w:p>
    <w:p w14:paraId="07822D81" w14:textId="3A068CE4" w:rsidR="0035768D" w:rsidRPr="00D17483" w:rsidRDefault="0035768D" w:rsidP="005C6F01">
      <w:pPr>
        <w:pStyle w:val="Bullet1"/>
      </w:pPr>
      <w:r w:rsidRPr="00D17483">
        <w:t>clear definition of quan</w:t>
      </w:r>
      <w:r w:rsidR="009A0899" w:rsidRPr="00D17483">
        <w:t xml:space="preserve">tity of interest and the model outcomes sought in specific </w:t>
      </w:r>
      <w:proofErr w:type="gramStart"/>
      <w:r w:rsidR="009A0899" w:rsidRPr="00D17483">
        <w:t>terms</w:t>
      </w:r>
      <w:proofErr w:type="gramEnd"/>
    </w:p>
    <w:p w14:paraId="788A1067" w14:textId="786A1960" w:rsidR="009A0899" w:rsidRPr="00D17483" w:rsidRDefault="009A0899" w:rsidP="00D17483">
      <w:pPr>
        <w:pStyle w:val="Bullet1"/>
      </w:pPr>
      <w:r w:rsidRPr="00D17483">
        <w:lastRenderedPageBreak/>
        <w:t xml:space="preserve">justification of the methods, </w:t>
      </w:r>
      <w:proofErr w:type="gramStart"/>
      <w:r w:rsidRPr="00D17483">
        <w:t>assumptions</w:t>
      </w:r>
      <w:proofErr w:type="gramEnd"/>
      <w:r w:rsidRPr="00D17483">
        <w:t xml:space="preserve"> and assertions</w:t>
      </w:r>
    </w:p>
    <w:p w14:paraId="4E29606B" w14:textId="38A86E80" w:rsidR="000017C7" w:rsidRPr="00D17483" w:rsidRDefault="009A0899" w:rsidP="00D17483">
      <w:pPr>
        <w:pStyle w:val="Bullet1"/>
      </w:pPr>
      <w:r w:rsidRPr="00D17483">
        <w:t xml:space="preserve">objective evidence that the </w:t>
      </w:r>
      <w:r w:rsidR="003E60AB" w:rsidRPr="00D17483">
        <w:t>uncertainties</w:t>
      </w:r>
      <w:r w:rsidRPr="00D17483">
        <w:t xml:space="preserve"> affecting decision-</w:t>
      </w:r>
      <w:r w:rsidR="003E60AB" w:rsidRPr="00D17483">
        <w:t>critical</w:t>
      </w:r>
      <w:r w:rsidRPr="00D17483">
        <w:t xml:space="preserve"> predictions </w:t>
      </w:r>
      <w:r w:rsidR="003E60AB" w:rsidRPr="00D17483">
        <w:t xml:space="preserve">of impacts on aquifer resources and dependent systems are not </w:t>
      </w:r>
      <w:proofErr w:type="gramStart"/>
      <w:r w:rsidR="003E60AB" w:rsidRPr="00D17483">
        <w:t>underestimated</w:t>
      </w:r>
      <w:proofErr w:type="gramEnd"/>
    </w:p>
    <w:p w14:paraId="11B89852" w14:textId="77777777" w:rsidR="00FC729D" w:rsidRPr="00D17483" w:rsidRDefault="000017C7" w:rsidP="00D17483">
      <w:pPr>
        <w:pStyle w:val="Bullet1"/>
      </w:pPr>
      <w:r w:rsidRPr="00D17483">
        <w:t xml:space="preserve">transparent documentation of methods and results </w:t>
      </w:r>
      <w:r w:rsidR="001367B7" w:rsidRPr="00D17483">
        <w:t xml:space="preserve">such </w:t>
      </w:r>
      <w:r w:rsidRPr="00D17483">
        <w:t xml:space="preserve">that </w:t>
      </w:r>
      <w:r w:rsidR="001367B7" w:rsidRPr="00D17483">
        <w:t xml:space="preserve">they are </w:t>
      </w:r>
      <w:r w:rsidRPr="00D17483">
        <w:t>open to scrutiny, and consideration of the effects of potential bias</w:t>
      </w:r>
      <w:r w:rsidR="003E60AB" w:rsidRPr="00D17483">
        <w:t>.</w:t>
      </w:r>
    </w:p>
    <w:p w14:paraId="6BF700F1" w14:textId="4AF5D49C" w:rsidR="00166274" w:rsidRPr="00981438" w:rsidRDefault="00AB3C8C" w:rsidP="00B45BEB">
      <w:pPr>
        <w:pStyle w:val="BodyText"/>
        <w:rPr>
          <w:szCs w:val="19"/>
        </w:rPr>
      </w:pPr>
      <w:r w:rsidRPr="00981438">
        <w:rPr>
          <w:szCs w:val="19"/>
        </w:rPr>
        <w:t xml:space="preserve">The Explanatory Note </w:t>
      </w:r>
      <w:r w:rsidR="008656B7">
        <w:rPr>
          <w:szCs w:val="19"/>
        </w:rPr>
        <w:t>on u</w:t>
      </w:r>
      <w:r w:rsidR="00813451" w:rsidRPr="00981438">
        <w:rPr>
          <w:szCs w:val="19"/>
        </w:rPr>
        <w:t xml:space="preserve">ncertainty </w:t>
      </w:r>
      <w:r w:rsidR="008656B7">
        <w:rPr>
          <w:szCs w:val="19"/>
        </w:rPr>
        <w:t>a</w:t>
      </w:r>
      <w:r w:rsidR="00813451" w:rsidRPr="00981438">
        <w:rPr>
          <w:szCs w:val="19"/>
        </w:rPr>
        <w:t xml:space="preserve">nalysis </w:t>
      </w:r>
      <w:r w:rsidR="00FC729D">
        <w:rPr>
          <w:szCs w:val="19"/>
        </w:rPr>
        <w:t>for</w:t>
      </w:r>
      <w:r w:rsidR="008656B7" w:rsidRPr="00981438">
        <w:rPr>
          <w:szCs w:val="19"/>
        </w:rPr>
        <w:t xml:space="preserve"> </w:t>
      </w:r>
      <w:r w:rsidR="008656B7">
        <w:rPr>
          <w:szCs w:val="19"/>
        </w:rPr>
        <w:t>g</w:t>
      </w:r>
      <w:r w:rsidR="00813451" w:rsidRPr="00981438">
        <w:rPr>
          <w:szCs w:val="19"/>
        </w:rPr>
        <w:t xml:space="preserve">roundwater </w:t>
      </w:r>
      <w:r w:rsidR="008656B7">
        <w:rPr>
          <w:szCs w:val="19"/>
        </w:rPr>
        <w:t>m</w:t>
      </w:r>
      <w:r w:rsidR="00813451" w:rsidRPr="00981438">
        <w:rPr>
          <w:szCs w:val="19"/>
        </w:rPr>
        <w:t>odel</w:t>
      </w:r>
      <w:r w:rsidR="00A83D81" w:rsidRPr="00981438">
        <w:rPr>
          <w:szCs w:val="19"/>
        </w:rPr>
        <w:t>ling</w:t>
      </w:r>
      <w:r w:rsidR="00813451" w:rsidRPr="00981438">
        <w:rPr>
          <w:szCs w:val="19"/>
        </w:rPr>
        <w:t xml:space="preserve"> complements </w:t>
      </w:r>
      <w:r w:rsidR="000017C7" w:rsidRPr="00981438">
        <w:rPr>
          <w:szCs w:val="19"/>
        </w:rPr>
        <w:t xml:space="preserve">the detailed </w:t>
      </w:r>
      <w:r w:rsidR="005A620E" w:rsidRPr="00981438">
        <w:rPr>
          <w:szCs w:val="19"/>
        </w:rPr>
        <w:t xml:space="preserve">technical </w:t>
      </w:r>
      <w:r w:rsidR="00813451" w:rsidRPr="00981438">
        <w:rPr>
          <w:szCs w:val="19"/>
        </w:rPr>
        <w:t>methodologies that are championed by the Groundwater Modelling Decision Support Initiative</w:t>
      </w:r>
      <w:r w:rsidR="000017C7" w:rsidRPr="00981438">
        <w:rPr>
          <w:szCs w:val="19"/>
        </w:rPr>
        <w:t xml:space="preserve"> (gmdsi.org)</w:t>
      </w:r>
      <w:r w:rsidR="00F70A28" w:rsidRPr="00981438">
        <w:rPr>
          <w:szCs w:val="19"/>
        </w:rPr>
        <w:t>.</w:t>
      </w:r>
    </w:p>
    <w:p w14:paraId="402ABB69" w14:textId="53D9F774" w:rsidR="00AB3C8C" w:rsidRPr="00AB3C8C" w:rsidRDefault="00166274" w:rsidP="00D17483">
      <w:pPr>
        <w:pStyle w:val="BodyText"/>
        <w:rPr>
          <w:sz w:val="20"/>
        </w:rPr>
      </w:pPr>
      <w:r w:rsidRPr="00D17483">
        <w:rPr>
          <w:noProof/>
        </w:rPr>
        <w:drawing>
          <wp:inline distT="0" distB="0" distL="0" distR="0" wp14:anchorId="10438166" wp14:editId="0E891436">
            <wp:extent cx="2916000" cy="1654062"/>
            <wp:effectExtent l="0" t="0" r="5080" b="0"/>
            <wp:docPr id="2" name="Picture 2" descr="Flow chart showing the linkages between resources as described in this s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Flow chart showing the linkages between resources as described in this section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16000" cy="16540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B73FE8" w14:textId="49D81225" w:rsidR="00637A46" w:rsidRDefault="00637A46" w:rsidP="00D17483">
      <w:pPr>
        <w:pStyle w:val="Caption"/>
        <w:rPr>
          <w:b/>
        </w:rPr>
      </w:pPr>
      <w:r>
        <w:t xml:space="preserve">Flow chart showing the linkages between resources as described in this </w:t>
      </w:r>
      <w:proofErr w:type="gramStart"/>
      <w:r>
        <w:t>section</w:t>
      </w:r>
      <w:proofErr w:type="gramEnd"/>
    </w:p>
    <w:p w14:paraId="2218435B" w14:textId="71B841DA" w:rsidR="00524EBE" w:rsidRDefault="000A7210" w:rsidP="00524EBE">
      <w:pPr>
        <w:pStyle w:val="Heading1"/>
      </w:pPr>
      <w:r>
        <w:t>Impact assessment and management</w:t>
      </w:r>
    </w:p>
    <w:p w14:paraId="176B5E42" w14:textId="64474F42" w:rsidR="007B0C3F" w:rsidRPr="00981438" w:rsidRDefault="009056FB" w:rsidP="005C6F01">
      <w:pPr>
        <w:pStyle w:val="BodyText"/>
      </w:pPr>
      <w:r w:rsidRPr="00981438">
        <w:t>Uncertainty analysis</w:t>
      </w:r>
      <w:r w:rsidR="00F71355" w:rsidRPr="00981438">
        <w:t xml:space="preserve"> of a groundwater model starts with clearly defining the quantity of interest</w:t>
      </w:r>
      <w:r w:rsidR="008656B7">
        <w:t>:</w:t>
      </w:r>
      <w:r w:rsidR="00F71355" w:rsidRPr="00981438">
        <w:t xml:space="preserve"> the </w:t>
      </w:r>
      <w:r w:rsidR="001A0483" w:rsidRPr="00981438">
        <w:t>model outcomes that are relevant for risk-based decision</w:t>
      </w:r>
      <w:r w:rsidR="008656B7">
        <w:t>-</w:t>
      </w:r>
      <w:r w:rsidR="001A0483" w:rsidRPr="00981438">
        <w:t xml:space="preserve">making. This is preferably done by </w:t>
      </w:r>
      <w:r w:rsidR="00DF6DDA" w:rsidRPr="00981438">
        <w:t xml:space="preserve">identifying </w:t>
      </w:r>
      <w:r w:rsidR="009D5C1F" w:rsidRPr="00981438">
        <w:t>potential causal pathways for impacts</w:t>
      </w:r>
      <w:r w:rsidR="009E5D6B" w:rsidRPr="00981438">
        <w:t xml:space="preserve">. </w:t>
      </w:r>
      <w:r w:rsidR="000B35DA" w:rsidRPr="00981438">
        <w:t xml:space="preserve">A </w:t>
      </w:r>
      <w:r w:rsidR="008F05C8" w:rsidRPr="00981438">
        <w:t>causal</w:t>
      </w:r>
      <w:r w:rsidR="000B35DA" w:rsidRPr="00981438">
        <w:t xml:space="preserve"> pathway is </w:t>
      </w:r>
      <w:r w:rsidR="00FC4FE9" w:rsidRPr="00981438">
        <w:t xml:space="preserve">a </w:t>
      </w:r>
      <w:r w:rsidR="000B35DA" w:rsidRPr="005C6F01">
        <w:t>logical</w:t>
      </w:r>
      <w:r w:rsidR="000B35DA" w:rsidRPr="00981438">
        <w:t xml:space="preserve"> chain </w:t>
      </w:r>
      <w:r w:rsidR="00F11374" w:rsidRPr="00981438">
        <w:t>of events (either planned or unplanned)</w:t>
      </w:r>
      <w:r w:rsidR="005419A1" w:rsidRPr="00981438">
        <w:t xml:space="preserve"> that links the planned resource development and potential impacts on water resources</w:t>
      </w:r>
      <w:r w:rsidR="00DC268C" w:rsidRPr="00981438">
        <w:t xml:space="preserve">. </w:t>
      </w:r>
      <w:r w:rsidR="00FB7491" w:rsidRPr="00981438">
        <w:t xml:space="preserve">Once </w:t>
      </w:r>
      <w:r w:rsidR="00A1241D" w:rsidRPr="00981438">
        <w:t xml:space="preserve">causal </w:t>
      </w:r>
      <w:r w:rsidR="008C190E" w:rsidRPr="00981438">
        <w:t>pathways are identified</w:t>
      </w:r>
      <w:r w:rsidR="00BE49FE" w:rsidRPr="00981438">
        <w:t>, they</w:t>
      </w:r>
      <w:r w:rsidR="008C190E" w:rsidRPr="00981438">
        <w:t xml:space="preserve"> </w:t>
      </w:r>
      <w:r w:rsidR="009E3E6A" w:rsidRPr="00981438">
        <w:t xml:space="preserve">inform </w:t>
      </w:r>
      <w:r w:rsidR="00FC4FE9" w:rsidRPr="00981438">
        <w:t xml:space="preserve">the </w:t>
      </w:r>
      <w:r w:rsidR="009E3E6A" w:rsidRPr="00981438">
        <w:t>modelling approach</w:t>
      </w:r>
      <w:r w:rsidR="00BC4D22" w:rsidRPr="00981438">
        <w:t>, the source</w:t>
      </w:r>
      <w:r w:rsidR="00FC4FE9" w:rsidRPr="00981438">
        <w:t>s</w:t>
      </w:r>
      <w:r w:rsidR="00BC4D22" w:rsidRPr="00981438">
        <w:t xml:space="preserve"> of uncertainty to consider and the model outcome</w:t>
      </w:r>
      <w:r w:rsidR="00FC4FE9" w:rsidRPr="00981438">
        <w:t>s</w:t>
      </w:r>
      <w:r w:rsidR="00BC4D22" w:rsidRPr="00981438">
        <w:t xml:space="preserve"> required. </w:t>
      </w:r>
      <w:r w:rsidR="000E6F1C" w:rsidRPr="00981438">
        <w:t xml:space="preserve">Ecohydrological </w:t>
      </w:r>
      <w:r w:rsidR="000E6F1C">
        <w:t>c</w:t>
      </w:r>
      <w:r w:rsidR="000E6F1C" w:rsidRPr="00981438">
        <w:t xml:space="preserve">onceptual </w:t>
      </w:r>
      <w:r w:rsidR="000E6F1C">
        <w:t>m</w:t>
      </w:r>
      <w:r w:rsidR="000E6F1C" w:rsidRPr="00981438">
        <w:t>odels</w:t>
      </w:r>
      <w:r w:rsidR="000E6F1C">
        <w:t xml:space="preserve"> and causal pathway</w:t>
      </w:r>
      <w:r w:rsidR="002E420D">
        <w:t>s</w:t>
      </w:r>
      <w:r w:rsidR="000E6F1C">
        <w:t xml:space="preserve"> </w:t>
      </w:r>
      <w:r w:rsidR="002E420D">
        <w:t xml:space="preserve">will </w:t>
      </w:r>
      <w:r w:rsidR="000E6F1C">
        <w:t>be addressed in a future</w:t>
      </w:r>
      <w:r w:rsidR="000E6F1C" w:rsidRPr="00981438">
        <w:t xml:space="preserve"> </w:t>
      </w:r>
      <w:r w:rsidR="00FC4FE9" w:rsidRPr="00981438">
        <w:t>complementary</w:t>
      </w:r>
      <w:r w:rsidR="00784B15" w:rsidRPr="00981438">
        <w:t xml:space="preserve"> Explanatory </w:t>
      </w:r>
      <w:r w:rsidR="007B0C3F" w:rsidRPr="00981438">
        <w:t>Note</w:t>
      </w:r>
      <w:r w:rsidR="000E6F1C">
        <w:t xml:space="preserve"> which</w:t>
      </w:r>
      <w:r w:rsidR="007B0C3F" w:rsidRPr="00981438">
        <w:t xml:space="preserve"> is in preparation (2023).</w:t>
      </w:r>
    </w:p>
    <w:p w14:paraId="21A37787" w14:textId="744AA9DD" w:rsidR="00A574B2" w:rsidRPr="00981438" w:rsidRDefault="001D5969" w:rsidP="005C6F01">
      <w:pPr>
        <w:pStyle w:val="BodyText"/>
      </w:pPr>
      <w:r w:rsidRPr="00981438">
        <w:t xml:space="preserve">Adaptive management </w:t>
      </w:r>
      <w:r w:rsidR="006D4230" w:rsidRPr="00981438">
        <w:t xml:space="preserve">involves implementing management actions, </w:t>
      </w:r>
      <w:proofErr w:type="gramStart"/>
      <w:r w:rsidR="006D4230" w:rsidRPr="00981438">
        <w:t>monitoring</w:t>
      </w:r>
      <w:proofErr w:type="gramEnd"/>
      <w:r w:rsidR="006D4230" w:rsidRPr="00981438">
        <w:t xml:space="preserve"> </w:t>
      </w:r>
      <w:r w:rsidR="00106024" w:rsidRPr="00981438">
        <w:t xml:space="preserve">and evaluating outcomes, and systematically adapting management </w:t>
      </w:r>
      <w:r w:rsidR="00106024" w:rsidRPr="00981438">
        <w:t>actions according to what is learnt</w:t>
      </w:r>
      <w:r w:rsidR="00B90A9B" w:rsidRPr="00981438">
        <w:t xml:space="preserve">. </w:t>
      </w:r>
      <w:r w:rsidR="00982469" w:rsidRPr="00981438">
        <w:t xml:space="preserve">Adaptive management is often invoked to address </w:t>
      </w:r>
      <w:r w:rsidR="00E902A4" w:rsidRPr="00981438">
        <w:t>environmental issues in the face</w:t>
      </w:r>
      <w:r w:rsidR="001367B7" w:rsidRPr="00981438">
        <w:t xml:space="preserve"> of</w:t>
      </w:r>
      <w:r w:rsidR="00E902A4" w:rsidRPr="00981438">
        <w:t xml:space="preserve"> uncertainty</w:t>
      </w:r>
      <w:r w:rsidR="00E444A6" w:rsidRPr="00981438">
        <w:t xml:space="preserve">, but </w:t>
      </w:r>
      <w:r w:rsidR="00872ECA" w:rsidRPr="00981438">
        <w:t>review</w:t>
      </w:r>
      <w:r w:rsidR="00E444A6" w:rsidRPr="00981438">
        <w:t>s</w:t>
      </w:r>
      <w:r w:rsidR="00872ECA" w:rsidRPr="00981438">
        <w:t xml:space="preserve"> of adaptive management principles </w:t>
      </w:r>
      <w:r w:rsidR="007D5392" w:rsidRPr="00981438">
        <w:t>and groundwater management</w:t>
      </w:r>
      <w:r w:rsidR="00E444A6" w:rsidRPr="00981438">
        <w:t xml:space="preserve"> plans</w:t>
      </w:r>
      <w:r w:rsidR="002E420D" w:rsidRPr="002E420D">
        <w:t xml:space="preserve"> </w:t>
      </w:r>
      <w:r w:rsidR="002E420D">
        <w:t xml:space="preserve">have revealed </w:t>
      </w:r>
      <w:r w:rsidR="002E420D" w:rsidRPr="00981438">
        <w:t>significant shortcomings</w:t>
      </w:r>
      <w:r w:rsidR="00E444A6" w:rsidRPr="00981438">
        <w:t>, such as</w:t>
      </w:r>
      <w:r w:rsidR="00FE68FD" w:rsidRPr="00981438">
        <w:t>:</w:t>
      </w:r>
    </w:p>
    <w:p w14:paraId="1BB3A41D" w14:textId="67F855FF" w:rsidR="00FE68FD" w:rsidRPr="005C6F01" w:rsidRDefault="00FE68FD" w:rsidP="005C6F01">
      <w:pPr>
        <w:pStyle w:val="Bullet1"/>
      </w:pPr>
      <w:r w:rsidRPr="005C6F01">
        <w:t>lack of specific objectives</w:t>
      </w:r>
    </w:p>
    <w:p w14:paraId="5AD540DC" w14:textId="0D6FF3CB" w:rsidR="00FE68FD" w:rsidRPr="005C6F01" w:rsidRDefault="00FE68FD" w:rsidP="005C6F01">
      <w:pPr>
        <w:pStyle w:val="Bullet1"/>
      </w:pPr>
      <w:r w:rsidRPr="005C6F01">
        <w:t xml:space="preserve">unclear </w:t>
      </w:r>
      <w:r w:rsidR="008E6FFC" w:rsidRPr="005C6F01">
        <w:t>monitoring approaches</w:t>
      </w:r>
    </w:p>
    <w:p w14:paraId="3BC53373" w14:textId="6C0631B0" w:rsidR="008E6FFC" w:rsidRPr="005C6F01" w:rsidRDefault="008E6FFC" w:rsidP="005C6F01">
      <w:pPr>
        <w:pStyle w:val="Bullet1"/>
      </w:pPr>
      <w:r w:rsidRPr="005C6F01">
        <w:t xml:space="preserve">absence of </w:t>
      </w:r>
      <w:r w:rsidR="00CB2A74" w:rsidRPr="005C6F01">
        <w:t>substantive</w:t>
      </w:r>
      <w:r w:rsidRPr="005C6F01">
        <w:t xml:space="preserve"> mitigation measures</w:t>
      </w:r>
      <w:r w:rsidR="00CB2A74" w:rsidRPr="005C6F01">
        <w:t xml:space="preserve"> </w:t>
      </w:r>
      <w:r w:rsidRPr="005C6F01">
        <w:t xml:space="preserve">that are explicitly described in unambiguous </w:t>
      </w:r>
      <w:proofErr w:type="gramStart"/>
      <w:r w:rsidRPr="005C6F01">
        <w:t>terms</w:t>
      </w:r>
      <w:proofErr w:type="gramEnd"/>
    </w:p>
    <w:p w14:paraId="0E1F13FF" w14:textId="18CA9E51" w:rsidR="00FC729D" w:rsidRPr="005C6F01" w:rsidRDefault="00CB2A74" w:rsidP="005C6F01">
      <w:pPr>
        <w:pStyle w:val="Bullet1"/>
      </w:pPr>
      <w:r w:rsidRPr="005C6F01">
        <w:t xml:space="preserve">underdeveloped </w:t>
      </w:r>
      <w:r w:rsidR="005962C2" w:rsidRPr="005C6F01">
        <w:t>predictive</w:t>
      </w:r>
      <w:r w:rsidRPr="005C6F01">
        <w:t xml:space="preserve"> models for assessing alternative management actions </w:t>
      </w:r>
      <w:r w:rsidR="00C63158" w:rsidRPr="005C6F01">
        <w:t>and investigating uncertainties.</w:t>
      </w:r>
    </w:p>
    <w:p w14:paraId="31E46EA1" w14:textId="58AD5EEA" w:rsidR="009B1485" w:rsidRPr="00981438" w:rsidRDefault="00046420" w:rsidP="005C6F01">
      <w:pPr>
        <w:pStyle w:val="BodyText"/>
      </w:pPr>
      <w:r w:rsidRPr="00981438">
        <w:t>Proposing vague adaptive management actions should not be able to be used as</w:t>
      </w:r>
      <w:r w:rsidR="002E420D">
        <w:t xml:space="preserve"> a</w:t>
      </w:r>
      <w:r w:rsidRPr="00981438">
        <w:t xml:space="preserve"> pretext to defer or avoid detailed up-front analysis of environmental impacts and management options. Three key factors are critical to the design of effective adaptive manag</w:t>
      </w:r>
      <w:r w:rsidR="009B1485" w:rsidRPr="00981438">
        <w:t>em</w:t>
      </w:r>
      <w:r w:rsidRPr="00981438">
        <w:t>ent stra</w:t>
      </w:r>
      <w:r w:rsidR="009B1485" w:rsidRPr="00981438">
        <w:t>te</w:t>
      </w:r>
      <w:r w:rsidRPr="00981438">
        <w:t>gies:</w:t>
      </w:r>
    </w:p>
    <w:p w14:paraId="09B3E941" w14:textId="48B803F4" w:rsidR="00C63158" w:rsidRPr="005C6F01" w:rsidRDefault="009B1485" w:rsidP="005C6F01">
      <w:pPr>
        <w:pStyle w:val="Bullet1"/>
      </w:pPr>
      <w:r w:rsidRPr="005C6F01">
        <w:t>the permanence (or conversely, the ‘reversib</w:t>
      </w:r>
      <w:r w:rsidR="005D3144" w:rsidRPr="005C6F01">
        <w:t>ility’) of groundwater impacts</w:t>
      </w:r>
    </w:p>
    <w:p w14:paraId="666CD90C" w14:textId="10FB635D" w:rsidR="005D3144" w:rsidRPr="005C6F01" w:rsidRDefault="005D3144" w:rsidP="005C6F01">
      <w:pPr>
        <w:pStyle w:val="Bullet1"/>
      </w:pPr>
      <w:r w:rsidRPr="005C6F01">
        <w:t>the severity of groundwater impacts from project operations.</w:t>
      </w:r>
    </w:p>
    <w:p w14:paraId="421D5BA9" w14:textId="77777777" w:rsidR="00FC729D" w:rsidRPr="005C6F01" w:rsidRDefault="005D3144" w:rsidP="005C6F01">
      <w:pPr>
        <w:pStyle w:val="Bullet1"/>
      </w:pPr>
      <w:r w:rsidRPr="005C6F01">
        <w:t xml:space="preserve">the </w:t>
      </w:r>
      <w:r w:rsidR="00B6528C" w:rsidRPr="005C6F01">
        <w:t>level of uncertainty in groundwater system responses to project operations.</w:t>
      </w:r>
    </w:p>
    <w:p w14:paraId="1CE6EC7C" w14:textId="594EE112" w:rsidR="00E444A6" w:rsidRPr="00981438" w:rsidRDefault="00E444A6" w:rsidP="00E444A6">
      <w:pPr>
        <w:pStyle w:val="BodyText"/>
        <w:rPr>
          <w:szCs w:val="19"/>
        </w:rPr>
      </w:pPr>
      <w:r w:rsidRPr="00981438">
        <w:rPr>
          <w:szCs w:val="19"/>
        </w:rPr>
        <w:t>Adaptive management is unsuitable to protect against permanent or irreversible impacts on groundwater systems. Where impacts are considered severe, the permanence/reversibility and uncertainty factors warrant detailed investigation before project approval to identify effective mitigation and monitoring strategies.</w:t>
      </w:r>
    </w:p>
    <w:p w14:paraId="0048C84E" w14:textId="07B6F680" w:rsidR="004956B3" w:rsidRDefault="000A7210" w:rsidP="004956B3">
      <w:pPr>
        <w:pStyle w:val="Heading1"/>
      </w:pPr>
      <w:r>
        <w:t>Designing uncertainty analysis</w:t>
      </w:r>
    </w:p>
    <w:p w14:paraId="386AEA0E" w14:textId="2643EA46" w:rsidR="000A0B2F" w:rsidRPr="00981438" w:rsidRDefault="000A0B2F" w:rsidP="00826B3C">
      <w:pPr>
        <w:pStyle w:val="BodyText"/>
        <w:rPr>
          <w:szCs w:val="19"/>
        </w:rPr>
      </w:pPr>
      <w:r w:rsidRPr="00981438">
        <w:rPr>
          <w:szCs w:val="19"/>
        </w:rPr>
        <w:t xml:space="preserve">Groundwater models are </w:t>
      </w:r>
      <w:r w:rsidR="00A81FB2" w:rsidRPr="00981438">
        <w:rPr>
          <w:szCs w:val="19"/>
        </w:rPr>
        <w:t xml:space="preserve">developed from </w:t>
      </w:r>
      <w:r w:rsidRPr="00981438">
        <w:rPr>
          <w:szCs w:val="19"/>
        </w:rPr>
        <w:t xml:space="preserve">a conceptual understanding </w:t>
      </w:r>
      <w:r w:rsidR="00A81FB2" w:rsidRPr="00981438">
        <w:rPr>
          <w:szCs w:val="19"/>
        </w:rPr>
        <w:t xml:space="preserve">based on </w:t>
      </w:r>
      <w:r w:rsidRPr="00981438">
        <w:rPr>
          <w:szCs w:val="19"/>
        </w:rPr>
        <w:t xml:space="preserve">available data and knowledge that is implemented in a computational model in a process that involves trade-offs between reliability, </w:t>
      </w:r>
      <w:proofErr w:type="gramStart"/>
      <w:r w:rsidRPr="00981438">
        <w:rPr>
          <w:szCs w:val="19"/>
        </w:rPr>
        <w:t>usability</w:t>
      </w:r>
      <w:proofErr w:type="gramEnd"/>
      <w:r w:rsidRPr="00981438">
        <w:rPr>
          <w:szCs w:val="19"/>
        </w:rPr>
        <w:t xml:space="preserve"> and feasibility. </w:t>
      </w:r>
      <w:r w:rsidR="00A81FB2" w:rsidRPr="00981438">
        <w:rPr>
          <w:szCs w:val="19"/>
        </w:rPr>
        <w:t>Uncertainty analysis design requires clear definition of the quantity of interest (the model output or key prediction that is relevant to decision</w:t>
      </w:r>
      <w:r w:rsidR="002E420D">
        <w:rPr>
          <w:szCs w:val="19"/>
        </w:rPr>
        <w:t>-</w:t>
      </w:r>
      <w:r w:rsidR="00A81FB2" w:rsidRPr="00981438">
        <w:rPr>
          <w:szCs w:val="19"/>
        </w:rPr>
        <w:t>makers</w:t>
      </w:r>
      <w:proofErr w:type="gramStart"/>
      <w:r w:rsidR="00A81FB2" w:rsidRPr="00981438">
        <w:rPr>
          <w:szCs w:val="19"/>
        </w:rPr>
        <w:t>), and</w:t>
      </w:r>
      <w:proofErr w:type="gramEnd"/>
      <w:r w:rsidR="00A81FB2" w:rsidRPr="00981438">
        <w:rPr>
          <w:szCs w:val="19"/>
        </w:rPr>
        <w:t xml:space="preserve"> balancing of trade-offs.</w:t>
      </w:r>
    </w:p>
    <w:p w14:paraId="747802AD" w14:textId="155CE1F4" w:rsidR="00E03E33" w:rsidRPr="00981438" w:rsidRDefault="00826B3C" w:rsidP="005C6F01">
      <w:pPr>
        <w:pStyle w:val="BodyText"/>
      </w:pPr>
      <w:r w:rsidRPr="00981438">
        <w:t>Within t</w:t>
      </w:r>
      <w:r w:rsidR="00690275" w:rsidRPr="00981438">
        <w:t xml:space="preserve">he context of </w:t>
      </w:r>
      <w:r w:rsidR="00690275" w:rsidRPr="005C6F01">
        <w:t>risk</w:t>
      </w:r>
      <w:r w:rsidR="00690275" w:rsidRPr="00981438">
        <w:t>-based decision-making</w:t>
      </w:r>
      <w:r w:rsidR="00B23BBF" w:rsidRPr="00981438">
        <w:t xml:space="preserve">, the purpose of uncertainty analysis </w:t>
      </w:r>
      <w:r w:rsidRPr="00981438">
        <w:t xml:space="preserve">is </w:t>
      </w:r>
      <w:r w:rsidR="00B23BBF" w:rsidRPr="00981438">
        <w:t>to provide:</w:t>
      </w:r>
    </w:p>
    <w:p w14:paraId="7A94A29C" w14:textId="0C324E89" w:rsidR="00B23BBF" w:rsidRPr="00981438" w:rsidRDefault="00B23BBF" w:rsidP="005C6F01">
      <w:pPr>
        <w:pStyle w:val="Bullet1"/>
      </w:pPr>
      <w:r w:rsidRPr="00981438">
        <w:lastRenderedPageBreak/>
        <w:t>objective evidence that the uncertainties affecting decision-critical predictions of impacts on aquifer resources and dependent system</w:t>
      </w:r>
      <w:r w:rsidR="000D05BC" w:rsidRPr="00981438">
        <w:t>s</w:t>
      </w:r>
      <w:r w:rsidRPr="00981438">
        <w:t xml:space="preserve"> are not </w:t>
      </w:r>
      <w:proofErr w:type="gramStart"/>
      <w:r w:rsidRPr="00981438">
        <w:t>underestimated</w:t>
      </w:r>
      <w:proofErr w:type="gramEnd"/>
    </w:p>
    <w:p w14:paraId="084CE3E7" w14:textId="1ECC8517" w:rsidR="00C1112A" w:rsidRPr="00981438" w:rsidRDefault="00B23BBF" w:rsidP="005C6F01">
      <w:pPr>
        <w:pStyle w:val="Bullet1"/>
      </w:pPr>
      <w:r w:rsidRPr="00981438">
        <w:t>information about the uncertaint</w:t>
      </w:r>
      <w:r w:rsidR="002E420D">
        <w:t>y</w:t>
      </w:r>
      <w:r w:rsidRPr="00981438">
        <w:t xml:space="preserve"> </w:t>
      </w:r>
      <w:r w:rsidR="009B2BB8" w:rsidRPr="00981438">
        <w:t>in conceptuali</w:t>
      </w:r>
      <w:r w:rsidR="000D05BC" w:rsidRPr="00981438">
        <w:t>s</w:t>
      </w:r>
      <w:r w:rsidR="009B2BB8" w:rsidRPr="00981438">
        <w:t>ation</w:t>
      </w:r>
      <w:r w:rsidR="00826B3C" w:rsidRPr="00981438">
        <w:t>s</w:t>
      </w:r>
      <w:r w:rsidR="009B2BB8" w:rsidRPr="00981438">
        <w:t xml:space="preserve"> and model simulation</w:t>
      </w:r>
      <w:r w:rsidR="00826B3C" w:rsidRPr="00981438">
        <w:t>s</w:t>
      </w:r>
      <w:r w:rsidR="009B2BB8" w:rsidRPr="00981438">
        <w:t xml:space="preserve"> in a way that allows decision-makers to understand the effects of uncertainty on project objectives </w:t>
      </w:r>
      <w:r w:rsidR="00C1112A" w:rsidRPr="00981438">
        <w:t>and the effects of potential bias.</w:t>
      </w:r>
    </w:p>
    <w:p w14:paraId="1D7BB45C" w14:textId="3EBE1E56" w:rsidR="00FC729D" w:rsidRDefault="00B86D38" w:rsidP="001A47BD">
      <w:pPr>
        <w:pStyle w:val="BodyText"/>
        <w:rPr>
          <w:szCs w:val="19"/>
        </w:rPr>
      </w:pPr>
      <w:r w:rsidRPr="00981438">
        <w:rPr>
          <w:szCs w:val="19"/>
        </w:rPr>
        <w:t xml:space="preserve">If </w:t>
      </w:r>
      <w:r w:rsidR="00EF6476" w:rsidRPr="00981438">
        <w:rPr>
          <w:szCs w:val="19"/>
        </w:rPr>
        <w:t xml:space="preserve">this </w:t>
      </w:r>
      <w:r w:rsidRPr="00981438">
        <w:rPr>
          <w:szCs w:val="19"/>
        </w:rPr>
        <w:t>is achieve</w:t>
      </w:r>
      <w:r w:rsidR="004D01C2" w:rsidRPr="00981438">
        <w:rPr>
          <w:szCs w:val="19"/>
        </w:rPr>
        <w:t>d</w:t>
      </w:r>
      <w:r w:rsidR="000A0B2F" w:rsidRPr="00981438">
        <w:rPr>
          <w:szCs w:val="19"/>
        </w:rPr>
        <w:t>, and the trade-offs</w:t>
      </w:r>
      <w:r w:rsidR="00A81FB2" w:rsidRPr="00981438">
        <w:rPr>
          <w:szCs w:val="19"/>
        </w:rPr>
        <w:t xml:space="preserve">, methods, </w:t>
      </w:r>
      <w:proofErr w:type="gramStart"/>
      <w:r w:rsidR="00A81FB2" w:rsidRPr="00981438">
        <w:rPr>
          <w:szCs w:val="19"/>
        </w:rPr>
        <w:t>assumptions</w:t>
      </w:r>
      <w:proofErr w:type="gramEnd"/>
      <w:r w:rsidR="00A81FB2" w:rsidRPr="00981438">
        <w:rPr>
          <w:szCs w:val="19"/>
        </w:rPr>
        <w:t xml:space="preserve"> and assertions</w:t>
      </w:r>
      <w:r w:rsidR="000A0B2F" w:rsidRPr="00981438">
        <w:rPr>
          <w:szCs w:val="19"/>
        </w:rPr>
        <w:t xml:space="preserve"> are justified, then</w:t>
      </w:r>
      <w:r w:rsidR="004D01C2" w:rsidRPr="00981438">
        <w:rPr>
          <w:szCs w:val="19"/>
        </w:rPr>
        <w:t xml:space="preserve"> the groundwater model</w:t>
      </w:r>
      <w:r w:rsidR="00EF6476" w:rsidRPr="00981438">
        <w:rPr>
          <w:szCs w:val="19"/>
        </w:rPr>
        <w:t>ling</w:t>
      </w:r>
      <w:r w:rsidR="004D01C2" w:rsidRPr="00981438">
        <w:rPr>
          <w:szCs w:val="19"/>
        </w:rPr>
        <w:t xml:space="preserve"> and uncertainty analysis </w:t>
      </w:r>
      <w:r w:rsidR="00EF6476" w:rsidRPr="00981438">
        <w:rPr>
          <w:szCs w:val="19"/>
        </w:rPr>
        <w:t>may be considered</w:t>
      </w:r>
      <w:r w:rsidR="00DA3474" w:rsidRPr="00981438">
        <w:rPr>
          <w:szCs w:val="19"/>
        </w:rPr>
        <w:t xml:space="preserve"> fit</w:t>
      </w:r>
      <w:r w:rsidR="00B67B01">
        <w:rPr>
          <w:szCs w:val="19"/>
        </w:rPr>
        <w:t xml:space="preserve"> </w:t>
      </w:r>
      <w:r w:rsidR="00DA3474" w:rsidRPr="00981438">
        <w:rPr>
          <w:szCs w:val="19"/>
        </w:rPr>
        <w:t>for</w:t>
      </w:r>
      <w:r w:rsidR="00B67B01">
        <w:rPr>
          <w:szCs w:val="19"/>
        </w:rPr>
        <w:t xml:space="preserve"> </w:t>
      </w:r>
      <w:r w:rsidR="00DA3474" w:rsidRPr="00981438">
        <w:rPr>
          <w:szCs w:val="19"/>
        </w:rPr>
        <w:t>purpose.</w:t>
      </w:r>
    </w:p>
    <w:p w14:paraId="46D1F2DA" w14:textId="7B52405A" w:rsidR="00E8015C" w:rsidRDefault="00E8015C" w:rsidP="005C6F01">
      <w:pPr>
        <w:pStyle w:val="BodyText"/>
      </w:pPr>
      <w:r w:rsidRPr="005C6F01">
        <w:rPr>
          <w:noProof/>
        </w:rPr>
        <w:drawing>
          <wp:inline distT="0" distB="0" distL="0" distR="0" wp14:anchorId="4A95F877" wp14:editId="07398E8A">
            <wp:extent cx="2484000" cy="1872000"/>
            <wp:effectExtent l="0" t="0" r="5715" b="0"/>
            <wp:docPr id="4" name="Picture 4" descr="Venn diagram showing the overlap between reliable, usable and feasib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Venn diagram showing the overlap between reliable, usable and feasibl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18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C7A1A" w14:textId="20B8CE8D" w:rsidR="004D3BA9" w:rsidRPr="00B67B01" w:rsidRDefault="00E8015C" w:rsidP="00F22130">
      <w:pPr>
        <w:pStyle w:val="Caption"/>
      </w:pPr>
      <w:r w:rsidRPr="00B67B01">
        <w:t>Fit</w:t>
      </w:r>
      <w:r w:rsidR="00B67B01" w:rsidRPr="00B67B01">
        <w:t>ness</w:t>
      </w:r>
      <w:r w:rsidRPr="00B67B01">
        <w:t xml:space="preserve"> for purpose is a trade-off between usability, reliability and </w:t>
      </w:r>
      <w:proofErr w:type="gramStart"/>
      <w:r w:rsidRPr="00B67B01">
        <w:t>feas</w:t>
      </w:r>
      <w:r w:rsidR="006A6FBF" w:rsidRPr="00B67B01">
        <w:t>ibility</w:t>
      </w:r>
      <w:proofErr w:type="gramEnd"/>
    </w:p>
    <w:p w14:paraId="28B363CC" w14:textId="320D18BB" w:rsidR="00FC729D" w:rsidRPr="005C6F01" w:rsidRDefault="004D3BA9" w:rsidP="005C6F01">
      <w:pPr>
        <w:pStyle w:val="BodyText"/>
        <w:rPr>
          <w:iCs/>
        </w:rPr>
      </w:pPr>
      <w:r w:rsidRPr="00981438">
        <w:t xml:space="preserve">Sensitivity analysis is </w:t>
      </w:r>
      <w:r w:rsidR="00A24DFD" w:rsidRPr="00981438">
        <w:t>complement</w:t>
      </w:r>
      <w:r w:rsidR="00A24DFD">
        <w:t>ary</w:t>
      </w:r>
      <w:r w:rsidR="00A24DFD" w:rsidRPr="00981438">
        <w:t xml:space="preserve"> </w:t>
      </w:r>
      <w:r w:rsidRPr="00981438">
        <w:t xml:space="preserve">to uncertainty analysis, </w:t>
      </w:r>
      <w:r w:rsidR="00A24DFD">
        <w:t xml:space="preserve">not an </w:t>
      </w:r>
      <w:r w:rsidR="00A24DFD" w:rsidRPr="00981438">
        <w:t>alternative</w:t>
      </w:r>
      <w:r w:rsidR="007D425B" w:rsidRPr="00981438">
        <w:t xml:space="preserve">. </w:t>
      </w:r>
      <w:r w:rsidR="00471CC6">
        <w:t>S</w:t>
      </w:r>
      <w:r w:rsidR="007D425B" w:rsidRPr="00981438">
        <w:t xml:space="preserve">ensitivity analysis </w:t>
      </w:r>
      <w:r w:rsidR="00A24DFD" w:rsidRPr="00981438">
        <w:t>is recommended</w:t>
      </w:r>
      <w:r w:rsidR="00A24DFD" w:rsidRPr="00981438" w:rsidDel="00471CC6">
        <w:t xml:space="preserve"> </w:t>
      </w:r>
      <w:r w:rsidR="00A24DFD">
        <w:t xml:space="preserve">since it </w:t>
      </w:r>
      <w:r w:rsidR="007D425B" w:rsidRPr="00981438">
        <w:t>provide</w:t>
      </w:r>
      <w:r w:rsidR="00471CC6">
        <w:t>s</w:t>
      </w:r>
      <w:r w:rsidR="007D425B" w:rsidRPr="00981438">
        <w:t xml:space="preserve"> insight into </w:t>
      </w:r>
      <w:r w:rsidR="00471CC6">
        <w:t xml:space="preserve">the </w:t>
      </w:r>
      <w:r w:rsidR="007D425B" w:rsidRPr="00981438">
        <w:t>source</w:t>
      </w:r>
      <w:r w:rsidR="00471CC6">
        <w:t>s</w:t>
      </w:r>
      <w:r w:rsidR="007D425B" w:rsidRPr="00981438">
        <w:t xml:space="preserve"> of uncertainty </w:t>
      </w:r>
      <w:r w:rsidR="00471CC6">
        <w:t xml:space="preserve">that </w:t>
      </w:r>
      <w:r w:rsidR="007D425B" w:rsidRPr="00981438">
        <w:t>contribut</w:t>
      </w:r>
      <w:r w:rsidR="00471CC6">
        <w:t>e</w:t>
      </w:r>
      <w:r w:rsidR="007D425B" w:rsidRPr="00981438">
        <w:t xml:space="preserve"> most to the predictive uncertainty and </w:t>
      </w:r>
      <w:r w:rsidR="00471CC6">
        <w:t xml:space="preserve">the </w:t>
      </w:r>
      <w:r w:rsidR="007D425B" w:rsidRPr="00981438">
        <w:t xml:space="preserve">extent </w:t>
      </w:r>
      <w:r w:rsidR="00471CC6">
        <w:t xml:space="preserve">to which </w:t>
      </w:r>
      <w:r w:rsidR="007D425B" w:rsidRPr="00981438">
        <w:t>available observation</w:t>
      </w:r>
      <w:r w:rsidR="00D4316D" w:rsidRPr="00981438">
        <w:t xml:space="preserve">s </w:t>
      </w:r>
      <w:proofErr w:type="gramStart"/>
      <w:r w:rsidR="00D4316D" w:rsidRPr="00981438">
        <w:t>are able to</w:t>
      </w:r>
      <w:proofErr w:type="gramEnd"/>
      <w:r w:rsidR="00D4316D" w:rsidRPr="00981438">
        <w:t xml:space="preserve"> constrain predictive uncertainty.</w:t>
      </w:r>
    </w:p>
    <w:p w14:paraId="2AC6789C" w14:textId="77777777" w:rsidR="00FC729D" w:rsidRDefault="00AF32EF" w:rsidP="004956B3">
      <w:pPr>
        <w:pStyle w:val="Heading1"/>
      </w:pPr>
      <w:r w:rsidRPr="00981438">
        <w:t xml:space="preserve">Reporting </w:t>
      </w:r>
      <w:r w:rsidR="00B3468F" w:rsidRPr="00981438">
        <w:t>uncertainty analysis</w:t>
      </w:r>
    </w:p>
    <w:p w14:paraId="7B0A0C00" w14:textId="77777777" w:rsidR="00FC729D" w:rsidRDefault="009266EF" w:rsidP="00A81FB2">
      <w:pPr>
        <w:pStyle w:val="BodyText"/>
        <w:rPr>
          <w:szCs w:val="19"/>
        </w:rPr>
      </w:pPr>
      <w:r w:rsidRPr="00981438">
        <w:rPr>
          <w:szCs w:val="19"/>
        </w:rPr>
        <w:t>T</w:t>
      </w:r>
      <w:r w:rsidR="00A81FB2" w:rsidRPr="00981438">
        <w:rPr>
          <w:szCs w:val="19"/>
        </w:rPr>
        <w:t>he main goal of the model</w:t>
      </w:r>
      <w:r w:rsidRPr="00981438">
        <w:rPr>
          <w:szCs w:val="19"/>
        </w:rPr>
        <w:t>ling</w:t>
      </w:r>
      <w:r w:rsidR="00A81FB2" w:rsidRPr="00981438">
        <w:rPr>
          <w:szCs w:val="19"/>
        </w:rPr>
        <w:t xml:space="preserve"> report is to document, discuss and justify the methods, assumptions, </w:t>
      </w:r>
      <w:proofErr w:type="gramStart"/>
      <w:r w:rsidR="00A81FB2" w:rsidRPr="00981438">
        <w:rPr>
          <w:szCs w:val="19"/>
        </w:rPr>
        <w:t>assertions</w:t>
      </w:r>
      <w:proofErr w:type="gramEnd"/>
      <w:r w:rsidR="00A81FB2" w:rsidRPr="00981438">
        <w:rPr>
          <w:szCs w:val="19"/>
        </w:rPr>
        <w:t xml:space="preserve"> and trade-offs in an open and transparent way (amenable to review).</w:t>
      </w:r>
    </w:p>
    <w:p w14:paraId="57E5F91E" w14:textId="338142DF" w:rsidR="00FC729D" w:rsidRDefault="000A0B2F" w:rsidP="000A0B2F">
      <w:pPr>
        <w:pStyle w:val="BodyText"/>
        <w:rPr>
          <w:szCs w:val="19"/>
        </w:rPr>
      </w:pPr>
      <w:r w:rsidRPr="00981438">
        <w:rPr>
          <w:szCs w:val="19"/>
        </w:rPr>
        <w:t>The key to successful communication is to present information about uncertainty in a way that is most likely to aid decision-making</w:t>
      </w:r>
      <w:r w:rsidR="00AD5356">
        <w:rPr>
          <w:szCs w:val="19"/>
        </w:rPr>
        <w:t xml:space="preserve"> –</w:t>
      </w:r>
      <w:r w:rsidR="00B3039C" w:rsidRPr="00981438">
        <w:rPr>
          <w:szCs w:val="19"/>
        </w:rPr>
        <w:t xml:space="preserve"> that is</w:t>
      </w:r>
      <w:r w:rsidRPr="00981438">
        <w:rPr>
          <w:szCs w:val="19"/>
        </w:rPr>
        <w:t>:</w:t>
      </w:r>
    </w:p>
    <w:p w14:paraId="7F2ABEED" w14:textId="77777777" w:rsidR="00937EC0" w:rsidRDefault="000A0B2F" w:rsidP="00692C47">
      <w:pPr>
        <w:pStyle w:val="Bullet1"/>
      </w:pPr>
      <w:r w:rsidRPr="00981438">
        <w:t>adequately tailored to decision</w:t>
      </w:r>
      <w:r w:rsidR="00AD5356">
        <w:t>-</w:t>
      </w:r>
      <w:r w:rsidRPr="00981438">
        <w:t>makers’ needs</w:t>
      </w:r>
    </w:p>
    <w:p w14:paraId="2543E2CB" w14:textId="45E86300" w:rsidR="000A0B2F" w:rsidRPr="00981438" w:rsidRDefault="000A0B2F" w:rsidP="00692C47">
      <w:pPr>
        <w:pStyle w:val="Bullet1"/>
      </w:pPr>
      <w:r w:rsidRPr="00981438">
        <w:t>focused on the message</w:t>
      </w:r>
      <w:r w:rsidR="00AD5356">
        <w:t>s</w:t>
      </w:r>
      <w:r w:rsidRPr="00981438">
        <w:t xml:space="preserve"> that are most likely to be relevant to their </w:t>
      </w:r>
      <w:proofErr w:type="gramStart"/>
      <w:r w:rsidRPr="00981438">
        <w:t>decisions</w:t>
      </w:r>
      <w:proofErr w:type="gramEnd"/>
    </w:p>
    <w:p w14:paraId="1886AAD7" w14:textId="77777777" w:rsidR="00FC729D" w:rsidRDefault="000A0B2F" w:rsidP="005C6F01">
      <w:pPr>
        <w:pStyle w:val="Bullet1"/>
      </w:pPr>
      <w:r w:rsidRPr="00981438">
        <w:t>presented in plain and clear language.</w:t>
      </w:r>
    </w:p>
    <w:p w14:paraId="2C2EB54A" w14:textId="77777777" w:rsidR="00FC729D" w:rsidRDefault="00D124B6" w:rsidP="005C6F01">
      <w:pPr>
        <w:pStyle w:val="BodyText"/>
      </w:pPr>
      <w:r w:rsidRPr="00981438">
        <w:t xml:space="preserve">An independent reader of the environmental assessment </w:t>
      </w:r>
      <w:r w:rsidRPr="005C6F01">
        <w:t>documents</w:t>
      </w:r>
      <w:r w:rsidRPr="00981438">
        <w:t xml:space="preserve"> should be able to verify all significant assumptions, methodologies, techniques, </w:t>
      </w:r>
      <w:proofErr w:type="gramStart"/>
      <w:r w:rsidRPr="00981438">
        <w:t>assertions</w:t>
      </w:r>
      <w:proofErr w:type="gramEnd"/>
      <w:r w:rsidRPr="00981438">
        <w:t xml:space="preserve"> and conclusions </w:t>
      </w:r>
      <w:r w:rsidR="00B8216F" w:rsidRPr="00981438">
        <w:t xml:space="preserve">made by the proponent. Independent readers </w:t>
      </w:r>
      <w:r w:rsidR="00A6728C" w:rsidRPr="00981438">
        <w:t xml:space="preserve">should also be able to evaluate whether the analysis effort applied is </w:t>
      </w:r>
      <w:r w:rsidR="00B3039C" w:rsidRPr="00981438">
        <w:t xml:space="preserve">commensurate </w:t>
      </w:r>
      <w:r w:rsidR="00A6728C" w:rsidRPr="00981438">
        <w:t>with the risk</w:t>
      </w:r>
      <w:r w:rsidR="00075E09" w:rsidRPr="00981438">
        <w:t xml:space="preserve"> </w:t>
      </w:r>
      <w:r w:rsidR="00980707" w:rsidRPr="00981438">
        <w:t>and the predictions of impacts on groundwater and dependent systems.</w:t>
      </w:r>
    </w:p>
    <w:p w14:paraId="129395BC" w14:textId="0154C5A3" w:rsidR="00455819" w:rsidRDefault="00075E09" w:rsidP="005C6F01">
      <w:pPr>
        <w:pStyle w:val="BodyText"/>
      </w:pPr>
      <w:r>
        <w:t xml:space="preserve"> </w:t>
      </w:r>
      <w:r w:rsidR="0045118F" w:rsidRPr="005C6F01">
        <w:rPr>
          <w:noProof/>
        </w:rPr>
        <w:drawing>
          <wp:inline distT="0" distB="0" distL="0" distR="0" wp14:anchorId="2C38C008" wp14:editId="3580D971">
            <wp:extent cx="2612571" cy="1833986"/>
            <wp:effectExtent l="0" t="0" r="0" b="0"/>
            <wp:docPr id="3" name="Picture 3" descr="Flow chart showing an example of the types of interactions between models described in the preceding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low chart showing an example of the types of interactions between models described in the preceding tex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1501" cy="184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F29C2" w14:textId="7C2DC6F4" w:rsidR="00401940" w:rsidRPr="00B67B01" w:rsidRDefault="006B509B" w:rsidP="00F22130">
      <w:pPr>
        <w:pStyle w:val="Caption"/>
      </w:pPr>
      <w:r w:rsidRPr="00CE1152">
        <w:t>Example of interaction</w:t>
      </w:r>
      <w:r w:rsidR="00AD5356">
        <w:t>s</w:t>
      </w:r>
      <w:r w:rsidRPr="00CE1152">
        <w:t xml:space="preserve"> between groundwater and surface water model</w:t>
      </w:r>
      <w:r w:rsidR="00CE1152">
        <w:t>s</w:t>
      </w:r>
    </w:p>
    <w:p w14:paraId="5D065273" w14:textId="0F9D9AB5" w:rsidR="002418A0" w:rsidRPr="00981438" w:rsidRDefault="003C3628" w:rsidP="005C6F01">
      <w:pPr>
        <w:pStyle w:val="BodyText"/>
        <w:sectPr w:rsidR="002418A0" w:rsidRPr="00981438" w:rsidSect="0049130B">
          <w:type w:val="continuous"/>
          <w:pgSz w:w="11900" w:h="16840" w:code="10"/>
          <w:pgMar w:top="1701" w:right="1128" w:bottom="1871" w:left="1701" w:header="1134" w:footer="182" w:gutter="0"/>
          <w:cols w:num="2" w:space="708"/>
          <w:titlePg/>
          <w:docGrid w:linePitch="360"/>
        </w:sectPr>
      </w:pPr>
      <w:r w:rsidRPr="00981438">
        <w:t>Assessment reports should be as self-contained as possible</w:t>
      </w:r>
      <w:r w:rsidR="00B3039C" w:rsidRPr="00981438">
        <w:t xml:space="preserve">, </w:t>
      </w:r>
      <w:r w:rsidR="006F752F" w:rsidRPr="00981438">
        <w:t>to minimi</w:t>
      </w:r>
      <w:r w:rsidR="00FD37B8" w:rsidRPr="00981438">
        <w:t>s</w:t>
      </w:r>
      <w:r w:rsidR="006F752F" w:rsidRPr="00981438">
        <w:t>e the need for readers to consult several documents</w:t>
      </w:r>
      <w:r w:rsidR="005C6CD5" w:rsidRPr="00981438">
        <w:t xml:space="preserve">. For </w:t>
      </w:r>
      <w:r w:rsidR="00F72813" w:rsidRPr="00981438">
        <w:t>example,</w:t>
      </w:r>
      <w:r w:rsidR="005C6CD5" w:rsidRPr="00981438">
        <w:t xml:space="preserve"> </w:t>
      </w:r>
      <w:r w:rsidR="00A65D26" w:rsidRPr="00981438">
        <w:t xml:space="preserve">there are </w:t>
      </w:r>
      <w:r w:rsidR="00F6532C" w:rsidRPr="00981438">
        <w:t>l</w:t>
      </w:r>
      <w:r w:rsidR="004204D7" w:rsidRPr="00981438">
        <w:t>inkages between the</w:t>
      </w:r>
      <w:r w:rsidR="00B539F4" w:rsidRPr="00981438">
        <w:t xml:space="preserve"> </w:t>
      </w:r>
      <w:r w:rsidR="005C6CD5" w:rsidRPr="00981438">
        <w:t>groundwater and surface water</w:t>
      </w:r>
      <w:r w:rsidR="004204D7" w:rsidRPr="00981438">
        <w:t xml:space="preserve"> </w:t>
      </w:r>
      <w:r w:rsidR="0064035F" w:rsidRPr="00981438">
        <w:t>assessments</w:t>
      </w:r>
      <w:r w:rsidR="003F6140" w:rsidRPr="00981438">
        <w:t>, s</w:t>
      </w:r>
      <w:r w:rsidR="0064035F" w:rsidRPr="00981438">
        <w:t>uch as</w:t>
      </w:r>
      <w:r w:rsidR="004C299D" w:rsidRPr="00981438">
        <w:t xml:space="preserve"> </w:t>
      </w:r>
      <w:r w:rsidR="003F6140" w:rsidRPr="00981438">
        <w:t xml:space="preserve">to </w:t>
      </w:r>
      <w:r w:rsidR="0064035F" w:rsidRPr="00981438">
        <w:t>estimate recharge and/or runoff</w:t>
      </w:r>
      <w:r w:rsidR="00F650D8" w:rsidRPr="00981438">
        <w:t xml:space="preserve"> and </w:t>
      </w:r>
      <w:r w:rsidR="00E5388F" w:rsidRPr="00981438">
        <w:t xml:space="preserve">to evaluate the site water and salt balance </w:t>
      </w:r>
      <w:r w:rsidR="00F650D8" w:rsidRPr="00981438">
        <w:t xml:space="preserve">(usually </w:t>
      </w:r>
      <w:r w:rsidR="00D14F02" w:rsidRPr="00981438">
        <w:t>presented in the surface water report</w:t>
      </w:r>
      <w:r w:rsidR="00F650D8" w:rsidRPr="00981438">
        <w:t>)</w:t>
      </w:r>
      <w:r w:rsidR="00D14F02" w:rsidRPr="00981438">
        <w:t>. The site water</w:t>
      </w:r>
      <w:r w:rsidR="00F650D8" w:rsidRPr="00981438">
        <w:t>/</w:t>
      </w:r>
      <w:r w:rsidR="00D14F02" w:rsidRPr="00981438">
        <w:t xml:space="preserve">salt balance </w:t>
      </w:r>
      <w:r w:rsidR="008D10D5" w:rsidRPr="00981438">
        <w:t xml:space="preserve">outputs </w:t>
      </w:r>
      <w:r w:rsidR="00F650D8" w:rsidRPr="00981438">
        <w:t xml:space="preserve">can feed back into </w:t>
      </w:r>
      <w:r w:rsidR="008D10D5" w:rsidRPr="00981438">
        <w:t>post-mining groundwater modelling</w:t>
      </w:r>
      <w:r w:rsidR="00F650D8" w:rsidRPr="00981438">
        <w:t xml:space="preserve"> scenarios</w:t>
      </w:r>
      <w:r w:rsidR="008D10D5" w:rsidRPr="00981438">
        <w:t>, such as</w:t>
      </w:r>
      <w:r w:rsidR="00EC5A1E">
        <w:t xml:space="preserve"> for</w:t>
      </w:r>
      <w:r w:rsidR="008D10D5" w:rsidRPr="00981438">
        <w:t xml:space="preserve"> </w:t>
      </w:r>
      <w:r w:rsidR="00F650D8" w:rsidRPr="00981438">
        <w:t xml:space="preserve">a </w:t>
      </w:r>
      <w:r w:rsidR="008D10D5" w:rsidRPr="00981438">
        <w:t xml:space="preserve">final void lake, </w:t>
      </w:r>
      <w:r w:rsidR="00140C43" w:rsidRPr="00981438">
        <w:t xml:space="preserve">which </w:t>
      </w:r>
      <w:r w:rsidR="00EC5A1E">
        <w:t xml:space="preserve">may </w:t>
      </w:r>
      <w:r w:rsidR="00140C43" w:rsidRPr="00981438">
        <w:t>also require information from geochemical assessments</w:t>
      </w:r>
      <w:r w:rsidR="00F650D8" w:rsidRPr="00981438">
        <w:t xml:space="preserve"> and </w:t>
      </w:r>
      <w:r w:rsidR="001F6AE6" w:rsidRPr="00981438">
        <w:t xml:space="preserve">from rehabilitation </w:t>
      </w:r>
      <w:r w:rsidR="00F650D8" w:rsidRPr="00981438">
        <w:t>plans</w:t>
      </w:r>
      <w:r w:rsidR="001F6AE6" w:rsidRPr="00981438">
        <w:t xml:space="preserve">. </w:t>
      </w:r>
      <w:r w:rsidR="00F972E5" w:rsidRPr="00981438">
        <w:t>Groundwater models also need information on groundwater-dependent</w:t>
      </w:r>
      <w:r w:rsidR="00CE1152" w:rsidRPr="00981438">
        <w:t xml:space="preserve"> </w:t>
      </w:r>
      <w:r w:rsidR="00F972E5" w:rsidRPr="00981438">
        <w:t>ecosystems f</w:t>
      </w:r>
      <w:r w:rsidR="002A5897" w:rsidRPr="00981438">
        <w:t>ro</w:t>
      </w:r>
      <w:r w:rsidR="00F972E5" w:rsidRPr="00981438">
        <w:t xml:space="preserve">m ecological </w:t>
      </w:r>
      <w:r w:rsidR="00F650D8" w:rsidRPr="00981438">
        <w:t>assessments</w:t>
      </w:r>
      <w:r w:rsidR="00F972E5" w:rsidRPr="00981438">
        <w:t xml:space="preserve">. </w:t>
      </w:r>
      <w:r w:rsidR="004C4E1F" w:rsidRPr="00981438">
        <w:t>Th</w:t>
      </w:r>
      <w:r w:rsidR="00792804" w:rsidRPr="00981438">
        <w:t xml:space="preserve">us, </w:t>
      </w:r>
      <w:r w:rsidR="00F650D8" w:rsidRPr="00981438">
        <w:t xml:space="preserve">groundwater </w:t>
      </w:r>
      <w:r w:rsidR="00792804" w:rsidRPr="00981438">
        <w:t>assessment report</w:t>
      </w:r>
      <w:r w:rsidR="00F650D8" w:rsidRPr="00981438">
        <w:t>s</w:t>
      </w:r>
      <w:r w:rsidR="00EC5A1E">
        <w:t xml:space="preserve"> need</w:t>
      </w:r>
      <w:r w:rsidR="00792804" w:rsidRPr="00981438">
        <w:t xml:space="preserve"> to be self-contained</w:t>
      </w:r>
      <w:r w:rsidR="00EC5A1E">
        <w:t xml:space="preserve"> </w:t>
      </w:r>
      <w:proofErr w:type="gramStart"/>
      <w:r w:rsidR="00EC5A1E">
        <w:t>so</w:t>
      </w:r>
      <w:r w:rsidR="00E3201F" w:rsidRPr="00981438">
        <w:t xml:space="preserve"> as to</w:t>
      </w:r>
      <w:proofErr w:type="gramEnd"/>
      <w:r w:rsidR="00E3201F" w:rsidRPr="00981438">
        <w:t xml:space="preserve"> ensure readers do not have to consult </w:t>
      </w:r>
      <w:r w:rsidR="005359AD" w:rsidRPr="00981438">
        <w:t>several</w:t>
      </w:r>
      <w:r w:rsidR="00E3201F" w:rsidRPr="00981438">
        <w:t xml:space="preserve"> technical reports to understand the methodologies and assumptions applied</w:t>
      </w:r>
      <w:r w:rsidR="00F650D8" w:rsidRPr="00981438">
        <w:t xml:space="preserve"> to the groundwater modelling scenarios</w:t>
      </w:r>
      <w:r w:rsidR="00E3201F" w:rsidRPr="00981438">
        <w:t xml:space="preserve"> </w:t>
      </w:r>
      <w:r w:rsidR="00A449FA" w:rsidRPr="00981438">
        <w:t>and the predictions of impacts on groundwater and dependent ecosyste</w:t>
      </w:r>
      <w:r w:rsidR="00177BBA" w:rsidRPr="00981438">
        <w:t>ms</w:t>
      </w:r>
      <w:r w:rsidR="007C0D5D" w:rsidRPr="00981438">
        <w:t>.</w:t>
      </w:r>
    </w:p>
    <w:p w14:paraId="5FB59D23" w14:textId="77777777" w:rsidR="00177BBA" w:rsidRPr="00177BBA" w:rsidRDefault="00177BBA" w:rsidP="00F172E9">
      <w:pPr>
        <w:pStyle w:val="BodyText"/>
      </w:pPr>
    </w:p>
    <w:sectPr w:rsidR="00177BBA" w:rsidRPr="00177BBA" w:rsidSect="00BF6F45">
      <w:type w:val="continuous"/>
      <w:pgSz w:w="11900" w:h="16840"/>
      <w:pgMar w:top="1701" w:right="1128" w:bottom="1871" w:left="1701" w:header="1134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341C" w14:textId="77777777" w:rsidR="0035532E" w:rsidRDefault="0035532E" w:rsidP="002000D4">
      <w:r>
        <w:separator/>
      </w:r>
    </w:p>
  </w:endnote>
  <w:endnote w:type="continuationSeparator" w:id="0">
    <w:p w14:paraId="646A8122" w14:textId="77777777" w:rsidR="0035532E" w:rsidRDefault="0035532E" w:rsidP="00200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useoSans-500">
    <w:altName w:val="Calibri"/>
    <w:charset w:val="00"/>
    <w:family w:val="auto"/>
    <w:pitch w:val="variable"/>
    <w:sig w:usb0="A00000AF" w:usb1="4000004A" w:usb2="00000000" w:usb3="00000000" w:csb0="00000093" w:csb1="00000000"/>
  </w:font>
  <w:font w:name="Adobe Garamond Pro Bold"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8BAB9" w14:textId="77777777" w:rsidR="005168FB" w:rsidRDefault="005168FB" w:rsidP="005168FB">
    <w:pPr>
      <w:pStyle w:val="04HEADING4"/>
      <w:tabs>
        <w:tab w:val="right" w:pos="10680"/>
      </w:tabs>
      <w:spacing w:after="0"/>
      <w:jc w:val="center"/>
      <w:rPr>
        <w:rFonts w:ascii="Myriad Pro" w:hAnsi="Myriad Pro" w:cs="Myriad Pro"/>
        <w:sz w:val="18"/>
        <w:szCs w:val="18"/>
      </w:rPr>
    </w:pPr>
    <w:r>
      <w:rPr>
        <w:rFonts w:ascii="Myriad Pro" w:hAnsi="Myriad Pro" w:cs="Myriad Pro"/>
        <w:sz w:val="18"/>
        <w:szCs w:val="18"/>
      </w:rPr>
      <w:t>This initiative is funded by the Australian Government.</w:t>
    </w:r>
  </w:p>
  <w:p w14:paraId="3AA17087" w14:textId="0E76D33B" w:rsidR="005168FB" w:rsidRPr="005168FB" w:rsidRDefault="00D95278" w:rsidP="005168FB">
    <w:pPr>
      <w:tabs>
        <w:tab w:val="right" w:pos="10680"/>
      </w:tabs>
      <w:spacing w:before="700" w:after="320"/>
      <w:jc w:val="right"/>
    </w:pPr>
    <w:hyperlink r:id="rId1" w:history="1">
      <w:r w:rsidR="003B2DF9" w:rsidRPr="00365F29">
        <w:rPr>
          <w:rStyle w:val="Hyperlink"/>
          <w:rFonts w:ascii="Myriad Pro" w:hAnsi="Myriad Pro" w:cs="Myriad Pro"/>
          <w:b/>
          <w:bCs/>
          <w14:textOutline w14:w="9525" w14:cap="flat" w14:cmpd="sng" w14:algn="ctr">
            <w14:noFill/>
            <w14:prstDash w14:val="solid"/>
            <w14:round/>
          </w14:textOutline>
        </w:rPr>
        <w:t>www.iesc.gov.au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59D4" w14:textId="013D4A09" w:rsidR="002E3CC5" w:rsidRDefault="002E3CC5" w:rsidP="007814E8">
    <w:pPr>
      <w:pStyle w:val="04HEADING4"/>
      <w:tabs>
        <w:tab w:val="right" w:pos="10680"/>
      </w:tabs>
      <w:spacing w:before="0" w:after="0"/>
      <w:jc w:val="center"/>
      <w:rPr>
        <w:rFonts w:ascii="Myriad Pro" w:hAnsi="Myriad Pro" w:cs="Myriad Pro"/>
        <w:sz w:val="18"/>
        <w:szCs w:val="18"/>
      </w:rPr>
    </w:pPr>
    <w:r>
      <w:rPr>
        <w:rFonts w:ascii="Myriad Pro" w:hAnsi="Myriad Pro" w:cs="Myriad Pro"/>
        <w:sz w:val="18"/>
        <w:szCs w:val="18"/>
      </w:rPr>
      <w:t>This initiative is funded by the Australian Government.</w:t>
    </w:r>
  </w:p>
  <w:p w14:paraId="0D6716A0" w14:textId="7DD79190" w:rsidR="002000D4" w:rsidRDefault="00D95278" w:rsidP="009A027E">
    <w:pPr>
      <w:tabs>
        <w:tab w:val="right" w:pos="10680"/>
      </w:tabs>
      <w:spacing w:before="700" w:after="320"/>
      <w:jc w:val="right"/>
    </w:pPr>
    <w:hyperlink r:id="rId1" w:history="1">
      <w:r w:rsidR="00E8015C" w:rsidRPr="00365F29">
        <w:rPr>
          <w:rStyle w:val="Hyperlink"/>
          <w:rFonts w:ascii="Myriad Pro" w:hAnsi="Myriad Pro" w:cs="Myriad Pro"/>
          <w:b/>
          <w:bCs/>
          <w14:textOutline w14:w="9525" w14:cap="flat" w14:cmpd="sng" w14:algn="ctr">
            <w14:noFill/>
            <w14:prstDash w14:val="solid"/>
            <w14:round/>
          </w14:textOutline>
        </w:rPr>
        <w:t>www.iesc.gov.au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9C75E" w14:textId="77777777" w:rsidR="0035532E" w:rsidRDefault="0035532E" w:rsidP="002000D4">
      <w:r>
        <w:separator/>
      </w:r>
    </w:p>
  </w:footnote>
  <w:footnote w:type="continuationSeparator" w:id="0">
    <w:p w14:paraId="6D91748C" w14:textId="77777777" w:rsidR="0035532E" w:rsidRDefault="0035532E" w:rsidP="00200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7ED7" w14:textId="562179E1" w:rsidR="005168FB" w:rsidRDefault="005168F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D4D93D7" wp14:editId="1BA9471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81600" cy="10716177"/>
          <wp:effectExtent l="0" t="0" r="635" b="3175"/>
          <wp:wrapNone/>
          <wp:docPr id="31" name="Picture 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FOLLOWER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1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DC39" w14:textId="6D5BBEA4" w:rsidR="002000D4" w:rsidRDefault="002D7B40" w:rsidP="002D0E43">
    <w:pPr>
      <w:pStyle w:val="HEADERITALICS"/>
      <w:tabs>
        <w:tab w:val="clear" w:pos="4513"/>
        <w:tab w:val="clear" w:pos="9026"/>
        <w:tab w:val="left" w:pos="1481"/>
        <w:tab w:val="left" w:pos="4687"/>
        <w:tab w:val="left" w:pos="5570"/>
      </w:tabs>
      <w:ind w:left="0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92938B5" wp14:editId="741186E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9776" cy="10713599"/>
          <wp:effectExtent l="0" t="0" r="2540" b="0"/>
          <wp:wrapNone/>
          <wp:docPr id="32" name="Picture 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776" cy="1071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E43" w:rsidRPr="00E21915">
      <w:t>summary</w:t>
    </w:r>
    <w:r w:rsidR="002D0E43">
      <w:t xml:space="preserve"> guid</w:t>
    </w:r>
    <w:r w:rsidR="002D0E43"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32D1D684" wp14:editId="1A58904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79776" cy="10713599"/>
          <wp:effectExtent l="0" t="0" r="2540" b="5715"/>
          <wp:wrapNone/>
          <wp:docPr id="33" name="Picture 33" descr="IESC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IESC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776" cy="10713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E43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3F84"/>
    <w:multiLevelType w:val="hybridMultilevel"/>
    <w:tmpl w:val="EB7CB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5221A"/>
    <w:multiLevelType w:val="hybridMultilevel"/>
    <w:tmpl w:val="2F24E6B4"/>
    <w:lvl w:ilvl="0" w:tplc="253264DA">
      <w:start w:val="1"/>
      <w:numFmt w:val="bullet"/>
      <w:lvlText w:val="□"/>
      <w:lvlJc w:val="left"/>
      <w:pPr>
        <w:ind w:left="1032" w:hanging="360"/>
      </w:pPr>
      <w:rPr>
        <w:rFonts w:ascii="Courier New" w:hAnsi="Courier New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" w15:restartNumberingAfterBreak="0">
    <w:nsid w:val="16A321EE"/>
    <w:multiLevelType w:val="hybridMultilevel"/>
    <w:tmpl w:val="B8007842"/>
    <w:lvl w:ilvl="0" w:tplc="FA90FED2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 w15:restartNumberingAfterBreak="0">
    <w:nsid w:val="21C53630"/>
    <w:multiLevelType w:val="hybridMultilevel"/>
    <w:tmpl w:val="4020633E"/>
    <w:lvl w:ilvl="0" w:tplc="EA7AED66">
      <w:start w:val="1"/>
      <w:numFmt w:val="bullet"/>
      <w:lvlText w:val="□"/>
      <w:lvlJc w:val="left"/>
      <w:pPr>
        <w:ind w:left="1032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5E045A9"/>
    <w:multiLevelType w:val="hybridMultilevel"/>
    <w:tmpl w:val="4D9A5D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44146"/>
    <w:multiLevelType w:val="hybridMultilevel"/>
    <w:tmpl w:val="C6C4E9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075B6"/>
    <w:multiLevelType w:val="hybridMultilevel"/>
    <w:tmpl w:val="FC5AD1C6"/>
    <w:lvl w:ilvl="0" w:tplc="6E32FA96">
      <w:start w:val="1"/>
      <w:numFmt w:val="lowerRoman"/>
      <w:lvlText w:val="(%1)"/>
      <w:lvlJc w:val="left"/>
      <w:pPr>
        <w:ind w:left="104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9" w:hanging="360"/>
      </w:pPr>
    </w:lvl>
    <w:lvl w:ilvl="2" w:tplc="0C09001B" w:tentative="1">
      <w:start w:val="1"/>
      <w:numFmt w:val="lowerRoman"/>
      <w:lvlText w:val="%3."/>
      <w:lvlJc w:val="right"/>
      <w:pPr>
        <w:ind w:left="2129" w:hanging="180"/>
      </w:pPr>
    </w:lvl>
    <w:lvl w:ilvl="3" w:tplc="0C09000F" w:tentative="1">
      <w:start w:val="1"/>
      <w:numFmt w:val="decimal"/>
      <w:lvlText w:val="%4."/>
      <w:lvlJc w:val="left"/>
      <w:pPr>
        <w:ind w:left="2849" w:hanging="360"/>
      </w:pPr>
    </w:lvl>
    <w:lvl w:ilvl="4" w:tplc="0C090019" w:tentative="1">
      <w:start w:val="1"/>
      <w:numFmt w:val="lowerLetter"/>
      <w:lvlText w:val="%5."/>
      <w:lvlJc w:val="left"/>
      <w:pPr>
        <w:ind w:left="3569" w:hanging="360"/>
      </w:pPr>
    </w:lvl>
    <w:lvl w:ilvl="5" w:tplc="0C09001B" w:tentative="1">
      <w:start w:val="1"/>
      <w:numFmt w:val="lowerRoman"/>
      <w:lvlText w:val="%6."/>
      <w:lvlJc w:val="right"/>
      <w:pPr>
        <w:ind w:left="4289" w:hanging="180"/>
      </w:pPr>
    </w:lvl>
    <w:lvl w:ilvl="6" w:tplc="0C09000F" w:tentative="1">
      <w:start w:val="1"/>
      <w:numFmt w:val="decimal"/>
      <w:lvlText w:val="%7."/>
      <w:lvlJc w:val="left"/>
      <w:pPr>
        <w:ind w:left="5009" w:hanging="360"/>
      </w:pPr>
    </w:lvl>
    <w:lvl w:ilvl="7" w:tplc="0C090019" w:tentative="1">
      <w:start w:val="1"/>
      <w:numFmt w:val="lowerLetter"/>
      <w:lvlText w:val="%8."/>
      <w:lvlJc w:val="left"/>
      <w:pPr>
        <w:ind w:left="5729" w:hanging="360"/>
      </w:pPr>
    </w:lvl>
    <w:lvl w:ilvl="8" w:tplc="0C0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7" w15:restartNumberingAfterBreak="0">
    <w:nsid w:val="3D3F6D66"/>
    <w:multiLevelType w:val="hybridMultilevel"/>
    <w:tmpl w:val="487E9B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65667"/>
    <w:multiLevelType w:val="multilevel"/>
    <w:tmpl w:val="5D9A3B7C"/>
    <w:numStyleLink w:val="BulletsList"/>
  </w:abstractNum>
  <w:abstractNum w:abstractNumId="9" w15:restartNumberingAfterBreak="0">
    <w:nsid w:val="4C313C27"/>
    <w:multiLevelType w:val="hybridMultilevel"/>
    <w:tmpl w:val="CC8A85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B0781"/>
    <w:multiLevelType w:val="hybridMultilevel"/>
    <w:tmpl w:val="348070F0"/>
    <w:lvl w:ilvl="0" w:tplc="1EC0FAE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76C1D"/>
    <w:multiLevelType w:val="hybridMultilevel"/>
    <w:tmpl w:val="27C4125E"/>
    <w:lvl w:ilvl="0" w:tplc="EFECCAF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95C23"/>
    <w:multiLevelType w:val="hybridMultilevel"/>
    <w:tmpl w:val="A934B6B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1B5351"/>
    <w:multiLevelType w:val="hybridMultilevel"/>
    <w:tmpl w:val="01740AA2"/>
    <w:lvl w:ilvl="0" w:tplc="0C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num w:numId="1" w16cid:durableId="680282957">
    <w:abstractNumId w:val="14"/>
  </w:num>
  <w:num w:numId="2" w16cid:durableId="874464979">
    <w:abstractNumId w:val="2"/>
  </w:num>
  <w:num w:numId="3" w16cid:durableId="1150634815">
    <w:abstractNumId w:val="8"/>
  </w:num>
  <w:num w:numId="4" w16cid:durableId="2133282631">
    <w:abstractNumId w:val="12"/>
  </w:num>
  <w:num w:numId="5" w16cid:durableId="1867595898">
    <w:abstractNumId w:val="10"/>
  </w:num>
  <w:num w:numId="6" w16cid:durableId="925264387">
    <w:abstractNumId w:val="7"/>
  </w:num>
  <w:num w:numId="7" w16cid:durableId="1489978535">
    <w:abstractNumId w:val="11"/>
  </w:num>
  <w:num w:numId="8" w16cid:durableId="199123829">
    <w:abstractNumId w:val="6"/>
  </w:num>
  <w:num w:numId="9" w16cid:durableId="745953277">
    <w:abstractNumId w:val="1"/>
  </w:num>
  <w:num w:numId="10" w16cid:durableId="1408116380">
    <w:abstractNumId w:val="3"/>
  </w:num>
  <w:num w:numId="11" w16cid:durableId="193277174">
    <w:abstractNumId w:val="5"/>
  </w:num>
  <w:num w:numId="12" w16cid:durableId="666787856">
    <w:abstractNumId w:val="0"/>
  </w:num>
  <w:num w:numId="13" w16cid:durableId="96408629">
    <w:abstractNumId w:val="13"/>
  </w:num>
  <w:num w:numId="14" w16cid:durableId="1348754448">
    <w:abstractNumId w:val="4"/>
  </w:num>
  <w:num w:numId="15" w16cid:durableId="9756479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0D4"/>
    <w:rsid w:val="000017C7"/>
    <w:rsid w:val="000237E3"/>
    <w:rsid w:val="0003023E"/>
    <w:rsid w:val="00034F53"/>
    <w:rsid w:val="00045E0E"/>
    <w:rsid w:val="00046420"/>
    <w:rsid w:val="00075E09"/>
    <w:rsid w:val="0009277D"/>
    <w:rsid w:val="000A0B2F"/>
    <w:rsid w:val="000A7210"/>
    <w:rsid w:val="000B35DA"/>
    <w:rsid w:val="000B374B"/>
    <w:rsid w:val="000D05BC"/>
    <w:rsid w:val="000E4F8F"/>
    <w:rsid w:val="000E6F1C"/>
    <w:rsid w:val="001050EC"/>
    <w:rsid w:val="00106024"/>
    <w:rsid w:val="00114A4B"/>
    <w:rsid w:val="001276F9"/>
    <w:rsid w:val="001367B7"/>
    <w:rsid w:val="00140C43"/>
    <w:rsid w:val="00144CE7"/>
    <w:rsid w:val="00166274"/>
    <w:rsid w:val="00177BBA"/>
    <w:rsid w:val="001A0483"/>
    <w:rsid w:val="001A47BD"/>
    <w:rsid w:val="001B53D2"/>
    <w:rsid w:val="001D019F"/>
    <w:rsid w:val="001D5969"/>
    <w:rsid w:val="001D5992"/>
    <w:rsid w:val="001D6916"/>
    <w:rsid w:val="001E2ABE"/>
    <w:rsid w:val="001E64F9"/>
    <w:rsid w:val="001F6AE6"/>
    <w:rsid w:val="001F7C94"/>
    <w:rsid w:val="002000D4"/>
    <w:rsid w:val="00206677"/>
    <w:rsid w:val="00206C5D"/>
    <w:rsid w:val="00224538"/>
    <w:rsid w:val="0022621F"/>
    <w:rsid w:val="002267EC"/>
    <w:rsid w:val="002418A0"/>
    <w:rsid w:val="00273141"/>
    <w:rsid w:val="0028263A"/>
    <w:rsid w:val="002A00F7"/>
    <w:rsid w:val="002A5897"/>
    <w:rsid w:val="002B702D"/>
    <w:rsid w:val="002C70B2"/>
    <w:rsid w:val="002D0E43"/>
    <w:rsid w:val="002D7B40"/>
    <w:rsid w:val="002E1FA2"/>
    <w:rsid w:val="002E3CC5"/>
    <w:rsid w:val="002E420D"/>
    <w:rsid w:val="002F2631"/>
    <w:rsid w:val="002F3667"/>
    <w:rsid w:val="00322358"/>
    <w:rsid w:val="0035335C"/>
    <w:rsid w:val="00354D9D"/>
    <w:rsid w:val="0035532E"/>
    <w:rsid w:val="0035768D"/>
    <w:rsid w:val="00397E3D"/>
    <w:rsid w:val="003B0F79"/>
    <w:rsid w:val="003B2DF9"/>
    <w:rsid w:val="003C3628"/>
    <w:rsid w:val="003C6B78"/>
    <w:rsid w:val="003E60AB"/>
    <w:rsid w:val="003F18E9"/>
    <w:rsid w:val="003F6140"/>
    <w:rsid w:val="003F6B7F"/>
    <w:rsid w:val="003F7973"/>
    <w:rsid w:val="00401940"/>
    <w:rsid w:val="00411B54"/>
    <w:rsid w:val="004204D7"/>
    <w:rsid w:val="0042584C"/>
    <w:rsid w:val="00425B05"/>
    <w:rsid w:val="00426ABB"/>
    <w:rsid w:val="00433952"/>
    <w:rsid w:val="0045118F"/>
    <w:rsid w:val="00455819"/>
    <w:rsid w:val="0046084E"/>
    <w:rsid w:val="00463039"/>
    <w:rsid w:val="00471CC6"/>
    <w:rsid w:val="0047317D"/>
    <w:rsid w:val="00487874"/>
    <w:rsid w:val="0049130B"/>
    <w:rsid w:val="004956B3"/>
    <w:rsid w:val="004B34C8"/>
    <w:rsid w:val="004C299D"/>
    <w:rsid w:val="004C4E1F"/>
    <w:rsid w:val="004C57B8"/>
    <w:rsid w:val="004D01C2"/>
    <w:rsid w:val="004D3BA9"/>
    <w:rsid w:val="004F5A26"/>
    <w:rsid w:val="005168FB"/>
    <w:rsid w:val="00524EBE"/>
    <w:rsid w:val="00532707"/>
    <w:rsid w:val="005359AD"/>
    <w:rsid w:val="00537074"/>
    <w:rsid w:val="005419A1"/>
    <w:rsid w:val="0054243D"/>
    <w:rsid w:val="0054285D"/>
    <w:rsid w:val="00546124"/>
    <w:rsid w:val="00553005"/>
    <w:rsid w:val="005633A9"/>
    <w:rsid w:val="00572045"/>
    <w:rsid w:val="0058411C"/>
    <w:rsid w:val="005962C2"/>
    <w:rsid w:val="005A620E"/>
    <w:rsid w:val="005C04A4"/>
    <w:rsid w:val="005C6CD5"/>
    <w:rsid w:val="005C6F01"/>
    <w:rsid w:val="005D3144"/>
    <w:rsid w:val="005D4A04"/>
    <w:rsid w:val="005E4BA8"/>
    <w:rsid w:val="005F1729"/>
    <w:rsid w:val="005F798F"/>
    <w:rsid w:val="005F7DEB"/>
    <w:rsid w:val="00616BE6"/>
    <w:rsid w:val="00620092"/>
    <w:rsid w:val="00622EBA"/>
    <w:rsid w:val="006317AA"/>
    <w:rsid w:val="00637A46"/>
    <w:rsid w:val="0064035F"/>
    <w:rsid w:val="0068025C"/>
    <w:rsid w:val="00690275"/>
    <w:rsid w:val="006968EB"/>
    <w:rsid w:val="006A5156"/>
    <w:rsid w:val="006A6FBF"/>
    <w:rsid w:val="006B509B"/>
    <w:rsid w:val="006B6278"/>
    <w:rsid w:val="006C6C0E"/>
    <w:rsid w:val="006D0DAB"/>
    <w:rsid w:val="006D4230"/>
    <w:rsid w:val="006E1D70"/>
    <w:rsid w:val="006E41A9"/>
    <w:rsid w:val="006F752F"/>
    <w:rsid w:val="00704868"/>
    <w:rsid w:val="00744182"/>
    <w:rsid w:val="0075343F"/>
    <w:rsid w:val="007814E8"/>
    <w:rsid w:val="00784B15"/>
    <w:rsid w:val="007851D1"/>
    <w:rsid w:val="00792804"/>
    <w:rsid w:val="007B0C3F"/>
    <w:rsid w:val="007B41B3"/>
    <w:rsid w:val="007C0D5D"/>
    <w:rsid w:val="007C330C"/>
    <w:rsid w:val="007D425B"/>
    <w:rsid w:val="007D5392"/>
    <w:rsid w:val="007E3DCD"/>
    <w:rsid w:val="007E49BB"/>
    <w:rsid w:val="007E572B"/>
    <w:rsid w:val="007F5D1D"/>
    <w:rsid w:val="00813451"/>
    <w:rsid w:val="00826B3C"/>
    <w:rsid w:val="00843964"/>
    <w:rsid w:val="008656B7"/>
    <w:rsid w:val="00865731"/>
    <w:rsid w:val="00872ECA"/>
    <w:rsid w:val="008734E3"/>
    <w:rsid w:val="008851BF"/>
    <w:rsid w:val="008869D9"/>
    <w:rsid w:val="00892A46"/>
    <w:rsid w:val="008C190E"/>
    <w:rsid w:val="008D10D5"/>
    <w:rsid w:val="008E6FFC"/>
    <w:rsid w:val="008F05C8"/>
    <w:rsid w:val="009056FB"/>
    <w:rsid w:val="009266EF"/>
    <w:rsid w:val="00932749"/>
    <w:rsid w:val="00937EC0"/>
    <w:rsid w:val="00950677"/>
    <w:rsid w:val="00980707"/>
    <w:rsid w:val="00981438"/>
    <w:rsid w:val="00982469"/>
    <w:rsid w:val="00987C54"/>
    <w:rsid w:val="009A027E"/>
    <w:rsid w:val="009A0899"/>
    <w:rsid w:val="009B1485"/>
    <w:rsid w:val="009B2BB8"/>
    <w:rsid w:val="009B2C80"/>
    <w:rsid w:val="009C2D77"/>
    <w:rsid w:val="009C321B"/>
    <w:rsid w:val="009D3281"/>
    <w:rsid w:val="009D5C1F"/>
    <w:rsid w:val="009E2C80"/>
    <w:rsid w:val="009E3E6A"/>
    <w:rsid w:val="009E46FC"/>
    <w:rsid w:val="009E5D6B"/>
    <w:rsid w:val="00A1241D"/>
    <w:rsid w:val="00A124B7"/>
    <w:rsid w:val="00A24DFD"/>
    <w:rsid w:val="00A34997"/>
    <w:rsid w:val="00A449FA"/>
    <w:rsid w:val="00A574B2"/>
    <w:rsid w:val="00A65D26"/>
    <w:rsid w:val="00A66181"/>
    <w:rsid w:val="00A6728C"/>
    <w:rsid w:val="00A76072"/>
    <w:rsid w:val="00A81FB2"/>
    <w:rsid w:val="00A83D81"/>
    <w:rsid w:val="00A90114"/>
    <w:rsid w:val="00AA6008"/>
    <w:rsid w:val="00AA6B3F"/>
    <w:rsid w:val="00AB30A7"/>
    <w:rsid w:val="00AB3C4F"/>
    <w:rsid w:val="00AB3C8C"/>
    <w:rsid w:val="00AC668B"/>
    <w:rsid w:val="00AC6911"/>
    <w:rsid w:val="00AC78B5"/>
    <w:rsid w:val="00AD01B1"/>
    <w:rsid w:val="00AD5356"/>
    <w:rsid w:val="00AF32EF"/>
    <w:rsid w:val="00AF3EF2"/>
    <w:rsid w:val="00AF54A3"/>
    <w:rsid w:val="00B15800"/>
    <w:rsid w:val="00B23BBF"/>
    <w:rsid w:val="00B3039C"/>
    <w:rsid w:val="00B3468F"/>
    <w:rsid w:val="00B4031A"/>
    <w:rsid w:val="00B45BEB"/>
    <w:rsid w:val="00B539F4"/>
    <w:rsid w:val="00B63C0F"/>
    <w:rsid w:val="00B6528C"/>
    <w:rsid w:val="00B654F8"/>
    <w:rsid w:val="00B67B01"/>
    <w:rsid w:val="00B72BD3"/>
    <w:rsid w:val="00B8216F"/>
    <w:rsid w:val="00B83F6D"/>
    <w:rsid w:val="00B86D38"/>
    <w:rsid w:val="00B904C5"/>
    <w:rsid w:val="00B90A9B"/>
    <w:rsid w:val="00BC4D22"/>
    <w:rsid w:val="00BD346E"/>
    <w:rsid w:val="00BE462F"/>
    <w:rsid w:val="00BE49FE"/>
    <w:rsid w:val="00BE5A6C"/>
    <w:rsid w:val="00BF6F45"/>
    <w:rsid w:val="00C018AF"/>
    <w:rsid w:val="00C04DE5"/>
    <w:rsid w:val="00C07FD3"/>
    <w:rsid w:val="00C1112A"/>
    <w:rsid w:val="00C128BA"/>
    <w:rsid w:val="00C301FA"/>
    <w:rsid w:val="00C3121E"/>
    <w:rsid w:val="00C36E84"/>
    <w:rsid w:val="00C40689"/>
    <w:rsid w:val="00C63158"/>
    <w:rsid w:val="00C65BBF"/>
    <w:rsid w:val="00C700C6"/>
    <w:rsid w:val="00C7113C"/>
    <w:rsid w:val="00CA4484"/>
    <w:rsid w:val="00CB2A74"/>
    <w:rsid w:val="00CD46FD"/>
    <w:rsid w:val="00CE1152"/>
    <w:rsid w:val="00CF550C"/>
    <w:rsid w:val="00D10E1B"/>
    <w:rsid w:val="00D124B6"/>
    <w:rsid w:val="00D14F02"/>
    <w:rsid w:val="00D1612C"/>
    <w:rsid w:val="00D17483"/>
    <w:rsid w:val="00D229A9"/>
    <w:rsid w:val="00D4316D"/>
    <w:rsid w:val="00D43171"/>
    <w:rsid w:val="00D7666E"/>
    <w:rsid w:val="00D9023F"/>
    <w:rsid w:val="00D95278"/>
    <w:rsid w:val="00DA3474"/>
    <w:rsid w:val="00DB1738"/>
    <w:rsid w:val="00DC268C"/>
    <w:rsid w:val="00DF6DDA"/>
    <w:rsid w:val="00E03E33"/>
    <w:rsid w:val="00E04478"/>
    <w:rsid w:val="00E048A4"/>
    <w:rsid w:val="00E15A80"/>
    <w:rsid w:val="00E21751"/>
    <w:rsid w:val="00E21915"/>
    <w:rsid w:val="00E3201F"/>
    <w:rsid w:val="00E444A6"/>
    <w:rsid w:val="00E5388F"/>
    <w:rsid w:val="00E8015C"/>
    <w:rsid w:val="00E902A4"/>
    <w:rsid w:val="00E9441B"/>
    <w:rsid w:val="00EB2A99"/>
    <w:rsid w:val="00EC5A1E"/>
    <w:rsid w:val="00EE4780"/>
    <w:rsid w:val="00EE7257"/>
    <w:rsid w:val="00EF6476"/>
    <w:rsid w:val="00F017DB"/>
    <w:rsid w:val="00F02E80"/>
    <w:rsid w:val="00F11374"/>
    <w:rsid w:val="00F172E9"/>
    <w:rsid w:val="00F21E35"/>
    <w:rsid w:val="00F22130"/>
    <w:rsid w:val="00F22D48"/>
    <w:rsid w:val="00F33274"/>
    <w:rsid w:val="00F346A3"/>
    <w:rsid w:val="00F34B06"/>
    <w:rsid w:val="00F474CB"/>
    <w:rsid w:val="00F50C49"/>
    <w:rsid w:val="00F52EB5"/>
    <w:rsid w:val="00F53DCA"/>
    <w:rsid w:val="00F57169"/>
    <w:rsid w:val="00F650D8"/>
    <w:rsid w:val="00F6532C"/>
    <w:rsid w:val="00F70A28"/>
    <w:rsid w:val="00F71355"/>
    <w:rsid w:val="00F72813"/>
    <w:rsid w:val="00F90281"/>
    <w:rsid w:val="00F9456A"/>
    <w:rsid w:val="00F972E5"/>
    <w:rsid w:val="00FB5BB3"/>
    <w:rsid w:val="00FB7491"/>
    <w:rsid w:val="00FC4FE9"/>
    <w:rsid w:val="00FC729D"/>
    <w:rsid w:val="00FD2D02"/>
    <w:rsid w:val="00FD37B8"/>
    <w:rsid w:val="00FE68FD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49127"/>
  <w15:chartTrackingRefBased/>
  <w15:docId w15:val="{C8691695-F708-314B-AA67-21AB8293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4C8"/>
    <w:pPr>
      <w:suppressAutoHyphens/>
      <w:autoSpaceDE w:val="0"/>
      <w:autoSpaceDN w:val="0"/>
      <w:adjustRightInd w:val="0"/>
      <w:spacing w:before="340" w:after="120"/>
      <w:textAlignment w:val="center"/>
      <w:outlineLvl w:val="0"/>
    </w:pPr>
    <w:rPr>
      <w:rFonts w:ascii="Calibri" w:hAnsi="Calibri" w:cs="Calibri"/>
      <w:b/>
      <w:color w:val="00569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738"/>
    <w:pPr>
      <w:suppressAutoHyphens/>
      <w:autoSpaceDE w:val="0"/>
      <w:autoSpaceDN w:val="0"/>
      <w:adjustRightInd w:val="0"/>
      <w:spacing w:before="397" w:after="113" w:line="300" w:lineRule="atLeast"/>
      <w:textAlignment w:val="center"/>
      <w:outlineLvl w:val="1"/>
    </w:pPr>
    <w:rPr>
      <w:rFonts w:ascii="Calibri" w:hAnsi="Calibri" w:cs="Calibri"/>
      <w:color w:val="005695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4C8"/>
    <w:pPr>
      <w:suppressAutoHyphens/>
      <w:autoSpaceDE w:val="0"/>
      <w:autoSpaceDN w:val="0"/>
      <w:adjustRightInd w:val="0"/>
      <w:spacing w:before="200" w:after="60"/>
      <w:textAlignment w:val="center"/>
      <w:outlineLvl w:val="2"/>
    </w:pPr>
    <w:rPr>
      <w:rFonts w:ascii="Calibri" w:hAnsi="Calibri" w:cs="Myriad Pro Light"/>
      <w:i/>
      <w:color w:val="005695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1738"/>
    <w:rPr>
      <w:rFonts w:ascii="Calibri" w:hAnsi="Calibri" w:cs="Calibri"/>
      <w:color w:val="005695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000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0D4"/>
  </w:style>
  <w:style w:type="paragraph" w:styleId="Footer">
    <w:name w:val="footer"/>
    <w:basedOn w:val="Normal"/>
    <w:link w:val="FooterChar"/>
    <w:uiPriority w:val="99"/>
    <w:unhideWhenUsed/>
    <w:rsid w:val="002000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0D4"/>
  </w:style>
  <w:style w:type="character" w:customStyle="1" w:styleId="Heading1Char">
    <w:name w:val="Heading 1 Char"/>
    <w:basedOn w:val="DefaultParagraphFont"/>
    <w:link w:val="Heading1"/>
    <w:uiPriority w:val="9"/>
    <w:rsid w:val="004B34C8"/>
    <w:rPr>
      <w:rFonts w:ascii="Calibri" w:hAnsi="Calibri" w:cs="Calibri"/>
      <w:b/>
      <w:color w:val="005695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B34C8"/>
    <w:rPr>
      <w:rFonts w:ascii="Calibri" w:hAnsi="Calibri" w:cs="Myriad Pro Light"/>
      <w:i/>
      <w:color w:val="005695"/>
      <w:sz w:val="22"/>
      <w:szCs w:val="2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4B34C8"/>
    <w:pPr>
      <w:suppressAutoHyphens/>
      <w:autoSpaceDE w:val="0"/>
      <w:autoSpaceDN w:val="0"/>
      <w:adjustRightInd w:val="0"/>
      <w:spacing w:before="200" w:after="170" w:line="380" w:lineRule="atLeast"/>
      <w:textAlignment w:val="center"/>
    </w:pPr>
    <w:rPr>
      <w:rFonts w:ascii="Calibri" w:hAnsi="Calibri" w:cs="Calibri"/>
      <w:b/>
      <w:bCs/>
      <w:color w:val="005695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B34C8"/>
    <w:rPr>
      <w:rFonts w:ascii="Calibri" w:hAnsi="Calibri" w:cs="Calibri"/>
      <w:b/>
      <w:bCs/>
      <w:color w:val="005695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4C8"/>
    <w:pPr>
      <w:suppressAutoHyphens/>
      <w:autoSpaceDE w:val="0"/>
      <w:autoSpaceDN w:val="0"/>
      <w:adjustRightInd w:val="0"/>
      <w:spacing w:before="227" w:line="288" w:lineRule="auto"/>
      <w:ind w:left="1134"/>
      <w:textAlignment w:val="center"/>
    </w:pPr>
    <w:rPr>
      <w:rFonts w:ascii="Calibri" w:hAnsi="Calibri" w:cs="Calibri"/>
      <w:color w:val="80828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4B34C8"/>
    <w:rPr>
      <w:rFonts w:ascii="Calibri" w:hAnsi="Calibri" w:cs="Calibri"/>
      <w:color w:val="808285"/>
      <w:sz w:val="28"/>
      <w:szCs w:val="28"/>
      <w:lang w:val="en-GB"/>
    </w:rPr>
  </w:style>
  <w:style w:type="paragraph" w:customStyle="1" w:styleId="Bullet1">
    <w:name w:val="Bullet 1"/>
    <w:basedOn w:val="Normal"/>
    <w:qFormat/>
    <w:rsid w:val="007E3DCD"/>
    <w:pPr>
      <w:numPr>
        <w:numId w:val="5"/>
      </w:numPr>
      <w:spacing w:after="120"/>
      <w:ind w:left="284" w:hanging="284"/>
    </w:pPr>
    <w:rPr>
      <w:rFonts w:ascii="Calibri" w:hAnsi="Calibri" w:cs="Calibri"/>
      <w:color w:val="000000"/>
      <w:sz w:val="19"/>
      <w:szCs w:val="19"/>
      <w:lang w:val="en-US"/>
    </w:rPr>
  </w:style>
  <w:style w:type="paragraph" w:customStyle="1" w:styleId="Bullet2">
    <w:name w:val="Bullet 2"/>
    <w:basedOn w:val="Bullet1"/>
    <w:qFormat/>
    <w:rsid w:val="004B34C8"/>
    <w:pPr>
      <w:numPr>
        <w:ilvl w:val="1"/>
      </w:numPr>
      <w:tabs>
        <w:tab w:val="left" w:pos="851"/>
      </w:tabs>
      <w:ind w:left="851" w:hanging="284"/>
    </w:pPr>
  </w:style>
  <w:style w:type="paragraph" w:customStyle="1" w:styleId="Bullet3">
    <w:name w:val="Bullet 3"/>
    <w:basedOn w:val="Bullet2"/>
    <w:qFormat/>
    <w:rsid w:val="004B34C8"/>
    <w:pPr>
      <w:numPr>
        <w:ilvl w:val="2"/>
      </w:numPr>
      <w:tabs>
        <w:tab w:val="clear" w:pos="851"/>
        <w:tab w:val="left" w:pos="1134"/>
      </w:tabs>
      <w:ind w:left="1135" w:hanging="284"/>
    </w:pPr>
  </w:style>
  <w:style w:type="numbering" w:customStyle="1" w:styleId="BulletsList">
    <w:name w:val="Bullets List"/>
    <w:uiPriority w:val="99"/>
    <w:rsid w:val="004B34C8"/>
    <w:pPr>
      <w:numPr>
        <w:numId w:val="1"/>
      </w:numPr>
    </w:pPr>
  </w:style>
  <w:style w:type="table" w:customStyle="1" w:styleId="IESCTABLE1">
    <w:name w:val="IESC TABLE 1"/>
    <w:basedOn w:val="TableNormal"/>
    <w:uiPriority w:val="42"/>
    <w:locked/>
    <w:rsid w:val="004B34C8"/>
    <w:pPr>
      <w:spacing w:after="80"/>
    </w:pPr>
    <w:rPr>
      <w:sz w:val="22"/>
      <w:szCs w:val="22"/>
    </w:rPr>
    <w:tblPr>
      <w:tblStyleRowBandSize w:val="1"/>
      <w:tblStyleColBandSize w:val="1"/>
      <w:tblBorders>
        <w:top w:val="single" w:sz="4" w:space="0" w:color="00569F"/>
        <w:left w:val="single" w:sz="4" w:space="0" w:color="00569F"/>
        <w:bottom w:val="single" w:sz="4" w:space="0" w:color="00569F"/>
        <w:right w:val="single" w:sz="4" w:space="0" w:color="00569F"/>
        <w:insideH w:val="single" w:sz="4" w:space="0" w:color="00569F"/>
        <w:insideV w:val="single" w:sz="4" w:space="0" w:color="00569F"/>
      </w:tblBorders>
    </w:tblPr>
    <w:tcPr>
      <w:shd w:val="clear" w:color="auto" w:fill="EAEDF5"/>
      <w:tcMar>
        <w:top w:w="113" w:type="dxa"/>
        <w:bottom w:w="113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</w:pPr>
      <w:rPr>
        <w:rFonts w:ascii="Calibri" w:hAnsi="Calibri"/>
        <w:b/>
        <w:bCs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</w:rPr>
      <w:tblPr/>
      <w:tcPr>
        <w:tcBorders>
          <w:bottom w:val="single" w:sz="4" w:space="0" w:color="00569F"/>
        </w:tcBorders>
        <w:shd w:val="clear" w:color="auto" w:fill="00569F"/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  <w:shd w:val="clear" w:color="auto" w:fill="EAEDF5"/>
      </w:tcPr>
    </w:tblStylePr>
    <w:tblStylePr w:type="band2Horz">
      <w:tblPr/>
      <w:tcPr>
        <w:tcBorders>
          <w:top w:val="single" w:sz="4" w:space="0" w:color="00569F"/>
          <w:left w:val="single" w:sz="4" w:space="0" w:color="00569F"/>
          <w:bottom w:val="single" w:sz="4" w:space="0" w:color="00569F"/>
          <w:right w:val="single" w:sz="4" w:space="0" w:color="00569F"/>
          <w:insideH w:val="single" w:sz="4" w:space="0" w:color="00569F"/>
          <w:insideV w:val="single" w:sz="4" w:space="0" w:color="00569F"/>
          <w:tl2br w:val="nil"/>
          <w:tr2bl w:val="nil"/>
        </w:tcBorders>
        <w:shd w:val="clear" w:color="auto" w:fill="EAEDF5"/>
      </w:tcPr>
    </w:tblStylePr>
  </w:style>
  <w:style w:type="character" w:styleId="Hyperlink">
    <w:name w:val="Hyperlink"/>
    <w:basedOn w:val="DefaultParagraphFont"/>
    <w:uiPriority w:val="99"/>
    <w:rsid w:val="004B34C8"/>
    <w:rPr>
      <w:rFonts w:ascii="Calibri" w:hAnsi="Calibri" w:cs="MuseoSans-500"/>
      <w:b w:val="0"/>
      <w:i w:val="0"/>
      <w:color w:val="auto"/>
      <w:u w:val="single" w:color="0070C0"/>
    </w:rPr>
  </w:style>
  <w:style w:type="character" w:styleId="Strong">
    <w:name w:val="Strong"/>
    <w:basedOn w:val="DefaultParagraphFont"/>
    <w:uiPriority w:val="22"/>
    <w:qFormat/>
    <w:rsid w:val="004B34C8"/>
    <w:rPr>
      <w:b/>
      <w:bCs/>
    </w:rPr>
  </w:style>
  <w:style w:type="paragraph" w:styleId="Caption">
    <w:name w:val="caption"/>
    <w:basedOn w:val="BodyText"/>
    <w:next w:val="Normal"/>
    <w:uiPriority w:val="35"/>
    <w:unhideWhenUsed/>
    <w:qFormat/>
    <w:rsid w:val="004B34C8"/>
    <w:pPr>
      <w:spacing w:before="100" w:after="400" w:line="240" w:lineRule="atLeast"/>
      <w:contextualSpacing/>
    </w:pPr>
    <w:rPr>
      <w:i/>
      <w:iCs/>
      <w:sz w:val="18"/>
      <w:szCs w:val="18"/>
    </w:rPr>
  </w:style>
  <w:style w:type="paragraph" w:customStyle="1" w:styleId="TableText">
    <w:name w:val="Table Text"/>
    <w:basedOn w:val="BodyText"/>
    <w:qFormat/>
    <w:rsid w:val="004B34C8"/>
    <w:pPr>
      <w:spacing w:after="80" w:line="240" w:lineRule="auto"/>
    </w:pPr>
  </w:style>
  <w:style w:type="paragraph" w:customStyle="1" w:styleId="TableHeaderRow">
    <w:name w:val="Table Header Row"/>
    <w:basedOn w:val="Normal"/>
    <w:qFormat/>
    <w:rsid w:val="004B34C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Adobe Garamond Pro Bold"/>
      <w:b/>
      <w:color w:val="FFFFFF"/>
      <w:sz w:val="18"/>
      <w:szCs w:val="18"/>
      <w:lang w:val="en-US"/>
    </w:rPr>
  </w:style>
  <w:style w:type="paragraph" w:customStyle="1" w:styleId="Tablefigureheading">
    <w:name w:val="Table figure heading"/>
    <w:basedOn w:val="Normal"/>
    <w:uiPriority w:val="99"/>
    <w:rsid w:val="004B34C8"/>
    <w:pPr>
      <w:suppressAutoHyphens/>
      <w:autoSpaceDE w:val="0"/>
      <w:autoSpaceDN w:val="0"/>
      <w:adjustRightInd w:val="0"/>
      <w:spacing w:before="240" w:after="170" w:line="280" w:lineRule="atLeast"/>
      <w:textAlignment w:val="center"/>
    </w:pPr>
    <w:rPr>
      <w:rFonts w:ascii="Calibri" w:hAnsi="Calibri" w:cs="Calibri"/>
      <w:b/>
      <w:bCs/>
      <w:color w:val="1F4E79"/>
      <w:sz w:val="22"/>
      <w:szCs w:val="22"/>
      <w:lang w:val="en-US"/>
    </w:rPr>
  </w:style>
  <w:style w:type="paragraph" w:customStyle="1" w:styleId="FIGUREHEADING">
    <w:name w:val="FIGURE HEADING"/>
    <w:basedOn w:val="Normal"/>
    <w:uiPriority w:val="99"/>
    <w:rsid w:val="004B34C8"/>
    <w:pPr>
      <w:keepNext/>
      <w:suppressAutoHyphens/>
      <w:autoSpaceDE w:val="0"/>
      <w:autoSpaceDN w:val="0"/>
      <w:adjustRightInd w:val="0"/>
      <w:spacing w:before="283" w:after="170" w:line="280" w:lineRule="atLeast"/>
      <w:textAlignment w:val="center"/>
    </w:pPr>
    <w:rPr>
      <w:rFonts w:ascii="Calibri" w:hAnsi="Calibri" w:cs="Calibri"/>
      <w:b/>
      <w:bCs/>
      <w:color w:val="1F4E79"/>
      <w:sz w:val="22"/>
      <w:szCs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4B34C8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="Calibri" w:hAnsi="Calibri" w:cs="Calibri"/>
      <w:color w:val="000000"/>
      <w:sz w:val="19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B34C8"/>
    <w:rPr>
      <w:rFonts w:ascii="Calibri" w:hAnsi="Calibri" w:cs="Calibri"/>
      <w:color w:val="000000"/>
      <w:sz w:val="19"/>
      <w:szCs w:val="20"/>
      <w:lang w:val="en-US"/>
    </w:rPr>
  </w:style>
  <w:style w:type="paragraph" w:customStyle="1" w:styleId="Box1Text">
    <w:name w:val="Box 1 Text"/>
    <w:basedOn w:val="Normal"/>
    <w:qFormat/>
    <w:rsid w:val="004B34C8"/>
    <w:pPr>
      <w:pBdr>
        <w:top w:val="single" w:sz="4" w:space="14" w:color="00569F"/>
        <w:left w:val="single" w:sz="4" w:space="14" w:color="00569F"/>
        <w:bottom w:val="single" w:sz="4" w:space="14" w:color="00569F"/>
        <w:right w:val="single" w:sz="4" w:space="14" w:color="00569F"/>
      </w:pBdr>
      <w:shd w:val="clear" w:color="auto" w:fill="FFFFFF" w:themeFill="background1"/>
      <w:suppressAutoHyphens/>
      <w:spacing w:before="180" w:after="80" w:line="240" w:lineRule="atLeast"/>
      <w:ind w:left="284" w:right="284"/>
    </w:pPr>
    <w:rPr>
      <w:rFonts w:ascii="Calibri" w:hAnsi="Calibri" w:cs="Times New Roman (Body CS)"/>
      <w:color w:val="000000" w:themeColor="text1"/>
      <w:sz w:val="20"/>
      <w:szCs w:val="22"/>
    </w:rPr>
  </w:style>
  <w:style w:type="paragraph" w:customStyle="1" w:styleId="Box1Bullet">
    <w:name w:val="Box 1 Bullet"/>
    <w:basedOn w:val="Box1Text"/>
    <w:qFormat/>
    <w:rsid w:val="004B34C8"/>
    <w:pPr>
      <w:numPr>
        <w:numId w:val="2"/>
      </w:numPr>
      <w:ind w:left="568" w:hanging="284"/>
    </w:pPr>
  </w:style>
  <w:style w:type="paragraph" w:customStyle="1" w:styleId="Coversubtitle">
    <w:name w:val="Cover subtitle"/>
    <w:basedOn w:val="Normal"/>
    <w:uiPriority w:val="99"/>
    <w:rsid w:val="004B34C8"/>
    <w:pPr>
      <w:suppressAutoHyphens/>
      <w:autoSpaceDE w:val="0"/>
      <w:autoSpaceDN w:val="0"/>
      <w:adjustRightInd w:val="0"/>
      <w:spacing w:before="227" w:line="288" w:lineRule="auto"/>
      <w:ind w:left="1134"/>
      <w:textAlignment w:val="center"/>
    </w:pPr>
    <w:rPr>
      <w:rFonts w:ascii="Calibri" w:hAnsi="Calibri"/>
      <w:color w:val="AEAAAA" w:themeColor="background2" w:themeShade="BF"/>
      <w:sz w:val="28"/>
      <w:szCs w:val="22"/>
      <w:lang w:val="en-GB"/>
    </w:rPr>
  </w:style>
  <w:style w:type="character" w:styleId="SubtleReference">
    <w:name w:val="Subtle Reference"/>
    <w:basedOn w:val="DefaultParagraphFont"/>
    <w:uiPriority w:val="31"/>
    <w:qFormat/>
    <w:rsid w:val="004B34C8"/>
    <w:rPr>
      <w:smallCaps/>
      <w:color w:val="5A5A5A" w:themeColor="text1" w:themeTint="A5"/>
    </w:rPr>
  </w:style>
  <w:style w:type="paragraph" w:customStyle="1" w:styleId="04HEADING4">
    <w:name w:val="04. HEADING 4"/>
    <w:basedOn w:val="Normal"/>
    <w:uiPriority w:val="99"/>
    <w:rsid w:val="004B34C8"/>
    <w:pPr>
      <w:suppressAutoHyphens/>
      <w:autoSpaceDE w:val="0"/>
      <w:autoSpaceDN w:val="0"/>
      <w:adjustRightInd w:val="0"/>
      <w:spacing w:before="113" w:after="28" w:line="240" w:lineRule="atLeast"/>
      <w:textAlignment w:val="center"/>
    </w:pPr>
    <w:rPr>
      <w:rFonts w:ascii="Myriad Pro Light" w:hAnsi="Myriad Pro Light" w:cs="Myriad Pro Light"/>
      <w:color w:val="3277D0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3039"/>
    <w:rPr>
      <w:color w:val="954F72" w:themeColor="followedHyperlink"/>
      <w:u w:val="single"/>
    </w:rPr>
  </w:style>
  <w:style w:type="paragraph" w:customStyle="1" w:styleId="02HEADING2">
    <w:name w:val="02. HEADING 2"/>
    <w:basedOn w:val="Normal"/>
    <w:uiPriority w:val="99"/>
    <w:rsid w:val="009E46FC"/>
    <w:pPr>
      <w:suppressAutoHyphens/>
      <w:autoSpaceDE w:val="0"/>
      <w:autoSpaceDN w:val="0"/>
      <w:adjustRightInd w:val="0"/>
      <w:spacing w:before="397" w:after="170" w:line="380" w:lineRule="atLeast"/>
      <w:textAlignment w:val="center"/>
    </w:pPr>
    <w:rPr>
      <w:rFonts w:ascii="Myriad Pro Light" w:hAnsi="Myriad Pro Light" w:cs="Myriad Pro Light"/>
      <w:color w:val="005595"/>
      <w:sz w:val="32"/>
      <w:szCs w:val="32"/>
      <w:lang w:val="en-US"/>
    </w:rPr>
  </w:style>
  <w:style w:type="paragraph" w:customStyle="1" w:styleId="03HEADING3">
    <w:name w:val="03. HEADING 3"/>
    <w:basedOn w:val="Normal"/>
    <w:uiPriority w:val="99"/>
    <w:rsid w:val="009E46FC"/>
    <w:pPr>
      <w:suppressAutoHyphens/>
      <w:autoSpaceDE w:val="0"/>
      <w:autoSpaceDN w:val="0"/>
      <w:adjustRightInd w:val="0"/>
      <w:spacing w:before="340" w:after="113" w:line="320" w:lineRule="atLeast"/>
      <w:textAlignment w:val="center"/>
    </w:pPr>
    <w:rPr>
      <w:rFonts w:ascii="Myriad Pro" w:hAnsi="Myriad Pro" w:cs="Myriad Pro"/>
      <w:color w:val="005595"/>
      <w:sz w:val="28"/>
      <w:szCs w:val="28"/>
      <w:lang w:val="en-GB"/>
    </w:rPr>
  </w:style>
  <w:style w:type="paragraph" w:customStyle="1" w:styleId="05BODYTEXT">
    <w:name w:val="05. BODY TEXT"/>
    <w:basedOn w:val="Normal"/>
    <w:uiPriority w:val="99"/>
    <w:rsid w:val="009E46FC"/>
    <w:pPr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Adobe Garamond Pro" w:hAnsi="Adobe Garamond Pro" w:cs="Adobe Garamond Pro"/>
      <w:color w:val="000000"/>
      <w:sz w:val="19"/>
      <w:szCs w:val="19"/>
      <w:lang w:val="en-US"/>
    </w:rPr>
  </w:style>
  <w:style w:type="character" w:customStyle="1" w:styleId="ITALIC">
    <w:name w:val="ITALIC"/>
    <w:uiPriority w:val="99"/>
    <w:rsid w:val="009E46FC"/>
    <w:rPr>
      <w:i/>
      <w:iCs/>
    </w:rPr>
  </w:style>
  <w:style w:type="table" w:styleId="TableGrid">
    <w:name w:val="Table Grid"/>
    <w:basedOn w:val="TableNormal"/>
    <w:uiPriority w:val="39"/>
    <w:rsid w:val="001E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ITALICS">
    <w:name w:val="HEADER ITALICS"/>
    <w:basedOn w:val="Header"/>
    <w:qFormat/>
    <w:rsid w:val="00E21915"/>
    <w:pPr>
      <w:spacing w:before="2200"/>
      <w:ind w:left="-1077" w:right="-568"/>
      <w:jc w:val="right"/>
    </w:pPr>
    <w:rPr>
      <w:rFonts w:ascii="Adobe Garamond Pro" w:hAnsi="Adobe Garamond Pro" w:cs="Adobe Garamond Pro"/>
      <w:i/>
      <w:iCs/>
      <w:color w:val="B1BCD3"/>
      <w:sz w:val="110"/>
      <w:szCs w:val="11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2D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6E84"/>
  </w:style>
  <w:style w:type="character" w:styleId="CommentReference">
    <w:name w:val="annotation reference"/>
    <w:basedOn w:val="DefaultParagraphFont"/>
    <w:uiPriority w:val="99"/>
    <w:semiHidden/>
    <w:unhideWhenUsed/>
    <w:rsid w:val="000E4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F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s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es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1349</Words>
  <Characters>7691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guide: Uncertainty analysis for groundwater modelling</vt:lpstr>
    </vt:vector>
  </TitlesOfParts>
  <Manager/>
  <Company/>
  <LinksUpToDate>false</LinksUpToDate>
  <CharactersWithSpaces>9022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guide: Uncertainty analysis for groundwater modelling</dc:title>
  <dc:subject/>
  <dc:creator>IESC</dc:creator>
  <cp:keywords/>
  <dc:description/>
  <cp:lastModifiedBy>Durack, Bec</cp:lastModifiedBy>
  <cp:revision>2</cp:revision>
  <dcterms:created xsi:type="dcterms:W3CDTF">2023-06-29T04:24:00Z</dcterms:created>
  <dcterms:modified xsi:type="dcterms:W3CDTF">2023-06-29T04:24:00Z</dcterms:modified>
  <cp:category/>
</cp:coreProperties>
</file>