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68EC5" w14:textId="77777777" w:rsidR="00751662" w:rsidRPr="00CF550C" w:rsidRDefault="00751662" w:rsidP="00751662">
      <w:pPr>
        <w:pStyle w:val="Title"/>
        <w:rPr>
          <w:sz w:val="36"/>
          <w:szCs w:val="36"/>
        </w:rPr>
      </w:pPr>
      <w:r>
        <w:rPr>
          <w:sz w:val="36"/>
          <w:szCs w:val="36"/>
        </w:rPr>
        <w:t>Assessing groundwater-dependent ecosystems</w:t>
      </w:r>
    </w:p>
    <w:p w14:paraId="69EFEB70" w14:textId="77777777" w:rsidR="00751662" w:rsidRDefault="00751662" w:rsidP="00751662">
      <w:pPr>
        <w:pStyle w:val="Heading1"/>
        <w:sectPr w:rsidR="00751662" w:rsidSect="007814E8">
          <w:headerReference w:type="default" r:id="rId7"/>
          <w:footerReference w:type="default" r:id="rId8"/>
          <w:headerReference w:type="first" r:id="rId9"/>
          <w:footerReference w:type="first" r:id="rId10"/>
          <w:pgSz w:w="11900" w:h="16840"/>
          <w:pgMar w:top="4489" w:right="1128" w:bottom="1871" w:left="1701" w:header="0" w:footer="182" w:gutter="0"/>
          <w:cols w:space="708"/>
          <w:titlePg/>
          <w:docGrid w:linePitch="360"/>
        </w:sectPr>
      </w:pPr>
    </w:p>
    <w:p w14:paraId="342819A8" w14:textId="77777777" w:rsidR="00751662" w:rsidRPr="00187662" w:rsidRDefault="00751662" w:rsidP="00751662">
      <w:pPr>
        <w:pStyle w:val="Heading1"/>
        <w:spacing w:before="240"/>
      </w:pPr>
      <w:r>
        <w:t>Background</w:t>
      </w:r>
      <w:bookmarkStart w:id="0" w:name="_GoBack"/>
      <w:bookmarkEnd w:id="0"/>
    </w:p>
    <w:p w14:paraId="016D0013" w14:textId="276D9455" w:rsidR="00751662" w:rsidRDefault="00751662" w:rsidP="00751662">
      <w:pPr>
        <w:rPr>
          <w:sz w:val="20"/>
          <w:szCs w:val="20"/>
          <w:lang w:val="en-US"/>
        </w:rPr>
      </w:pPr>
      <w:r w:rsidRPr="00ED550B">
        <w:rPr>
          <w:sz w:val="20"/>
          <w:szCs w:val="20"/>
          <w:lang w:val="en-US"/>
        </w:rPr>
        <w:t>Groundwater-dependent ecosystems (GDEs) are ecosystems whose species and ecological processes rely on</w:t>
      </w:r>
      <w:r>
        <w:rPr>
          <w:sz w:val="20"/>
          <w:szCs w:val="20"/>
          <w:lang w:val="en-US"/>
        </w:rPr>
        <w:t xml:space="preserve"> </w:t>
      </w:r>
      <w:r w:rsidRPr="00ED550B">
        <w:rPr>
          <w:sz w:val="20"/>
          <w:szCs w:val="20"/>
          <w:lang w:val="en-US"/>
        </w:rPr>
        <w:t>groundwater, either entirely or intermittently.</w:t>
      </w:r>
      <w:r>
        <w:rPr>
          <w:sz w:val="20"/>
          <w:szCs w:val="20"/>
          <w:lang w:val="en-US"/>
        </w:rPr>
        <w:t xml:space="preserve"> Examples of GDEs include rivers, springs and swamps </w:t>
      </w:r>
      <w:r w:rsidRPr="00546C99">
        <w:rPr>
          <w:sz w:val="20"/>
          <w:szCs w:val="20"/>
          <w:lang w:val="en-US"/>
        </w:rPr>
        <w:t>fed by groundwater, vegetation whose roots can access groundwater, and animals living in aquifers (stygofauna) and cave streams.</w:t>
      </w:r>
    </w:p>
    <w:p w14:paraId="4DA89BAA" w14:textId="77777777" w:rsidR="00751662" w:rsidRDefault="00751662" w:rsidP="00751662">
      <w:pPr>
        <w:rPr>
          <w:sz w:val="20"/>
          <w:szCs w:val="20"/>
          <w:lang w:val="en-US"/>
        </w:rPr>
      </w:pPr>
    </w:p>
    <w:p w14:paraId="58689C87" w14:textId="31E03D59" w:rsidR="00751662" w:rsidRDefault="00751662" w:rsidP="00751662">
      <w:pPr>
        <w:rPr>
          <w:sz w:val="20"/>
          <w:szCs w:val="20"/>
          <w:lang w:val="en-US"/>
        </w:rPr>
      </w:pPr>
      <w:r w:rsidRPr="00BB7DCD">
        <w:rPr>
          <w:sz w:val="20"/>
          <w:szCs w:val="20"/>
          <w:lang w:val="en-US"/>
        </w:rPr>
        <w:t xml:space="preserve">Groundwater dependence of ecosystems </w:t>
      </w:r>
      <w:r>
        <w:rPr>
          <w:sz w:val="20"/>
          <w:szCs w:val="20"/>
          <w:lang w:val="en-US"/>
        </w:rPr>
        <w:t xml:space="preserve">varies greatly </w:t>
      </w:r>
      <w:r w:rsidRPr="00BB7DCD">
        <w:rPr>
          <w:sz w:val="20"/>
          <w:szCs w:val="20"/>
          <w:lang w:val="en-US"/>
        </w:rPr>
        <w:t>through both space and time. Dependence by their</w:t>
      </w:r>
      <w:r>
        <w:rPr>
          <w:sz w:val="20"/>
          <w:szCs w:val="20"/>
          <w:lang w:val="en-US"/>
        </w:rPr>
        <w:t xml:space="preserve"> </w:t>
      </w:r>
      <w:r w:rsidRPr="00BB7DCD">
        <w:rPr>
          <w:sz w:val="20"/>
          <w:szCs w:val="20"/>
          <w:lang w:val="en-US"/>
        </w:rPr>
        <w:t>biota can be continuous (e.g. stygofauna), episodic (e.g. riparian trees that use groundwater when</w:t>
      </w:r>
      <w:r>
        <w:rPr>
          <w:sz w:val="20"/>
          <w:szCs w:val="20"/>
          <w:lang w:val="en-US"/>
        </w:rPr>
        <w:t xml:space="preserve"> </w:t>
      </w:r>
      <w:r w:rsidRPr="00BB7DCD">
        <w:rPr>
          <w:sz w:val="20"/>
          <w:szCs w:val="20"/>
          <w:lang w:val="en-US"/>
        </w:rPr>
        <w:t>soil moisture or surface water is not available) or strategically cued to critical life stages (e.g. fish using warm</w:t>
      </w:r>
      <w:r>
        <w:rPr>
          <w:sz w:val="20"/>
          <w:szCs w:val="20"/>
          <w:lang w:val="en-US"/>
        </w:rPr>
        <w:t xml:space="preserve"> </w:t>
      </w:r>
      <w:r w:rsidRPr="00BB7DCD">
        <w:rPr>
          <w:sz w:val="20"/>
          <w:szCs w:val="20"/>
          <w:lang w:val="en-US"/>
        </w:rPr>
        <w:t>upwelling groundwater for spawning).</w:t>
      </w:r>
      <w:r>
        <w:rPr>
          <w:sz w:val="20"/>
          <w:szCs w:val="20"/>
          <w:lang w:val="en-US"/>
        </w:rPr>
        <w:t xml:space="preserve"> Many GDEs contain high biodiversity and support valuable ecosystem services such as nutrient cycling and groundwater filtration. </w:t>
      </w:r>
    </w:p>
    <w:p w14:paraId="4049CF32" w14:textId="77777777" w:rsidR="00751662" w:rsidRDefault="00751662" w:rsidP="00751662">
      <w:pPr>
        <w:rPr>
          <w:sz w:val="20"/>
          <w:szCs w:val="20"/>
          <w:lang w:val="en-US"/>
        </w:rPr>
      </w:pPr>
    </w:p>
    <w:p w14:paraId="6A9E7712" w14:textId="77777777" w:rsidR="00751662" w:rsidRDefault="00751662" w:rsidP="00751662">
      <w:pPr>
        <w:rPr>
          <w:sz w:val="20"/>
          <w:szCs w:val="20"/>
          <w:lang w:val="en-US"/>
        </w:rPr>
      </w:pPr>
      <w:r w:rsidRPr="00ED550B">
        <w:rPr>
          <w:sz w:val="20"/>
          <w:szCs w:val="20"/>
          <w:lang w:val="en-US"/>
        </w:rPr>
        <w:t>Coal seam gas (CSG) and large coal mining (LCM) developments are</w:t>
      </w:r>
      <w:r>
        <w:rPr>
          <w:sz w:val="20"/>
          <w:szCs w:val="20"/>
          <w:lang w:val="en-US"/>
        </w:rPr>
        <w:t xml:space="preserve"> </w:t>
      </w:r>
      <w:r w:rsidRPr="00ED550B">
        <w:rPr>
          <w:sz w:val="20"/>
          <w:szCs w:val="20"/>
          <w:lang w:val="en-US"/>
        </w:rPr>
        <w:t>important to Australia’s economy yet pose potential risks to GDEs by altering groundwater regimes, groundwater</w:t>
      </w:r>
      <w:r>
        <w:rPr>
          <w:sz w:val="20"/>
          <w:szCs w:val="20"/>
          <w:lang w:val="en-US"/>
        </w:rPr>
        <w:t xml:space="preserve"> </w:t>
      </w:r>
      <w:r w:rsidRPr="00ED550B">
        <w:rPr>
          <w:sz w:val="20"/>
          <w:szCs w:val="20"/>
          <w:lang w:val="en-US"/>
        </w:rPr>
        <w:t>quality or both.</w:t>
      </w:r>
      <w:r>
        <w:rPr>
          <w:sz w:val="20"/>
          <w:szCs w:val="20"/>
          <w:lang w:val="en-US"/>
        </w:rPr>
        <w:t xml:space="preserve"> </w:t>
      </w:r>
      <w:r w:rsidRPr="00D07E5C">
        <w:rPr>
          <w:sz w:val="20"/>
          <w:szCs w:val="20"/>
          <w:lang w:val="en-US"/>
        </w:rPr>
        <w:t xml:space="preserve">GDEs are vulnerable to CSG and LCM </w:t>
      </w:r>
      <w:r>
        <w:rPr>
          <w:sz w:val="20"/>
          <w:szCs w:val="20"/>
          <w:lang w:val="en-US"/>
        </w:rPr>
        <w:t>d</w:t>
      </w:r>
      <w:r w:rsidRPr="00D07E5C">
        <w:rPr>
          <w:sz w:val="20"/>
          <w:szCs w:val="20"/>
          <w:lang w:val="en-US"/>
        </w:rPr>
        <w:t>evelopments because of hydrological, hydrogeological and geological links</w:t>
      </w:r>
      <w:r>
        <w:rPr>
          <w:sz w:val="20"/>
          <w:szCs w:val="20"/>
          <w:lang w:val="en-US"/>
        </w:rPr>
        <w:t xml:space="preserve"> </w:t>
      </w:r>
      <w:r w:rsidRPr="00D07E5C">
        <w:rPr>
          <w:sz w:val="20"/>
          <w:szCs w:val="20"/>
          <w:lang w:val="en-US"/>
        </w:rPr>
        <w:t xml:space="preserve">between the development and adjacent GDEs. </w:t>
      </w:r>
    </w:p>
    <w:p w14:paraId="5C4AD96F" w14:textId="77777777" w:rsidR="00751662" w:rsidRDefault="00751662" w:rsidP="00751662">
      <w:pPr>
        <w:rPr>
          <w:sz w:val="20"/>
          <w:szCs w:val="20"/>
          <w:lang w:val="en-US"/>
        </w:rPr>
      </w:pPr>
    </w:p>
    <w:p w14:paraId="3E8466BE" w14:textId="77777777" w:rsidR="00751662" w:rsidRDefault="00751662" w:rsidP="00751662">
      <w:pPr>
        <w:rPr>
          <w:lang w:val="en-US"/>
        </w:rPr>
      </w:pPr>
      <w:r w:rsidRPr="00B65131">
        <w:rPr>
          <w:noProof/>
          <w:lang w:eastAsia="en-AU"/>
        </w:rPr>
        <w:drawing>
          <wp:inline distT="0" distB="0" distL="0" distR="0" wp14:anchorId="1B17E7E8" wp14:editId="51CCBC06">
            <wp:extent cx="1573336" cy="1088210"/>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76663" cy="1090511"/>
                    </a:xfrm>
                    <a:prstGeom prst="rect">
                      <a:avLst/>
                    </a:prstGeom>
                    <a:noFill/>
                    <a:ln>
                      <a:noFill/>
                    </a:ln>
                  </pic:spPr>
                </pic:pic>
              </a:graphicData>
            </a:graphic>
          </wp:inline>
        </w:drawing>
      </w:r>
      <w:r>
        <w:rPr>
          <w:lang w:val="en-US"/>
        </w:rPr>
        <w:t xml:space="preserve">     </w:t>
      </w:r>
    </w:p>
    <w:p w14:paraId="786664AE" w14:textId="77777777" w:rsidR="00751662" w:rsidRPr="00B65131" w:rsidRDefault="00751662" w:rsidP="00751662">
      <w:pPr>
        <w:rPr>
          <w:lang w:val="en-US"/>
        </w:rPr>
      </w:pPr>
      <w:r>
        <w:rPr>
          <w:i/>
          <w:sz w:val="18"/>
          <w:szCs w:val="18"/>
          <w:lang w:val="en-US"/>
        </w:rPr>
        <w:t>A Green and Golden Bell Frog</w:t>
      </w:r>
    </w:p>
    <w:p w14:paraId="0B31695D" w14:textId="77777777" w:rsidR="00751662" w:rsidRDefault="00751662" w:rsidP="00751662">
      <w:pPr>
        <w:pStyle w:val="Heading1"/>
        <w:spacing w:before="120"/>
      </w:pPr>
      <w:r>
        <w:t xml:space="preserve">Context </w:t>
      </w:r>
    </w:p>
    <w:p w14:paraId="01A3DBE5" w14:textId="77777777" w:rsidR="00751662" w:rsidRPr="00D07E5C" w:rsidRDefault="00751662" w:rsidP="00751662">
      <w:pPr>
        <w:rPr>
          <w:sz w:val="20"/>
          <w:szCs w:val="20"/>
          <w:lang w:val="en-US"/>
        </w:rPr>
      </w:pPr>
      <w:r w:rsidRPr="00D07E5C">
        <w:rPr>
          <w:sz w:val="20"/>
          <w:szCs w:val="20"/>
          <w:lang w:val="en-US"/>
        </w:rPr>
        <w:t>Currently many environmental impact assessments of CSG and LCM projects overlook GDEs that</w:t>
      </w:r>
      <w:r>
        <w:rPr>
          <w:sz w:val="20"/>
          <w:szCs w:val="20"/>
          <w:lang w:val="en-US"/>
        </w:rPr>
        <w:t xml:space="preserve"> </w:t>
      </w:r>
      <w:r w:rsidRPr="00D07E5C">
        <w:rPr>
          <w:sz w:val="20"/>
          <w:szCs w:val="20"/>
          <w:lang w:val="en-US"/>
        </w:rPr>
        <w:t>use water episodically or opportunistically. Additionally, only protected or threatened ecological communities that</w:t>
      </w:r>
      <w:r>
        <w:rPr>
          <w:sz w:val="20"/>
          <w:szCs w:val="20"/>
          <w:lang w:val="en-US"/>
        </w:rPr>
        <w:t xml:space="preserve"> </w:t>
      </w:r>
      <w:r w:rsidRPr="00D07E5C">
        <w:rPr>
          <w:sz w:val="20"/>
          <w:szCs w:val="20"/>
          <w:lang w:val="en-US"/>
        </w:rPr>
        <w:t>have been listed tend to be considered. However, the legislative intent of the ‘water trigger’ is that potential impacts</w:t>
      </w:r>
      <w:r>
        <w:rPr>
          <w:sz w:val="20"/>
          <w:szCs w:val="20"/>
          <w:lang w:val="en-US"/>
        </w:rPr>
        <w:t xml:space="preserve"> </w:t>
      </w:r>
      <w:r w:rsidRPr="00D07E5C">
        <w:rPr>
          <w:sz w:val="20"/>
          <w:szCs w:val="20"/>
          <w:lang w:val="en-US"/>
        </w:rPr>
        <w:t xml:space="preserve">from CSG and LCM on </w:t>
      </w:r>
      <w:r w:rsidRPr="00546C99">
        <w:rPr>
          <w:b/>
          <w:sz w:val="20"/>
          <w:szCs w:val="20"/>
          <w:lang w:val="en-US"/>
        </w:rPr>
        <w:t>all</w:t>
      </w:r>
      <w:r w:rsidRPr="00D07E5C">
        <w:rPr>
          <w:sz w:val="20"/>
          <w:szCs w:val="20"/>
          <w:lang w:val="en-US"/>
        </w:rPr>
        <w:t xml:space="preserve"> GDEs should be assessed.</w:t>
      </w:r>
    </w:p>
    <w:p w14:paraId="0637A222" w14:textId="77777777" w:rsidR="00751662" w:rsidRDefault="00751662" w:rsidP="00751662">
      <w:pPr>
        <w:rPr>
          <w:sz w:val="20"/>
          <w:szCs w:val="20"/>
          <w:lang w:val="en-US"/>
        </w:rPr>
      </w:pPr>
    </w:p>
    <w:p w14:paraId="1F539FD6" w14:textId="2CEBB316" w:rsidR="00751662" w:rsidRDefault="00751662" w:rsidP="00751662">
      <w:pPr>
        <w:rPr>
          <w:sz w:val="20"/>
          <w:szCs w:val="20"/>
          <w:lang w:val="en-US"/>
        </w:rPr>
      </w:pPr>
      <w:r>
        <w:rPr>
          <w:sz w:val="20"/>
          <w:szCs w:val="20"/>
          <w:lang w:val="en-US"/>
        </w:rPr>
        <w:t xml:space="preserve">To supplement the IESC Information Guidelines, the IESC developed an </w:t>
      </w:r>
      <w:r w:rsidR="007750DC">
        <w:rPr>
          <w:sz w:val="20"/>
          <w:szCs w:val="20"/>
          <w:lang w:val="en-US"/>
        </w:rPr>
        <w:t>Explanatory Note</w:t>
      </w:r>
      <w:r>
        <w:rPr>
          <w:sz w:val="20"/>
          <w:szCs w:val="20"/>
          <w:lang w:val="en-US"/>
        </w:rPr>
        <w:t xml:space="preserve"> on assessing groundwater-dependent ecosystems. This </w:t>
      </w:r>
      <w:r w:rsidR="007750DC">
        <w:rPr>
          <w:sz w:val="20"/>
          <w:szCs w:val="20"/>
          <w:lang w:val="en-US"/>
        </w:rPr>
        <w:t>Explanatory Note</w:t>
      </w:r>
      <w:r>
        <w:rPr>
          <w:sz w:val="20"/>
          <w:szCs w:val="20"/>
          <w:lang w:val="en-US"/>
        </w:rPr>
        <w:t xml:space="preserve"> provides additional guidance to proponents undertaking an impact assessment of GDEs. It outlines a logical framework for undertaking the assessment and suggests some tools and techniques that may be useful during the impact assessment. </w:t>
      </w:r>
    </w:p>
    <w:p w14:paraId="66279D87" w14:textId="77777777" w:rsidR="00751662" w:rsidRDefault="00751662" w:rsidP="00751662">
      <w:pPr>
        <w:spacing w:line="276" w:lineRule="auto"/>
        <w:rPr>
          <w:sz w:val="20"/>
          <w:szCs w:val="20"/>
          <w:lang w:val="en-US"/>
        </w:rPr>
      </w:pPr>
    </w:p>
    <w:p w14:paraId="18D33B38" w14:textId="7969EDFE" w:rsidR="00751662" w:rsidRDefault="00751662" w:rsidP="00751662">
      <w:pPr>
        <w:rPr>
          <w:sz w:val="20"/>
          <w:szCs w:val="20"/>
          <w:lang w:val="en-US"/>
        </w:rPr>
      </w:pPr>
      <w:r>
        <w:rPr>
          <w:sz w:val="20"/>
          <w:szCs w:val="20"/>
          <w:lang w:val="en-US"/>
        </w:rPr>
        <w:t xml:space="preserve">The </w:t>
      </w:r>
      <w:r w:rsidR="007750DC">
        <w:rPr>
          <w:sz w:val="20"/>
          <w:szCs w:val="20"/>
          <w:lang w:val="en-US"/>
        </w:rPr>
        <w:t>Explanatory Note</w:t>
      </w:r>
      <w:r>
        <w:rPr>
          <w:sz w:val="20"/>
          <w:szCs w:val="20"/>
          <w:lang w:val="en-US"/>
        </w:rPr>
        <w:t xml:space="preserve"> contains a number of recommendations relevant to both </w:t>
      </w:r>
      <w:proofErr w:type="gramStart"/>
      <w:r w:rsidRPr="00BB7DCD">
        <w:rPr>
          <w:sz w:val="20"/>
          <w:szCs w:val="20"/>
          <w:lang w:val="en-US"/>
        </w:rPr>
        <w:t>greenfield</w:t>
      </w:r>
      <w:proofErr w:type="gramEnd"/>
      <w:r w:rsidRPr="00BB7DCD">
        <w:rPr>
          <w:sz w:val="20"/>
          <w:szCs w:val="20"/>
          <w:lang w:val="en-US"/>
        </w:rPr>
        <w:t xml:space="preserve"> projects and expansions of existing</w:t>
      </w:r>
      <w:r>
        <w:rPr>
          <w:sz w:val="20"/>
          <w:szCs w:val="20"/>
          <w:lang w:val="en-US"/>
        </w:rPr>
        <w:t xml:space="preserve"> </w:t>
      </w:r>
      <w:r w:rsidRPr="00BB7DCD">
        <w:rPr>
          <w:sz w:val="20"/>
          <w:szCs w:val="20"/>
          <w:lang w:val="en-US"/>
        </w:rPr>
        <w:t xml:space="preserve">projects. </w:t>
      </w:r>
      <w:r>
        <w:rPr>
          <w:sz w:val="20"/>
          <w:szCs w:val="20"/>
          <w:lang w:val="en-US"/>
        </w:rPr>
        <w:t>Importantly, p</w:t>
      </w:r>
      <w:r w:rsidRPr="00BB7DCD">
        <w:rPr>
          <w:sz w:val="20"/>
          <w:szCs w:val="20"/>
          <w:lang w:val="en-US"/>
        </w:rPr>
        <w:t>roponents need to consider all GDEs that are potentially affected by the</w:t>
      </w:r>
      <w:r>
        <w:rPr>
          <w:sz w:val="20"/>
          <w:szCs w:val="20"/>
          <w:lang w:val="en-US"/>
        </w:rPr>
        <w:t>ir</w:t>
      </w:r>
      <w:r w:rsidRPr="00BB7DCD">
        <w:rPr>
          <w:sz w:val="20"/>
          <w:szCs w:val="20"/>
          <w:lang w:val="en-US"/>
        </w:rPr>
        <w:t xml:space="preserve"> project, including GDEs that</w:t>
      </w:r>
      <w:r>
        <w:rPr>
          <w:sz w:val="20"/>
          <w:szCs w:val="20"/>
          <w:lang w:val="en-US"/>
        </w:rPr>
        <w:t xml:space="preserve"> </w:t>
      </w:r>
      <w:r w:rsidRPr="00BB7DCD">
        <w:rPr>
          <w:sz w:val="20"/>
          <w:szCs w:val="20"/>
          <w:lang w:val="en-US"/>
        </w:rPr>
        <w:t xml:space="preserve">are only partially or occasionally dependent on </w:t>
      </w:r>
      <w:r>
        <w:rPr>
          <w:sz w:val="20"/>
          <w:szCs w:val="20"/>
          <w:lang w:val="en-US"/>
        </w:rPr>
        <w:t>g</w:t>
      </w:r>
      <w:r w:rsidRPr="00BB7DCD">
        <w:rPr>
          <w:sz w:val="20"/>
          <w:szCs w:val="20"/>
          <w:lang w:val="en-US"/>
        </w:rPr>
        <w:t>roundwater and/or do not support any listed species. Before</w:t>
      </w:r>
      <w:r>
        <w:rPr>
          <w:sz w:val="20"/>
          <w:szCs w:val="20"/>
          <w:lang w:val="en-US"/>
        </w:rPr>
        <w:t xml:space="preserve"> </w:t>
      </w:r>
      <w:r w:rsidRPr="00BB7DCD">
        <w:rPr>
          <w:sz w:val="20"/>
          <w:szCs w:val="20"/>
          <w:lang w:val="en-US"/>
        </w:rPr>
        <w:t xml:space="preserve">development starts, all GDEs that are potentially impacted by the project or </w:t>
      </w:r>
      <w:r>
        <w:rPr>
          <w:sz w:val="20"/>
          <w:szCs w:val="20"/>
          <w:lang w:val="en-US"/>
        </w:rPr>
        <w:t xml:space="preserve">which </w:t>
      </w:r>
      <w:r w:rsidRPr="00BB7DCD">
        <w:rPr>
          <w:sz w:val="20"/>
          <w:szCs w:val="20"/>
          <w:lang w:val="en-US"/>
        </w:rPr>
        <w:t>could be used as reference sites</w:t>
      </w:r>
      <w:r>
        <w:rPr>
          <w:sz w:val="20"/>
          <w:szCs w:val="20"/>
          <w:lang w:val="en-US"/>
        </w:rPr>
        <w:t xml:space="preserve"> </w:t>
      </w:r>
      <w:r w:rsidRPr="00BB7DCD">
        <w:rPr>
          <w:sz w:val="20"/>
          <w:szCs w:val="20"/>
          <w:lang w:val="en-US"/>
        </w:rPr>
        <w:t>should be mapped and baseline data collected on their ecological condition. These baseline data, together with an</w:t>
      </w:r>
      <w:r>
        <w:rPr>
          <w:sz w:val="20"/>
          <w:szCs w:val="20"/>
          <w:lang w:val="en-US"/>
        </w:rPr>
        <w:t xml:space="preserve"> </w:t>
      </w:r>
      <w:r w:rsidRPr="00BB7DCD">
        <w:rPr>
          <w:sz w:val="20"/>
          <w:szCs w:val="20"/>
          <w:lang w:val="en-US"/>
        </w:rPr>
        <w:t xml:space="preserve">assessment of each GDE’s ecosystem value, can be used to </w:t>
      </w:r>
      <w:proofErr w:type="spellStart"/>
      <w:r w:rsidRPr="00BB7DCD">
        <w:rPr>
          <w:sz w:val="20"/>
          <w:szCs w:val="20"/>
          <w:lang w:val="en-US"/>
        </w:rPr>
        <w:t>prioritise</w:t>
      </w:r>
      <w:proofErr w:type="spellEnd"/>
      <w:r w:rsidRPr="00BB7DCD">
        <w:rPr>
          <w:sz w:val="20"/>
          <w:szCs w:val="20"/>
          <w:lang w:val="en-US"/>
        </w:rPr>
        <w:t xml:space="preserve"> GDEs for </w:t>
      </w:r>
      <w:r>
        <w:rPr>
          <w:sz w:val="20"/>
          <w:szCs w:val="20"/>
          <w:lang w:val="en-US"/>
        </w:rPr>
        <w:t xml:space="preserve">further assessment, monitoring and </w:t>
      </w:r>
      <w:r w:rsidRPr="00BB7DCD">
        <w:rPr>
          <w:sz w:val="20"/>
          <w:szCs w:val="20"/>
          <w:lang w:val="en-US"/>
        </w:rPr>
        <w:t>management.</w:t>
      </w:r>
    </w:p>
    <w:p w14:paraId="7A93962D" w14:textId="77777777" w:rsidR="00751662" w:rsidRPr="00BB7DCD" w:rsidRDefault="00751662" w:rsidP="00751662">
      <w:pPr>
        <w:rPr>
          <w:sz w:val="20"/>
          <w:szCs w:val="20"/>
          <w:lang w:val="en-US"/>
        </w:rPr>
      </w:pPr>
    </w:p>
    <w:p w14:paraId="0AF53D74" w14:textId="77777777" w:rsidR="00751662" w:rsidRDefault="00751662" w:rsidP="00751662">
      <w:pPr>
        <w:spacing w:before="120" w:after="120"/>
        <w:rPr>
          <w:rFonts w:ascii="Calibri" w:hAnsi="Calibri" w:cs="Calibri"/>
          <w:b/>
          <w:color w:val="005695"/>
          <w:sz w:val="28"/>
          <w:szCs w:val="28"/>
          <w:lang w:val="en-US"/>
        </w:rPr>
      </w:pPr>
      <w:r w:rsidRPr="001D0599">
        <w:rPr>
          <w:rFonts w:ascii="Calibri" w:hAnsi="Calibri" w:cs="Calibri"/>
          <w:b/>
          <w:color w:val="005695"/>
          <w:sz w:val="28"/>
          <w:szCs w:val="28"/>
          <w:lang w:val="en-US"/>
        </w:rPr>
        <w:lastRenderedPageBreak/>
        <w:t>Framework for assessing GDEs in an environmental impact assessment</w:t>
      </w:r>
    </w:p>
    <w:p w14:paraId="7D433D6A" w14:textId="7233090C" w:rsidR="00751662" w:rsidRDefault="00751662" w:rsidP="00751662">
      <w:pPr>
        <w:rPr>
          <w:sz w:val="20"/>
          <w:szCs w:val="20"/>
          <w:lang w:val="en-US"/>
        </w:rPr>
      </w:pPr>
      <w:r w:rsidRPr="00546C99">
        <w:rPr>
          <w:sz w:val="20"/>
          <w:szCs w:val="20"/>
          <w:lang w:val="en-US"/>
        </w:rPr>
        <w:t xml:space="preserve">Over the last decade, various methods and tools have been described for assessing Australian GDEs to aid identification and </w:t>
      </w:r>
      <w:proofErr w:type="spellStart"/>
      <w:r w:rsidRPr="00546C99">
        <w:rPr>
          <w:sz w:val="20"/>
          <w:szCs w:val="20"/>
          <w:lang w:val="en-US"/>
        </w:rPr>
        <w:t>conceptualisation</w:t>
      </w:r>
      <w:proofErr w:type="spellEnd"/>
      <w:r w:rsidRPr="00546C99">
        <w:rPr>
          <w:sz w:val="20"/>
          <w:szCs w:val="20"/>
          <w:lang w:val="en-US"/>
        </w:rPr>
        <w:t xml:space="preserve"> of how water may be used by a GDE.</w:t>
      </w:r>
      <w:r>
        <w:rPr>
          <w:sz w:val="20"/>
          <w:szCs w:val="20"/>
          <w:lang w:val="en-US"/>
        </w:rPr>
        <w:t xml:space="preserve"> The </w:t>
      </w:r>
      <w:r w:rsidR="007750DC">
        <w:rPr>
          <w:sz w:val="20"/>
          <w:szCs w:val="20"/>
          <w:lang w:val="en-US"/>
        </w:rPr>
        <w:t>Explanatory Note</w:t>
      </w:r>
      <w:r>
        <w:rPr>
          <w:sz w:val="20"/>
          <w:szCs w:val="20"/>
          <w:lang w:val="en-US"/>
        </w:rPr>
        <w:t xml:space="preserve"> outlines these tools and suggests some additional tools and approaches</w:t>
      </w:r>
      <w:r w:rsidRPr="00B8045C">
        <w:rPr>
          <w:sz w:val="20"/>
          <w:szCs w:val="20"/>
          <w:lang w:val="en-US"/>
        </w:rPr>
        <w:t>. Together</w:t>
      </w:r>
      <w:r>
        <w:rPr>
          <w:sz w:val="20"/>
          <w:szCs w:val="20"/>
          <w:lang w:val="en-US"/>
        </w:rPr>
        <w:t>,</w:t>
      </w:r>
      <w:r w:rsidRPr="00B8045C">
        <w:rPr>
          <w:sz w:val="20"/>
          <w:szCs w:val="20"/>
          <w:lang w:val="en-US"/>
        </w:rPr>
        <w:t xml:space="preserve"> these tools</w:t>
      </w:r>
      <w:r>
        <w:rPr>
          <w:sz w:val="20"/>
          <w:szCs w:val="20"/>
          <w:lang w:val="en-US"/>
        </w:rPr>
        <w:t xml:space="preserve"> </w:t>
      </w:r>
      <w:r w:rsidRPr="00B8045C">
        <w:rPr>
          <w:sz w:val="20"/>
          <w:szCs w:val="20"/>
          <w:lang w:val="en-US"/>
        </w:rPr>
        <w:t xml:space="preserve">form the basis for the logical </w:t>
      </w:r>
      <w:r>
        <w:rPr>
          <w:sz w:val="20"/>
          <w:szCs w:val="20"/>
          <w:lang w:val="en-US"/>
        </w:rPr>
        <w:t xml:space="preserve">framework presented in the </w:t>
      </w:r>
      <w:r w:rsidR="007750DC">
        <w:rPr>
          <w:sz w:val="20"/>
          <w:szCs w:val="20"/>
          <w:lang w:val="en-US"/>
        </w:rPr>
        <w:t>Explanatory Note</w:t>
      </w:r>
      <w:r>
        <w:rPr>
          <w:sz w:val="20"/>
          <w:szCs w:val="20"/>
          <w:lang w:val="en-US"/>
        </w:rPr>
        <w:t xml:space="preserve">. </w:t>
      </w:r>
    </w:p>
    <w:p w14:paraId="17980724" w14:textId="77777777" w:rsidR="00751662" w:rsidRDefault="00751662" w:rsidP="00751662">
      <w:pPr>
        <w:rPr>
          <w:sz w:val="20"/>
          <w:szCs w:val="20"/>
          <w:lang w:val="en-US"/>
        </w:rPr>
      </w:pPr>
    </w:p>
    <w:p w14:paraId="3E56BED4" w14:textId="77777777" w:rsidR="00751662" w:rsidRDefault="00751662" w:rsidP="00751662">
      <w:pPr>
        <w:rPr>
          <w:sz w:val="20"/>
          <w:szCs w:val="20"/>
          <w:lang w:val="en-US"/>
        </w:rPr>
      </w:pPr>
      <w:r>
        <w:rPr>
          <w:sz w:val="20"/>
          <w:szCs w:val="20"/>
          <w:lang w:val="en-US"/>
        </w:rPr>
        <w:t xml:space="preserve">The logical </w:t>
      </w:r>
      <w:r w:rsidRPr="00B8045C">
        <w:rPr>
          <w:sz w:val="20"/>
          <w:szCs w:val="20"/>
          <w:lang w:val="en-US"/>
        </w:rPr>
        <w:t xml:space="preserve">framework to guide preparation of information for an </w:t>
      </w:r>
      <w:r>
        <w:rPr>
          <w:sz w:val="20"/>
          <w:szCs w:val="20"/>
          <w:lang w:val="en-US"/>
        </w:rPr>
        <w:t>environmental impact assessment (EIA)</w:t>
      </w:r>
      <w:r w:rsidRPr="00B8045C">
        <w:rPr>
          <w:sz w:val="20"/>
          <w:szCs w:val="20"/>
          <w:lang w:val="en-US"/>
        </w:rPr>
        <w:t xml:space="preserve"> that</w:t>
      </w:r>
      <w:r>
        <w:rPr>
          <w:sz w:val="20"/>
          <w:szCs w:val="20"/>
          <w:lang w:val="en-US"/>
        </w:rPr>
        <w:t xml:space="preserve"> </w:t>
      </w:r>
      <w:r w:rsidRPr="00B8045C">
        <w:rPr>
          <w:sz w:val="20"/>
          <w:szCs w:val="20"/>
          <w:lang w:val="en-US"/>
        </w:rPr>
        <w:t>describe</w:t>
      </w:r>
      <w:r>
        <w:rPr>
          <w:sz w:val="20"/>
          <w:szCs w:val="20"/>
          <w:lang w:val="en-US"/>
        </w:rPr>
        <w:t>s</w:t>
      </w:r>
      <w:r w:rsidRPr="00B8045C">
        <w:rPr>
          <w:sz w:val="20"/>
          <w:szCs w:val="20"/>
          <w:lang w:val="en-US"/>
        </w:rPr>
        <w:t xml:space="preserve"> and assess</w:t>
      </w:r>
      <w:r>
        <w:rPr>
          <w:sz w:val="20"/>
          <w:szCs w:val="20"/>
          <w:lang w:val="en-US"/>
        </w:rPr>
        <w:t>es</w:t>
      </w:r>
      <w:r w:rsidRPr="00B8045C">
        <w:rPr>
          <w:sz w:val="20"/>
          <w:szCs w:val="20"/>
          <w:lang w:val="en-US"/>
        </w:rPr>
        <w:t xml:space="preserve"> potential impacts, risks and mitigation options </w:t>
      </w:r>
      <w:r>
        <w:rPr>
          <w:sz w:val="20"/>
          <w:szCs w:val="20"/>
          <w:lang w:val="en-US"/>
        </w:rPr>
        <w:t>for</w:t>
      </w:r>
      <w:r w:rsidRPr="00B8045C">
        <w:rPr>
          <w:sz w:val="20"/>
          <w:szCs w:val="20"/>
          <w:lang w:val="en-US"/>
        </w:rPr>
        <w:t xml:space="preserve"> CSG and LCM activities on</w:t>
      </w:r>
      <w:r>
        <w:rPr>
          <w:sz w:val="20"/>
          <w:szCs w:val="20"/>
          <w:lang w:val="en-US"/>
        </w:rPr>
        <w:t xml:space="preserve"> </w:t>
      </w:r>
      <w:r w:rsidRPr="00B8045C">
        <w:rPr>
          <w:sz w:val="20"/>
          <w:szCs w:val="20"/>
          <w:lang w:val="en-US"/>
        </w:rPr>
        <w:t>GDEs</w:t>
      </w:r>
      <w:r>
        <w:rPr>
          <w:sz w:val="20"/>
          <w:szCs w:val="20"/>
          <w:lang w:val="en-US"/>
        </w:rPr>
        <w:t xml:space="preserve"> comprises six steps:</w:t>
      </w:r>
    </w:p>
    <w:p w14:paraId="20E3A12F" w14:textId="77777777" w:rsidR="00751662" w:rsidRDefault="00751662" w:rsidP="00751662">
      <w:pPr>
        <w:rPr>
          <w:sz w:val="20"/>
          <w:szCs w:val="20"/>
          <w:lang w:val="en-US"/>
        </w:rPr>
      </w:pPr>
    </w:p>
    <w:p w14:paraId="57AB5D91" w14:textId="77777777" w:rsidR="00751662" w:rsidRDefault="00751662" w:rsidP="00751662">
      <w:pPr>
        <w:pStyle w:val="ListParagraph"/>
        <w:numPr>
          <w:ilvl w:val="0"/>
          <w:numId w:val="12"/>
        </w:numPr>
        <w:rPr>
          <w:sz w:val="20"/>
          <w:szCs w:val="20"/>
          <w:lang w:val="en-US"/>
        </w:rPr>
      </w:pPr>
      <w:r>
        <w:rPr>
          <w:sz w:val="20"/>
          <w:szCs w:val="20"/>
          <w:lang w:val="en-US"/>
        </w:rPr>
        <w:t>defining the likely project impact area (</w:t>
      </w:r>
      <w:r w:rsidRPr="00275F25">
        <w:rPr>
          <w:sz w:val="20"/>
          <w:szCs w:val="20"/>
          <w:lang w:val="en-US"/>
        </w:rPr>
        <w:t xml:space="preserve">which includes the footprint of surface infrastructure and the extent of groundwater </w:t>
      </w:r>
      <w:proofErr w:type="spellStart"/>
      <w:r w:rsidRPr="00275F25">
        <w:rPr>
          <w:sz w:val="20"/>
          <w:szCs w:val="20"/>
          <w:lang w:val="en-US"/>
        </w:rPr>
        <w:t>depressurisation</w:t>
      </w:r>
      <w:proofErr w:type="spellEnd"/>
      <w:r w:rsidRPr="00275F25">
        <w:rPr>
          <w:sz w:val="20"/>
          <w:szCs w:val="20"/>
          <w:lang w:val="en-US"/>
        </w:rPr>
        <w:t>)</w:t>
      </w:r>
    </w:p>
    <w:p w14:paraId="6431672E" w14:textId="77777777" w:rsidR="00751662" w:rsidRDefault="00751662" w:rsidP="00751662">
      <w:pPr>
        <w:pStyle w:val="ListParagraph"/>
        <w:rPr>
          <w:sz w:val="20"/>
          <w:szCs w:val="20"/>
          <w:lang w:val="en-US"/>
        </w:rPr>
      </w:pPr>
    </w:p>
    <w:p w14:paraId="565031F1" w14:textId="77777777" w:rsidR="00751662" w:rsidRDefault="00751662" w:rsidP="00751662">
      <w:pPr>
        <w:pStyle w:val="ListParagraph"/>
        <w:numPr>
          <w:ilvl w:val="0"/>
          <w:numId w:val="12"/>
        </w:numPr>
        <w:rPr>
          <w:sz w:val="20"/>
          <w:szCs w:val="20"/>
          <w:lang w:val="en-US"/>
        </w:rPr>
      </w:pPr>
      <w:r>
        <w:rPr>
          <w:sz w:val="20"/>
          <w:szCs w:val="20"/>
          <w:lang w:val="en-US"/>
        </w:rPr>
        <w:t xml:space="preserve">undertaking a desktop study to </w:t>
      </w:r>
      <w:r w:rsidRPr="00275F25">
        <w:rPr>
          <w:sz w:val="20"/>
          <w:szCs w:val="20"/>
          <w:lang w:val="en-US"/>
        </w:rPr>
        <w:t>identify potential GDEs and potential risks to GDEs in the project impact area</w:t>
      </w:r>
    </w:p>
    <w:p w14:paraId="5D98C969" w14:textId="77777777" w:rsidR="00751662" w:rsidRPr="00275F25" w:rsidRDefault="00751662" w:rsidP="00751662">
      <w:pPr>
        <w:pStyle w:val="ListParagraph"/>
        <w:rPr>
          <w:sz w:val="20"/>
          <w:szCs w:val="20"/>
          <w:lang w:val="en-US"/>
        </w:rPr>
      </w:pPr>
    </w:p>
    <w:p w14:paraId="49739956" w14:textId="77777777" w:rsidR="00751662" w:rsidRDefault="00751662" w:rsidP="00751662">
      <w:pPr>
        <w:pStyle w:val="ListParagraph"/>
        <w:numPr>
          <w:ilvl w:val="0"/>
          <w:numId w:val="12"/>
        </w:numPr>
        <w:rPr>
          <w:sz w:val="20"/>
          <w:szCs w:val="20"/>
          <w:lang w:val="en-US"/>
        </w:rPr>
      </w:pPr>
      <w:r w:rsidRPr="00275F25">
        <w:rPr>
          <w:sz w:val="20"/>
          <w:szCs w:val="20"/>
          <w:lang w:val="en-US"/>
        </w:rPr>
        <w:t>assessing the level of groundwater dependence for each GDE and</w:t>
      </w:r>
      <w:r>
        <w:rPr>
          <w:sz w:val="20"/>
          <w:szCs w:val="20"/>
          <w:lang w:val="en-US"/>
        </w:rPr>
        <w:t xml:space="preserve"> identifying</w:t>
      </w:r>
      <w:r w:rsidRPr="00275F25">
        <w:rPr>
          <w:sz w:val="20"/>
          <w:szCs w:val="20"/>
          <w:lang w:val="en-US"/>
        </w:rPr>
        <w:t xml:space="preserve"> the potential </w:t>
      </w:r>
      <w:r>
        <w:rPr>
          <w:sz w:val="20"/>
          <w:szCs w:val="20"/>
          <w:lang w:val="en-US"/>
        </w:rPr>
        <w:t xml:space="preserve">causal </w:t>
      </w:r>
      <w:r w:rsidRPr="00275F25">
        <w:rPr>
          <w:sz w:val="20"/>
          <w:szCs w:val="20"/>
          <w:lang w:val="en-US"/>
        </w:rPr>
        <w:t xml:space="preserve">pathways </w:t>
      </w:r>
      <w:r>
        <w:rPr>
          <w:sz w:val="20"/>
          <w:szCs w:val="20"/>
          <w:lang w:val="en-US"/>
        </w:rPr>
        <w:t>for</w:t>
      </w:r>
      <w:r w:rsidRPr="00275F25">
        <w:rPr>
          <w:sz w:val="20"/>
          <w:szCs w:val="20"/>
          <w:lang w:val="en-US"/>
        </w:rPr>
        <w:t xml:space="preserve"> </w:t>
      </w:r>
      <w:r>
        <w:rPr>
          <w:sz w:val="20"/>
          <w:szCs w:val="20"/>
          <w:lang w:val="en-US"/>
        </w:rPr>
        <w:t xml:space="preserve">impacts from </w:t>
      </w:r>
      <w:r w:rsidRPr="00275F25">
        <w:rPr>
          <w:sz w:val="20"/>
          <w:szCs w:val="20"/>
          <w:lang w:val="en-US"/>
        </w:rPr>
        <w:t>CSG or LCM activities</w:t>
      </w:r>
    </w:p>
    <w:p w14:paraId="72CE4A10" w14:textId="77777777" w:rsidR="00751662" w:rsidRPr="00275F25" w:rsidRDefault="00751662" w:rsidP="00751662">
      <w:pPr>
        <w:pStyle w:val="ListParagraph"/>
        <w:rPr>
          <w:sz w:val="20"/>
          <w:szCs w:val="20"/>
          <w:lang w:val="en-US"/>
        </w:rPr>
      </w:pPr>
    </w:p>
    <w:p w14:paraId="6EFC2F23" w14:textId="77777777" w:rsidR="00751662" w:rsidRDefault="00751662" w:rsidP="00751662">
      <w:pPr>
        <w:pStyle w:val="ListParagraph"/>
        <w:numPr>
          <w:ilvl w:val="0"/>
          <w:numId w:val="12"/>
        </w:numPr>
        <w:rPr>
          <w:sz w:val="20"/>
          <w:szCs w:val="20"/>
          <w:lang w:val="en-US"/>
        </w:rPr>
      </w:pPr>
      <w:r>
        <w:rPr>
          <w:sz w:val="20"/>
          <w:szCs w:val="20"/>
          <w:lang w:val="en-US"/>
        </w:rPr>
        <w:t>determining</w:t>
      </w:r>
      <w:r w:rsidRPr="00275F25">
        <w:rPr>
          <w:sz w:val="20"/>
          <w:szCs w:val="20"/>
          <w:lang w:val="en-US"/>
        </w:rPr>
        <w:t xml:space="preserve"> the baseline ecological condition and value of each GDE</w:t>
      </w:r>
      <w:r>
        <w:rPr>
          <w:sz w:val="20"/>
          <w:szCs w:val="20"/>
          <w:lang w:val="en-US"/>
        </w:rPr>
        <w:t xml:space="preserve"> including potential control/reference sites</w:t>
      </w:r>
    </w:p>
    <w:p w14:paraId="5BA93E22" w14:textId="77777777" w:rsidR="00751662" w:rsidRPr="00275F25" w:rsidRDefault="00751662" w:rsidP="00751662">
      <w:pPr>
        <w:pStyle w:val="ListParagraph"/>
        <w:rPr>
          <w:sz w:val="20"/>
          <w:szCs w:val="20"/>
          <w:lang w:val="en-US"/>
        </w:rPr>
      </w:pPr>
    </w:p>
    <w:p w14:paraId="06C19844" w14:textId="77777777" w:rsidR="00751662" w:rsidRDefault="00751662" w:rsidP="00751662">
      <w:pPr>
        <w:pStyle w:val="ListParagraph"/>
        <w:numPr>
          <w:ilvl w:val="0"/>
          <w:numId w:val="12"/>
        </w:numPr>
        <w:rPr>
          <w:sz w:val="20"/>
          <w:szCs w:val="20"/>
          <w:lang w:val="en-US"/>
        </w:rPr>
      </w:pPr>
      <w:proofErr w:type="gramStart"/>
      <w:r>
        <w:rPr>
          <w:sz w:val="20"/>
          <w:szCs w:val="20"/>
          <w:lang w:val="en-US"/>
        </w:rPr>
        <w:t>undertaking</w:t>
      </w:r>
      <w:proofErr w:type="gramEnd"/>
      <w:r>
        <w:rPr>
          <w:sz w:val="20"/>
          <w:szCs w:val="20"/>
          <w:lang w:val="en-US"/>
        </w:rPr>
        <w:t xml:space="preserve"> a risk assessment that includes consideration of</w:t>
      </w:r>
      <w:r w:rsidRPr="00275F25">
        <w:rPr>
          <w:sz w:val="20"/>
          <w:szCs w:val="20"/>
          <w:lang w:val="en-US"/>
        </w:rPr>
        <w:t xml:space="preserve"> the</w:t>
      </w:r>
      <w:r>
        <w:rPr>
          <w:sz w:val="20"/>
          <w:szCs w:val="20"/>
          <w:lang w:val="en-US"/>
        </w:rPr>
        <w:t xml:space="preserve"> magnitude of potential impacts potentially arising from </w:t>
      </w:r>
      <w:r w:rsidRPr="00275F25">
        <w:rPr>
          <w:sz w:val="20"/>
          <w:szCs w:val="20"/>
          <w:lang w:val="en-US"/>
        </w:rPr>
        <w:t>the CSG or LCM activity</w:t>
      </w:r>
      <w:r>
        <w:rPr>
          <w:sz w:val="20"/>
          <w:szCs w:val="20"/>
          <w:lang w:val="en-US"/>
        </w:rPr>
        <w:t>, their</w:t>
      </w:r>
      <w:r w:rsidRPr="00275F25">
        <w:rPr>
          <w:sz w:val="20"/>
          <w:szCs w:val="20"/>
          <w:lang w:val="en-US"/>
        </w:rPr>
        <w:t xml:space="preserve"> likelihood</w:t>
      </w:r>
      <w:r>
        <w:rPr>
          <w:sz w:val="20"/>
          <w:szCs w:val="20"/>
          <w:lang w:val="en-US"/>
        </w:rPr>
        <w:t xml:space="preserve"> and</w:t>
      </w:r>
      <w:r w:rsidRPr="00275F25">
        <w:rPr>
          <w:sz w:val="20"/>
          <w:szCs w:val="20"/>
          <w:lang w:val="en-US"/>
        </w:rPr>
        <w:t xml:space="preserve"> </w:t>
      </w:r>
      <w:r>
        <w:rPr>
          <w:sz w:val="20"/>
          <w:szCs w:val="20"/>
          <w:lang w:val="en-US"/>
        </w:rPr>
        <w:t xml:space="preserve">their consequences on </w:t>
      </w:r>
      <w:r w:rsidRPr="00275F25">
        <w:rPr>
          <w:sz w:val="20"/>
          <w:szCs w:val="20"/>
          <w:lang w:val="en-US"/>
        </w:rPr>
        <w:t>GDEs</w:t>
      </w:r>
      <w:r>
        <w:rPr>
          <w:sz w:val="20"/>
          <w:szCs w:val="20"/>
          <w:lang w:val="en-US"/>
        </w:rPr>
        <w:t>.</w:t>
      </w:r>
      <w:r w:rsidRPr="00275F25">
        <w:rPr>
          <w:sz w:val="20"/>
          <w:szCs w:val="20"/>
          <w:lang w:val="en-US"/>
        </w:rPr>
        <w:t xml:space="preserve"> </w:t>
      </w:r>
    </w:p>
    <w:p w14:paraId="4BFB0A1F" w14:textId="77777777" w:rsidR="00751662" w:rsidRPr="00275F25" w:rsidRDefault="00751662" w:rsidP="00751662">
      <w:pPr>
        <w:pStyle w:val="ListParagraph"/>
        <w:rPr>
          <w:sz w:val="20"/>
          <w:szCs w:val="20"/>
          <w:lang w:val="en-US"/>
        </w:rPr>
      </w:pPr>
    </w:p>
    <w:p w14:paraId="78C0218C" w14:textId="77777777" w:rsidR="00751662" w:rsidRDefault="00751662" w:rsidP="00751662">
      <w:pPr>
        <w:pStyle w:val="ListParagraph"/>
        <w:numPr>
          <w:ilvl w:val="0"/>
          <w:numId w:val="12"/>
        </w:numPr>
        <w:rPr>
          <w:sz w:val="20"/>
          <w:szCs w:val="20"/>
          <w:lang w:val="en-US"/>
        </w:rPr>
      </w:pPr>
      <w:proofErr w:type="spellStart"/>
      <w:proofErr w:type="gramStart"/>
      <w:r w:rsidRPr="00275F25">
        <w:rPr>
          <w:sz w:val="20"/>
          <w:szCs w:val="20"/>
          <w:lang w:val="en-US"/>
        </w:rPr>
        <w:t>prioritising</w:t>
      </w:r>
      <w:proofErr w:type="spellEnd"/>
      <w:proofErr w:type="gramEnd"/>
      <w:r w:rsidRPr="00275F25">
        <w:rPr>
          <w:sz w:val="20"/>
          <w:szCs w:val="20"/>
          <w:lang w:val="en-US"/>
        </w:rPr>
        <w:t xml:space="preserve"> options to avoid or mitigate impacts on GDEs and establishing a monitoring plan to test the effectiveness of mitigation strategies.</w:t>
      </w:r>
    </w:p>
    <w:p w14:paraId="7DD3F356" w14:textId="77777777" w:rsidR="00751662" w:rsidRDefault="00751662" w:rsidP="00751662">
      <w:pPr>
        <w:pStyle w:val="ListParagraph"/>
        <w:rPr>
          <w:sz w:val="20"/>
          <w:szCs w:val="20"/>
          <w:lang w:val="en-US"/>
        </w:rPr>
      </w:pPr>
    </w:p>
    <w:p w14:paraId="472B37A2" w14:textId="77777777" w:rsidR="00751662" w:rsidRDefault="00751662" w:rsidP="00751662">
      <w:pPr>
        <w:pStyle w:val="ListParagraph"/>
        <w:rPr>
          <w:sz w:val="20"/>
          <w:szCs w:val="20"/>
          <w:lang w:val="en-US"/>
        </w:rPr>
      </w:pPr>
    </w:p>
    <w:p w14:paraId="60021266" w14:textId="77777777" w:rsidR="00751662" w:rsidRDefault="00751662" w:rsidP="00751662">
      <w:pPr>
        <w:pStyle w:val="ListParagraph"/>
        <w:rPr>
          <w:sz w:val="20"/>
          <w:szCs w:val="20"/>
          <w:lang w:val="en-US"/>
        </w:rPr>
      </w:pPr>
    </w:p>
    <w:p w14:paraId="4A88B702" w14:textId="77777777" w:rsidR="00751662" w:rsidRDefault="00751662" w:rsidP="00751662">
      <w:pPr>
        <w:pStyle w:val="ListParagraph"/>
        <w:rPr>
          <w:sz w:val="20"/>
          <w:szCs w:val="20"/>
          <w:lang w:val="en-US"/>
        </w:rPr>
      </w:pPr>
    </w:p>
    <w:p w14:paraId="79E1AD67" w14:textId="77777777" w:rsidR="00751662" w:rsidRDefault="00751662" w:rsidP="00751662">
      <w:pPr>
        <w:pStyle w:val="ListParagraph"/>
        <w:rPr>
          <w:sz w:val="20"/>
          <w:szCs w:val="20"/>
          <w:lang w:val="en-US"/>
        </w:rPr>
      </w:pPr>
    </w:p>
    <w:p w14:paraId="61C634EA" w14:textId="77777777" w:rsidR="00751662" w:rsidRDefault="00751662" w:rsidP="00751662">
      <w:pPr>
        <w:spacing w:line="276" w:lineRule="auto"/>
        <w:rPr>
          <w:rFonts w:ascii="Calibri" w:hAnsi="Calibri" w:cs="Calibri"/>
          <w:b/>
          <w:color w:val="005695"/>
          <w:sz w:val="28"/>
          <w:szCs w:val="28"/>
          <w:lang w:val="en-US"/>
        </w:rPr>
      </w:pPr>
      <w:r w:rsidRPr="006F2439">
        <w:rPr>
          <w:rFonts w:ascii="Calibri" w:hAnsi="Calibri" w:cs="Calibri"/>
          <w:b/>
          <w:noProof/>
          <w:color w:val="005695"/>
          <w:sz w:val="28"/>
          <w:szCs w:val="28"/>
          <w:lang w:eastAsia="en-AU"/>
        </w:rPr>
        <w:drawing>
          <wp:inline distT="0" distB="0" distL="0" distR="0" wp14:anchorId="501E8792" wp14:editId="365624F9">
            <wp:extent cx="2195127" cy="148582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99884" cy="1489045"/>
                    </a:xfrm>
                    <a:prstGeom prst="rect">
                      <a:avLst/>
                    </a:prstGeom>
                    <a:noFill/>
                    <a:ln>
                      <a:noFill/>
                    </a:ln>
                  </pic:spPr>
                </pic:pic>
              </a:graphicData>
            </a:graphic>
          </wp:inline>
        </w:drawing>
      </w:r>
    </w:p>
    <w:p w14:paraId="0BE8CF73" w14:textId="77777777" w:rsidR="00751662" w:rsidRDefault="00751662" w:rsidP="00751662">
      <w:pPr>
        <w:spacing w:after="120"/>
        <w:rPr>
          <w:i/>
          <w:sz w:val="18"/>
          <w:szCs w:val="18"/>
          <w:lang w:val="en-US"/>
        </w:rPr>
      </w:pPr>
      <w:r w:rsidRPr="00B65131">
        <w:rPr>
          <w:i/>
          <w:sz w:val="18"/>
          <w:szCs w:val="18"/>
          <w:lang w:val="en-US"/>
        </w:rPr>
        <w:t>A monitoring bore</w:t>
      </w:r>
    </w:p>
    <w:p w14:paraId="7D6B2B77" w14:textId="77777777" w:rsidR="00751662" w:rsidRPr="00462929" w:rsidRDefault="00751662" w:rsidP="00751662">
      <w:pPr>
        <w:spacing w:before="120" w:after="120"/>
        <w:rPr>
          <w:rFonts w:ascii="Calibri" w:hAnsi="Calibri" w:cs="Calibri"/>
          <w:b/>
          <w:color w:val="005695"/>
          <w:sz w:val="28"/>
          <w:szCs w:val="28"/>
          <w:lang w:val="en-US"/>
        </w:rPr>
      </w:pPr>
      <w:r w:rsidRPr="00462929">
        <w:rPr>
          <w:rFonts w:ascii="Calibri" w:hAnsi="Calibri" w:cs="Calibri"/>
          <w:b/>
          <w:color w:val="005695"/>
          <w:sz w:val="28"/>
          <w:szCs w:val="28"/>
          <w:lang w:val="en-US"/>
        </w:rPr>
        <w:t xml:space="preserve">Key Recommendations </w:t>
      </w:r>
    </w:p>
    <w:p w14:paraId="136F7962" w14:textId="30C3BE66" w:rsidR="00751662" w:rsidRDefault="00751662" w:rsidP="00751662">
      <w:pPr>
        <w:rPr>
          <w:sz w:val="20"/>
          <w:szCs w:val="20"/>
          <w:lang w:val="en-US"/>
        </w:rPr>
      </w:pPr>
      <w:r>
        <w:rPr>
          <w:sz w:val="20"/>
          <w:szCs w:val="20"/>
          <w:lang w:val="en-US"/>
        </w:rPr>
        <w:t xml:space="preserve">The </w:t>
      </w:r>
      <w:r w:rsidR="007750DC">
        <w:rPr>
          <w:sz w:val="20"/>
          <w:szCs w:val="20"/>
          <w:lang w:val="en-US"/>
        </w:rPr>
        <w:t>Explanatory Note</w:t>
      </w:r>
      <w:r>
        <w:rPr>
          <w:sz w:val="20"/>
          <w:szCs w:val="20"/>
          <w:lang w:val="en-US"/>
        </w:rPr>
        <w:t xml:space="preserve"> presents several recommendations. The key ones include:</w:t>
      </w:r>
    </w:p>
    <w:p w14:paraId="36904F89" w14:textId="77777777" w:rsidR="00751662" w:rsidRDefault="00751662" w:rsidP="00751662">
      <w:pPr>
        <w:rPr>
          <w:sz w:val="20"/>
          <w:szCs w:val="20"/>
          <w:lang w:val="en-US"/>
        </w:rPr>
      </w:pPr>
    </w:p>
    <w:p w14:paraId="594817AE" w14:textId="77777777" w:rsidR="00751662" w:rsidRDefault="00751662" w:rsidP="00751662">
      <w:pPr>
        <w:pStyle w:val="ListParagraph"/>
        <w:numPr>
          <w:ilvl w:val="0"/>
          <w:numId w:val="13"/>
        </w:numPr>
        <w:rPr>
          <w:sz w:val="20"/>
          <w:szCs w:val="20"/>
          <w:lang w:val="en-US"/>
        </w:rPr>
      </w:pPr>
      <w:r w:rsidRPr="00AC6352">
        <w:rPr>
          <w:sz w:val="20"/>
          <w:szCs w:val="20"/>
          <w:lang w:val="en-US"/>
        </w:rPr>
        <w:t>Proponents should consider all GDEs that may be affected by the project. This includes GDEs that are only partially or occasionally dependent on groundwater as well as those that do not support any species listed in national or state legislation as threatened or endangered.</w:t>
      </w:r>
    </w:p>
    <w:p w14:paraId="3DC1510B" w14:textId="77777777" w:rsidR="00751662" w:rsidRPr="00AC6352" w:rsidRDefault="00751662" w:rsidP="00751662">
      <w:pPr>
        <w:pStyle w:val="ListParagraph"/>
        <w:rPr>
          <w:sz w:val="20"/>
          <w:szCs w:val="20"/>
          <w:lang w:val="en-US"/>
        </w:rPr>
      </w:pPr>
    </w:p>
    <w:p w14:paraId="3C4EDCE0" w14:textId="77777777" w:rsidR="00751662" w:rsidRPr="00AC6352" w:rsidRDefault="00751662" w:rsidP="00751662">
      <w:pPr>
        <w:pStyle w:val="ListParagraph"/>
        <w:numPr>
          <w:ilvl w:val="0"/>
          <w:numId w:val="13"/>
        </w:numPr>
        <w:rPr>
          <w:sz w:val="20"/>
          <w:szCs w:val="20"/>
          <w:lang w:val="en-US"/>
        </w:rPr>
      </w:pPr>
      <w:r w:rsidRPr="00AC6352">
        <w:rPr>
          <w:sz w:val="20"/>
          <w:szCs w:val="20"/>
          <w:lang w:val="en-US"/>
        </w:rPr>
        <w:t xml:space="preserve">Risk assessments will need data from desktop analyses and field surveys by qualified specialists who use appropriate methods, models and survey designs that include adequate reference sites and sufficient replication in space and time. Sampling should be more intensive in GDEs that are deemed of higher value (e.g. </w:t>
      </w:r>
      <w:proofErr w:type="spellStart"/>
      <w:r w:rsidRPr="00AC6352">
        <w:rPr>
          <w:sz w:val="20"/>
          <w:szCs w:val="20"/>
          <w:lang w:val="en-US"/>
        </w:rPr>
        <w:t>harbour</w:t>
      </w:r>
      <w:proofErr w:type="spellEnd"/>
      <w:r w:rsidRPr="00AC6352">
        <w:rPr>
          <w:sz w:val="20"/>
          <w:szCs w:val="20"/>
          <w:lang w:val="en-US"/>
        </w:rPr>
        <w:t xml:space="preserve"> rare or threatened species, provide valuable ecosystem services) and/or face greater risk of impacts. Ideally, GDE sampling sites should be located near groundwater monitoring bores so that concurrent hydrogeological and water quality data can be collected.</w:t>
      </w:r>
    </w:p>
    <w:p w14:paraId="387C5AF6" w14:textId="77777777" w:rsidR="00751662" w:rsidRPr="005F1057" w:rsidRDefault="00751662" w:rsidP="00751662">
      <w:pPr>
        <w:rPr>
          <w:sz w:val="20"/>
          <w:szCs w:val="20"/>
          <w:lang w:val="en-US"/>
        </w:rPr>
      </w:pPr>
    </w:p>
    <w:p w14:paraId="15BA6430" w14:textId="77777777" w:rsidR="00751662" w:rsidRPr="00AC6352" w:rsidRDefault="00751662" w:rsidP="00751662">
      <w:pPr>
        <w:pStyle w:val="ListParagraph"/>
        <w:numPr>
          <w:ilvl w:val="0"/>
          <w:numId w:val="13"/>
        </w:numPr>
        <w:rPr>
          <w:sz w:val="20"/>
          <w:szCs w:val="20"/>
          <w:lang w:val="en-US"/>
        </w:rPr>
      </w:pPr>
      <w:r w:rsidRPr="00AC6352">
        <w:rPr>
          <w:sz w:val="20"/>
          <w:szCs w:val="20"/>
          <w:lang w:val="en-US"/>
        </w:rPr>
        <w:t xml:space="preserve">Impacts on GDEs of particularly high value should be avoided. Where impacts cannot be avoided, mitigation strategies to </w:t>
      </w:r>
      <w:proofErr w:type="spellStart"/>
      <w:r w:rsidRPr="00AC6352">
        <w:rPr>
          <w:sz w:val="20"/>
          <w:szCs w:val="20"/>
          <w:lang w:val="en-US"/>
        </w:rPr>
        <w:t>minimise</w:t>
      </w:r>
      <w:proofErr w:type="spellEnd"/>
      <w:r w:rsidRPr="00AC6352">
        <w:rPr>
          <w:sz w:val="20"/>
          <w:szCs w:val="20"/>
          <w:lang w:val="en-US"/>
        </w:rPr>
        <w:t xml:space="preserve"> impacts are required and should be specified before operations commence. The choice of mitigation measures and their likely effectiveness should be justified in the environmental impact assessment. Targeted monitoring will be needed to confirm the effectiveness of these mitigation strategies, and alternative options proposed in case the strategies are ineffective.</w:t>
      </w:r>
    </w:p>
    <w:p w14:paraId="2AA25098" w14:textId="77777777" w:rsidR="00751662" w:rsidRDefault="00751662" w:rsidP="00751662">
      <w:pPr>
        <w:pStyle w:val="BodyText"/>
      </w:pPr>
    </w:p>
    <w:p w14:paraId="2FFA91D0" w14:textId="77777777" w:rsidR="00751662" w:rsidRDefault="00751662" w:rsidP="00751662">
      <w:pPr>
        <w:pStyle w:val="Heading1"/>
        <w:spacing w:before="0"/>
        <w:sectPr w:rsidR="00751662" w:rsidSect="007814E8">
          <w:type w:val="continuous"/>
          <w:pgSz w:w="11900" w:h="16840"/>
          <w:pgMar w:top="1701" w:right="1128" w:bottom="1871" w:left="1701" w:header="1134" w:footer="182" w:gutter="0"/>
          <w:cols w:num="2" w:space="708"/>
          <w:titlePg/>
          <w:docGrid w:linePitch="360"/>
        </w:sectPr>
      </w:pPr>
    </w:p>
    <w:p w14:paraId="3AB8B40D" w14:textId="77777777" w:rsidR="00751662" w:rsidRDefault="00751662" w:rsidP="00751662">
      <w:pPr>
        <w:rPr>
          <w:rFonts w:ascii="Calibri" w:hAnsi="Calibri" w:cs="Calibri"/>
          <w:b/>
          <w:color w:val="005695"/>
          <w:sz w:val="28"/>
          <w:szCs w:val="28"/>
          <w:lang w:val="en-US"/>
        </w:rPr>
      </w:pPr>
      <w:r>
        <w:rPr>
          <w:rFonts w:ascii="Calibri" w:hAnsi="Calibri" w:cs="Calibri"/>
          <w:b/>
          <w:color w:val="005695"/>
          <w:sz w:val="28"/>
          <w:szCs w:val="28"/>
          <w:lang w:val="en-US"/>
        </w:rPr>
        <w:t>A l</w:t>
      </w:r>
      <w:r w:rsidRPr="007B1427">
        <w:rPr>
          <w:rFonts w:ascii="Calibri" w:hAnsi="Calibri" w:cs="Calibri"/>
          <w:b/>
          <w:color w:val="005695"/>
          <w:sz w:val="28"/>
          <w:szCs w:val="28"/>
          <w:lang w:val="en-US"/>
        </w:rPr>
        <w:t xml:space="preserve">ogical framework to guide preparation of information for sections in an EIA that describe and assess potential impacts, risks and mitigation options of CSG and LCM activities on GDEs </w:t>
      </w:r>
    </w:p>
    <w:p w14:paraId="5AE0283E" w14:textId="77777777" w:rsidR="00751662" w:rsidRPr="008734E3" w:rsidRDefault="00751662" w:rsidP="00751662">
      <w:pPr>
        <w:rPr>
          <w:lang w:val="en-US"/>
        </w:rPr>
      </w:pPr>
    </w:p>
    <w:p w14:paraId="6474C456" w14:textId="77777777" w:rsidR="00751662" w:rsidRDefault="00751662" w:rsidP="00751662">
      <w:pPr>
        <w:pStyle w:val="BodyText"/>
        <w:widowControl w:val="0"/>
        <w:suppressAutoHyphens w:val="0"/>
        <w:spacing w:after="120" w:line="240" w:lineRule="auto"/>
        <w:ind w:left="-709"/>
        <w:textAlignment w:val="auto"/>
        <w:sectPr w:rsidR="00751662" w:rsidSect="00537074">
          <w:type w:val="continuous"/>
          <w:pgSz w:w="11900" w:h="16840"/>
          <w:pgMar w:top="1701" w:right="1128" w:bottom="1871" w:left="1701" w:header="1134" w:footer="84" w:gutter="0"/>
          <w:cols w:space="708"/>
          <w:titlePg/>
          <w:docGrid w:linePitch="360"/>
        </w:sectPr>
      </w:pPr>
      <w:r>
        <w:rPr>
          <w:noProof/>
          <w:lang w:val="en-AU" w:eastAsia="en-AU"/>
        </w:rPr>
        <w:drawing>
          <wp:inline distT="0" distB="0" distL="0" distR="0" wp14:anchorId="4CD0EEF5" wp14:editId="21D5226D">
            <wp:extent cx="6164639" cy="6908800"/>
            <wp:effectExtent l="0" t="0" r="762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de.png"/>
                    <pic:cNvPicPr/>
                  </pic:nvPicPr>
                  <pic:blipFill>
                    <a:blip r:embed="rId13" cstate="email">
                      <a:extLst>
                        <a:ext uri="{28A0092B-C50C-407E-A947-70E740481C1C}">
                          <a14:useLocalDpi xmlns:a14="http://schemas.microsoft.com/office/drawing/2010/main"/>
                        </a:ext>
                      </a:extLst>
                    </a:blip>
                    <a:stretch>
                      <a:fillRect/>
                    </a:stretch>
                  </pic:blipFill>
                  <pic:spPr>
                    <a:xfrm>
                      <a:off x="0" y="0"/>
                      <a:ext cx="6166825" cy="6911250"/>
                    </a:xfrm>
                    <a:prstGeom prst="rect">
                      <a:avLst/>
                    </a:prstGeom>
                  </pic:spPr>
                </pic:pic>
              </a:graphicData>
            </a:graphic>
          </wp:inline>
        </w:drawing>
      </w:r>
    </w:p>
    <w:p w14:paraId="01C84A32" w14:textId="20D2B199" w:rsidR="00425B05" w:rsidRPr="00751662" w:rsidRDefault="00425B05" w:rsidP="00751662">
      <w:pPr>
        <w:pStyle w:val="Heading1"/>
        <w:spacing w:before="0"/>
      </w:pPr>
    </w:p>
    <w:sectPr w:rsidR="00425B05" w:rsidRPr="00751662" w:rsidSect="00BF6F45">
      <w:headerReference w:type="default" r:id="rId14"/>
      <w:footerReference w:type="default" r:id="rId15"/>
      <w:headerReference w:type="first" r:id="rId16"/>
      <w:footerReference w:type="first" r:id="rId17"/>
      <w:type w:val="continuous"/>
      <w:pgSz w:w="11900" w:h="16840"/>
      <w:pgMar w:top="1701" w:right="1128" w:bottom="1871" w:left="1701" w:header="1134" w:footer="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6B284" w14:textId="77777777" w:rsidR="007943D2" w:rsidRDefault="007943D2" w:rsidP="002000D4">
      <w:r>
        <w:separator/>
      </w:r>
    </w:p>
  </w:endnote>
  <w:endnote w:type="continuationSeparator" w:id="0">
    <w:p w14:paraId="190A9CAE" w14:textId="77777777" w:rsidR="007943D2" w:rsidRDefault="007943D2" w:rsidP="0020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useoSans-500">
    <w:altName w:val="Calibri"/>
    <w:panose1 w:val="00000000000000000000"/>
    <w:charset w:val="00"/>
    <w:family w:val="auto"/>
    <w:notTrueType/>
    <w:pitch w:val="variable"/>
    <w:sig w:usb0="A00000AF" w:usb1="4000004A" w:usb2="00000000" w:usb3="00000000" w:csb0="00000093" w:csb1="00000000"/>
  </w:font>
  <w:font w:name="Adobe Garamond Pro Bold">
    <w:altName w:val="Constantia"/>
    <w:panose1 w:val="00000000000000000000"/>
    <w:charset w:val="00"/>
    <w:family w:val="roman"/>
    <w:notTrueType/>
    <w:pitch w:val="variable"/>
    <w:sig w:usb0="00000007" w:usb1="00000001" w:usb2="00000000" w:usb3="00000000" w:csb0="00000093" w:csb1="00000000"/>
  </w:font>
  <w:font w:name="Times New Roman (Body CS)">
    <w:altName w:val="Times New Roman"/>
    <w:charset w:val="00"/>
    <w:family w:val="roman"/>
    <w:pitch w:val="default"/>
  </w:font>
  <w:font w:name="Myriad Pro">
    <w:altName w:val="Corbel"/>
    <w:panose1 w:val="020B0503030403020204"/>
    <w:charset w:val="00"/>
    <w:family w:val="swiss"/>
    <w:notTrueType/>
    <w:pitch w:val="variable"/>
    <w:sig w:usb0="20000287" w:usb1="00000001" w:usb2="00000000" w:usb3="00000000" w:csb0="0000019F" w:csb1="00000000"/>
  </w:font>
  <w:font w:name="Adobe Garamond Pro">
    <w:altName w:val="Nyala"/>
    <w:panose1 w:val="02020502060506020403"/>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132F1" w14:textId="77777777" w:rsidR="00751662" w:rsidRDefault="00751662" w:rsidP="005168FB">
    <w:pPr>
      <w:pStyle w:val="04HEADING4"/>
      <w:tabs>
        <w:tab w:val="right" w:pos="10680"/>
      </w:tabs>
      <w:spacing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765C3EFC" w14:textId="77777777" w:rsidR="00751662" w:rsidRPr="005168FB" w:rsidRDefault="005C7EA3" w:rsidP="005168FB">
    <w:pPr>
      <w:tabs>
        <w:tab w:val="right" w:pos="10680"/>
      </w:tabs>
      <w:spacing w:before="700" w:after="320"/>
      <w:jc w:val="right"/>
    </w:pPr>
    <w:hyperlink r:id="rId1" w:tooltip="Go to" w:history="1">
      <w:r w:rsidR="00751662"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2663" w14:textId="77777777" w:rsidR="00751662" w:rsidRDefault="00751662" w:rsidP="007814E8">
    <w:pPr>
      <w:pStyle w:val="04HEADING4"/>
      <w:tabs>
        <w:tab w:val="right" w:pos="10680"/>
      </w:tabs>
      <w:spacing w:before="0"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757B8991" w14:textId="77777777" w:rsidR="00751662" w:rsidRDefault="005C7EA3" w:rsidP="009A027E">
    <w:pPr>
      <w:tabs>
        <w:tab w:val="right" w:pos="10680"/>
      </w:tabs>
      <w:spacing w:before="700" w:after="320"/>
      <w:jc w:val="right"/>
    </w:pPr>
    <w:hyperlink r:id="rId1" w:tooltip="Go to" w:history="1">
      <w:r w:rsidR="00751662"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8BAB9" w14:textId="77777777" w:rsidR="007943D2" w:rsidRDefault="007943D2" w:rsidP="005168FB">
    <w:pPr>
      <w:pStyle w:val="04HEADING4"/>
      <w:tabs>
        <w:tab w:val="right" w:pos="10680"/>
      </w:tabs>
      <w:spacing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3AA17087" w14:textId="1B6F77C1" w:rsidR="007943D2" w:rsidRPr="005168FB" w:rsidRDefault="005C7EA3" w:rsidP="005168FB">
    <w:pPr>
      <w:tabs>
        <w:tab w:val="right" w:pos="10680"/>
      </w:tabs>
      <w:spacing w:before="700" w:after="320"/>
      <w:jc w:val="right"/>
    </w:pPr>
    <w:hyperlink r:id="rId1" w:tooltip="Go to" w:history="1">
      <w:r w:rsidR="007943D2"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459D4" w14:textId="013D4A09" w:rsidR="007943D2" w:rsidRDefault="007943D2" w:rsidP="007814E8">
    <w:pPr>
      <w:pStyle w:val="04HEADING4"/>
      <w:tabs>
        <w:tab w:val="right" w:pos="10680"/>
      </w:tabs>
      <w:spacing w:before="0"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14:paraId="0D6716A0" w14:textId="3F32B14B" w:rsidR="007943D2" w:rsidRDefault="005C7EA3" w:rsidP="009A027E">
    <w:pPr>
      <w:tabs>
        <w:tab w:val="right" w:pos="10680"/>
      </w:tabs>
      <w:spacing w:before="700" w:after="320"/>
      <w:jc w:val="right"/>
    </w:pPr>
    <w:hyperlink r:id="rId1" w:tooltip="Go to" w:history="1">
      <w:r w:rsidR="007943D2"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3F964" w14:textId="77777777" w:rsidR="007943D2" w:rsidRDefault="007943D2" w:rsidP="002000D4">
      <w:r>
        <w:separator/>
      </w:r>
    </w:p>
  </w:footnote>
  <w:footnote w:type="continuationSeparator" w:id="0">
    <w:p w14:paraId="13AF90B9" w14:textId="77777777" w:rsidR="007943D2" w:rsidRDefault="007943D2" w:rsidP="00200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251F" w14:textId="77777777" w:rsidR="00751662" w:rsidRDefault="00751662">
    <w:pPr>
      <w:pStyle w:val="Header"/>
    </w:pPr>
    <w:r>
      <w:rPr>
        <w:noProof/>
        <w:lang w:eastAsia="en-AU"/>
      </w:rPr>
      <w:drawing>
        <wp:anchor distT="0" distB="0" distL="114300" distR="114300" simplePos="0" relativeHeight="251662336" behindDoc="1" locked="0" layoutInCell="1" allowOverlap="1" wp14:anchorId="438C5A86" wp14:editId="7A79B053">
          <wp:simplePos x="0" y="0"/>
          <wp:positionH relativeFrom="page">
            <wp:align>center</wp:align>
          </wp:positionH>
          <wp:positionV relativeFrom="page">
            <wp:align>center</wp:align>
          </wp:positionV>
          <wp:extent cx="7581600" cy="10716177"/>
          <wp:effectExtent l="0" t="0" r="635" b="3175"/>
          <wp:wrapNone/>
          <wp:docPr id="1" name="Picture 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LOWER PAGE.jpg"/>
                  <pic:cNvPicPr/>
                </pic:nvPicPr>
                <pic:blipFill>
                  <a:blip r:embed="rId1" cstate="email">
                    <a:extLst>
                      <a:ext uri="{28A0092B-C50C-407E-A947-70E740481C1C}">
                        <a14:useLocalDpi xmlns:a14="http://schemas.microsoft.com/office/drawing/2010/main"/>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8BB04" w14:textId="77777777" w:rsidR="00751662" w:rsidRDefault="00751662" w:rsidP="00E21915">
    <w:pPr>
      <w:pStyle w:val="HEADERITALICS"/>
    </w:pPr>
    <w:proofErr w:type="gramStart"/>
    <w:r w:rsidRPr="00E21915">
      <w:t>summary</w:t>
    </w:r>
    <w:proofErr w:type="gramEnd"/>
    <w:r>
      <w:t xml:space="preserve"> guid</w:t>
    </w:r>
    <w:r>
      <w:rPr>
        <w:noProof/>
        <w:lang w:val="en-AU" w:eastAsia="en-AU"/>
      </w:rPr>
      <w:drawing>
        <wp:anchor distT="0" distB="0" distL="114300" distR="114300" simplePos="0" relativeHeight="251661312" behindDoc="1" locked="0" layoutInCell="1" allowOverlap="1" wp14:anchorId="296E64B4" wp14:editId="4A9F0697">
          <wp:simplePos x="0" y="0"/>
          <wp:positionH relativeFrom="page">
            <wp:align>center</wp:align>
          </wp:positionH>
          <wp:positionV relativeFrom="page">
            <wp:align>center</wp:align>
          </wp:positionV>
          <wp:extent cx="7579776" cy="10713599"/>
          <wp:effectExtent l="0" t="0" r="2540" b="5715"/>
          <wp:wrapNone/>
          <wp:docPr id="2" name="Picture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PAGE.jpg"/>
                  <pic:cNvPicPr/>
                </pic:nvPicPr>
                <pic:blipFill>
                  <a:blip r:embed="rId1" cstate="email">
                    <a:extLst>
                      <a:ext uri="{28A0092B-C50C-407E-A947-70E740481C1C}">
                        <a14:useLocalDpi xmlns:a14="http://schemas.microsoft.com/office/drawing/2010/main"/>
                      </a:ext>
                    </a:extLst>
                  </a:blip>
                  <a:stretch>
                    <a:fillRect/>
                  </a:stretch>
                </pic:blipFill>
                <pic:spPr>
                  <a:xfrm>
                    <a:off x="0" y="0"/>
                    <a:ext cx="7579776" cy="10713599"/>
                  </a:xfrm>
                  <a:prstGeom prst="rect">
                    <a:avLst/>
                  </a:prstGeom>
                </pic:spPr>
              </pic:pic>
            </a:graphicData>
          </a:graphic>
          <wp14:sizeRelH relativeFrom="margin">
            <wp14:pctWidth>0</wp14:pctWidth>
          </wp14:sizeRelH>
          <wp14:sizeRelV relativeFrom="margin">
            <wp14:pctHeight>0</wp14:pctHeight>
          </wp14:sizeRelV>
        </wp:anchor>
      </w:drawing>
    </w:r>
    <w: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17ED7" w14:textId="562179E1" w:rsidR="007943D2" w:rsidRDefault="007943D2">
    <w:pPr>
      <w:pStyle w:val="Header"/>
    </w:pPr>
    <w:r>
      <w:rPr>
        <w:noProof/>
        <w:lang w:eastAsia="en-AU"/>
      </w:rPr>
      <w:drawing>
        <wp:anchor distT="0" distB="0" distL="114300" distR="114300" simplePos="0" relativeHeight="251659264" behindDoc="1" locked="0" layoutInCell="1" allowOverlap="1" wp14:anchorId="5D4D93D7" wp14:editId="1BA94717">
          <wp:simplePos x="0" y="0"/>
          <wp:positionH relativeFrom="page">
            <wp:align>center</wp:align>
          </wp:positionH>
          <wp:positionV relativeFrom="page">
            <wp:align>center</wp:align>
          </wp:positionV>
          <wp:extent cx="7581600" cy="10716177"/>
          <wp:effectExtent l="0" t="0" r="635" b="3175"/>
          <wp:wrapNone/>
          <wp:docPr id="16" name="Picture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LOWER PAGE.jpg"/>
                  <pic:cNvPicPr/>
                </pic:nvPicPr>
                <pic:blipFill>
                  <a:blip r:embed="rId1" cstate="email">
                    <a:extLst>
                      <a:ext uri="{28A0092B-C50C-407E-A947-70E740481C1C}">
                        <a14:useLocalDpi xmlns:a14="http://schemas.microsoft.com/office/drawing/2010/main"/>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DC39" w14:textId="2B7FE1E0" w:rsidR="007943D2" w:rsidRDefault="007943D2" w:rsidP="00E21915">
    <w:pPr>
      <w:pStyle w:val="HEADERITALICS"/>
    </w:pPr>
    <w:proofErr w:type="gramStart"/>
    <w:r w:rsidRPr="00E21915">
      <w:t>summary</w:t>
    </w:r>
    <w:proofErr w:type="gramEnd"/>
    <w:r>
      <w:t xml:space="preserve"> guid</w:t>
    </w:r>
    <w:r>
      <w:rPr>
        <w:noProof/>
        <w:lang w:val="en-AU" w:eastAsia="en-AU"/>
      </w:rPr>
      <w:drawing>
        <wp:anchor distT="0" distB="0" distL="114300" distR="114300" simplePos="0" relativeHeight="251658240" behindDoc="1" locked="0" layoutInCell="1" allowOverlap="1" wp14:anchorId="02F9D634" wp14:editId="39FA0B71">
          <wp:simplePos x="0" y="0"/>
          <wp:positionH relativeFrom="page">
            <wp:align>center</wp:align>
          </wp:positionH>
          <wp:positionV relativeFrom="page">
            <wp:align>center</wp:align>
          </wp:positionV>
          <wp:extent cx="7579776" cy="10713599"/>
          <wp:effectExtent l="0" t="0" r="2540" b="5715"/>
          <wp:wrapNone/>
          <wp:docPr id="17" name="Picture 1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PAGE.jpg"/>
                  <pic:cNvPicPr/>
                </pic:nvPicPr>
                <pic:blipFill>
                  <a:blip r:embed="rId1" cstate="email">
                    <a:extLst>
                      <a:ext uri="{28A0092B-C50C-407E-A947-70E740481C1C}">
                        <a14:useLocalDpi xmlns:a14="http://schemas.microsoft.com/office/drawing/2010/main"/>
                      </a:ext>
                    </a:extLst>
                  </a:blip>
                  <a:stretch>
                    <a:fillRect/>
                  </a:stretch>
                </pic:blipFill>
                <pic:spPr>
                  <a:xfrm>
                    <a:off x="0" y="0"/>
                    <a:ext cx="7579776" cy="10713599"/>
                  </a:xfrm>
                  <a:prstGeom prst="rect">
                    <a:avLst/>
                  </a:prstGeom>
                </pic:spPr>
              </pic:pic>
            </a:graphicData>
          </a:graphic>
          <wp14:sizeRelH relativeFrom="margin">
            <wp14:pctWidth>0</wp14:pctWidth>
          </wp14:sizeRelH>
          <wp14:sizeRelV relativeFrom="margin">
            <wp14:pctHeight>0</wp14:pctHeight>
          </wp14:sizeRelV>
        </wp:anchor>
      </w:drawing>
    </w:r>
    <w: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E7C"/>
    <w:multiLevelType w:val="hybridMultilevel"/>
    <w:tmpl w:val="CFD499C0"/>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C750E0"/>
    <w:multiLevelType w:val="hybridMultilevel"/>
    <w:tmpl w:val="28FC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75221A"/>
    <w:multiLevelType w:val="hybridMultilevel"/>
    <w:tmpl w:val="2F24E6B4"/>
    <w:lvl w:ilvl="0" w:tplc="253264DA">
      <w:start w:val="1"/>
      <w:numFmt w:val="bullet"/>
      <w:lvlText w:val="□"/>
      <w:lvlJc w:val="left"/>
      <w:pPr>
        <w:ind w:left="1032" w:hanging="360"/>
      </w:pPr>
      <w:rPr>
        <w:rFonts w:ascii="Courier New" w:hAnsi="Courier New" w:hint="default"/>
        <w:sz w:val="24"/>
        <w:szCs w:val="24"/>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3" w15:restartNumberingAfterBreak="0">
    <w:nsid w:val="1654534E"/>
    <w:multiLevelType w:val="hybridMultilevel"/>
    <w:tmpl w:val="CF9E9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1C53630"/>
    <w:multiLevelType w:val="hybridMultilevel"/>
    <w:tmpl w:val="4020633E"/>
    <w:lvl w:ilvl="0" w:tplc="EA7AED66">
      <w:start w:val="1"/>
      <w:numFmt w:val="bullet"/>
      <w:lvlText w:val="□"/>
      <w:lvlJc w:val="left"/>
      <w:pPr>
        <w:ind w:left="1032" w:hanging="360"/>
      </w:pPr>
      <w:rPr>
        <w:rFonts w:ascii="Courier New" w:hAnsi="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6" w15:restartNumberingAfterBreak="0">
    <w:nsid w:val="3AD075B6"/>
    <w:multiLevelType w:val="hybridMultilevel"/>
    <w:tmpl w:val="FC5AD1C6"/>
    <w:lvl w:ilvl="0" w:tplc="6E32FA96">
      <w:start w:val="1"/>
      <w:numFmt w:val="lowerRoman"/>
      <w:lvlText w:val="(%1)"/>
      <w:lvlJc w:val="left"/>
      <w:pPr>
        <w:ind w:left="1049" w:hanging="72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7" w15:restartNumberingAfterBreak="0">
    <w:nsid w:val="3D3F6D66"/>
    <w:multiLevelType w:val="hybridMultilevel"/>
    <w:tmpl w:val="487E9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565667"/>
    <w:multiLevelType w:val="multilevel"/>
    <w:tmpl w:val="5D9A3B7C"/>
    <w:numStyleLink w:val="BulletsList"/>
  </w:abstractNum>
  <w:abstractNum w:abstractNumId="9" w15:restartNumberingAfterBreak="0">
    <w:nsid w:val="526B0781"/>
    <w:multiLevelType w:val="hybridMultilevel"/>
    <w:tmpl w:val="6542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76C1D"/>
    <w:multiLevelType w:val="hybridMultilevel"/>
    <w:tmpl w:val="27C4125E"/>
    <w:lvl w:ilvl="0" w:tplc="EFECCAFC">
      <w:start w:val="1"/>
      <w:numFmt w:val="bullet"/>
      <w:lvlText w:val="□"/>
      <w:lvlJc w:val="left"/>
      <w:pPr>
        <w:ind w:left="720" w:hanging="360"/>
      </w:pPr>
      <w:rPr>
        <w:rFonts w:ascii="Courier New" w:hAnsi="Courier Ne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295C23"/>
    <w:multiLevelType w:val="hybridMultilevel"/>
    <w:tmpl w:val="A934B6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abstractNumId w:val="12"/>
  </w:num>
  <w:num w:numId="2">
    <w:abstractNumId w:val="4"/>
  </w:num>
  <w:num w:numId="3">
    <w:abstractNumId w:val="8"/>
  </w:num>
  <w:num w:numId="4">
    <w:abstractNumId w:val="11"/>
  </w:num>
  <w:num w:numId="5">
    <w:abstractNumId w:val="9"/>
  </w:num>
  <w:num w:numId="6">
    <w:abstractNumId w:val="7"/>
  </w:num>
  <w:num w:numId="7">
    <w:abstractNumId w:val="10"/>
  </w:num>
  <w:num w:numId="8">
    <w:abstractNumId w:val="6"/>
  </w:num>
  <w:num w:numId="9">
    <w:abstractNumId w:val="2"/>
  </w:num>
  <w:num w:numId="10">
    <w:abstractNumId w:val="5"/>
  </w:num>
  <w:num w:numId="11">
    <w:abstractNumId w:val="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D4"/>
    <w:rsid w:val="000B374B"/>
    <w:rsid w:val="000B63D8"/>
    <w:rsid w:val="001276F9"/>
    <w:rsid w:val="00144CE7"/>
    <w:rsid w:val="00145EDD"/>
    <w:rsid w:val="001C609A"/>
    <w:rsid w:val="001D0599"/>
    <w:rsid w:val="001D5992"/>
    <w:rsid w:val="001E2ABE"/>
    <w:rsid w:val="002000D4"/>
    <w:rsid w:val="002267EC"/>
    <w:rsid w:val="00251543"/>
    <w:rsid w:val="0026001D"/>
    <w:rsid w:val="002603CF"/>
    <w:rsid w:val="0027455C"/>
    <w:rsid w:val="00275F25"/>
    <w:rsid w:val="0028263A"/>
    <w:rsid w:val="002A26CB"/>
    <w:rsid w:val="002C70B2"/>
    <w:rsid w:val="002E2B7B"/>
    <w:rsid w:val="002E3CC5"/>
    <w:rsid w:val="002F19AF"/>
    <w:rsid w:val="00304FAA"/>
    <w:rsid w:val="0035335C"/>
    <w:rsid w:val="003C21FE"/>
    <w:rsid w:val="003C6B78"/>
    <w:rsid w:val="003F18E9"/>
    <w:rsid w:val="00406DFB"/>
    <w:rsid w:val="004235E3"/>
    <w:rsid w:val="0042584C"/>
    <w:rsid w:val="00425B05"/>
    <w:rsid w:val="00447715"/>
    <w:rsid w:val="00455819"/>
    <w:rsid w:val="00462929"/>
    <w:rsid w:val="00463039"/>
    <w:rsid w:val="00470C10"/>
    <w:rsid w:val="004956B3"/>
    <w:rsid w:val="004974D7"/>
    <w:rsid w:val="004B34C8"/>
    <w:rsid w:val="005069BA"/>
    <w:rsid w:val="005168FB"/>
    <w:rsid w:val="00524EBE"/>
    <w:rsid w:val="00537074"/>
    <w:rsid w:val="0054285D"/>
    <w:rsid w:val="00572045"/>
    <w:rsid w:val="00576CF5"/>
    <w:rsid w:val="005807AB"/>
    <w:rsid w:val="0058411C"/>
    <w:rsid w:val="005C7EA3"/>
    <w:rsid w:val="005F1057"/>
    <w:rsid w:val="006048C0"/>
    <w:rsid w:val="00616BE6"/>
    <w:rsid w:val="0066534C"/>
    <w:rsid w:val="006968EB"/>
    <w:rsid w:val="006A4A62"/>
    <w:rsid w:val="006B5F6A"/>
    <w:rsid w:val="006C0D47"/>
    <w:rsid w:val="006E41A9"/>
    <w:rsid w:val="006F2439"/>
    <w:rsid w:val="00744182"/>
    <w:rsid w:val="007504DA"/>
    <w:rsid w:val="00751662"/>
    <w:rsid w:val="0075343F"/>
    <w:rsid w:val="00772197"/>
    <w:rsid w:val="007750DC"/>
    <w:rsid w:val="007814E8"/>
    <w:rsid w:val="007851D1"/>
    <w:rsid w:val="007943D2"/>
    <w:rsid w:val="007B1427"/>
    <w:rsid w:val="007B41B3"/>
    <w:rsid w:val="007F5D1D"/>
    <w:rsid w:val="008065A6"/>
    <w:rsid w:val="00843964"/>
    <w:rsid w:val="0084487B"/>
    <w:rsid w:val="008734E3"/>
    <w:rsid w:val="008851BF"/>
    <w:rsid w:val="008869D9"/>
    <w:rsid w:val="008A7140"/>
    <w:rsid w:val="00932749"/>
    <w:rsid w:val="009A027E"/>
    <w:rsid w:val="009A7E15"/>
    <w:rsid w:val="009B2C80"/>
    <w:rsid w:val="009E46FC"/>
    <w:rsid w:val="00A3461C"/>
    <w:rsid w:val="00A34997"/>
    <w:rsid w:val="00A4167E"/>
    <w:rsid w:val="00A574B2"/>
    <w:rsid w:val="00A647CD"/>
    <w:rsid w:val="00A66181"/>
    <w:rsid w:val="00A90114"/>
    <w:rsid w:val="00A93A81"/>
    <w:rsid w:val="00AA6008"/>
    <w:rsid w:val="00AC378C"/>
    <w:rsid w:val="00AC6352"/>
    <w:rsid w:val="00AC668B"/>
    <w:rsid w:val="00AD01B1"/>
    <w:rsid w:val="00AE4CE3"/>
    <w:rsid w:val="00B20851"/>
    <w:rsid w:val="00B65131"/>
    <w:rsid w:val="00B6763D"/>
    <w:rsid w:val="00B8045C"/>
    <w:rsid w:val="00BB7DCD"/>
    <w:rsid w:val="00BE462F"/>
    <w:rsid w:val="00BF6F45"/>
    <w:rsid w:val="00C3121E"/>
    <w:rsid w:val="00C65BBF"/>
    <w:rsid w:val="00C97610"/>
    <w:rsid w:val="00CF550C"/>
    <w:rsid w:val="00D07E5C"/>
    <w:rsid w:val="00DB1738"/>
    <w:rsid w:val="00DD15FA"/>
    <w:rsid w:val="00DD7857"/>
    <w:rsid w:val="00DE0F67"/>
    <w:rsid w:val="00DE411F"/>
    <w:rsid w:val="00E03E33"/>
    <w:rsid w:val="00E048A4"/>
    <w:rsid w:val="00E21751"/>
    <w:rsid w:val="00E21915"/>
    <w:rsid w:val="00EB2A99"/>
    <w:rsid w:val="00ED550B"/>
    <w:rsid w:val="00F21E35"/>
    <w:rsid w:val="00F33274"/>
    <w:rsid w:val="00F346A3"/>
    <w:rsid w:val="00F43E9D"/>
    <w:rsid w:val="00F533B3"/>
    <w:rsid w:val="00FA01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EB49127"/>
  <w14:defaultImageDpi w14:val="96"/>
  <w15:chartTrackingRefBased/>
  <w15:docId w15:val="{C8691695-F708-314B-AA67-21AB8293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34C8"/>
    <w:pPr>
      <w:suppressAutoHyphens/>
      <w:autoSpaceDE w:val="0"/>
      <w:autoSpaceDN w:val="0"/>
      <w:adjustRightInd w:val="0"/>
      <w:spacing w:before="340" w:after="120"/>
      <w:textAlignment w:val="center"/>
      <w:outlineLvl w:val="0"/>
    </w:pPr>
    <w:rPr>
      <w:rFonts w:ascii="Calibri" w:hAnsi="Calibri" w:cs="Calibri"/>
      <w:b/>
      <w:color w:val="005695"/>
      <w:sz w:val="28"/>
      <w:szCs w:val="28"/>
      <w:lang w:val="en-US"/>
    </w:rPr>
  </w:style>
  <w:style w:type="paragraph" w:styleId="Heading2">
    <w:name w:val="heading 2"/>
    <w:basedOn w:val="Normal"/>
    <w:next w:val="Normal"/>
    <w:link w:val="Heading2Char"/>
    <w:uiPriority w:val="9"/>
    <w:unhideWhenUsed/>
    <w:qFormat/>
    <w:rsid w:val="00DB1738"/>
    <w:pPr>
      <w:suppressAutoHyphens/>
      <w:autoSpaceDE w:val="0"/>
      <w:autoSpaceDN w:val="0"/>
      <w:adjustRightInd w:val="0"/>
      <w:spacing w:before="397" w:after="113"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unhideWhenUsed/>
    <w:qFormat/>
    <w:rsid w:val="004B34C8"/>
    <w:pPr>
      <w:suppressAutoHyphens/>
      <w:autoSpaceDE w:val="0"/>
      <w:autoSpaceDN w:val="0"/>
      <w:adjustRightInd w:val="0"/>
      <w:spacing w:before="200" w:after="60"/>
      <w:textAlignment w:val="center"/>
      <w:outlineLvl w:val="2"/>
    </w:pPr>
    <w:rPr>
      <w:rFonts w:ascii="Calibri" w:hAnsi="Calibri" w:cs="Myriad Pro Light"/>
      <w:i/>
      <w:color w:val="005695"/>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1738"/>
    <w:rPr>
      <w:rFonts w:ascii="Calibri" w:hAnsi="Calibri" w:cs="Calibri"/>
      <w:color w:val="005695"/>
      <w:szCs w:val="32"/>
      <w:lang w:val="en-GB"/>
    </w:rPr>
  </w:style>
  <w:style w:type="paragraph" w:styleId="Header">
    <w:name w:val="header"/>
    <w:basedOn w:val="Normal"/>
    <w:link w:val="HeaderChar"/>
    <w:uiPriority w:val="99"/>
    <w:unhideWhenUsed/>
    <w:rsid w:val="002000D4"/>
    <w:pPr>
      <w:tabs>
        <w:tab w:val="center" w:pos="4513"/>
        <w:tab w:val="right" w:pos="9026"/>
      </w:tabs>
    </w:pPr>
  </w:style>
  <w:style w:type="character" w:customStyle="1" w:styleId="HeaderChar">
    <w:name w:val="Header Char"/>
    <w:basedOn w:val="DefaultParagraphFont"/>
    <w:link w:val="Header"/>
    <w:uiPriority w:val="99"/>
    <w:rsid w:val="002000D4"/>
  </w:style>
  <w:style w:type="paragraph" w:styleId="Footer">
    <w:name w:val="footer"/>
    <w:basedOn w:val="Normal"/>
    <w:link w:val="FooterChar"/>
    <w:uiPriority w:val="99"/>
    <w:unhideWhenUsed/>
    <w:rsid w:val="002000D4"/>
    <w:pPr>
      <w:tabs>
        <w:tab w:val="center" w:pos="4513"/>
        <w:tab w:val="right" w:pos="9026"/>
      </w:tabs>
    </w:pPr>
  </w:style>
  <w:style w:type="character" w:customStyle="1" w:styleId="FooterChar">
    <w:name w:val="Footer Char"/>
    <w:basedOn w:val="DefaultParagraphFont"/>
    <w:link w:val="Footer"/>
    <w:uiPriority w:val="99"/>
    <w:rsid w:val="002000D4"/>
  </w:style>
  <w:style w:type="character" w:customStyle="1" w:styleId="Heading1Char">
    <w:name w:val="Heading 1 Char"/>
    <w:basedOn w:val="DefaultParagraphFont"/>
    <w:link w:val="Heading1"/>
    <w:uiPriority w:val="9"/>
    <w:rsid w:val="004B34C8"/>
    <w:rPr>
      <w:rFonts w:ascii="Calibri" w:hAnsi="Calibri" w:cs="Calibri"/>
      <w:b/>
      <w:color w:val="005695"/>
      <w:sz w:val="28"/>
      <w:szCs w:val="28"/>
      <w:lang w:val="en-US"/>
    </w:rPr>
  </w:style>
  <w:style w:type="character" w:customStyle="1" w:styleId="Heading3Char">
    <w:name w:val="Heading 3 Char"/>
    <w:basedOn w:val="DefaultParagraphFont"/>
    <w:link w:val="Heading3"/>
    <w:uiPriority w:val="9"/>
    <w:rsid w:val="004B34C8"/>
    <w:rPr>
      <w:rFonts w:ascii="Calibri" w:hAnsi="Calibri" w:cs="Myriad Pro Light"/>
      <w:i/>
      <w:color w:val="005695"/>
      <w:sz w:val="22"/>
      <w:szCs w:val="22"/>
      <w:lang w:val="en-GB"/>
    </w:rPr>
  </w:style>
  <w:style w:type="paragraph" w:styleId="Title">
    <w:name w:val="Title"/>
    <w:basedOn w:val="Normal"/>
    <w:next w:val="Normal"/>
    <w:link w:val="TitleChar"/>
    <w:uiPriority w:val="10"/>
    <w:qFormat/>
    <w:rsid w:val="004B34C8"/>
    <w:pPr>
      <w:suppressAutoHyphens/>
      <w:autoSpaceDE w:val="0"/>
      <w:autoSpaceDN w:val="0"/>
      <w:adjustRightInd w:val="0"/>
      <w:spacing w:before="200" w:after="170" w:line="380" w:lineRule="atLeast"/>
      <w:textAlignment w:val="center"/>
    </w:pPr>
    <w:rPr>
      <w:rFonts w:ascii="Calibri" w:hAnsi="Calibri" w:cs="Calibri"/>
      <w:b/>
      <w:bCs/>
      <w:color w:val="005695"/>
      <w:sz w:val="32"/>
      <w:szCs w:val="32"/>
      <w:lang w:val="en-US"/>
    </w:rPr>
  </w:style>
  <w:style w:type="character" w:customStyle="1" w:styleId="TitleChar">
    <w:name w:val="Title Char"/>
    <w:basedOn w:val="DefaultParagraphFont"/>
    <w:link w:val="Title"/>
    <w:uiPriority w:val="10"/>
    <w:rsid w:val="004B34C8"/>
    <w:rPr>
      <w:rFonts w:ascii="Calibri" w:hAnsi="Calibri" w:cs="Calibri"/>
      <w:b/>
      <w:bCs/>
      <w:color w:val="005695"/>
      <w:sz w:val="32"/>
      <w:szCs w:val="32"/>
      <w:lang w:val="en-US"/>
    </w:rPr>
  </w:style>
  <w:style w:type="paragraph" w:styleId="Subtitle">
    <w:name w:val="Subtitle"/>
    <w:basedOn w:val="Normal"/>
    <w:next w:val="Normal"/>
    <w:link w:val="SubtitleChar"/>
    <w:uiPriority w:val="11"/>
    <w:qFormat/>
    <w:rsid w:val="004B34C8"/>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B34C8"/>
    <w:rPr>
      <w:rFonts w:ascii="Calibri" w:hAnsi="Calibri" w:cs="Calibri"/>
      <w:color w:val="808285"/>
      <w:sz w:val="28"/>
      <w:szCs w:val="28"/>
      <w:lang w:val="en-GB"/>
    </w:rPr>
  </w:style>
  <w:style w:type="paragraph" w:customStyle="1" w:styleId="Bullet1">
    <w:name w:val="Bullet 1"/>
    <w:basedOn w:val="BodyText"/>
    <w:qFormat/>
    <w:rsid w:val="004B34C8"/>
    <w:pPr>
      <w:numPr>
        <w:numId w:val="3"/>
      </w:numPr>
      <w:tabs>
        <w:tab w:val="clear" w:pos="284"/>
        <w:tab w:val="left" w:pos="567"/>
      </w:tabs>
      <w:spacing w:before="60"/>
      <w:ind w:left="568" w:hanging="284"/>
    </w:pPr>
  </w:style>
  <w:style w:type="paragraph" w:customStyle="1" w:styleId="Bullet2">
    <w:name w:val="Bullet 2"/>
    <w:basedOn w:val="Bullet1"/>
    <w:qFormat/>
    <w:rsid w:val="004B34C8"/>
    <w:pPr>
      <w:numPr>
        <w:ilvl w:val="1"/>
      </w:numPr>
      <w:tabs>
        <w:tab w:val="clear" w:pos="568"/>
        <w:tab w:val="left" w:pos="851"/>
      </w:tabs>
      <w:ind w:left="851" w:hanging="284"/>
    </w:pPr>
  </w:style>
  <w:style w:type="paragraph" w:customStyle="1" w:styleId="Bullet3">
    <w:name w:val="Bullet 3"/>
    <w:basedOn w:val="Bullet2"/>
    <w:qFormat/>
    <w:rsid w:val="004B34C8"/>
    <w:pPr>
      <w:numPr>
        <w:ilvl w:val="2"/>
      </w:numPr>
      <w:tabs>
        <w:tab w:val="clear" w:pos="852"/>
        <w:tab w:val="left" w:pos="1134"/>
      </w:tabs>
      <w:ind w:left="1135" w:hanging="284"/>
    </w:pPr>
  </w:style>
  <w:style w:type="numbering" w:customStyle="1" w:styleId="BulletsList">
    <w:name w:val="Bullets List"/>
    <w:uiPriority w:val="99"/>
    <w:rsid w:val="004B34C8"/>
    <w:pPr>
      <w:numPr>
        <w:numId w:val="1"/>
      </w:numPr>
    </w:pPr>
  </w:style>
  <w:style w:type="table" w:customStyle="1" w:styleId="IESCTABLE1">
    <w:name w:val="IESC TABLE 1"/>
    <w:basedOn w:val="TableNormal"/>
    <w:uiPriority w:val="42"/>
    <w:locked/>
    <w:rsid w:val="004B34C8"/>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Hyperlink">
    <w:name w:val="Hyperlink"/>
    <w:basedOn w:val="DefaultParagraphFont"/>
    <w:uiPriority w:val="99"/>
    <w:rsid w:val="004B34C8"/>
    <w:rPr>
      <w:rFonts w:ascii="Calibri" w:hAnsi="Calibri" w:cs="MuseoSans-500"/>
      <w:b w:val="0"/>
      <w:i w:val="0"/>
      <w:color w:val="auto"/>
      <w:u w:val="single" w:color="0070C0"/>
    </w:rPr>
  </w:style>
  <w:style w:type="character" w:styleId="Strong">
    <w:name w:val="Strong"/>
    <w:basedOn w:val="DefaultParagraphFont"/>
    <w:uiPriority w:val="22"/>
    <w:qFormat/>
    <w:rsid w:val="004B34C8"/>
    <w:rPr>
      <w:b/>
      <w:bCs/>
    </w:rPr>
  </w:style>
  <w:style w:type="paragraph" w:styleId="Caption">
    <w:name w:val="caption"/>
    <w:basedOn w:val="BodyText"/>
    <w:next w:val="Normal"/>
    <w:uiPriority w:val="35"/>
    <w:unhideWhenUsed/>
    <w:qFormat/>
    <w:rsid w:val="004B34C8"/>
    <w:pPr>
      <w:spacing w:before="100" w:after="400" w:line="240" w:lineRule="atLeast"/>
      <w:contextualSpacing/>
    </w:pPr>
    <w:rPr>
      <w:i/>
      <w:iCs/>
      <w:sz w:val="18"/>
      <w:szCs w:val="18"/>
    </w:rPr>
  </w:style>
  <w:style w:type="paragraph" w:customStyle="1" w:styleId="TableText">
    <w:name w:val="Table Text"/>
    <w:basedOn w:val="BodyText"/>
    <w:qFormat/>
    <w:rsid w:val="004B34C8"/>
    <w:pPr>
      <w:spacing w:after="80" w:line="240" w:lineRule="auto"/>
    </w:pPr>
  </w:style>
  <w:style w:type="paragraph" w:customStyle="1" w:styleId="TableHeaderRow">
    <w:name w:val="Table Header Row"/>
    <w:basedOn w:val="Normal"/>
    <w:qFormat/>
    <w:rsid w:val="004B34C8"/>
    <w:pPr>
      <w:suppressAutoHyphens/>
      <w:autoSpaceDE w:val="0"/>
      <w:autoSpaceDN w:val="0"/>
      <w:adjustRightInd w:val="0"/>
      <w:spacing w:line="288" w:lineRule="auto"/>
      <w:textAlignment w:val="center"/>
    </w:pPr>
    <w:rPr>
      <w:rFonts w:ascii="Calibri" w:hAnsi="Calibri" w:cs="Adobe Garamond Pro Bold"/>
      <w:b/>
      <w:color w:val="FFFFFF"/>
      <w:sz w:val="18"/>
      <w:szCs w:val="18"/>
      <w:lang w:val="en-US"/>
    </w:rPr>
  </w:style>
  <w:style w:type="paragraph" w:customStyle="1" w:styleId="Tablefigureheading">
    <w:name w:val="Table figure heading"/>
    <w:basedOn w:val="Normal"/>
    <w:uiPriority w:val="99"/>
    <w:rsid w:val="004B34C8"/>
    <w:pPr>
      <w:suppressAutoHyphens/>
      <w:autoSpaceDE w:val="0"/>
      <w:autoSpaceDN w:val="0"/>
      <w:adjustRightInd w:val="0"/>
      <w:spacing w:before="240" w:after="170" w:line="280" w:lineRule="atLeast"/>
      <w:textAlignment w:val="center"/>
    </w:pPr>
    <w:rPr>
      <w:rFonts w:ascii="Calibri" w:hAnsi="Calibri" w:cs="Calibri"/>
      <w:b/>
      <w:bCs/>
      <w:color w:val="1F4E79"/>
      <w:sz w:val="22"/>
      <w:szCs w:val="22"/>
      <w:lang w:val="en-US"/>
    </w:rPr>
  </w:style>
  <w:style w:type="paragraph" w:customStyle="1" w:styleId="FIGUREHEADING">
    <w:name w:val="FIGURE HEADING"/>
    <w:basedOn w:val="Normal"/>
    <w:uiPriority w:val="99"/>
    <w:rsid w:val="004B34C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4B34C8"/>
    <w:pPr>
      <w:suppressAutoHyphens/>
      <w:autoSpaceDE w:val="0"/>
      <w:autoSpaceDN w:val="0"/>
      <w:adjustRightInd w:val="0"/>
      <w:spacing w:after="170" w:line="260" w:lineRule="atLeast"/>
      <w:textAlignment w:val="center"/>
    </w:pPr>
    <w:rPr>
      <w:rFonts w:ascii="Calibri" w:hAnsi="Calibri" w:cs="Calibri"/>
      <w:color w:val="000000"/>
      <w:sz w:val="19"/>
      <w:szCs w:val="20"/>
      <w:lang w:val="en-US"/>
    </w:rPr>
  </w:style>
  <w:style w:type="character" w:customStyle="1" w:styleId="BodyTextChar">
    <w:name w:val="Body Text Char"/>
    <w:basedOn w:val="DefaultParagraphFont"/>
    <w:link w:val="BodyText"/>
    <w:uiPriority w:val="99"/>
    <w:rsid w:val="004B34C8"/>
    <w:rPr>
      <w:rFonts w:ascii="Calibri" w:hAnsi="Calibri" w:cs="Calibri"/>
      <w:color w:val="000000"/>
      <w:sz w:val="19"/>
      <w:szCs w:val="20"/>
      <w:lang w:val="en-US"/>
    </w:rPr>
  </w:style>
  <w:style w:type="paragraph" w:customStyle="1" w:styleId="Box1Text">
    <w:name w:val="Box 1 Text"/>
    <w:basedOn w:val="Normal"/>
    <w:qFormat/>
    <w:rsid w:val="004B34C8"/>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Calibri" w:hAnsi="Calibri" w:cs="Times New Roman (Body CS)"/>
      <w:color w:val="000000" w:themeColor="text1"/>
      <w:sz w:val="20"/>
      <w:szCs w:val="22"/>
    </w:rPr>
  </w:style>
  <w:style w:type="paragraph" w:customStyle="1" w:styleId="Box1Bullet">
    <w:name w:val="Box 1 Bullet"/>
    <w:basedOn w:val="Box1Text"/>
    <w:qFormat/>
    <w:rsid w:val="004B34C8"/>
    <w:pPr>
      <w:numPr>
        <w:numId w:val="2"/>
      </w:numPr>
      <w:ind w:left="568" w:hanging="284"/>
    </w:pPr>
  </w:style>
  <w:style w:type="paragraph" w:customStyle="1" w:styleId="Coversubtitle">
    <w:name w:val="Cover subtitle"/>
    <w:basedOn w:val="Normal"/>
    <w:uiPriority w:val="99"/>
    <w:rsid w:val="004B34C8"/>
    <w:pPr>
      <w:suppressAutoHyphens/>
      <w:autoSpaceDE w:val="0"/>
      <w:autoSpaceDN w:val="0"/>
      <w:adjustRightInd w:val="0"/>
      <w:spacing w:before="227" w:line="288" w:lineRule="auto"/>
      <w:ind w:left="1134"/>
      <w:textAlignment w:val="center"/>
    </w:pPr>
    <w:rPr>
      <w:rFonts w:ascii="Calibri" w:hAnsi="Calibri"/>
      <w:color w:val="AEAAAA" w:themeColor="background2" w:themeShade="BF"/>
      <w:sz w:val="28"/>
      <w:szCs w:val="22"/>
      <w:lang w:val="en-GB"/>
    </w:rPr>
  </w:style>
  <w:style w:type="character" w:styleId="SubtleReference">
    <w:name w:val="Subtle Reference"/>
    <w:basedOn w:val="DefaultParagraphFont"/>
    <w:uiPriority w:val="31"/>
    <w:qFormat/>
    <w:rsid w:val="004B34C8"/>
    <w:rPr>
      <w:smallCaps/>
      <w:color w:val="5A5A5A" w:themeColor="text1" w:themeTint="A5"/>
    </w:rPr>
  </w:style>
  <w:style w:type="paragraph" w:customStyle="1" w:styleId="04HEADING4">
    <w:name w:val="04. HEADING 4"/>
    <w:basedOn w:val="Normal"/>
    <w:uiPriority w:val="99"/>
    <w:rsid w:val="004B34C8"/>
    <w:pPr>
      <w:suppressAutoHyphens/>
      <w:autoSpaceDE w:val="0"/>
      <w:autoSpaceDN w:val="0"/>
      <w:adjustRightInd w:val="0"/>
      <w:spacing w:before="113" w:after="28" w:line="240" w:lineRule="atLeast"/>
      <w:textAlignment w:val="center"/>
    </w:pPr>
    <w:rPr>
      <w:rFonts w:ascii="Myriad Pro Light" w:hAnsi="Myriad Pro Light" w:cs="Myriad Pro Light"/>
      <w:color w:val="3277D0"/>
      <w:sz w:val="20"/>
      <w:szCs w:val="20"/>
      <w:lang w:val="en-GB"/>
    </w:rPr>
  </w:style>
  <w:style w:type="character" w:styleId="FollowedHyperlink">
    <w:name w:val="FollowedHyperlink"/>
    <w:basedOn w:val="DefaultParagraphFont"/>
    <w:uiPriority w:val="99"/>
    <w:semiHidden/>
    <w:unhideWhenUsed/>
    <w:rsid w:val="00463039"/>
    <w:rPr>
      <w:color w:val="954F72" w:themeColor="followedHyperlink"/>
      <w:u w:val="single"/>
    </w:rPr>
  </w:style>
  <w:style w:type="paragraph" w:customStyle="1" w:styleId="02HEADING2">
    <w:name w:val="02. HEADING 2"/>
    <w:basedOn w:val="Normal"/>
    <w:uiPriority w:val="99"/>
    <w:rsid w:val="009E46FC"/>
    <w:pPr>
      <w:suppressAutoHyphens/>
      <w:autoSpaceDE w:val="0"/>
      <w:autoSpaceDN w:val="0"/>
      <w:adjustRightInd w:val="0"/>
      <w:spacing w:before="397" w:after="170" w:line="380" w:lineRule="atLeast"/>
      <w:textAlignment w:val="center"/>
    </w:pPr>
    <w:rPr>
      <w:rFonts w:ascii="Myriad Pro Light" w:hAnsi="Myriad Pro Light" w:cs="Myriad Pro Light"/>
      <w:color w:val="005595"/>
      <w:sz w:val="32"/>
      <w:szCs w:val="32"/>
      <w:lang w:val="en-US"/>
    </w:rPr>
  </w:style>
  <w:style w:type="paragraph" w:customStyle="1" w:styleId="03HEADING3">
    <w:name w:val="03. HEADING 3"/>
    <w:basedOn w:val="Normal"/>
    <w:uiPriority w:val="99"/>
    <w:rsid w:val="009E46FC"/>
    <w:pPr>
      <w:suppressAutoHyphens/>
      <w:autoSpaceDE w:val="0"/>
      <w:autoSpaceDN w:val="0"/>
      <w:adjustRightInd w:val="0"/>
      <w:spacing w:before="340" w:after="113" w:line="320" w:lineRule="atLeast"/>
      <w:textAlignment w:val="center"/>
    </w:pPr>
    <w:rPr>
      <w:rFonts w:ascii="Myriad Pro" w:hAnsi="Myriad Pro" w:cs="Myriad Pro"/>
      <w:color w:val="005595"/>
      <w:sz w:val="28"/>
      <w:szCs w:val="28"/>
      <w:lang w:val="en-GB"/>
    </w:rPr>
  </w:style>
  <w:style w:type="paragraph" w:customStyle="1" w:styleId="05BODYTEXT">
    <w:name w:val="05. BODY TEXT"/>
    <w:basedOn w:val="Normal"/>
    <w:uiPriority w:val="99"/>
    <w:rsid w:val="009E46FC"/>
    <w:pPr>
      <w:suppressAutoHyphens/>
      <w:autoSpaceDE w:val="0"/>
      <w:autoSpaceDN w:val="0"/>
      <w:adjustRightInd w:val="0"/>
      <w:spacing w:after="142" w:line="260" w:lineRule="atLeast"/>
      <w:textAlignment w:val="center"/>
    </w:pPr>
    <w:rPr>
      <w:rFonts w:ascii="Adobe Garamond Pro" w:hAnsi="Adobe Garamond Pro" w:cs="Adobe Garamond Pro"/>
      <w:color w:val="000000"/>
      <w:sz w:val="19"/>
      <w:szCs w:val="19"/>
      <w:lang w:val="en-US"/>
    </w:rPr>
  </w:style>
  <w:style w:type="character" w:customStyle="1" w:styleId="ITALIC">
    <w:name w:val="ITALIC"/>
    <w:uiPriority w:val="99"/>
    <w:rsid w:val="009E46FC"/>
    <w:rPr>
      <w:i/>
      <w:iCs/>
    </w:rPr>
  </w:style>
  <w:style w:type="paragraph" w:styleId="ListParagraph">
    <w:name w:val="List Paragraph"/>
    <w:basedOn w:val="Normal"/>
    <w:uiPriority w:val="34"/>
    <w:qFormat/>
    <w:rsid w:val="00744182"/>
    <w:pPr>
      <w:ind w:left="720"/>
      <w:contextualSpacing/>
    </w:pPr>
  </w:style>
  <w:style w:type="table" w:styleId="TableGrid">
    <w:name w:val="Table Grid"/>
    <w:basedOn w:val="TableNormal"/>
    <w:uiPriority w:val="39"/>
    <w:rsid w:val="001E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ALICS">
    <w:name w:val="HEADER ITALICS"/>
    <w:basedOn w:val="Header"/>
    <w:qFormat/>
    <w:rsid w:val="00E21915"/>
    <w:pPr>
      <w:spacing w:before="2200"/>
      <w:ind w:left="-1077" w:right="-568"/>
      <w:jc w:val="right"/>
    </w:pPr>
    <w:rPr>
      <w:rFonts w:ascii="Adobe Garamond Pro" w:hAnsi="Adobe Garamond Pro" w:cs="Adobe Garamond Pro"/>
      <w:i/>
      <w:iCs/>
      <w:color w:val="B1BCD3"/>
      <w:sz w:val="110"/>
      <w:szCs w:val="110"/>
      <w:lang w:val="en-US"/>
    </w:rPr>
  </w:style>
  <w:style w:type="paragraph" w:styleId="BalloonText">
    <w:name w:val="Balloon Text"/>
    <w:basedOn w:val="Normal"/>
    <w:link w:val="BalloonTextChar"/>
    <w:uiPriority w:val="99"/>
    <w:semiHidden/>
    <w:unhideWhenUsed/>
    <w:rsid w:val="00B80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45C"/>
    <w:rPr>
      <w:rFonts w:ascii="Segoe UI" w:hAnsi="Segoe UI" w:cs="Segoe UI"/>
      <w:sz w:val="18"/>
      <w:szCs w:val="18"/>
    </w:rPr>
  </w:style>
  <w:style w:type="character" w:styleId="CommentReference">
    <w:name w:val="annotation reference"/>
    <w:basedOn w:val="DefaultParagraphFont"/>
    <w:uiPriority w:val="99"/>
    <w:semiHidden/>
    <w:unhideWhenUsed/>
    <w:rsid w:val="001C609A"/>
    <w:rPr>
      <w:sz w:val="16"/>
      <w:szCs w:val="16"/>
    </w:rPr>
  </w:style>
  <w:style w:type="paragraph" w:styleId="CommentText">
    <w:name w:val="annotation text"/>
    <w:basedOn w:val="Normal"/>
    <w:link w:val="CommentTextChar"/>
    <w:uiPriority w:val="99"/>
    <w:semiHidden/>
    <w:unhideWhenUsed/>
    <w:rsid w:val="001C609A"/>
    <w:rPr>
      <w:sz w:val="20"/>
      <w:szCs w:val="20"/>
    </w:rPr>
  </w:style>
  <w:style w:type="character" w:customStyle="1" w:styleId="CommentTextChar">
    <w:name w:val="Comment Text Char"/>
    <w:basedOn w:val="DefaultParagraphFont"/>
    <w:link w:val="CommentText"/>
    <w:uiPriority w:val="99"/>
    <w:semiHidden/>
    <w:rsid w:val="001C609A"/>
    <w:rPr>
      <w:sz w:val="20"/>
      <w:szCs w:val="20"/>
    </w:rPr>
  </w:style>
  <w:style w:type="paragraph" w:styleId="CommentSubject">
    <w:name w:val="annotation subject"/>
    <w:basedOn w:val="CommentText"/>
    <w:next w:val="CommentText"/>
    <w:link w:val="CommentSubjectChar"/>
    <w:uiPriority w:val="99"/>
    <w:semiHidden/>
    <w:unhideWhenUsed/>
    <w:rsid w:val="001C609A"/>
    <w:rPr>
      <w:b/>
      <w:bCs/>
    </w:rPr>
  </w:style>
  <w:style w:type="character" w:customStyle="1" w:styleId="CommentSubjectChar">
    <w:name w:val="Comment Subject Char"/>
    <w:basedOn w:val="CommentTextChar"/>
    <w:link w:val="CommentSubject"/>
    <w:uiPriority w:val="99"/>
    <w:semiHidden/>
    <w:rsid w:val="001C60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4B16A58.dotm</Template>
  <TotalTime>1</TotalTime>
  <Pages>3</Pages>
  <Words>888</Words>
  <Characters>5063</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Summary guide - Assessing groundwater-dependent ecosystems</vt:lpstr>
    </vt:vector>
  </TitlesOfParts>
  <Company/>
  <LinksUpToDate>false</LinksUpToDate>
  <CharactersWithSpaces>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guide - Assessing groundwater-dependent ecosystems</dc:title>
  <dc:subject/>
  <dc:creator>Independent Expert Scientific Committee on Coal Seam Gas and LARGE Coal Mining Development</dc:creator>
  <cp:keywords/>
  <dc:description/>
  <cp:lastModifiedBy>Bec Durack</cp:lastModifiedBy>
  <cp:revision>2</cp:revision>
  <dcterms:created xsi:type="dcterms:W3CDTF">2019-08-23T06:39:00Z</dcterms:created>
  <dcterms:modified xsi:type="dcterms:W3CDTF">2019-08-23T06:39:00Z</dcterms:modified>
</cp:coreProperties>
</file>