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word/webSettings.xml" ContentType="application/vnd.openxmlformats-officedocument.wordprocessingml.webSetting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1"/>
        <w:tblpPr w:vertAnchor="text" w:horzAnchor="margin" w:tblpY="2553"/>
        <w:tblW w:w="487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794"/>
      </w:tblGrid>
      <w:tr w:rsidR="00DE6F4C" w:rsidRPr="00602C4A" w14:paraId="1D7943DD" w14:textId="77777777" w:rsidTr="00DE6F4C">
        <w:trPr>
          <w:trHeight w:hRule="exact" w:val="2268"/>
        </w:trPr>
        <w:tc>
          <w:tcPr>
            <w:tcW w:w="8784" w:type="dxa"/>
            <w:shd w:val="clear" w:color="auto" w:fill="auto"/>
          </w:tcPr>
          <w:sdt>
            <w:sdtPr>
              <w:alias w:val="Form.ClientName"/>
              <w:tag w:val="{&quot;templafy&quot;:{&quot;id&quot;:&quot;b8114443-54a3-4da5-a2ae-75f31d3bff31&quot;}}"/>
              <w:id w:val="-1036420338"/>
              <w:placeholder>
                <w:docPart w:val="1A7ED8B69F514A0A8D49A70B566F7FE0"/>
              </w:placeholder>
            </w:sdtPr>
            <w:sdtEndPr/>
            <w:sdtContent>
              <w:p w14:paraId="7EDE3D9F" w14:textId="77777777" w:rsidR="003041F3" w:rsidRDefault="00545D4B">
                <w:pPr>
                  <w:pStyle w:val="Clientname"/>
                </w:pPr>
                <w:r>
                  <w:t>Office of Water Science</w:t>
                </w:r>
              </w:p>
            </w:sdtContent>
          </w:sdt>
          <w:sdt>
            <w:sdtPr>
              <w:alias w:val="Form.ProjectName"/>
              <w:tag w:val="{&quot;templafy&quot;:{&quot;id&quot;:&quot;3cfcdb16-15df-411e-b085-7127c8295ba1&quot;}}"/>
              <w:id w:val="786234041"/>
              <w:placeholder>
                <w:docPart w:val="1A7ED8B69F514A0A8D49A70B566F7FE0"/>
              </w:placeholder>
            </w:sdtPr>
            <w:sdtEndPr/>
            <w:sdtContent>
              <w:p w14:paraId="7A1CFC25" w14:textId="77777777" w:rsidR="004C52BE" w:rsidRDefault="00545D4B">
                <w:pPr>
                  <w:pStyle w:val="Title"/>
                </w:pPr>
                <w:r>
                  <w:t>Scoping study - Coal mine voids</w:t>
                </w:r>
                <w:r w:rsidR="00B57B50">
                  <w:t xml:space="preserve">, </w:t>
                </w:r>
                <w:r>
                  <w:t>Queensland</w:t>
                </w:r>
              </w:p>
              <w:p w14:paraId="2EEEFF83" w14:textId="412B2423" w:rsidR="003041F3" w:rsidRDefault="004C52BE">
                <w:pPr>
                  <w:pStyle w:val="Title"/>
                </w:pPr>
                <w:r w:rsidRPr="00683D42">
                  <w:rPr>
                    <w:sz w:val="24"/>
                    <w:szCs w:val="24"/>
                  </w:rPr>
                  <w:t>A report commissioned for the Independent Expert Scientific Committee on Coal Seam Gas and Large Coal Mining Development.</w:t>
                </w:r>
              </w:p>
            </w:sdtContent>
          </w:sdt>
          <w:sdt>
            <w:sdtPr>
              <w:alias w:val="Form.OurRef"/>
              <w:tag w:val="{&quot;templafy&quot;:{&quot;id&quot;:&quot;e1cf7d6a-44bd-4887-92ae-df89354db42f&quot;}}"/>
              <w:id w:val="887231043"/>
              <w:placeholder>
                <w:docPart w:val="1A7ED8B69F514A0A8D49A70B566F7FE0"/>
              </w:placeholder>
            </w:sdtPr>
            <w:sdtEndPr/>
            <w:sdtContent>
              <w:p w14:paraId="21CD1D15" w14:textId="078DF50F" w:rsidR="003041F3" w:rsidRDefault="00545D4B">
                <w:pPr>
                  <w:pStyle w:val="Subtitle"/>
                </w:pPr>
                <w:r>
                  <w:t>75</w:t>
                </w:r>
                <w:r w:rsidR="008C363B">
                  <w:t>4</w:t>
                </w:r>
                <w:r>
                  <w:t>-MELEN275156</w:t>
                </w:r>
              </w:p>
            </w:sdtContent>
          </w:sdt>
          <w:p w14:paraId="68773535" w14:textId="08990F76" w:rsidR="007930FB" w:rsidRPr="00464706" w:rsidRDefault="009B0C52" w:rsidP="007930FB">
            <w:pPr>
              <w:pStyle w:val="Template-Date"/>
            </w:pPr>
            <w:sdt>
              <w:sdtPr>
                <w:alias w:val="Date"/>
                <w:tag w:val="{&quot;templafy&quot;:{&quot;id&quot;:&quot;54aed6f9-7eac-4965-b494-18f737b01eb8&quot;}}"/>
                <w:id w:val="2118479000"/>
                <w:placeholder>
                  <w:docPart w:val="191394EF0D524E6794B7BDEB3FAC2B7C"/>
                </w:placeholder>
              </w:sdtPr>
              <w:sdtEndPr>
                <w:rPr>
                  <w:highlight w:val="yellow"/>
                </w:rPr>
              </w:sdtEndPr>
              <w:sdtContent>
                <w:r w:rsidR="00DE536D">
                  <w:t>9</w:t>
                </w:r>
                <w:r w:rsidR="008670A9" w:rsidRPr="00BB57E6">
                  <w:t xml:space="preserve"> </w:t>
                </w:r>
                <w:r w:rsidR="00DE536D">
                  <w:t>November</w:t>
                </w:r>
                <w:r w:rsidR="00897659" w:rsidRPr="00BB57E6">
                  <w:t xml:space="preserve"> 202</w:t>
                </w:r>
                <w:r w:rsidR="00E83E95" w:rsidRPr="00BB57E6">
                  <w:t>1</w:t>
                </w:r>
              </w:sdtContent>
            </w:sdt>
          </w:p>
          <w:p w14:paraId="40412019" w14:textId="77777777" w:rsidR="00DE6F4C" w:rsidRPr="00473EA2" w:rsidRDefault="00DE6F4C" w:rsidP="00D03CD4">
            <w:pPr>
              <w:pStyle w:val="DDMonthYear"/>
            </w:pPr>
          </w:p>
        </w:tc>
      </w:tr>
    </w:tbl>
    <w:p w14:paraId="502D3486" w14:textId="6ECDDED2" w:rsidR="009415F2" w:rsidRDefault="009415F2" w:rsidP="006F5479">
      <w:pPr>
        <w:pStyle w:val="BodyText"/>
        <w:tabs>
          <w:tab w:val="left" w:pos="406"/>
          <w:tab w:val="left" w:pos="8090"/>
        </w:tabs>
        <w:rPr>
          <w:noProof/>
        </w:rPr>
      </w:pPr>
      <w:r>
        <w:rPr>
          <w:noProof/>
        </w:rPr>
        <w:drawing>
          <wp:anchor distT="0" distB="0" distL="114300" distR="114300" simplePos="0" relativeHeight="251658240" behindDoc="1" locked="1" layoutInCell="1" allowOverlap="1" wp14:anchorId="32E639E1" wp14:editId="2BBD18CF">
            <wp:simplePos x="0" y="0"/>
            <wp:positionH relativeFrom="page">
              <wp:posOffset>0</wp:posOffset>
            </wp:positionH>
            <wp:positionV relativeFrom="page">
              <wp:posOffset>0</wp:posOffset>
            </wp:positionV>
            <wp:extent cx="7559675" cy="10693400"/>
            <wp:effectExtent l="0" t="0" r="3175" b="0"/>
            <wp:wrapNone/>
            <wp:docPr id="1" name="Imag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7559675" cy="1069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5479">
        <w:rPr>
          <w:noProof/>
        </w:rPr>
        <w:tab/>
      </w:r>
      <w:r w:rsidR="006F5479">
        <w:rPr>
          <w:noProof/>
        </w:rPr>
        <w:tab/>
      </w:r>
    </w:p>
    <w:p w14:paraId="7144DE34" w14:textId="6AEA1FD6" w:rsidR="009415F2" w:rsidRDefault="006F5479" w:rsidP="009415F2">
      <w:pPr>
        <w:rPr>
          <w:szCs w:val="22"/>
        </w:rPr>
      </w:pPr>
      <w:r>
        <w:rPr>
          <w:noProof/>
        </w:rPr>
        <w:drawing>
          <wp:anchor distT="0" distB="0" distL="114300" distR="114300" simplePos="0" relativeHeight="251658241" behindDoc="1" locked="0" layoutInCell="1" allowOverlap="1" wp14:anchorId="70802034" wp14:editId="6633EFCB">
            <wp:simplePos x="0" y="0"/>
            <wp:positionH relativeFrom="column">
              <wp:posOffset>4496089</wp:posOffset>
            </wp:positionH>
            <wp:positionV relativeFrom="paragraph">
              <wp:posOffset>333375</wp:posOffset>
            </wp:positionV>
            <wp:extent cx="1246505" cy="777875"/>
            <wp:effectExtent l="0" t="0" r="0" b="3175"/>
            <wp:wrapTight wrapText="bothSides">
              <wp:wrapPolygon edited="0">
                <wp:start x="2311" y="0"/>
                <wp:lineTo x="0" y="5290"/>
                <wp:lineTo x="0" y="21159"/>
                <wp:lineTo x="21127" y="21159"/>
                <wp:lineTo x="21127" y="4761"/>
                <wp:lineTo x="19806" y="3703"/>
                <wp:lineTo x="12544" y="0"/>
                <wp:lineTo x="2311"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la-logo.png"/>
                    <pic:cNvPicPr/>
                  </pic:nvPicPr>
                  <pic:blipFill>
                    <a:blip r:embed="rId8">
                      <a:extLst>
                        <a:ext uri="{28A0092B-C50C-407E-A947-70E740481C1C}">
                          <a14:useLocalDpi xmlns:a14="http://schemas.microsoft.com/office/drawing/2010/main" val="0"/>
                        </a:ext>
                      </a:extLst>
                    </a:blip>
                    <a:stretch>
                      <a:fillRect/>
                    </a:stretch>
                  </pic:blipFill>
                  <pic:spPr>
                    <a:xfrm>
                      <a:off x="0" y="0"/>
                      <a:ext cx="1246505" cy="777875"/>
                    </a:xfrm>
                    <a:prstGeom prst="rect">
                      <a:avLst/>
                    </a:prstGeom>
                  </pic:spPr>
                </pic:pic>
              </a:graphicData>
            </a:graphic>
          </wp:anchor>
        </w:drawing>
      </w:r>
      <w:r w:rsidR="009415F2">
        <w:br w:type="page"/>
      </w:r>
    </w:p>
    <w:p w14:paraId="7A0D75CF" w14:textId="77777777" w:rsidR="009415F2" w:rsidRPr="00AF19D8" w:rsidRDefault="009415F2" w:rsidP="009415F2">
      <w:pPr>
        <w:pStyle w:val="CoffeyBlankPageText"/>
      </w:pPr>
      <w:r w:rsidRPr="00AF19D8">
        <w:lastRenderedPageBreak/>
        <w:t>This page has been left intentionally blank</w:t>
      </w:r>
    </w:p>
    <w:p w14:paraId="716D8F64" w14:textId="77777777" w:rsidR="009415F2" w:rsidRPr="00AF19D8" w:rsidRDefault="009415F2" w:rsidP="009415F2">
      <w:pPr>
        <w:pStyle w:val="BodyText"/>
        <w:pageBreakBefore/>
        <w:rPr>
          <w:b/>
          <w:sz w:val="28"/>
        </w:rPr>
        <w:sectPr w:rsidR="009415F2" w:rsidRPr="00AF19D8" w:rsidSect="00644EED">
          <w:footerReference w:type="first" r:id="rId9"/>
          <w:pgSz w:w="11907" w:h="16839" w:code="9"/>
          <w:pgMar w:top="1440" w:right="1440" w:bottom="1440" w:left="1440" w:header="346" w:footer="346" w:gutter="0"/>
          <w:pgNumType w:fmt="lowerRoman" w:start="0"/>
          <w:cols w:space="708"/>
          <w:docGrid w:linePitch="360"/>
        </w:sectPr>
      </w:pPr>
    </w:p>
    <w:p w14:paraId="1322DFA6" w14:textId="277E2380" w:rsidR="00DD179B" w:rsidRPr="004A2669" w:rsidRDefault="009B0C52" w:rsidP="003076A6">
      <w:pPr>
        <w:pStyle w:val="Projectname"/>
      </w:pPr>
      <w:sdt>
        <w:sdtPr>
          <w:alias w:val="Project name"/>
          <w:tag w:val="{&quot;templafy&quot;:{&quot;id&quot;:&quot;9c9461cc-4724-4a58-9aec-e3e9c577942f&quot;}}"/>
          <w:id w:val="1369946598"/>
          <w:placeholder>
            <w:docPart w:val="DefaultPlaceholder_-1854013440"/>
          </w:placeholder>
        </w:sdtPr>
        <w:sdtEndPr/>
        <w:sdtContent>
          <w:r w:rsidR="00897659">
            <w:t>Scoping study - Coal mine voids</w:t>
          </w:r>
          <w:r w:rsidR="00972382">
            <w:t xml:space="preserve">, </w:t>
          </w:r>
          <w:r w:rsidR="00897659">
            <w:t>Queensland</w:t>
          </w:r>
        </w:sdtContent>
      </w:sdt>
      <w:r w:rsidR="00DC6283" w:rsidRPr="004A2669">
        <w:t xml:space="preserve"> </w:t>
      </w:r>
    </w:p>
    <w:p w14:paraId="3BEAA192" w14:textId="77777777" w:rsidR="00DD179B" w:rsidRPr="00DC6283" w:rsidRDefault="00DD179B" w:rsidP="003076A6">
      <w:pPr>
        <w:pStyle w:val="BodyText"/>
      </w:pPr>
    </w:p>
    <w:p w14:paraId="334535B5" w14:textId="77777777" w:rsidR="00DD179B" w:rsidRPr="00AF19D8" w:rsidRDefault="00DD179B" w:rsidP="00925B50">
      <w:pPr>
        <w:pStyle w:val="BodyText"/>
      </w:pPr>
      <w:r w:rsidRPr="00AF19D8">
        <w:t>Prepared for</w:t>
      </w:r>
      <w:r w:rsidRPr="00AF19D8">
        <w:br/>
      </w:r>
      <w:sdt>
        <w:sdtPr>
          <w:alias w:val="Form.ClientName"/>
          <w:tag w:val="{&quot;templafy&quot;:{&quot;id&quot;:&quot;fa311f23-9b06-4ac0-9fdc-22b33c1d4cdd&quot;}}"/>
          <w:id w:val="736981131"/>
          <w:placeholder>
            <w:docPart w:val="DefaultPlaceholder_-1854013440"/>
          </w:placeholder>
        </w:sdtPr>
        <w:sdtEndPr/>
        <w:sdtContent>
          <w:r>
            <w:t>Office of Water Science</w:t>
          </w:r>
        </w:sdtContent>
      </w:sdt>
    </w:p>
    <w:p w14:paraId="012A282A" w14:textId="77777777" w:rsidR="00DD179B" w:rsidRPr="00AF19D8" w:rsidRDefault="00DD179B" w:rsidP="00925B50">
      <w:pPr>
        <w:pStyle w:val="BodyText"/>
      </w:pPr>
    </w:p>
    <w:p w14:paraId="49538AB4" w14:textId="77777777" w:rsidR="0095777B" w:rsidRPr="0095777B" w:rsidRDefault="00DD179B" w:rsidP="0004219C">
      <w:pPr>
        <w:pStyle w:val="Template-Address"/>
        <w:spacing w:line="240" w:lineRule="auto"/>
      </w:pPr>
      <w:r w:rsidRPr="0095777B">
        <w:t>Prepared by</w:t>
      </w:r>
    </w:p>
    <w:sdt>
      <w:sdtPr>
        <w:alias w:val="Company"/>
        <w:tag w:val="{&quot;templafy&quot;:{&quot;id&quot;:&quot;f8fe1dcc-e245-4419-96b2-1425c339ac20&quot;}}"/>
        <w:id w:val="188109020"/>
        <w:placeholder>
          <w:docPart w:val="E4531DE34E4F421996043EF33BB205FA"/>
        </w:placeholder>
      </w:sdtPr>
      <w:sdtEndPr/>
      <w:sdtContent>
        <w:p w14:paraId="24FD051E" w14:textId="77777777" w:rsidR="003041F3" w:rsidRDefault="00545D4B">
          <w:pPr>
            <w:pStyle w:val="Template-Companyname"/>
            <w:spacing w:before="0"/>
          </w:pPr>
          <w:r>
            <w:t>Coffey Services Australia Pty Ltd</w:t>
          </w:r>
        </w:p>
      </w:sdtContent>
    </w:sdt>
    <w:sdt>
      <w:sdtPr>
        <w:alias w:val="Address"/>
        <w:tag w:val="{&quot;templafy&quot;:{&quot;id&quot;:&quot;289bb0a3-7ec5-4820-a7b4-5089affcc8d3&quot;}}"/>
        <w:id w:val="-1941133798"/>
        <w:placeholder>
          <w:docPart w:val="DefaultPlaceholder_-1854013440"/>
        </w:placeholder>
      </w:sdtPr>
      <w:sdtEndPr/>
      <w:sdtContent>
        <w:p w14:paraId="19BA1A28" w14:textId="77777777" w:rsidR="003041F3" w:rsidRDefault="00545D4B">
          <w:pPr>
            <w:pStyle w:val="Template-Address"/>
          </w:pPr>
          <w:r>
            <w:t>Level 1, 436 Johnston Street</w:t>
          </w:r>
        </w:p>
        <w:p w14:paraId="138A243C" w14:textId="77777777" w:rsidR="003041F3" w:rsidRDefault="00545D4B">
          <w:pPr>
            <w:pStyle w:val="Template-Address"/>
          </w:pPr>
          <w:r>
            <w:t>Abbotsford</w:t>
          </w:r>
        </w:p>
        <w:p w14:paraId="359CD203" w14:textId="77777777" w:rsidR="003041F3" w:rsidRDefault="00545D4B">
          <w:pPr>
            <w:pStyle w:val="Template-Address"/>
          </w:pPr>
          <w:r>
            <w:t>Vic 3067 Australia</w:t>
          </w:r>
        </w:p>
      </w:sdtContent>
    </w:sdt>
    <w:p w14:paraId="5C318A1D" w14:textId="77777777" w:rsidR="00D32D4B" w:rsidRDefault="00DD179B" w:rsidP="0095777B">
      <w:pPr>
        <w:pStyle w:val="Template-Address"/>
      </w:pPr>
      <w:r w:rsidRPr="00DC6283">
        <w:t>t:</w:t>
      </w:r>
      <w:r w:rsidR="00DC6283" w:rsidRPr="00DC6283">
        <w:t xml:space="preserve"> </w:t>
      </w:r>
      <w:sdt>
        <w:sdtPr>
          <w:tag w:val="{&quot;templafy&quot;:{&quot;id&quot;:&quot;fea2e8cd-f1a4-4c7b-bd3d-45eaa658d5b3&quot;}}"/>
          <w:id w:val="-51620997"/>
          <w:placeholder>
            <w:docPart w:val="8D5B564F7FAE480F839BE78949C8F377"/>
          </w:placeholder>
        </w:sdtPr>
        <w:sdtEndPr/>
        <w:sdtContent>
          <w:r>
            <w:t>+61 3 9290 7000</w:t>
          </w:r>
        </w:sdtContent>
      </w:sdt>
      <w:r w:rsidR="00AF225A">
        <w:tab/>
      </w:r>
      <w:sdt>
        <w:sdtPr>
          <w:tag w:val="{&quot;templafy&quot;:{&quot;id&quot;:&quot;6acba2e6-70c9-4fe8-a7ff-db90e79b19b8&quot;}}"/>
          <w:id w:val="367348022"/>
          <w:placeholder>
            <w:docPart w:val="4CD6755EDB8546E8BDD274191148DD4D"/>
          </w:placeholder>
        </w:sdtPr>
        <w:sdtEndPr/>
        <w:sdtContent>
          <w:r>
            <w:t>f: +61 3 9290 7499</w:t>
          </w:r>
        </w:sdtContent>
      </w:sdt>
    </w:p>
    <w:p w14:paraId="738C703F" w14:textId="77777777" w:rsidR="00DD179B" w:rsidRPr="00DC6283" w:rsidRDefault="009B0C52" w:rsidP="00D32D4B">
      <w:pPr>
        <w:pStyle w:val="ABNnr"/>
      </w:pPr>
      <w:sdt>
        <w:sdtPr>
          <w:alias w:val="BussinesNumber"/>
          <w:tag w:val="{&quot;templafy&quot;:{&quot;id&quot;:&quot;c56051c8-3489-408a-9d72-a832e858f9a9&quot;}}"/>
          <w:id w:val="-598717964"/>
          <w:placeholder>
            <w:docPart w:val="BA6DEA013DD942889F836F955D6914B1"/>
          </w:placeholder>
        </w:sdtPr>
        <w:sdtEndPr/>
        <w:sdtContent>
          <w:r w:rsidR="00897659">
            <w:t>ABN 55 139 460 521</w:t>
          </w:r>
        </w:sdtContent>
      </w:sdt>
    </w:p>
    <w:p w14:paraId="6DBB086F" w14:textId="77777777" w:rsidR="007930FB" w:rsidRDefault="007930FB" w:rsidP="007930FB">
      <w:pPr>
        <w:pStyle w:val="BodyText"/>
      </w:pPr>
    </w:p>
    <w:p w14:paraId="3B3F8BBA" w14:textId="3F832488" w:rsidR="007930FB" w:rsidRPr="00464706" w:rsidRDefault="009B0C52" w:rsidP="007930FB">
      <w:pPr>
        <w:pStyle w:val="Template-Date"/>
      </w:pPr>
      <w:sdt>
        <w:sdtPr>
          <w:alias w:val="Date"/>
          <w:tag w:val="{&quot;templafy&quot;:{&quot;id&quot;:&quot;37e5815e-2425-42d3-b978-ea1d92d5c651&quot;}}"/>
          <w:id w:val="-2129464459"/>
          <w:placeholder>
            <w:docPart w:val="44A2AE400DFC405AA18F79FE7919E7AE"/>
          </w:placeholder>
        </w:sdtPr>
        <w:sdtEndPr/>
        <w:sdtContent>
          <w:r w:rsidR="00DE536D">
            <w:t>9</w:t>
          </w:r>
          <w:r w:rsidR="00686327" w:rsidRPr="00BB57E6">
            <w:t xml:space="preserve"> </w:t>
          </w:r>
          <w:r w:rsidR="00DE536D">
            <w:t>November</w:t>
          </w:r>
          <w:r w:rsidR="00BB57E6" w:rsidRPr="00BB57E6">
            <w:t xml:space="preserve"> </w:t>
          </w:r>
          <w:r w:rsidR="00897659" w:rsidRPr="00BB57E6">
            <w:t>202</w:t>
          </w:r>
          <w:r w:rsidR="00D625A3" w:rsidRPr="00BB57E6">
            <w:t>1</w:t>
          </w:r>
        </w:sdtContent>
      </w:sdt>
    </w:p>
    <w:p w14:paraId="0FE02CB9" w14:textId="2C5F6281" w:rsidR="00DD179B" w:rsidRPr="00AF19D8" w:rsidRDefault="009B0C52" w:rsidP="00400A7E">
      <w:pPr>
        <w:pStyle w:val="ProjectDocumentReference"/>
      </w:pPr>
      <w:sdt>
        <w:sdtPr>
          <w:alias w:val="Our ref"/>
          <w:tag w:val="{&quot;templafy&quot;:{&quot;id&quot;:&quot;6f27c746-5770-44c5-b22f-969a16c93be1&quot;}}"/>
          <w:id w:val="728655657"/>
          <w:placeholder>
            <w:docPart w:val="39FF0D09EB6549C48972906FBB0E7EB5"/>
          </w:placeholder>
        </w:sdtPr>
        <w:sdtEndPr/>
        <w:sdtContent>
          <w:r w:rsidR="00897659">
            <w:t>75</w:t>
          </w:r>
          <w:r w:rsidR="008C363B">
            <w:t>4</w:t>
          </w:r>
          <w:r w:rsidR="00897659">
            <w:t>-MELEN275156</w:t>
          </w:r>
        </w:sdtContent>
      </w:sdt>
    </w:p>
    <w:sdt>
      <w:sdtPr>
        <w:alias w:val="Form.ReportDocumentNumber"/>
        <w:tag w:val="{&quot;templafy&quot;:{&quot;id&quot;:&quot;330935f2-17e3-471e-b5cd-c2eb9732b288&quot;}}"/>
        <w:id w:val="2141225008"/>
        <w:placeholder>
          <w:docPart w:val="DefaultPlaceholder_-1854013440"/>
        </w:placeholder>
      </w:sdtPr>
      <w:sdtEndPr/>
      <w:sdtContent>
        <w:p w14:paraId="262079FE" w14:textId="67228FE8" w:rsidR="003041F3" w:rsidRDefault="00545D4B">
          <w:pPr>
            <w:pStyle w:val="BodyText"/>
          </w:pPr>
          <w:r>
            <w:t>75</w:t>
          </w:r>
          <w:r w:rsidR="008C363B">
            <w:t>4</w:t>
          </w:r>
          <w:r>
            <w:t>-MELEN275156_R1</w:t>
          </w:r>
        </w:p>
      </w:sdtContent>
    </w:sdt>
    <w:p w14:paraId="46F4D55F" w14:textId="77777777" w:rsidR="00DD179B" w:rsidRPr="006E3F5D" w:rsidRDefault="00DD179B" w:rsidP="006E3F5D">
      <w:pPr>
        <w:pStyle w:val="BodyText"/>
        <w:rPr>
          <w:b/>
          <w:sz w:val="24"/>
          <w:szCs w:val="24"/>
        </w:rPr>
      </w:pPr>
      <w:r w:rsidRPr="006E3F5D">
        <w:rPr>
          <w:b/>
          <w:sz w:val="24"/>
          <w:szCs w:val="24"/>
        </w:rPr>
        <w:t xml:space="preserve">Quality </w:t>
      </w:r>
      <w:r w:rsidR="00333ACF" w:rsidRPr="006E3F5D">
        <w:rPr>
          <w:b/>
          <w:sz w:val="24"/>
          <w:szCs w:val="24"/>
        </w:rPr>
        <w:t>i</w:t>
      </w:r>
      <w:r w:rsidRPr="006E3F5D">
        <w:rPr>
          <w:b/>
          <w:sz w:val="24"/>
          <w:szCs w:val="24"/>
        </w:rPr>
        <w:t>nformation</w:t>
      </w:r>
    </w:p>
    <w:p w14:paraId="39AA7E05" w14:textId="77777777" w:rsidR="00DD179B" w:rsidRPr="006E3F5D" w:rsidRDefault="00333ACF" w:rsidP="006E3F5D">
      <w:pPr>
        <w:pStyle w:val="BodyText"/>
        <w:rPr>
          <w:b/>
          <w:sz w:val="24"/>
          <w:szCs w:val="24"/>
        </w:rPr>
      </w:pPr>
      <w:r w:rsidRPr="006E3F5D">
        <w:rPr>
          <w:b/>
          <w:sz w:val="24"/>
          <w:szCs w:val="24"/>
        </w:rPr>
        <w:t>Revision h</w:t>
      </w:r>
      <w:r w:rsidR="00DD179B" w:rsidRPr="006E3F5D">
        <w:rPr>
          <w:b/>
          <w:sz w:val="24"/>
          <w:szCs w:val="24"/>
        </w:rPr>
        <w:t>istory</w:t>
      </w:r>
    </w:p>
    <w:tbl>
      <w:tblPr>
        <w:tblStyle w:val="Coffey1"/>
        <w:tblW w:w="5000" w:type="pct"/>
        <w:tblLook w:val="0620" w:firstRow="1" w:lastRow="0" w:firstColumn="0" w:lastColumn="0" w:noHBand="1" w:noVBand="1"/>
      </w:tblPr>
      <w:tblGrid>
        <w:gridCol w:w="1355"/>
        <w:gridCol w:w="2262"/>
        <w:gridCol w:w="1354"/>
        <w:gridCol w:w="1354"/>
        <w:gridCol w:w="1354"/>
        <w:gridCol w:w="1338"/>
      </w:tblGrid>
      <w:tr w:rsidR="00940F79" w:rsidRPr="00AF19D8" w14:paraId="5F33DBF1" w14:textId="77777777" w:rsidTr="00E83E95">
        <w:trPr>
          <w:cnfStyle w:val="100000000000" w:firstRow="1" w:lastRow="0" w:firstColumn="0" w:lastColumn="0" w:oddVBand="0" w:evenVBand="0" w:oddHBand="0" w:evenHBand="0" w:firstRowFirstColumn="0" w:firstRowLastColumn="0" w:lastRowFirstColumn="0" w:lastRowLastColumn="0"/>
        </w:trPr>
        <w:tc>
          <w:tcPr>
            <w:tcW w:w="751" w:type="pct"/>
          </w:tcPr>
          <w:p w14:paraId="5CB15DDB" w14:textId="77777777" w:rsidR="00DD179B" w:rsidRPr="00AF19D8" w:rsidRDefault="00DD179B" w:rsidP="00B11827">
            <w:pPr>
              <w:pStyle w:val="BodyText"/>
            </w:pPr>
            <w:r w:rsidRPr="00AF19D8">
              <w:t>Revision</w:t>
            </w:r>
          </w:p>
        </w:tc>
        <w:tc>
          <w:tcPr>
            <w:tcW w:w="1254" w:type="pct"/>
          </w:tcPr>
          <w:p w14:paraId="1B6A84CF" w14:textId="77777777" w:rsidR="00DD179B" w:rsidRPr="00AF19D8" w:rsidRDefault="00DD179B" w:rsidP="00B11827">
            <w:pPr>
              <w:pStyle w:val="BodyText"/>
            </w:pPr>
            <w:r w:rsidRPr="00AF19D8">
              <w:t>Description</w:t>
            </w:r>
          </w:p>
        </w:tc>
        <w:tc>
          <w:tcPr>
            <w:tcW w:w="751" w:type="pct"/>
          </w:tcPr>
          <w:p w14:paraId="6075C267" w14:textId="77777777" w:rsidR="00DD179B" w:rsidRPr="00AF19D8" w:rsidRDefault="00DD179B" w:rsidP="00B11827">
            <w:pPr>
              <w:pStyle w:val="BodyText"/>
            </w:pPr>
            <w:r w:rsidRPr="00AF19D8">
              <w:t>Date</w:t>
            </w:r>
          </w:p>
        </w:tc>
        <w:tc>
          <w:tcPr>
            <w:tcW w:w="751" w:type="pct"/>
          </w:tcPr>
          <w:p w14:paraId="20AFD504" w14:textId="77777777" w:rsidR="00DD179B" w:rsidRPr="00AF19D8" w:rsidRDefault="00DD179B" w:rsidP="00B11827">
            <w:pPr>
              <w:pStyle w:val="BodyText"/>
            </w:pPr>
            <w:r w:rsidRPr="00AF19D8">
              <w:t>Originator</w:t>
            </w:r>
          </w:p>
        </w:tc>
        <w:tc>
          <w:tcPr>
            <w:tcW w:w="751" w:type="pct"/>
          </w:tcPr>
          <w:p w14:paraId="148BCE00" w14:textId="77777777" w:rsidR="00DD179B" w:rsidRPr="00AF19D8" w:rsidRDefault="00DD179B" w:rsidP="00B11827">
            <w:pPr>
              <w:pStyle w:val="BodyText"/>
            </w:pPr>
            <w:r w:rsidRPr="00AF19D8">
              <w:t>Reviewer</w:t>
            </w:r>
          </w:p>
        </w:tc>
        <w:tc>
          <w:tcPr>
            <w:tcW w:w="742" w:type="pct"/>
          </w:tcPr>
          <w:p w14:paraId="526A9DC8" w14:textId="77777777" w:rsidR="00DD179B" w:rsidRPr="00AF19D8" w:rsidRDefault="00DD179B" w:rsidP="00B11827">
            <w:pPr>
              <w:pStyle w:val="BodyText"/>
            </w:pPr>
            <w:r w:rsidRPr="00AF19D8">
              <w:t>Approver</w:t>
            </w:r>
          </w:p>
        </w:tc>
      </w:tr>
      <w:tr w:rsidR="00DD179B" w:rsidRPr="00AF19D8" w14:paraId="02CB6D5E" w14:textId="77777777" w:rsidTr="00E83E95">
        <w:tc>
          <w:tcPr>
            <w:tcW w:w="751" w:type="pct"/>
          </w:tcPr>
          <w:p w14:paraId="6389A808" w14:textId="3DA8FDC4" w:rsidR="00DD179B" w:rsidRPr="00AF19D8" w:rsidRDefault="00F27835" w:rsidP="00B11827">
            <w:pPr>
              <w:pStyle w:val="BodyText"/>
            </w:pPr>
            <w:r>
              <w:t>V</w:t>
            </w:r>
            <w:r w:rsidR="00630A4E" w:rsidRPr="00AF19D8">
              <w:t>1</w:t>
            </w:r>
            <w:r w:rsidR="00C409E2">
              <w:t>a</w:t>
            </w:r>
            <w:r w:rsidR="00630A4E" w:rsidRPr="00AF19D8">
              <w:t xml:space="preserve"> draft</w:t>
            </w:r>
          </w:p>
        </w:tc>
        <w:tc>
          <w:tcPr>
            <w:tcW w:w="1254" w:type="pct"/>
          </w:tcPr>
          <w:p w14:paraId="330021EF" w14:textId="3A2220C3" w:rsidR="00DD179B" w:rsidRPr="00AF19D8" w:rsidRDefault="00F27835" w:rsidP="00B11827">
            <w:pPr>
              <w:pStyle w:val="BodyText"/>
            </w:pPr>
            <w:r>
              <w:t>Draft report of Milestone 3a and 3b</w:t>
            </w:r>
          </w:p>
        </w:tc>
        <w:tc>
          <w:tcPr>
            <w:tcW w:w="751" w:type="pct"/>
          </w:tcPr>
          <w:p w14:paraId="27229E4D" w14:textId="7DA81599" w:rsidR="00DD179B" w:rsidRPr="00AF19D8" w:rsidRDefault="00F27835" w:rsidP="00B11827">
            <w:pPr>
              <w:pStyle w:val="BodyText"/>
            </w:pPr>
            <w:r>
              <w:t>27/11/2020</w:t>
            </w:r>
          </w:p>
        </w:tc>
        <w:tc>
          <w:tcPr>
            <w:tcW w:w="751" w:type="pct"/>
          </w:tcPr>
          <w:p w14:paraId="761FA698" w14:textId="52D4BA68" w:rsidR="00C409E2" w:rsidRPr="00AF19D8" w:rsidRDefault="00F27835" w:rsidP="00D2709D">
            <w:pPr>
              <w:pStyle w:val="BodyText"/>
            </w:pPr>
            <w:r>
              <w:t>D Green</w:t>
            </w:r>
            <w:r w:rsidR="00BC4812">
              <w:t xml:space="preserve"> and </w:t>
            </w:r>
            <w:r w:rsidR="00C409E2">
              <w:t>R Whitchurch</w:t>
            </w:r>
          </w:p>
        </w:tc>
        <w:tc>
          <w:tcPr>
            <w:tcW w:w="751" w:type="pct"/>
          </w:tcPr>
          <w:p w14:paraId="3746FF05" w14:textId="58439DF3" w:rsidR="00DD179B" w:rsidRPr="00AF19D8" w:rsidRDefault="00F27835" w:rsidP="00D2709D">
            <w:pPr>
              <w:pStyle w:val="BodyText"/>
            </w:pPr>
            <w:r>
              <w:t>R Cresswell</w:t>
            </w:r>
          </w:p>
        </w:tc>
        <w:tc>
          <w:tcPr>
            <w:tcW w:w="742" w:type="pct"/>
          </w:tcPr>
          <w:p w14:paraId="39B22893" w14:textId="3006D834" w:rsidR="00DD179B" w:rsidRPr="00AF19D8" w:rsidRDefault="00C409E2" w:rsidP="00D2709D">
            <w:pPr>
              <w:pStyle w:val="BodyText"/>
            </w:pPr>
            <w:r>
              <w:t>R Cresswell</w:t>
            </w:r>
          </w:p>
        </w:tc>
      </w:tr>
      <w:tr w:rsidR="00686327" w:rsidRPr="00AF19D8" w14:paraId="5E9AD490" w14:textId="77777777" w:rsidTr="00E83E95">
        <w:tc>
          <w:tcPr>
            <w:tcW w:w="751" w:type="pct"/>
          </w:tcPr>
          <w:p w14:paraId="11036337" w14:textId="0A789950" w:rsidR="00686327" w:rsidRDefault="00686327" w:rsidP="00B11827">
            <w:pPr>
              <w:pStyle w:val="BodyText"/>
            </w:pPr>
            <w:r>
              <w:t>V1c</w:t>
            </w:r>
            <w:r w:rsidR="009D677B">
              <w:t xml:space="preserve"> draft</w:t>
            </w:r>
          </w:p>
        </w:tc>
        <w:tc>
          <w:tcPr>
            <w:tcW w:w="1254" w:type="pct"/>
          </w:tcPr>
          <w:p w14:paraId="4A01FDE3" w14:textId="28804CEF" w:rsidR="00686327" w:rsidRDefault="00686327" w:rsidP="00B11827">
            <w:pPr>
              <w:pStyle w:val="BodyText"/>
            </w:pPr>
            <w:r>
              <w:t>Draft report of Milestone 3a, 3b and 3c</w:t>
            </w:r>
          </w:p>
        </w:tc>
        <w:tc>
          <w:tcPr>
            <w:tcW w:w="751" w:type="pct"/>
          </w:tcPr>
          <w:p w14:paraId="4975BD30" w14:textId="335546DE" w:rsidR="00686327" w:rsidRDefault="00686327" w:rsidP="00B11827">
            <w:pPr>
              <w:pStyle w:val="BodyText"/>
            </w:pPr>
            <w:r>
              <w:t>21/12/2020</w:t>
            </w:r>
          </w:p>
        </w:tc>
        <w:tc>
          <w:tcPr>
            <w:tcW w:w="751" w:type="pct"/>
          </w:tcPr>
          <w:p w14:paraId="44E7BE77" w14:textId="4BE043AC" w:rsidR="00686327" w:rsidRDefault="00686327" w:rsidP="00D2709D">
            <w:pPr>
              <w:pStyle w:val="BodyText"/>
            </w:pPr>
            <w:r>
              <w:t>D Green and R Whitchurch</w:t>
            </w:r>
          </w:p>
        </w:tc>
        <w:tc>
          <w:tcPr>
            <w:tcW w:w="751" w:type="pct"/>
          </w:tcPr>
          <w:p w14:paraId="0982C7E1" w14:textId="01CAE465" w:rsidR="00686327" w:rsidRDefault="00686327" w:rsidP="00D2709D">
            <w:pPr>
              <w:pStyle w:val="BodyText"/>
            </w:pPr>
            <w:r>
              <w:t>R Cresswell</w:t>
            </w:r>
          </w:p>
        </w:tc>
        <w:tc>
          <w:tcPr>
            <w:tcW w:w="742" w:type="pct"/>
          </w:tcPr>
          <w:p w14:paraId="793AC4BF" w14:textId="34CC8369" w:rsidR="00686327" w:rsidRDefault="00686327" w:rsidP="00D2709D">
            <w:pPr>
              <w:pStyle w:val="BodyText"/>
            </w:pPr>
            <w:r w:rsidRPr="009D677B">
              <w:t>R Cresswell</w:t>
            </w:r>
          </w:p>
        </w:tc>
      </w:tr>
      <w:tr w:rsidR="00E83E95" w:rsidRPr="00AF19D8" w14:paraId="667379BF" w14:textId="77777777" w:rsidTr="00E83E95">
        <w:tc>
          <w:tcPr>
            <w:tcW w:w="751" w:type="pct"/>
          </w:tcPr>
          <w:p w14:paraId="19321BEC" w14:textId="5E0742F6" w:rsidR="00E83E95" w:rsidRPr="008C363B" w:rsidRDefault="00E83E95" w:rsidP="00E83E95">
            <w:pPr>
              <w:pStyle w:val="BodyText"/>
            </w:pPr>
            <w:r w:rsidRPr="008C363B">
              <w:t>V1e draft</w:t>
            </w:r>
          </w:p>
        </w:tc>
        <w:tc>
          <w:tcPr>
            <w:tcW w:w="1254" w:type="pct"/>
          </w:tcPr>
          <w:p w14:paraId="3265F93D" w14:textId="623919DE" w:rsidR="00E83E95" w:rsidRPr="008C363B" w:rsidRDefault="00E83E95" w:rsidP="00E83E95">
            <w:pPr>
              <w:pStyle w:val="BodyText"/>
            </w:pPr>
            <w:r w:rsidRPr="008C363B">
              <w:t>Draft report of Milestone 3a, 3b and 3c</w:t>
            </w:r>
          </w:p>
        </w:tc>
        <w:tc>
          <w:tcPr>
            <w:tcW w:w="751" w:type="pct"/>
          </w:tcPr>
          <w:p w14:paraId="0D175E19" w14:textId="7BC985C9" w:rsidR="00E83E95" w:rsidRPr="008C363B" w:rsidRDefault="00E83E95" w:rsidP="00E83E95">
            <w:pPr>
              <w:pStyle w:val="BodyText"/>
            </w:pPr>
            <w:r w:rsidRPr="008C363B">
              <w:t>2</w:t>
            </w:r>
            <w:r w:rsidR="008C363B">
              <w:t>5</w:t>
            </w:r>
            <w:r w:rsidRPr="008C363B">
              <w:t>/01/2021</w:t>
            </w:r>
          </w:p>
        </w:tc>
        <w:tc>
          <w:tcPr>
            <w:tcW w:w="751" w:type="pct"/>
          </w:tcPr>
          <w:p w14:paraId="54819CC1" w14:textId="2A316170" w:rsidR="00E83E95" w:rsidRPr="008C363B" w:rsidRDefault="00E83E95" w:rsidP="00E83E95">
            <w:pPr>
              <w:pStyle w:val="BodyText"/>
            </w:pPr>
            <w:r w:rsidRPr="008C363B">
              <w:t>D Green and R Whitchurch</w:t>
            </w:r>
          </w:p>
        </w:tc>
        <w:tc>
          <w:tcPr>
            <w:tcW w:w="751" w:type="pct"/>
          </w:tcPr>
          <w:p w14:paraId="0B677062" w14:textId="4373C53A" w:rsidR="00E83E95" w:rsidRPr="008C363B" w:rsidRDefault="00E83E95" w:rsidP="00E83E95">
            <w:pPr>
              <w:pStyle w:val="BodyText"/>
            </w:pPr>
            <w:r w:rsidRPr="008C363B">
              <w:t>R Cresswell</w:t>
            </w:r>
          </w:p>
        </w:tc>
        <w:tc>
          <w:tcPr>
            <w:tcW w:w="742" w:type="pct"/>
          </w:tcPr>
          <w:p w14:paraId="1A4F1208" w14:textId="4B621D1C" w:rsidR="00E83E95" w:rsidRPr="008C363B" w:rsidRDefault="00E83E95" w:rsidP="00E83E95">
            <w:pPr>
              <w:pStyle w:val="BodyText"/>
            </w:pPr>
            <w:r w:rsidRPr="008C363B">
              <w:t>R Cresswell</w:t>
            </w:r>
          </w:p>
        </w:tc>
      </w:tr>
      <w:tr w:rsidR="000B5EB3" w:rsidRPr="00AF19D8" w14:paraId="42BD0998" w14:textId="77777777" w:rsidTr="000B5EB3">
        <w:trPr>
          <w:trHeight w:val="324"/>
        </w:trPr>
        <w:tc>
          <w:tcPr>
            <w:tcW w:w="751" w:type="pct"/>
          </w:tcPr>
          <w:p w14:paraId="23989C75" w14:textId="0076FFA1" w:rsidR="000B5EB3" w:rsidRPr="008C363B" w:rsidRDefault="000B5EB3" w:rsidP="00E83E95">
            <w:pPr>
              <w:pStyle w:val="BodyText"/>
            </w:pPr>
            <w:r w:rsidRPr="008670A9">
              <w:t xml:space="preserve">V1g </w:t>
            </w:r>
            <w:r w:rsidR="00710D1F">
              <w:t>final draft</w:t>
            </w:r>
          </w:p>
        </w:tc>
        <w:tc>
          <w:tcPr>
            <w:tcW w:w="1254" w:type="pct"/>
          </w:tcPr>
          <w:p w14:paraId="30B703B4" w14:textId="38DC2350" w:rsidR="000B5EB3" w:rsidRPr="008C363B" w:rsidRDefault="00C45E3B" w:rsidP="00E83E95">
            <w:pPr>
              <w:pStyle w:val="BodyText"/>
            </w:pPr>
            <w:r w:rsidRPr="00C45E3B">
              <w:t>Draft report of Milestone 3a, 3b and 3c</w:t>
            </w:r>
          </w:p>
        </w:tc>
        <w:tc>
          <w:tcPr>
            <w:tcW w:w="751" w:type="pct"/>
          </w:tcPr>
          <w:p w14:paraId="7815EA00" w14:textId="6E82309A" w:rsidR="000B5EB3" w:rsidRPr="008C363B" w:rsidRDefault="00C45E3B" w:rsidP="00E83E95">
            <w:pPr>
              <w:pStyle w:val="BodyText"/>
            </w:pPr>
            <w:r>
              <w:t>24/02/2021</w:t>
            </w:r>
          </w:p>
        </w:tc>
        <w:tc>
          <w:tcPr>
            <w:tcW w:w="751" w:type="pct"/>
          </w:tcPr>
          <w:p w14:paraId="7BBF0B7D" w14:textId="6FC99061" w:rsidR="000B5EB3" w:rsidRPr="008C363B" w:rsidRDefault="00C45E3B" w:rsidP="00E83E95">
            <w:pPr>
              <w:pStyle w:val="BodyText"/>
            </w:pPr>
            <w:r>
              <w:t>D Green</w:t>
            </w:r>
          </w:p>
        </w:tc>
        <w:tc>
          <w:tcPr>
            <w:tcW w:w="751" w:type="pct"/>
          </w:tcPr>
          <w:p w14:paraId="6B28C699" w14:textId="05E6EE5C" w:rsidR="000B5EB3" w:rsidRPr="008C363B" w:rsidRDefault="00C45E3B" w:rsidP="00E83E95">
            <w:pPr>
              <w:pStyle w:val="BodyText"/>
            </w:pPr>
            <w:r>
              <w:t>R Cresswell</w:t>
            </w:r>
          </w:p>
        </w:tc>
        <w:tc>
          <w:tcPr>
            <w:tcW w:w="742" w:type="pct"/>
          </w:tcPr>
          <w:p w14:paraId="1657D618" w14:textId="4C1FA878" w:rsidR="000B5EB3" w:rsidRPr="008C363B" w:rsidRDefault="00C45E3B" w:rsidP="00E83E95">
            <w:pPr>
              <w:pStyle w:val="BodyText"/>
            </w:pPr>
            <w:r>
              <w:t>R Cresswell</w:t>
            </w:r>
          </w:p>
        </w:tc>
      </w:tr>
      <w:tr w:rsidR="00DE536D" w:rsidRPr="00AF19D8" w14:paraId="59D5C740" w14:textId="77777777" w:rsidTr="000B5EB3">
        <w:trPr>
          <w:trHeight w:val="324"/>
        </w:trPr>
        <w:tc>
          <w:tcPr>
            <w:tcW w:w="751" w:type="pct"/>
          </w:tcPr>
          <w:p w14:paraId="76B71E5C" w14:textId="1F0CCD16" w:rsidR="00DE536D" w:rsidRPr="008670A9" w:rsidRDefault="00DE536D" w:rsidP="00DE536D">
            <w:pPr>
              <w:pStyle w:val="BodyText"/>
            </w:pPr>
            <w:r w:rsidRPr="008670A9">
              <w:t xml:space="preserve">V1g </w:t>
            </w:r>
            <w:r>
              <w:t>final draft</w:t>
            </w:r>
          </w:p>
        </w:tc>
        <w:tc>
          <w:tcPr>
            <w:tcW w:w="1254" w:type="pct"/>
          </w:tcPr>
          <w:p w14:paraId="6A1497CB" w14:textId="49247505" w:rsidR="00DE536D" w:rsidRPr="00C45E3B" w:rsidRDefault="00DE536D" w:rsidP="00DE536D">
            <w:pPr>
              <w:pStyle w:val="BodyText"/>
            </w:pPr>
            <w:r w:rsidRPr="00C45E3B">
              <w:t>Draft report of Milestone 3a, 3b and 3c</w:t>
            </w:r>
          </w:p>
        </w:tc>
        <w:tc>
          <w:tcPr>
            <w:tcW w:w="751" w:type="pct"/>
          </w:tcPr>
          <w:p w14:paraId="33104800" w14:textId="0D55A972" w:rsidR="00DE536D" w:rsidRDefault="00DE536D" w:rsidP="00DE536D">
            <w:pPr>
              <w:pStyle w:val="BodyText"/>
            </w:pPr>
            <w:r>
              <w:t>9/11/2021</w:t>
            </w:r>
          </w:p>
        </w:tc>
        <w:tc>
          <w:tcPr>
            <w:tcW w:w="751" w:type="pct"/>
          </w:tcPr>
          <w:p w14:paraId="12A6E824" w14:textId="1948B420" w:rsidR="00DE536D" w:rsidRDefault="00DE536D" w:rsidP="00DE536D">
            <w:pPr>
              <w:pStyle w:val="BodyText"/>
            </w:pPr>
            <w:r>
              <w:t>D Green</w:t>
            </w:r>
          </w:p>
        </w:tc>
        <w:tc>
          <w:tcPr>
            <w:tcW w:w="751" w:type="pct"/>
          </w:tcPr>
          <w:p w14:paraId="28247323" w14:textId="1532EC9F" w:rsidR="00DE536D" w:rsidRDefault="00DE536D" w:rsidP="00DE536D">
            <w:pPr>
              <w:pStyle w:val="BodyText"/>
            </w:pPr>
            <w:r>
              <w:t>R Cresswell</w:t>
            </w:r>
          </w:p>
        </w:tc>
        <w:tc>
          <w:tcPr>
            <w:tcW w:w="742" w:type="pct"/>
          </w:tcPr>
          <w:p w14:paraId="1961D930" w14:textId="5DAC3DB1" w:rsidR="00DE536D" w:rsidRDefault="00DE536D" w:rsidP="00DE536D">
            <w:pPr>
              <w:pStyle w:val="BodyText"/>
            </w:pPr>
            <w:r>
              <w:t>R Cresswell</w:t>
            </w:r>
          </w:p>
        </w:tc>
      </w:tr>
    </w:tbl>
    <w:p w14:paraId="512F5A15" w14:textId="77777777" w:rsidR="00DD179B" w:rsidRPr="00AF19D8" w:rsidRDefault="00DD179B" w:rsidP="0048076D">
      <w:pPr>
        <w:pStyle w:val="BodyText"/>
      </w:pPr>
    </w:p>
    <w:p w14:paraId="209FB48B" w14:textId="77777777" w:rsidR="00DD179B" w:rsidRPr="006E3F5D" w:rsidRDefault="00DD179B" w:rsidP="006E3F5D">
      <w:pPr>
        <w:pStyle w:val="BodyText"/>
        <w:rPr>
          <w:b/>
          <w:sz w:val="24"/>
          <w:szCs w:val="24"/>
        </w:rPr>
      </w:pPr>
      <w:r w:rsidRPr="006E3F5D">
        <w:rPr>
          <w:b/>
          <w:sz w:val="24"/>
          <w:szCs w:val="24"/>
        </w:rPr>
        <w:t>Distribution</w:t>
      </w:r>
    </w:p>
    <w:tbl>
      <w:tblPr>
        <w:tblStyle w:val="Coffey1"/>
        <w:tblW w:w="5000" w:type="pct"/>
        <w:tblLook w:val="0620" w:firstRow="1" w:lastRow="0" w:firstColumn="0" w:lastColumn="0" w:noHBand="1" w:noVBand="1"/>
      </w:tblPr>
      <w:tblGrid>
        <w:gridCol w:w="1352"/>
        <w:gridCol w:w="1352"/>
        <w:gridCol w:w="1353"/>
        <w:gridCol w:w="3607"/>
        <w:gridCol w:w="1353"/>
      </w:tblGrid>
      <w:tr w:rsidR="00DD179B" w:rsidRPr="00AF19D8" w14:paraId="77E9DF92" w14:textId="77777777" w:rsidTr="00261F6F">
        <w:trPr>
          <w:cnfStyle w:val="100000000000" w:firstRow="1" w:lastRow="0" w:firstColumn="0" w:lastColumn="0" w:oddVBand="0" w:evenVBand="0" w:oddHBand="0" w:evenHBand="0" w:firstRowFirstColumn="0" w:firstRowLastColumn="0" w:lastRowFirstColumn="0" w:lastRowLastColumn="0"/>
        </w:trPr>
        <w:tc>
          <w:tcPr>
            <w:tcW w:w="750" w:type="pct"/>
          </w:tcPr>
          <w:p w14:paraId="29DE0BF8" w14:textId="77777777" w:rsidR="00DD179B" w:rsidRPr="00AF19D8" w:rsidRDefault="00DD179B" w:rsidP="00DD179B">
            <w:pPr>
              <w:pStyle w:val="BodyText"/>
            </w:pPr>
            <w:r w:rsidRPr="00AF19D8">
              <w:t>Report Status</w:t>
            </w:r>
          </w:p>
        </w:tc>
        <w:tc>
          <w:tcPr>
            <w:tcW w:w="750" w:type="pct"/>
          </w:tcPr>
          <w:p w14:paraId="467DE9E8" w14:textId="77777777" w:rsidR="00DD179B" w:rsidRPr="00AF19D8" w:rsidRDefault="00DD179B" w:rsidP="00DD179B">
            <w:pPr>
              <w:pStyle w:val="BodyText"/>
            </w:pPr>
            <w:r w:rsidRPr="00AF19D8">
              <w:t>No. of copies</w:t>
            </w:r>
          </w:p>
        </w:tc>
        <w:tc>
          <w:tcPr>
            <w:tcW w:w="750" w:type="pct"/>
          </w:tcPr>
          <w:p w14:paraId="678347B0" w14:textId="77777777" w:rsidR="00DD179B" w:rsidRPr="00AF19D8" w:rsidRDefault="00DD179B" w:rsidP="00DD179B">
            <w:pPr>
              <w:pStyle w:val="BodyText"/>
            </w:pPr>
            <w:r w:rsidRPr="00AF19D8">
              <w:t>Format</w:t>
            </w:r>
          </w:p>
        </w:tc>
        <w:tc>
          <w:tcPr>
            <w:tcW w:w="2000" w:type="pct"/>
          </w:tcPr>
          <w:p w14:paraId="3262260C" w14:textId="77777777" w:rsidR="00DD179B" w:rsidRPr="00AF19D8" w:rsidRDefault="00DD179B" w:rsidP="00DD179B">
            <w:pPr>
              <w:pStyle w:val="BodyText"/>
            </w:pPr>
            <w:r w:rsidRPr="00AF19D8">
              <w:t>Distributed to</w:t>
            </w:r>
          </w:p>
        </w:tc>
        <w:tc>
          <w:tcPr>
            <w:tcW w:w="750" w:type="pct"/>
          </w:tcPr>
          <w:p w14:paraId="7A5A5E8A" w14:textId="77777777" w:rsidR="00DD179B" w:rsidRPr="00AF19D8" w:rsidRDefault="00DD179B" w:rsidP="00DD179B">
            <w:pPr>
              <w:pStyle w:val="BodyText"/>
            </w:pPr>
            <w:r w:rsidRPr="00AF19D8">
              <w:t>Date</w:t>
            </w:r>
          </w:p>
        </w:tc>
      </w:tr>
      <w:tr w:rsidR="00DD179B" w:rsidRPr="00AF19D8" w14:paraId="240C5617" w14:textId="77777777" w:rsidTr="00261F6F">
        <w:tc>
          <w:tcPr>
            <w:tcW w:w="750" w:type="pct"/>
          </w:tcPr>
          <w:p w14:paraId="6232E597" w14:textId="3DC9B746" w:rsidR="00DD179B" w:rsidRPr="00AF19D8" w:rsidRDefault="00F27835" w:rsidP="00DD179B">
            <w:pPr>
              <w:pStyle w:val="BodyText"/>
            </w:pPr>
            <w:r>
              <w:t>V</w:t>
            </w:r>
            <w:r w:rsidR="00C409E2">
              <w:t>1b</w:t>
            </w:r>
            <w:r>
              <w:t xml:space="preserve"> draft</w:t>
            </w:r>
          </w:p>
        </w:tc>
        <w:tc>
          <w:tcPr>
            <w:tcW w:w="750" w:type="pct"/>
          </w:tcPr>
          <w:p w14:paraId="559EADF1" w14:textId="5D2C871B" w:rsidR="00DD179B" w:rsidRPr="00AF19D8" w:rsidRDefault="00F27835" w:rsidP="00DD179B">
            <w:pPr>
              <w:pStyle w:val="BodyText"/>
            </w:pPr>
            <w:r>
              <w:t>1</w:t>
            </w:r>
          </w:p>
        </w:tc>
        <w:tc>
          <w:tcPr>
            <w:tcW w:w="750" w:type="pct"/>
          </w:tcPr>
          <w:p w14:paraId="4383D975" w14:textId="4B6D1551" w:rsidR="00DD179B" w:rsidRPr="00AF19D8" w:rsidRDefault="00F27835" w:rsidP="00DD179B">
            <w:pPr>
              <w:pStyle w:val="BodyText"/>
            </w:pPr>
            <w:r>
              <w:t>PDF</w:t>
            </w:r>
          </w:p>
        </w:tc>
        <w:tc>
          <w:tcPr>
            <w:tcW w:w="2000" w:type="pct"/>
          </w:tcPr>
          <w:p w14:paraId="343A2E5A" w14:textId="551E2FC2" w:rsidR="00DD179B" w:rsidRPr="00AF19D8" w:rsidRDefault="00F27835" w:rsidP="00DD179B">
            <w:pPr>
              <w:pStyle w:val="BodyText"/>
            </w:pPr>
            <w:r>
              <w:t>K Strike and P Baker</w:t>
            </w:r>
          </w:p>
        </w:tc>
        <w:tc>
          <w:tcPr>
            <w:tcW w:w="750" w:type="pct"/>
          </w:tcPr>
          <w:p w14:paraId="37110C29" w14:textId="15E811B4" w:rsidR="00DD179B" w:rsidRPr="00AF19D8" w:rsidRDefault="00F27835" w:rsidP="00DD179B">
            <w:pPr>
              <w:pStyle w:val="BodyText"/>
            </w:pPr>
            <w:r>
              <w:t>30/11/2020</w:t>
            </w:r>
          </w:p>
        </w:tc>
      </w:tr>
      <w:tr w:rsidR="00686327" w:rsidRPr="00AF19D8" w14:paraId="5A10E671" w14:textId="77777777" w:rsidTr="00261F6F">
        <w:tc>
          <w:tcPr>
            <w:tcW w:w="750" w:type="pct"/>
          </w:tcPr>
          <w:p w14:paraId="7CDB0172" w14:textId="21F006B7" w:rsidR="00686327" w:rsidRDefault="00686327" w:rsidP="00DD179B">
            <w:pPr>
              <w:pStyle w:val="BodyText"/>
            </w:pPr>
            <w:r>
              <w:t>V1d draft</w:t>
            </w:r>
          </w:p>
        </w:tc>
        <w:tc>
          <w:tcPr>
            <w:tcW w:w="750" w:type="pct"/>
          </w:tcPr>
          <w:p w14:paraId="78D35BC3" w14:textId="228039A3" w:rsidR="00686327" w:rsidRDefault="00686327" w:rsidP="00DD179B">
            <w:pPr>
              <w:pStyle w:val="BodyText"/>
            </w:pPr>
            <w:r>
              <w:t>1</w:t>
            </w:r>
          </w:p>
        </w:tc>
        <w:tc>
          <w:tcPr>
            <w:tcW w:w="750" w:type="pct"/>
          </w:tcPr>
          <w:p w14:paraId="5F7430AA" w14:textId="20C08EDE" w:rsidR="00686327" w:rsidRDefault="00686327" w:rsidP="00314493">
            <w:pPr>
              <w:pStyle w:val="BodyText"/>
              <w:spacing w:before="100"/>
            </w:pPr>
            <w:r>
              <w:t>PDF and Word</w:t>
            </w:r>
          </w:p>
        </w:tc>
        <w:tc>
          <w:tcPr>
            <w:tcW w:w="2000" w:type="pct"/>
          </w:tcPr>
          <w:p w14:paraId="077BC819" w14:textId="031FD576" w:rsidR="00686327" w:rsidRDefault="00686327" w:rsidP="00DD179B">
            <w:pPr>
              <w:pStyle w:val="BodyText"/>
            </w:pPr>
            <w:r w:rsidRPr="00686327">
              <w:t>K Strike and P Baker</w:t>
            </w:r>
          </w:p>
        </w:tc>
        <w:tc>
          <w:tcPr>
            <w:tcW w:w="750" w:type="pct"/>
          </w:tcPr>
          <w:p w14:paraId="32B80E7F" w14:textId="4E204625" w:rsidR="00686327" w:rsidRDefault="00686327" w:rsidP="00DD179B">
            <w:pPr>
              <w:pStyle w:val="BodyText"/>
            </w:pPr>
            <w:r>
              <w:t>23/12/2020</w:t>
            </w:r>
          </w:p>
        </w:tc>
      </w:tr>
      <w:tr w:rsidR="00E83E95" w:rsidRPr="00AF19D8" w14:paraId="44ACCEE2" w14:textId="77777777" w:rsidTr="00261F6F">
        <w:tc>
          <w:tcPr>
            <w:tcW w:w="750" w:type="pct"/>
          </w:tcPr>
          <w:p w14:paraId="331F7893" w14:textId="5685339F" w:rsidR="00E83E95" w:rsidRDefault="00E83E95" w:rsidP="00E83E95">
            <w:pPr>
              <w:pStyle w:val="BodyText"/>
            </w:pPr>
            <w:r>
              <w:t>V1f draft</w:t>
            </w:r>
          </w:p>
        </w:tc>
        <w:tc>
          <w:tcPr>
            <w:tcW w:w="750" w:type="pct"/>
          </w:tcPr>
          <w:p w14:paraId="59617EA3" w14:textId="39E0F349" w:rsidR="00E83E95" w:rsidRDefault="00E83E95" w:rsidP="00E83E95">
            <w:pPr>
              <w:pStyle w:val="BodyText"/>
            </w:pPr>
            <w:r>
              <w:t>1</w:t>
            </w:r>
          </w:p>
        </w:tc>
        <w:tc>
          <w:tcPr>
            <w:tcW w:w="750" w:type="pct"/>
          </w:tcPr>
          <w:p w14:paraId="0C4407E3" w14:textId="27E1F161" w:rsidR="00E83E95" w:rsidRDefault="00E83E95" w:rsidP="00E83E95">
            <w:pPr>
              <w:pStyle w:val="BodyText"/>
            </w:pPr>
            <w:r>
              <w:t>PDF and Word</w:t>
            </w:r>
          </w:p>
        </w:tc>
        <w:tc>
          <w:tcPr>
            <w:tcW w:w="2000" w:type="pct"/>
          </w:tcPr>
          <w:p w14:paraId="28EF4CAF" w14:textId="5FDEB2AF" w:rsidR="00E83E95" w:rsidRPr="00686327" w:rsidRDefault="00E83E95" w:rsidP="00E83E95">
            <w:pPr>
              <w:pStyle w:val="BodyText"/>
            </w:pPr>
            <w:r w:rsidRPr="00E046F6">
              <w:t>K Strike and P Baker</w:t>
            </w:r>
          </w:p>
        </w:tc>
        <w:tc>
          <w:tcPr>
            <w:tcW w:w="750" w:type="pct"/>
          </w:tcPr>
          <w:p w14:paraId="7F5D9868" w14:textId="6E0ED098" w:rsidR="00E83E95" w:rsidRDefault="00E83E95" w:rsidP="00E83E95">
            <w:pPr>
              <w:pStyle w:val="BodyText"/>
            </w:pPr>
            <w:r w:rsidRPr="00E046F6">
              <w:t>2</w:t>
            </w:r>
            <w:r w:rsidR="008C363B">
              <w:t>7</w:t>
            </w:r>
            <w:r>
              <w:t>/01</w:t>
            </w:r>
            <w:r w:rsidRPr="00E046F6">
              <w:t>/202</w:t>
            </w:r>
            <w:r>
              <w:t>1</w:t>
            </w:r>
          </w:p>
        </w:tc>
      </w:tr>
      <w:tr w:rsidR="000B5EB3" w:rsidRPr="00AF19D8" w14:paraId="115DF4C9" w14:textId="77777777" w:rsidTr="00261F6F">
        <w:tc>
          <w:tcPr>
            <w:tcW w:w="750" w:type="pct"/>
          </w:tcPr>
          <w:p w14:paraId="07556A35" w14:textId="19515113" w:rsidR="000B5EB3" w:rsidRDefault="00C45E3B" w:rsidP="00E83E95">
            <w:pPr>
              <w:pStyle w:val="BodyText"/>
            </w:pPr>
            <w:r>
              <w:t>V1h</w:t>
            </w:r>
            <w:r w:rsidR="00710D1F">
              <w:t xml:space="preserve"> final</w:t>
            </w:r>
            <w:r w:rsidR="0098330A">
              <w:t xml:space="preserve"> draft</w:t>
            </w:r>
          </w:p>
        </w:tc>
        <w:tc>
          <w:tcPr>
            <w:tcW w:w="750" w:type="pct"/>
          </w:tcPr>
          <w:p w14:paraId="72D81831" w14:textId="69CC5F7B" w:rsidR="000B5EB3" w:rsidRDefault="00C45E3B" w:rsidP="00E83E95">
            <w:pPr>
              <w:pStyle w:val="BodyText"/>
            </w:pPr>
            <w:r>
              <w:t>1</w:t>
            </w:r>
          </w:p>
        </w:tc>
        <w:tc>
          <w:tcPr>
            <w:tcW w:w="750" w:type="pct"/>
          </w:tcPr>
          <w:p w14:paraId="6724FEB1" w14:textId="342C2A44" w:rsidR="000B5EB3" w:rsidRDefault="00C45E3B" w:rsidP="00E83E95">
            <w:pPr>
              <w:pStyle w:val="BodyText"/>
            </w:pPr>
            <w:r>
              <w:t>PDF</w:t>
            </w:r>
          </w:p>
        </w:tc>
        <w:tc>
          <w:tcPr>
            <w:tcW w:w="2000" w:type="pct"/>
          </w:tcPr>
          <w:p w14:paraId="114BC5EA" w14:textId="41471A80" w:rsidR="000B5EB3" w:rsidRPr="00E046F6" w:rsidRDefault="00C45E3B" w:rsidP="00E83E95">
            <w:pPr>
              <w:pStyle w:val="BodyText"/>
            </w:pPr>
            <w:r>
              <w:t>K Strike, P Baker and N Smillie</w:t>
            </w:r>
          </w:p>
        </w:tc>
        <w:tc>
          <w:tcPr>
            <w:tcW w:w="750" w:type="pct"/>
          </w:tcPr>
          <w:p w14:paraId="22F44DEB" w14:textId="5A080CC3" w:rsidR="000B5EB3" w:rsidRPr="00E046F6" w:rsidRDefault="00C45E3B" w:rsidP="00E83E95">
            <w:pPr>
              <w:pStyle w:val="BodyText"/>
            </w:pPr>
            <w:r>
              <w:t>25/02/2021</w:t>
            </w:r>
          </w:p>
        </w:tc>
      </w:tr>
      <w:tr w:rsidR="00DE536D" w:rsidRPr="00AF19D8" w14:paraId="662BE4F0" w14:textId="77777777" w:rsidTr="00261F6F">
        <w:tc>
          <w:tcPr>
            <w:tcW w:w="750" w:type="pct"/>
          </w:tcPr>
          <w:p w14:paraId="40FF48D2" w14:textId="2F8D9AB8" w:rsidR="00DE536D" w:rsidRDefault="00DE536D" w:rsidP="00E83E95">
            <w:pPr>
              <w:pStyle w:val="BodyText"/>
            </w:pPr>
            <w:r>
              <w:t>V1 final</w:t>
            </w:r>
          </w:p>
        </w:tc>
        <w:tc>
          <w:tcPr>
            <w:tcW w:w="750" w:type="pct"/>
          </w:tcPr>
          <w:p w14:paraId="1C9977F5" w14:textId="375E279E" w:rsidR="00DE536D" w:rsidRDefault="00DE536D" w:rsidP="00E83E95">
            <w:pPr>
              <w:pStyle w:val="BodyText"/>
            </w:pPr>
            <w:r>
              <w:t>1</w:t>
            </w:r>
          </w:p>
        </w:tc>
        <w:tc>
          <w:tcPr>
            <w:tcW w:w="750" w:type="pct"/>
          </w:tcPr>
          <w:p w14:paraId="469BB969" w14:textId="1D2599F6" w:rsidR="00DE536D" w:rsidRDefault="00DE536D" w:rsidP="00E83E95">
            <w:pPr>
              <w:pStyle w:val="BodyText"/>
            </w:pPr>
            <w:r>
              <w:t>PDF and Word</w:t>
            </w:r>
          </w:p>
        </w:tc>
        <w:tc>
          <w:tcPr>
            <w:tcW w:w="2000" w:type="pct"/>
          </w:tcPr>
          <w:p w14:paraId="5F24CEF4" w14:textId="4496648B" w:rsidR="00DE536D" w:rsidRDefault="00DE536D" w:rsidP="00E83E95">
            <w:pPr>
              <w:pStyle w:val="BodyText"/>
            </w:pPr>
            <w:r w:rsidRPr="00686327">
              <w:t>K Strike and P Baker</w:t>
            </w:r>
          </w:p>
        </w:tc>
        <w:tc>
          <w:tcPr>
            <w:tcW w:w="750" w:type="pct"/>
          </w:tcPr>
          <w:p w14:paraId="2224505E" w14:textId="1848038B" w:rsidR="00DE536D" w:rsidRDefault="00DE536D" w:rsidP="00E83E95">
            <w:pPr>
              <w:pStyle w:val="BodyText"/>
            </w:pPr>
            <w:r>
              <w:t>9/11/2021</w:t>
            </w:r>
          </w:p>
        </w:tc>
      </w:tr>
    </w:tbl>
    <w:p w14:paraId="6BBAF142" w14:textId="77777777" w:rsidR="00AE182D" w:rsidRPr="00152CFD" w:rsidRDefault="00AE182D" w:rsidP="00925B50">
      <w:pPr>
        <w:pStyle w:val="BodyText"/>
        <w:rPr>
          <w:b/>
        </w:rPr>
      </w:pPr>
    </w:p>
    <w:p w14:paraId="7DC674B2" w14:textId="77777777" w:rsidR="00026E7F" w:rsidRDefault="00026E7F">
      <w:pPr>
        <w:rPr>
          <w:szCs w:val="22"/>
        </w:rPr>
      </w:pPr>
      <w:r>
        <w:br w:type="page"/>
      </w:r>
    </w:p>
    <w:sdt>
      <w:sdtPr>
        <w:rPr>
          <w:b w:val="0"/>
          <w:sz w:val="20"/>
          <w:szCs w:val="20"/>
        </w:rPr>
        <w:id w:val="-1768528673"/>
        <w:docPartObj>
          <w:docPartGallery w:val="Table of Contents"/>
          <w:docPartUnique/>
        </w:docPartObj>
      </w:sdtPr>
      <w:sdtEndPr>
        <w:rPr>
          <w:bCs/>
          <w:noProof/>
        </w:rPr>
      </w:sdtEndPr>
      <w:sdtContent>
        <w:p w14:paraId="4177DD74" w14:textId="77777777" w:rsidR="00830FD0" w:rsidRPr="00AF19D8" w:rsidRDefault="00333ACF" w:rsidP="005A617D">
          <w:pPr>
            <w:pStyle w:val="TOCHeading"/>
          </w:pPr>
          <w:r w:rsidRPr="00AF19D8">
            <w:t>Table of c</w:t>
          </w:r>
          <w:r w:rsidR="00830FD0" w:rsidRPr="00AF19D8">
            <w:t>ontents</w:t>
          </w:r>
        </w:p>
        <w:p w14:paraId="37C5C507" w14:textId="4A7F8BAF" w:rsidR="008A4A95" w:rsidRDefault="003E391C">
          <w:pPr>
            <w:pStyle w:val="TOC1"/>
            <w:rPr>
              <w:rFonts w:eastAsiaTheme="minorEastAsia"/>
              <w:sz w:val="22"/>
              <w:lang w:eastAsia="en-AU"/>
            </w:rPr>
          </w:pPr>
          <w:r w:rsidRPr="00AF19D8">
            <w:rPr>
              <w:noProof w:val="0"/>
            </w:rPr>
            <w:fldChar w:fldCharType="begin"/>
          </w:r>
          <w:r w:rsidRPr="00AF19D8">
            <w:instrText xml:space="preserve"> TOC \o "1-3" \h \z \u </w:instrText>
          </w:r>
          <w:r w:rsidRPr="00AF19D8">
            <w:rPr>
              <w:noProof w:val="0"/>
            </w:rPr>
            <w:fldChar w:fldCharType="separate"/>
          </w:r>
          <w:hyperlink w:anchor="_Toc87278305" w:history="1">
            <w:r w:rsidR="008A4A95" w:rsidRPr="00240D7C">
              <w:rPr>
                <w:rStyle w:val="Hyperlink"/>
              </w:rPr>
              <w:t>Glossary, acronyms, initialisms and abbreviations</w:t>
            </w:r>
            <w:r w:rsidR="008A4A95">
              <w:rPr>
                <w:webHidden/>
              </w:rPr>
              <w:tab/>
            </w:r>
            <w:r w:rsidR="008A4A95">
              <w:rPr>
                <w:webHidden/>
              </w:rPr>
              <w:fldChar w:fldCharType="begin"/>
            </w:r>
            <w:r w:rsidR="008A4A95">
              <w:rPr>
                <w:webHidden/>
              </w:rPr>
              <w:instrText xml:space="preserve"> PAGEREF _Toc87278305 \h </w:instrText>
            </w:r>
            <w:r w:rsidR="008A4A95">
              <w:rPr>
                <w:webHidden/>
              </w:rPr>
            </w:r>
            <w:r w:rsidR="008A4A95">
              <w:rPr>
                <w:webHidden/>
              </w:rPr>
              <w:fldChar w:fldCharType="separate"/>
            </w:r>
            <w:r w:rsidR="00937ADD">
              <w:rPr>
                <w:webHidden/>
              </w:rPr>
              <w:t>vi</w:t>
            </w:r>
            <w:r w:rsidR="008A4A95">
              <w:rPr>
                <w:webHidden/>
              </w:rPr>
              <w:fldChar w:fldCharType="end"/>
            </w:r>
          </w:hyperlink>
        </w:p>
        <w:p w14:paraId="392474E9" w14:textId="20D0ED6D" w:rsidR="008A4A95" w:rsidRDefault="009B0C52">
          <w:pPr>
            <w:pStyle w:val="TOC1"/>
            <w:rPr>
              <w:rFonts w:eastAsiaTheme="minorEastAsia"/>
              <w:sz w:val="22"/>
              <w:lang w:eastAsia="en-AU"/>
            </w:rPr>
          </w:pPr>
          <w:hyperlink w:anchor="_Toc87278306" w:history="1">
            <w:r w:rsidR="008A4A95" w:rsidRPr="00240D7C">
              <w:rPr>
                <w:rStyle w:val="Hyperlink"/>
              </w:rPr>
              <w:t>Executive summary</w:t>
            </w:r>
            <w:r w:rsidR="008A4A95">
              <w:rPr>
                <w:webHidden/>
              </w:rPr>
              <w:tab/>
            </w:r>
            <w:r w:rsidR="008A4A95">
              <w:rPr>
                <w:webHidden/>
              </w:rPr>
              <w:fldChar w:fldCharType="begin"/>
            </w:r>
            <w:r w:rsidR="008A4A95">
              <w:rPr>
                <w:webHidden/>
              </w:rPr>
              <w:instrText xml:space="preserve"> PAGEREF _Toc87278306 \h </w:instrText>
            </w:r>
            <w:r w:rsidR="008A4A95">
              <w:rPr>
                <w:webHidden/>
              </w:rPr>
            </w:r>
            <w:r w:rsidR="008A4A95">
              <w:rPr>
                <w:webHidden/>
              </w:rPr>
              <w:fldChar w:fldCharType="separate"/>
            </w:r>
            <w:r w:rsidR="00937ADD">
              <w:rPr>
                <w:webHidden/>
              </w:rPr>
              <w:t>ix</w:t>
            </w:r>
            <w:r w:rsidR="008A4A95">
              <w:rPr>
                <w:webHidden/>
              </w:rPr>
              <w:fldChar w:fldCharType="end"/>
            </w:r>
          </w:hyperlink>
        </w:p>
        <w:p w14:paraId="46A5E08B" w14:textId="1D6A5CBF" w:rsidR="008A4A95" w:rsidRDefault="009B0C52">
          <w:pPr>
            <w:pStyle w:val="TOC1"/>
            <w:rPr>
              <w:rFonts w:eastAsiaTheme="minorEastAsia"/>
              <w:sz w:val="22"/>
              <w:lang w:eastAsia="en-AU"/>
            </w:rPr>
          </w:pPr>
          <w:hyperlink w:anchor="_Toc87278307" w:history="1">
            <w:r w:rsidR="008A4A95" w:rsidRPr="00240D7C">
              <w:rPr>
                <w:rStyle w:val="Hyperlink"/>
              </w:rPr>
              <w:t>1.</w:t>
            </w:r>
            <w:r w:rsidR="008A4A95">
              <w:rPr>
                <w:rFonts w:eastAsiaTheme="minorEastAsia"/>
                <w:sz w:val="22"/>
                <w:lang w:eastAsia="en-AU"/>
              </w:rPr>
              <w:tab/>
            </w:r>
            <w:r w:rsidR="008A4A95" w:rsidRPr="00240D7C">
              <w:rPr>
                <w:rStyle w:val="Hyperlink"/>
              </w:rPr>
              <w:t>Introduction</w:t>
            </w:r>
            <w:r w:rsidR="008A4A95">
              <w:rPr>
                <w:webHidden/>
              </w:rPr>
              <w:tab/>
            </w:r>
            <w:r w:rsidR="008A4A95">
              <w:rPr>
                <w:webHidden/>
              </w:rPr>
              <w:fldChar w:fldCharType="begin"/>
            </w:r>
            <w:r w:rsidR="008A4A95">
              <w:rPr>
                <w:webHidden/>
              </w:rPr>
              <w:instrText xml:space="preserve"> PAGEREF _Toc87278307 \h </w:instrText>
            </w:r>
            <w:r w:rsidR="008A4A95">
              <w:rPr>
                <w:webHidden/>
              </w:rPr>
            </w:r>
            <w:r w:rsidR="008A4A95">
              <w:rPr>
                <w:webHidden/>
              </w:rPr>
              <w:fldChar w:fldCharType="separate"/>
            </w:r>
            <w:r w:rsidR="00937ADD">
              <w:rPr>
                <w:webHidden/>
              </w:rPr>
              <w:t>1</w:t>
            </w:r>
            <w:r w:rsidR="008A4A95">
              <w:rPr>
                <w:webHidden/>
              </w:rPr>
              <w:fldChar w:fldCharType="end"/>
            </w:r>
          </w:hyperlink>
        </w:p>
        <w:p w14:paraId="64A3FC6D" w14:textId="5D3B3C6C" w:rsidR="008A4A95" w:rsidRDefault="009B0C52">
          <w:pPr>
            <w:pStyle w:val="TOC2"/>
            <w:rPr>
              <w:rFonts w:eastAsiaTheme="minorEastAsia"/>
              <w:noProof/>
              <w:sz w:val="22"/>
              <w:szCs w:val="22"/>
              <w:lang w:eastAsia="en-AU"/>
            </w:rPr>
          </w:pPr>
          <w:hyperlink w:anchor="_Toc87278308" w:history="1">
            <w:r w:rsidR="008A4A95" w:rsidRPr="00240D7C">
              <w:rPr>
                <w:rStyle w:val="Hyperlink"/>
                <w:noProof/>
              </w:rPr>
              <w:t>1.1.</w:t>
            </w:r>
            <w:r w:rsidR="008A4A95">
              <w:rPr>
                <w:rFonts w:eastAsiaTheme="minorEastAsia"/>
                <w:noProof/>
                <w:sz w:val="22"/>
                <w:szCs w:val="22"/>
                <w:lang w:eastAsia="en-AU"/>
              </w:rPr>
              <w:tab/>
            </w:r>
            <w:r w:rsidR="008A4A95" w:rsidRPr="00240D7C">
              <w:rPr>
                <w:rStyle w:val="Hyperlink"/>
                <w:noProof/>
              </w:rPr>
              <w:t>Background</w:t>
            </w:r>
            <w:r w:rsidR="008A4A95">
              <w:rPr>
                <w:noProof/>
                <w:webHidden/>
              </w:rPr>
              <w:tab/>
            </w:r>
            <w:r w:rsidR="008A4A95">
              <w:rPr>
                <w:noProof/>
                <w:webHidden/>
              </w:rPr>
              <w:fldChar w:fldCharType="begin"/>
            </w:r>
            <w:r w:rsidR="008A4A95">
              <w:rPr>
                <w:noProof/>
                <w:webHidden/>
              </w:rPr>
              <w:instrText xml:space="preserve"> PAGEREF _Toc87278308 \h </w:instrText>
            </w:r>
            <w:r w:rsidR="008A4A95">
              <w:rPr>
                <w:noProof/>
                <w:webHidden/>
              </w:rPr>
            </w:r>
            <w:r w:rsidR="008A4A95">
              <w:rPr>
                <w:noProof/>
                <w:webHidden/>
              </w:rPr>
              <w:fldChar w:fldCharType="separate"/>
            </w:r>
            <w:r w:rsidR="00937ADD">
              <w:rPr>
                <w:noProof/>
                <w:webHidden/>
              </w:rPr>
              <w:t>1</w:t>
            </w:r>
            <w:r w:rsidR="008A4A95">
              <w:rPr>
                <w:noProof/>
                <w:webHidden/>
              </w:rPr>
              <w:fldChar w:fldCharType="end"/>
            </w:r>
          </w:hyperlink>
        </w:p>
        <w:p w14:paraId="0217C9D4" w14:textId="78D0F3C6" w:rsidR="008A4A95" w:rsidRDefault="009B0C52">
          <w:pPr>
            <w:pStyle w:val="TOC2"/>
            <w:rPr>
              <w:rFonts w:eastAsiaTheme="minorEastAsia"/>
              <w:noProof/>
              <w:sz w:val="22"/>
              <w:szCs w:val="22"/>
              <w:lang w:eastAsia="en-AU"/>
            </w:rPr>
          </w:pPr>
          <w:hyperlink w:anchor="_Toc87278309" w:history="1">
            <w:r w:rsidR="008A4A95" w:rsidRPr="00240D7C">
              <w:rPr>
                <w:rStyle w:val="Hyperlink"/>
                <w:noProof/>
              </w:rPr>
              <w:t>1.2.</w:t>
            </w:r>
            <w:r w:rsidR="008A4A95">
              <w:rPr>
                <w:rFonts w:eastAsiaTheme="minorEastAsia"/>
                <w:noProof/>
                <w:sz w:val="22"/>
                <w:szCs w:val="22"/>
                <w:lang w:eastAsia="en-AU"/>
              </w:rPr>
              <w:tab/>
            </w:r>
            <w:r w:rsidR="008A4A95" w:rsidRPr="00240D7C">
              <w:rPr>
                <w:rStyle w:val="Hyperlink"/>
                <w:noProof/>
              </w:rPr>
              <w:t>Scope of works</w:t>
            </w:r>
            <w:r w:rsidR="008A4A95">
              <w:rPr>
                <w:noProof/>
                <w:webHidden/>
              </w:rPr>
              <w:tab/>
            </w:r>
            <w:r w:rsidR="008A4A95">
              <w:rPr>
                <w:noProof/>
                <w:webHidden/>
              </w:rPr>
              <w:fldChar w:fldCharType="begin"/>
            </w:r>
            <w:r w:rsidR="008A4A95">
              <w:rPr>
                <w:noProof/>
                <w:webHidden/>
              </w:rPr>
              <w:instrText xml:space="preserve"> PAGEREF _Toc87278309 \h </w:instrText>
            </w:r>
            <w:r w:rsidR="008A4A95">
              <w:rPr>
                <w:noProof/>
                <w:webHidden/>
              </w:rPr>
            </w:r>
            <w:r w:rsidR="008A4A95">
              <w:rPr>
                <w:noProof/>
                <w:webHidden/>
              </w:rPr>
              <w:fldChar w:fldCharType="separate"/>
            </w:r>
            <w:r w:rsidR="00937ADD">
              <w:rPr>
                <w:noProof/>
                <w:webHidden/>
              </w:rPr>
              <w:t>1</w:t>
            </w:r>
            <w:r w:rsidR="008A4A95">
              <w:rPr>
                <w:noProof/>
                <w:webHidden/>
              </w:rPr>
              <w:fldChar w:fldCharType="end"/>
            </w:r>
          </w:hyperlink>
        </w:p>
        <w:p w14:paraId="65A67087" w14:textId="3CD7E25B" w:rsidR="008A4A95" w:rsidRDefault="009B0C52">
          <w:pPr>
            <w:pStyle w:val="TOC1"/>
            <w:rPr>
              <w:rFonts w:eastAsiaTheme="minorEastAsia"/>
              <w:sz w:val="22"/>
              <w:lang w:eastAsia="en-AU"/>
            </w:rPr>
          </w:pPr>
          <w:hyperlink w:anchor="_Toc87278310" w:history="1">
            <w:r w:rsidR="008A4A95" w:rsidRPr="00240D7C">
              <w:rPr>
                <w:rStyle w:val="Hyperlink"/>
              </w:rPr>
              <w:t>2.</w:t>
            </w:r>
            <w:r w:rsidR="008A4A95">
              <w:rPr>
                <w:rFonts w:eastAsiaTheme="minorEastAsia"/>
                <w:sz w:val="22"/>
                <w:lang w:eastAsia="en-AU"/>
              </w:rPr>
              <w:tab/>
            </w:r>
            <w:r w:rsidR="008A4A95" w:rsidRPr="00240D7C">
              <w:rPr>
                <w:rStyle w:val="Hyperlink"/>
              </w:rPr>
              <w:t>Scoping study approach</w:t>
            </w:r>
            <w:r w:rsidR="008A4A95">
              <w:rPr>
                <w:webHidden/>
              </w:rPr>
              <w:tab/>
            </w:r>
            <w:r w:rsidR="008A4A95">
              <w:rPr>
                <w:webHidden/>
              </w:rPr>
              <w:fldChar w:fldCharType="begin"/>
            </w:r>
            <w:r w:rsidR="008A4A95">
              <w:rPr>
                <w:webHidden/>
              </w:rPr>
              <w:instrText xml:space="preserve"> PAGEREF _Toc87278310 \h </w:instrText>
            </w:r>
            <w:r w:rsidR="008A4A95">
              <w:rPr>
                <w:webHidden/>
              </w:rPr>
            </w:r>
            <w:r w:rsidR="008A4A95">
              <w:rPr>
                <w:webHidden/>
              </w:rPr>
              <w:fldChar w:fldCharType="separate"/>
            </w:r>
            <w:r w:rsidR="00937ADD">
              <w:rPr>
                <w:webHidden/>
              </w:rPr>
              <w:t>2</w:t>
            </w:r>
            <w:r w:rsidR="008A4A95">
              <w:rPr>
                <w:webHidden/>
              </w:rPr>
              <w:fldChar w:fldCharType="end"/>
            </w:r>
          </w:hyperlink>
        </w:p>
        <w:p w14:paraId="3D37D2D2" w14:textId="2720C346" w:rsidR="008A4A95" w:rsidRDefault="009B0C52">
          <w:pPr>
            <w:pStyle w:val="TOC2"/>
            <w:rPr>
              <w:rFonts w:eastAsiaTheme="minorEastAsia"/>
              <w:noProof/>
              <w:sz w:val="22"/>
              <w:szCs w:val="22"/>
              <w:lang w:eastAsia="en-AU"/>
            </w:rPr>
          </w:pPr>
          <w:hyperlink w:anchor="_Toc87278311" w:history="1">
            <w:r w:rsidR="008A4A95" w:rsidRPr="00240D7C">
              <w:rPr>
                <w:rStyle w:val="Hyperlink"/>
                <w:noProof/>
              </w:rPr>
              <w:t>2.1.</w:t>
            </w:r>
            <w:r w:rsidR="008A4A95">
              <w:rPr>
                <w:rFonts w:eastAsiaTheme="minorEastAsia"/>
                <w:noProof/>
                <w:sz w:val="22"/>
                <w:szCs w:val="22"/>
                <w:lang w:eastAsia="en-AU"/>
              </w:rPr>
              <w:tab/>
            </w:r>
            <w:r w:rsidR="008A4A95" w:rsidRPr="00240D7C">
              <w:rPr>
                <w:rStyle w:val="Hyperlink"/>
                <w:noProof/>
              </w:rPr>
              <w:t>Introduction</w:t>
            </w:r>
            <w:r w:rsidR="008A4A95">
              <w:rPr>
                <w:noProof/>
                <w:webHidden/>
              </w:rPr>
              <w:tab/>
            </w:r>
            <w:r w:rsidR="008A4A95">
              <w:rPr>
                <w:noProof/>
                <w:webHidden/>
              </w:rPr>
              <w:fldChar w:fldCharType="begin"/>
            </w:r>
            <w:r w:rsidR="008A4A95">
              <w:rPr>
                <w:noProof/>
                <w:webHidden/>
              </w:rPr>
              <w:instrText xml:space="preserve"> PAGEREF _Toc87278311 \h </w:instrText>
            </w:r>
            <w:r w:rsidR="008A4A95">
              <w:rPr>
                <w:noProof/>
                <w:webHidden/>
              </w:rPr>
            </w:r>
            <w:r w:rsidR="008A4A95">
              <w:rPr>
                <w:noProof/>
                <w:webHidden/>
              </w:rPr>
              <w:fldChar w:fldCharType="separate"/>
            </w:r>
            <w:r w:rsidR="00937ADD">
              <w:rPr>
                <w:noProof/>
                <w:webHidden/>
              </w:rPr>
              <w:t>2</w:t>
            </w:r>
            <w:r w:rsidR="008A4A95">
              <w:rPr>
                <w:noProof/>
                <w:webHidden/>
              </w:rPr>
              <w:fldChar w:fldCharType="end"/>
            </w:r>
          </w:hyperlink>
        </w:p>
        <w:p w14:paraId="219FA2B9" w14:textId="4ED5A29E" w:rsidR="008A4A95" w:rsidRDefault="009B0C52">
          <w:pPr>
            <w:pStyle w:val="TOC2"/>
            <w:rPr>
              <w:rFonts w:eastAsiaTheme="minorEastAsia"/>
              <w:noProof/>
              <w:sz w:val="22"/>
              <w:szCs w:val="22"/>
              <w:lang w:eastAsia="en-AU"/>
            </w:rPr>
          </w:pPr>
          <w:hyperlink w:anchor="_Toc87278312" w:history="1">
            <w:r w:rsidR="008A4A95" w:rsidRPr="00240D7C">
              <w:rPr>
                <w:rStyle w:val="Hyperlink"/>
                <w:noProof/>
              </w:rPr>
              <w:t>2.2.</w:t>
            </w:r>
            <w:r w:rsidR="008A4A95">
              <w:rPr>
                <w:rFonts w:eastAsiaTheme="minorEastAsia"/>
                <w:noProof/>
                <w:sz w:val="22"/>
                <w:szCs w:val="22"/>
                <w:lang w:eastAsia="en-AU"/>
              </w:rPr>
              <w:tab/>
            </w:r>
            <w:r w:rsidR="008A4A95" w:rsidRPr="00240D7C">
              <w:rPr>
                <w:rStyle w:val="Hyperlink"/>
                <w:noProof/>
              </w:rPr>
              <w:t>Database development</w:t>
            </w:r>
            <w:r w:rsidR="008A4A95">
              <w:rPr>
                <w:noProof/>
                <w:webHidden/>
              </w:rPr>
              <w:tab/>
            </w:r>
            <w:r w:rsidR="008A4A95">
              <w:rPr>
                <w:noProof/>
                <w:webHidden/>
              </w:rPr>
              <w:fldChar w:fldCharType="begin"/>
            </w:r>
            <w:r w:rsidR="008A4A95">
              <w:rPr>
                <w:noProof/>
                <w:webHidden/>
              </w:rPr>
              <w:instrText xml:space="preserve"> PAGEREF _Toc87278312 \h </w:instrText>
            </w:r>
            <w:r w:rsidR="008A4A95">
              <w:rPr>
                <w:noProof/>
                <w:webHidden/>
              </w:rPr>
            </w:r>
            <w:r w:rsidR="008A4A95">
              <w:rPr>
                <w:noProof/>
                <w:webHidden/>
              </w:rPr>
              <w:fldChar w:fldCharType="separate"/>
            </w:r>
            <w:r w:rsidR="00937ADD">
              <w:rPr>
                <w:noProof/>
                <w:webHidden/>
              </w:rPr>
              <w:t>2</w:t>
            </w:r>
            <w:r w:rsidR="008A4A95">
              <w:rPr>
                <w:noProof/>
                <w:webHidden/>
              </w:rPr>
              <w:fldChar w:fldCharType="end"/>
            </w:r>
          </w:hyperlink>
        </w:p>
        <w:p w14:paraId="04326449" w14:textId="60F1A4DD" w:rsidR="008A4A95" w:rsidRDefault="009B0C52">
          <w:pPr>
            <w:pStyle w:val="TOC2"/>
            <w:rPr>
              <w:rFonts w:eastAsiaTheme="minorEastAsia"/>
              <w:noProof/>
              <w:sz w:val="22"/>
              <w:szCs w:val="22"/>
              <w:lang w:eastAsia="en-AU"/>
            </w:rPr>
          </w:pPr>
          <w:hyperlink w:anchor="_Toc87278313" w:history="1">
            <w:r w:rsidR="008A4A95" w:rsidRPr="00240D7C">
              <w:rPr>
                <w:rStyle w:val="Hyperlink"/>
                <w:noProof/>
              </w:rPr>
              <w:t>2.3.</w:t>
            </w:r>
            <w:r w:rsidR="008A4A95">
              <w:rPr>
                <w:rFonts w:eastAsiaTheme="minorEastAsia"/>
                <w:noProof/>
                <w:sz w:val="22"/>
                <w:szCs w:val="22"/>
                <w:lang w:eastAsia="en-AU"/>
              </w:rPr>
              <w:tab/>
            </w:r>
            <w:r w:rsidR="008A4A95" w:rsidRPr="00240D7C">
              <w:rPr>
                <w:rStyle w:val="Hyperlink"/>
                <w:noProof/>
              </w:rPr>
              <w:t>Case study analysis</w:t>
            </w:r>
            <w:r w:rsidR="008A4A95">
              <w:rPr>
                <w:noProof/>
                <w:webHidden/>
              </w:rPr>
              <w:tab/>
            </w:r>
            <w:r w:rsidR="008A4A95">
              <w:rPr>
                <w:noProof/>
                <w:webHidden/>
              </w:rPr>
              <w:fldChar w:fldCharType="begin"/>
            </w:r>
            <w:r w:rsidR="008A4A95">
              <w:rPr>
                <w:noProof/>
                <w:webHidden/>
              </w:rPr>
              <w:instrText xml:space="preserve"> PAGEREF _Toc87278313 \h </w:instrText>
            </w:r>
            <w:r w:rsidR="008A4A95">
              <w:rPr>
                <w:noProof/>
                <w:webHidden/>
              </w:rPr>
            </w:r>
            <w:r w:rsidR="008A4A95">
              <w:rPr>
                <w:noProof/>
                <w:webHidden/>
              </w:rPr>
              <w:fldChar w:fldCharType="separate"/>
            </w:r>
            <w:r w:rsidR="00937ADD">
              <w:rPr>
                <w:noProof/>
                <w:webHidden/>
              </w:rPr>
              <w:t>5</w:t>
            </w:r>
            <w:r w:rsidR="008A4A95">
              <w:rPr>
                <w:noProof/>
                <w:webHidden/>
              </w:rPr>
              <w:fldChar w:fldCharType="end"/>
            </w:r>
          </w:hyperlink>
        </w:p>
        <w:p w14:paraId="1C3DE62A" w14:textId="2FA15F6F" w:rsidR="008A4A95" w:rsidRDefault="009B0C52">
          <w:pPr>
            <w:pStyle w:val="TOC2"/>
            <w:rPr>
              <w:rFonts w:eastAsiaTheme="minorEastAsia"/>
              <w:noProof/>
              <w:sz w:val="22"/>
              <w:szCs w:val="22"/>
              <w:lang w:eastAsia="en-AU"/>
            </w:rPr>
          </w:pPr>
          <w:hyperlink w:anchor="_Toc87278314" w:history="1">
            <w:r w:rsidR="008A4A95" w:rsidRPr="00240D7C">
              <w:rPr>
                <w:rStyle w:val="Hyperlink"/>
                <w:noProof/>
              </w:rPr>
              <w:t>2.4.</w:t>
            </w:r>
            <w:r w:rsidR="008A4A95">
              <w:rPr>
                <w:rFonts w:eastAsiaTheme="minorEastAsia"/>
                <w:noProof/>
                <w:sz w:val="22"/>
                <w:szCs w:val="22"/>
                <w:lang w:eastAsia="en-AU"/>
              </w:rPr>
              <w:tab/>
            </w:r>
            <w:r w:rsidR="008A4A95" w:rsidRPr="00240D7C">
              <w:rPr>
                <w:rStyle w:val="Hyperlink"/>
                <w:noProof/>
              </w:rPr>
              <w:t>Risk assessment approach development</w:t>
            </w:r>
            <w:r w:rsidR="008A4A95">
              <w:rPr>
                <w:noProof/>
                <w:webHidden/>
              </w:rPr>
              <w:tab/>
            </w:r>
            <w:r w:rsidR="008A4A95">
              <w:rPr>
                <w:noProof/>
                <w:webHidden/>
              </w:rPr>
              <w:fldChar w:fldCharType="begin"/>
            </w:r>
            <w:r w:rsidR="008A4A95">
              <w:rPr>
                <w:noProof/>
                <w:webHidden/>
              </w:rPr>
              <w:instrText xml:space="preserve"> PAGEREF _Toc87278314 \h </w:instrText>
            </w:r>
            <w:r w:rsidR="008A4A95">
              <w:rPr>
                <w:noProof/>
                <w:webHidden/>
              </w:rPr>
            </w:r>
            <w:r w:rsidR="008A4A95">
              <w:rPr>
                <w:noProof/>
                <w:webHidden/>
              </w:rPr>
              <w:fldChar w:fldCharType="separate"/>
            </w:r>
            <w:r w:rsidR="00937ADD">
              <w:rPr>
                <w:noProof/>
                <w:webHidden/>
              </w:rPr>
              <w:t>6</w:t>
            </w:r>
            <w:r w:rsidR="008A4A95">
              <w:rPr>
                <w:noProof/>
                <w:webHidden/>
              </w:rPr>
              <w:fldChar w:fldCharType="end"/>
            </w:r>
          </w:hyperlink>
        </w:p>
        <w:p w14:paraId="0DB3A217" w14:textId="3C2DA0C7" w:rsidR="008A4A95" w:rsidRDefault="009B0C52">
          <w:pPr>
            <w:pStyle w:val="TOC1"/>
            <w:rPr>
              <w:rFonts w:eastAsiaTheme="minorEastAsia"/>
              <w:sz w:val="22"/>
              <w:lang w:eastAsia="en-AU"/>
            </w:rPr>
          </w:pPr>
          <w:hyperlink w:anchor="_Toc87278315" w:history="1">
            <w:r w:rsidR="008A4A95" w:rsidRPr="00240D7C">
              <w:rPr>
                <w:rStyle w:val="Hyperlink"/>
              </w:rPr>
              <w:t>3.</w:t>
            </w:r>
            <w:r w:rsidR="008A4A95">
              <w:rPr>
                <w:rFonts w:eastAsiaTheme="minorEastAsia"/>
                <w:sz w:val="22"/>
                <w:lang w:eastAsia="en-AU"/>
              </w:rPr>
              <w:tab/>
            </w:r>
            <w:r w:rsidR="008A4A95" w:rsidRPr="00240D7C">
              <w:rPr>
                <w:rStyle w:val="Hyperlink"/>
              </w:rPr>
              <w:t>Residual void flow regimes</w:t>
            </w:r>
            <w:r w:rsidR="008A4A95">
              <w:rPr>
                <w:webHidden/>
              </w:rPr>
              <w:tab/>
            </w:r>
            <w:r w:rsidR="008A4A95">
              <w:rPr>
                <w:webHidden/>
              </w:rPr>
              <w:fldChar w:fldCharType="begin"/>
            </w:r>
            <w:r w:rsidR="008A4A95">
              <w:rPr>
                <w:webHidden/>
              </w:rPr>
              <w:instrText xml:space="preserve"> PAGEREF _Toc87278315 \h </w:instrText>
            </w:r>
            <w:r w:rsidR="008A4A95">
              <w:rPr>
                <w:webHidden/>
              </w:rPr>
            </w:r>
            <w:r w:rsidR="008A4A95">
              <w:rPr>
                <w:webHidden/>
              </w:rPr>
              <w:fldChar w:fldCharType="separate"/>
            </w:r>
            <w:r w:rsidR="00937ADD">
              <w:rPr>
                <w:webHidden/>
              </w:rPr>
              <w:t>7</w:t>
            </w:r>
            <w:r w:rsidR="008A4A95">
              <w:rPr>
                <w:webHidden/>
              </w:rPr>
              <w:fldChar w:fldCharType="end"/>
            </w:r>
          </w:hyperlink>
        </w:p>
        <w:p w14:paraId="3F5E151C" w14:textId="1F9F73EC" w:rsidR="008A4A95" w:rsidRDefault="009B0C52">
          <w:pPr>
            <w:pStyle w:val="TOC2"/>
            <w:rPr>
              <w:rFonts w:eastAsiaTheme="minorEastAsia"/>
              <w:noProof/>
              <w:sz w:val="22"/>
              <w:szCs w:val="22"/>
              <w:lang w:eastAsia="en-AU"/>
            </w:rPr>
          </w:pPr>
          <w:hyperlink w:anchor="_Toc87278316" w:history="1">
            <w:r w:rsidR="008A4A95" w:rsidRPr="00240D7C">
              <w:rPr>
                <w:rStyle w:val="Hyperlink"/>
                <w:noProof/>
              </w:rPr>
              <w:t>3.1.</w:t>
            </w:r>
            <w:r w:rsidR="008A4A95">
              <w:rPr>
                <w:rFonts w:eastAsiaTheme="minorEastAsia"/>
                <w:noProof/>
                <w:sz w:val="22"/>
                <w:szCs w:val="22"/>
                <w:lang w:eastAsia="en-AU"/>
              </w:rPr>
              <w:tab/>
            </w:r>
            <w:r w:rsidR="008A4A95" w:rsidRPr="00240D7C">
              <w:rPr>
                <w:rStyle w:val="Hyperlink"/>
                <w:noProof/>
              </w:rPr>
              <w:t>Concepts</w:t>
            </w:r>
            <w:r w:rsidR="008A4A95">
              <w:rPr>
                <w:noProof/>
                <w:webHidden/>
              </w:rPr>
              <w:tab/>
            </w:r>
            <w:r w:rsidR="008A4A95">
              <w:rPr>
                <w:noProof/>
                <w:webHidden/>
              </w:rPr>
              <w:fldChar w:fldCharType="begin"/>
            </w:r>
            <w:r w:rsidR="008A4A95">
              <w:rPr>
                <w:noProof/>
                <w:webHidden/>
              </w:rPr>
              <w:instrText xml:space="preserve"> PAGEREF _Toc87278316 \h </w:instrText>
            </w:r>
            <w:r w:rsidR="008A4A95">
              <w:rPr>
                <w:noProof/>
                <w:webHidden/>
              </w:rPr>
            </w:r>
            <w:r w:rsidR="008A4A95">
              <w:rPr>
                <w:noProof/>
                <w:webHidden/>
              </w:rPr>
              <w:fldChar w:fldCharType="separate"/>
            </w:r>
            <w:r w:rsidR="00937ADD">
              <w:rPr>
                <w:noProof/>
                <w:webHidden/>
              </w:rPr>
              <w:t>7</w:t>
            </w:r>
            <w:r w:rsidR="008A4A95">
              <w:rPr>
                <w:noProof/>
                <w:webHidden/>
              </w:rPr>
              <w:fldChar w:fldCharType="end"/>
            </w:r>
          </w:hyperlink>
        </w:p>
        <w:p w14:paraId="175CBB53" w14:textId="76DEA4A6" w:rsidR="008A4A95" w:rsidRDefault="009B0C52">
          <w:pPr>
            <w:pStyle w:val="TOC3"/>
            <w:rPr>
              <w:rFonts w:asciiTheme="minorHAnsi" w:eastAsiaTheme="minorEastAsia" w:hAnsiTheme="minorHAnsi"/>
              <w:noProof/>
              <w:sz w:val="22"/>
              <w:szCs w:val="22"/>
              <w:lang w:eastAsia="en-AU"/>
            </w:rPr>
          </w:pPr>
          <w:hyperlink w:anchor="_Toc87278317" w:history="1">
            <w:r w:rsidR="008A4A95" w:rsidRPr="00240D7C">
              <w:rPr>
                <w:rStyle w:val="Hyperlink"/>
                <w:noProof/>
              </w:rPr>
              <w:t>3.1.1.</w:t>
            </w:r>
            <w:r w:rsidR="008A4A95">
              <w:rPr>
                <w:rFonts w:asciiTheme="minorHAnsi" w:eastAsiaTheme="minorEastAsia" w:hAnsiTheme="minorHAnsi"/>
                <w:noProof/>
                <w:sz w:val="22"/>
                <w:szCs w:val="22"/>
                <w:lang w:eastAsia="en-AU"/>
              </w:rPr>
              <w:tab/>
            </w:r>
            <w:r w:rsidR="008A4A95" w:rsidRPr="00240D7C">
              <w:rPr>
                <w:rStyle w:val="Hyperlink"/>
                <w:noProof/>
              </w:rPr>
              <w:t>Water flow</w:t>
            </w:r>
            <w:r w:rsidR="008A4A95">
              <w:rPr>
                <w:noProof/>
                <w:webHidden/>
              </w:rPr>
              <w:tab/>
            </w:r>
            <w:r w:rsidR="008A4A95">
              <w:rPr>
                <w:noProof/>
                <w:webHidden/>
              </w:rPr>
              <w:fldChar w:fldCharType="begin"/>
            </w:r>
            <w:r w:rsidR="008A4A95">
              <w:rPr>
                <w:noProof/>
                <w:webHidden/>
              </w:rPr>
              <w:instrText xml:space="preserve"> PAGEREF _Toc87278317 \h </w:instrText>
            </w:r>
            <w:r w:rsidR="008A4A95">
              <w:rPr>
                <w:noProof/>
                <w:webHidden/>
              </w:rPr>
            </w:r>
            <w:r w:rsidR="008A4A95">
              <w:rPr>
                <w:noProof/>
                <w:webHidden/>
              </w:rPr>
              <w:fldChar w:fldCharType="separate"/>
            </w:r>
            <w:r w:rsidR="00937ADD">
              <w:rPr>
                <w:noProof/>
                <w:webHidden/>
              </w:rPr>
              <w:t>7</w:t>
            </w:r>
            <w:r w:rsidR="008A4A95">
              <w:rPr>
                <w:noProof/>
                <w:webHidden/>
              </w:rPr>
              <w:fldChar w:fldCharType="end"/>
            </w:r>
          </w:hyperlink>
        </w:p>
        <w:p w14:paraId="5B8B250F" w14:textId="25C37F76" w:rsidR="008A4A95" w:rsidRDefault="009B0C52">
          <w:pPr>
            <w:pStyle w:val="TOC3"/>
            <w:rPr>
              <w:rFonts w:asciiTheme="minorHAnsi" w:eastAsiaTheme="minorEastAsia" w:hAnsiTheme="minorHAnsi"/>
              <w:noProof/>
              <w:sz w:val="22"/>
              <w:szCs w:val="22"/>
              <w:lang w:eastAsia="en-AU"/>
            </w:rPr>
          </w:pPr>
          <w:hyperlink w:anchor="_Toc87278318" w:history="1">
            <w:r w:rsidR="008A4A95" w:rsidRPr="00240D7C">
              <w:rPr>
                <w:rStyle w:val="Hyperlink"/>
                <w:noProof/>
              </w:rPr>
              <w:t>3.1.2.</w:t>
            </w:r>
            <w:r w:rsidR="008A4A95">
              <w:rPr>
                <w:rFonts w:asciiTheme="minorHAnsi" w:eastAsiaTheme="minorEastAsia" w:hAnsiTheme="minorHAnsi"/>
                <w:noProof/>
                <w:sz w:val="22"/>
                <w:szCs w:val="22"/>
                <w:lang w:eastAsia="en-AU"/>
              </w:rPr>
              <w:tab/>
            </w:r>
            <w:r w:rsidR="008A4A95" w:rsidRPr="00240D7C">
              <w:rPr>
                <w:rStyle w:val="Hyperlink"/>
                <w:noProof/>
              </w:rPr>
              <w:t>Water quality</w:t>
            </w:r>
            <w:r w:rsidR="008A4A95">
              <w:rPr>
                <w:noProof/>
                <w:webHidden/>
              </w:rPr>
              <w:tab/>
            </w:r>
            <w:r w:rsidR="008A4A95">
              <w:rPr>
                <w:noProof/>
                <w:webHidden/>
              </w:rPr>
              <w:fldChar w:fldCharType="begin"/>
            </w:r>
            <w:r w:rsidR="008A4A95">
              <w:rPr>
                <w:noProof/>
                <w:webHidden/>
              </w:rPr>
              <w:instrText xml:space="preserve"> PAGEREF _Toc87278318 \h </w:instrText>
            </w:r>
            <w:r w:rsidR="008A4A95">
              <w:rPr>
                <w:noProof/>
                <w:webHidden/>
              </w:rPr>
            </w:r>
            <w:r w:rsidR="008A4A95">
              <w:rPr>
                <w:noProof/>
                <w:webHidden/>
              </w:rPr>
              <w:fldChar w:fldCharType="separate"/>
            </w:r>
            <w:r w:rsidR="00937ADD">
              <w:rPr>
                <w:noProof/>
                <w:webHidden/>
              </w:rPr>
              <w:t>7</w:t>
            </w:r>
            <w:r w:rsidR="008A4A95">
              <w:rPr>
                <w:noProof/>
                <w:webHidden/>
              </w:rPr>
              <w:fldChar w:fldCharType="end"/>
            </w:r>
          </w:hyperlink>
        </w:p>
        <w:p w14:paraId="04199C5A" w14:textId="35196552" w:rsidR="008A4A95" w:rsidRDefault="009B0C52">
          <w:pPr>
            <w:pStyle w:val="TOC3"/>
            <w:rPr>
              <w:rFonts w:asciiTheme="minorHAnsi" w:eastAsiaTheme="minorEastAsia" w:hAnsiTheme="minorHAnsi"/>
              <w:noProof/>
              <w:sz w:val="22"/>
              <w:szCs w:val="22"/>
              <w:lang w:eastAsia="en-AU"/>
            </w:rPr>
          </w:pPr>
          <w:hyperlink w:anchor="_Toc87278319" w:history="1">
            <w:r w:rsidR="008A4A95" w:rsidRPr="00240D7C">
              <w:rPr>
                <w:rStyle w:val="Hyperlink"/>
                <w:noProof/>
              </w:rPr>
              <w:t>3.1.3.</w:t>
            </w:r>
            <w:r w:rsidR="008A4A95">
              <w:rPr>
                <w:rFonts w:asciiTheme="minorHAnsi" w:eastAsiaTheme="minorEastAsia" w:hAnsiTheme="minorHAnsi"/>
                <w:noProof/>
                <w:sz w:val="22"/>
                <w:szCs w:val="22"/>
                <w:lang w:eastAsia="en-AU"/>
              </w:rPr>
              <w:tab/>
            </w:r>
            <w:r w:rsidR="008A4A95" w:rsidRPr="00240D7C">
              <w:rPr>
                <w:rStyle w:val="Hyperlink"/>
                <w:noProof/>
              </w:rPr>
              <w:t>Assessment approaches</w:t>
            </w:r>
            <w:r w:rsidR="008A4A95">
              <w:rPr>
                <w:noProof/>
                <w:webHidden/>
              </w:rPr>
              <w:tab/>
            </w:r>
            <w:r w:rsidR="008A4A95">
              <w:rPr>
                <w:noProof/>
                <w:webHidden/>
              </w:rPr>
              <w:fldChar w:fldCharType="begin"/>
            </w:r>
            <w:r w:rsidR="008A4A95">
              <w:rPr>
                <w:noProof/>
                <w:webHidden/>
              </w:rPr>
              <w:instrText xml:space="preserve"> PAGEREF _Toc87278319 \h </w:instrText>
            </w:r>
            <w:r w:rsidR="008A4A95">
              <w:rPr>
                <w:noProof/>
                <w:webHidden/>
              </w:rPr>
            </w:r>
            <w:r w:rsidR="008A4A95">
              <w:rPr>
                <w:noProof/>
                <w:webHidden/>
              </w:rPr>
              <w:fldChar w:fldCharType="separate"/>
            </w:r>
            <w:r w:rsidR="00937ADD">
              <w:rPr>
                <w:noProof/>
                <w:webHidden/>
              </w:rPr>
              <w:t>8</w:t>
            </w:r>
            <w:r w:rsidR="008A4A95">
              <w:rPr>
                <w:noProof/>
                <w:webHidden/>
              </w:rPr>
              <w:fldChar w:fldCharType="end"/>
            </w:r>
          </w:hyperlink>
        </w:p>
        <w:p w14:paraId="658FCB63" w14:textId="7989DB33" w:rsidR="008A4A95" w:rsidRDefault="009B0C52">
          <w:pPr>
            <w:pStyle w:val="TOC2"/>
            <w:rPr>
              <w:rFonts w:eastAsiaTheme="minorEastAsia"/>
              <w:noProof/>
              <w:sz w:val="22"/>
              <w:szCs w:val="22"/>
              <w:lang w:eastAsia="en-AU"/>
            </w:rPr>
          </w:pPr>
          <w:hyperlink w:anchor="_Toc87278320" w:history="1">
            <w:r w:rsidR="008A4A95" w:rsidRPr="00240D7C">
              <w:rPr>
                <w:rStyle w:val="Hyperlink"/>
                <w:noProof/>
              </w:rPr>
              <w:t>3.2.</w:t>
            </w:r>
            <w:r w:rsidR="008A4A95">
              <w:rPr>
                <w:rFonts w:eastAsiaTheme="minorEastAsia"/>
                <w:noProof/>
                <w:sz w:val="22"/>
                <w:szCs w:val="22"/>
                <w:lang w:eastAsia="en-AU"/>
              </w:rPr>
              <w:tab/>
            </w:r>
            <w:r w:rsidR="008A4A95" w:rsidRPr="00240D7C">
              <w:rPr>
                <w:rStyle w:val="Hyperlink"/>
                <w:noProof/>
              </w:rPr>
              <w:t>Open residual void</w:t>
            </w:r>
            <w:r w:rsidR="008A4A95">
              <w:rPr>
                <w:noProof/>
                <w:webHidden/>
              </w:rPr>
              <w:tab/>
            </w:r>
            <w:r w:rsidR="008A4A95">
              <w:rPr>
                <w:noProof/>
                <w:webHidden/>
              </w:rPr>
              <w:fldChar w:fldCharType="begin"/>
            </w:r>
            <w:r w:rsidR="008A4A95">
              <w:rPr>
                <w:noProof/>
                <w:webHidden/>
              </w:rPr>
              <w:instrText xml:space="preserve"> PAGEREF _Toc87278320 \h </w:instrText>
            </w:r>
            <w:r w:rsidR="008A4A95">
              <w:rPr>
                <w:noProof/>
                <w:webHidden/>
              </w:rPr>
            </w:r>
            <w:r w:rsidR="008A4A95">
              <w:rPr>
                <w:noProof/>
                <w:webHidden/>
              </w:rPr>
              <w:fldChar w:fldCharType="separate"/>
            </w:r>
            <w:r w:rsidR="00937ADD">
              <w:rPr>
                <w:noProof/>
                <w:webHidden/>
              </w:rPr>
              <w:t>9</w:t>
            </w:r>
            <w:r w:rsidR="008A4A95">
              <w:rPr>
                <w:noProof/>
                <w:webHidden/>
              </w:rPr>
              <w:fldChar w:fldCharType="end"/>
            </w:r>
          </w:hyperlink>
        </w:p>
        <w:p w14:paraId="587A72A0" w14:textId="1BF1F2FD" w:rsidR="008A4A95" w:rsidRDefault="009B0C52">
          <w:pPr>
            <w:pStyle w:val="TOC3"/>
            <w:rPr>
              <w:rFonts w:asciiTheme="minorHAnsi" w:eastAsiaTheme="minorEastAsia" w:hAnsiTheme="minorHAnsi"/>
              <w:noProof/>
              <w:sz w:val="22"/>
              <w:szCs w:val="22"/>
              <w:lang w:eastAsia="en-AU"/>
            </w:rPr>
          </w:pPr>
          <w:hyperlink w:anchor="_Toc87278321" w:history="1">
            <w:r w:rsidR="008A4A95" w:rsidRPr="00240D7C">
              <w:rPr>
                <w:rStyle w:val="Hyperlink"/>
                <w:noProof/>
              </w:rPr>
              <w:t>3.2.1.</w:t>
            </w:r>
            <w:r w:rsidR="008A4A95">
              <w:rPr>
                <w:rFonts w:asciiTheme="minorHAnsi" w:eastAsiaTheme="minorEastAsia" w:hAnsiTheme="minorHAnsi"/>
                <w:noProof/>
                <w:sz w:val="22"/>
                <w:szCs w:val="22"/>
                <w:lang w:eastAsia="en-AU"/>
              </w:rPr>
              <w:tab/>
            </w:r>
            <w:r w:rsidR="008A4A95" w:rsidRPr="00240D7C">
              <w:rPr>
                <w:rStyle w:val="Hyperlink"/>
                <w:noProof/>
              </w:rPr>
              <w:t>Terminal sink void</w:t>
            </w:r>
            <w:r w:rsidR="008A4A95">
              <w:rPr>
                <w:noProof/>
                <w:webHidden/>
              </w:rPr>
              <w:tab/>
            </w:r>
            <w:r w:rsidR="008A4A95">
              <w:rPr>
                <w:noProof/>
                <w:webHidden/>
              </w:rPr>
              <w:fldChar w:fldCharType="begin"/>
            </w:r>
            <w:r w:rsidR="008A4A95">
              <w:rPr>
                <w:noProof/>
                <w:webHidden/>
              </w:rPr>
              <w:instrText xml:space="preserve"> PAGEREF _Toc87278321 \h </w:instrText>
            </w:r>
            <w:r w:rsidR="008A4A95">
              <w:rPr>
                <w:noProof/>
                <w:webHidden/>
              </w:rPr>
            </w:r>
            <w:r w:rsidR="008A4A95">
              <w:rPr>
                <w:noProof/>
                <w:webHidden/>
              </w:rPr>
              <w:fldChar w:fldCharType="separate"/>
            </w:r>
            <w:r w:rsidR="00937ADD">
              <w:rPr>
                <w:noProof/>
                <w:webHidden/>
              </w:rPr>
              <w:t>9</w:t>
            </w:r>
            <w:r w:rsidR="008A4A95">
              <w:rPr>
                <w:noProof/>
                <w:webHidden/>
              </w:rPr>
              <w:fldChar w:fldCharType="end"/>
            </w:r>
          </w:hyperlink>
        </w:p>
        <w:p w14:paraId="6C8C3FE9" w14:textId="21BDAC7D" w:rsidR="008A4A95" w:rsidRDefault="009B0C52">
          <w:pPr>
            <w:pStyle w:val="TOC3"/>
            <w:rPr>
              <w:rFonts w:asciiTheme="minorHAnsi" w:eastAsiaTheme="minorEastAsia" w:hAnsiTheme="minorHAnsi"/>
              <w:noProof/>
              <w:sz w:val="22"/>
              <w:szCs w:val="22"/>
              <w:lang w:eastAsia="en-AU"/>
            </w:rPr>
          </w:pPr>
          <w:hyperlink w:anchor="_Toc87278322" w:history="1">
            <w:r w:rsidR="008A4A95" w:rsidRPr="00240D7C">
              <w:rPr>
                <w:rStyle w:val="Hyperlink"/>
                <w:noProof/>
              </w:rPr>
              <w:t>3.2.2.</w:t>
            </w:r>
            <w:r w:rsidR="008A4A95">
              <w:rPr>
                <w:rFonts w:asciiTheme="minorHAnsi" w:eastAsiaTheme="minorEastAsia" w:hAnsiTheme="minorHAnsi"/>
                <w:noProof/>
                <w:sz w:val="22"/>
                <w:szCs w:val="22"/>
                <w:lang w:eastAsia="en-AU"/>
              </w:rPr>
              <w:tab/>
            </w:r>
            <w:r w:rsidR="008A4A95" w:rsidRPr="00240D7C">
              <w:rPr>
                <w:rStyle w:val="Hyperlink"/>
                <w:noProof/>
              </w:rPr>
              <w:t>Source void</w:t>
            </w:r>
            <w:r w:rsidR="008A4A95">
              <w:rPr>
                <w:noProof/>
                <w:webHidden/>
              </w:rPr>
              <w:tab/>
            </w:r>
            <w:r w:rsidR="008A4A95">
              <w:rPr>
                <w:noProof/>
                <w:webHidden/>
              </w:rPr>
              <w:fldChar w:fldCharType="begin"/>
            </w:r>
            <w:r w:rsidR="008A4A95">
              <w:rPr>
                <w:noProof/>
                <w:webHidden/>
              </w:rPr>
              <w:instrText xml:space="preserve"> PAGEREF _Toc87278322 \h </w:instrText>
            </w:r>
            <w:r w:rsidR="008A4A95">
              <w:rPr>
                <w:noProof/>
                <w:webHidden/>
              </w:rPr>
            </w:r>
            <w:r w:rsidR="008A4A95">
              <w:rPr>
                <w:noProof/>
                <w:webHidden/>
              </w:rPr>
              <w:fldChar w:fldCharType="separate"/>
            </w:r>
            <w:r w:rsidR="00937ADD">
              <w:rPr>
                <w:noProof/>
                <w:webHidden/>
              </w:rPr>
              <w:t>11</w:t>
            </w:r>
            <w:r w:rsidR="008A4A95">
              <w:rPr>
                <w:noProof/>
                <w:webHidden/>
              </w:rPr>
              <w:fldChar w:fldCharType="end"/>
            </w:r>
          </w:hyperlink>
        </w:p>
        <w:p w14:paraId="5B7CBB0A" w14:textId="7B8DA459" w:rsidR="008A4A95" w:rsidRDefault="009B0C52">
          <w:pPr>
            <w:pStyle w:val="TOC3"/>
            <w:rPr>
              <w:rFonts w:asciiTheme="minorHAnsi" w:eastAsiaTheme="minorEastAsia" w:hAnsiTheme="minorHAnsi"/>
              <w:noProof/>
              <w:sz w:val="22"/>
              <w:szCs w:val="22"/>
              <w:lang w:eastAsia="en-AU"/>
            </w:rPr>
          </w:pPr>
          <w:hyperlink w:anchor="_Toc87278323" w:history="1">
            <w:r w:rsidR="008A4A95" w:rsidRPr="00240D7C">
              <w:rPr>
                <w:rStyle w:val="Hyperlink"/>
                <w:noProof/>
              </w:rPr>
              <w:t>3.2.3.</w:t>
            </w:r>
            <w:r w:rsidR="008A4A95">
              <w:rPr>
                <w:rFonts w:asciiTheme="minorHAnsi" w:eastAsiaTheme="minorEastAsia" w:hAnsiTheme="minorHAnsi"/>
                <w:noProof/>
                <w:sz w:val="22"/>
                <w:szCs w:val="22"/>
                <w:lang w:eastAsia="en-AU"/>
              </w:rPr>
              <w:tab/>
            </w:r>
            <w:r w:rsidR="008A4A95" w:rsidRPr="00240D7C">
              <w:rPr>
                <w:rStyle w:val="Hyperlink"/>
                <w:noProof/>
              </w:rPr>
              <w:t>Flow-through void</w:t>
            </w:r>
            <w:r w:rsidR="008A4A95">
              <w:rPr>
                <w:noProof/>
                <w:webHidden/>
              </w:rPr>
              <w:tab/>
            </w:r>
            <w:r w:rsidR="008A4A95">
              <w:rPr>
                <w:noProof/>
                <w:webHidden/>
              </w:rPr>
              <w:fldChar w:fldCharType="begin"/>
            </w:r>
            <w:r w:rsidR="008A4A95">
              <w:rPr>
                <w:noProof/>
                <w:webHidden/>
              </w:rPr>
              <w:instrText xml:space="preserve"> PAGEREF _Toc87278323 \h </w:instrText>
            </w:r>
            <w:r w:rsidR="008A4A95">
              <w:rPr>
                <w:noProof/>
                <w:webHidden/>
              </w:rPr>
            </w:r>
            <w:r w:rsidR="008A4A95">
              <w:rPr>
                <w:noProof/>
                <w:webHidden/>
              </w:rPr>
              <w:fldChar w:fldCharType="separate"/>
            </w:r>
            <w:r w:rsidR="00937ADD">
              <w:rPr>
                <w:noProof/>
                <w:webHidden/>
              </w:rPr>
              <w:t>11</w:t>
            </w:r>
            <w:r w:rsidR="008A4A95">
              <w:rPr>
                <w:noProof/>
                <w:webHidden/>
              </w:rPr>
              <w:fldChar w:fldCharType="end"/>
            </w:r>
          </w:hyperlink>
        </w:p>
        <w:p w14:paraId="5B204FF7" w14:textId="4A2E1935" w:rsidR="008A4A95" w:rsidRDefault="009B0C52">
          <w:pPr>
            <w:pStyle w:val="TOC3"/>
            <w:rPr>
              <w:rFonts w:asciiTheme="minorHAnsi" w:eastAsiaTheme="minorEastAsia" w:hAnsiTheme="minorHAnsi"/>
              <w:noProof/>
              <w:sz w:val="22"/>
              <w:szCs w:val="22"/>
              <w:lang w:eastAsia="en-AU"/>
            </w:rPr>
          </w:pPr>
          <w:hyperlink w:anchor="_Toc87278324" w:history="1">
            <w:r w:rsidR="008A4A95" w:rsidRPr="00240D7C">
              <w:rPr>
                <w:rStyle w:val="Hyperlink"/>
                <w:noProof/>
              </w:rPr>
              <w:t>3.2.4.</w:t>
            </w:r>
            <w:r w:rsidR="008A4A95">
              <w:rPr>
                <w:rFonts w:asciiTheme="minorHAnsi" w:eastAsiaTheme="minorEastAsia" w:hAnsiTheme="minorHAnsi"/>
                <w:noProof/>
                <w:sz w:val="22"/>
                <w:szCs w:val="22"/>
                <w:lang w:eastAsia="en-AU"/>
              </w:rPr>
              <w:tab/>
            </w:r>
            <w:r w:rsidR="008A4A95" w:rsidRPr="00240D7C">
              <w:rPr>
                <w:rStyle w:val="Hyperlink"/>
                <w:noProof/>
              </w:rPr>
              <w:t>Risk of flooding</w:t>
            </w:r>
            <w:r w:rsidR="008A4A95">
              <w:rPr>
                <w:noProof/>
                <w:webHidden/>
              </w:rPr>
              <w:tab/>
            </w:r>
            <w:r w:rsidR="008A4A95">
              <w:rPr>
                <w:noProof/>
                <w:webHidden/>
              </w:rPr>
              <w:fldChar w:fldCharType="begin"/>
            </w:r>
            <w:r w:rsidR="008A4A95">
              <w:rPr>
                <w:noProof/>
                <w:webHidden/>
              </w:rPr>
              <w:instrText xml:space="preserve"> PAGEREF _Toc87278324 \h </w:instrText>
            </w:r>
            <w:r w:rsidR="008A4A95">
              <w:rPr>
                <w:noProof/>
                <w:webHidden/>
              </w:rPr>
            </w:r>
            <w:r w:rsidR="008A4A95">
              <w:rPr>
                <w:noProof/>
                <w:webHidden/>
              </w:rPr>
              <w:fldChar w:fldCharType="separate"/>
            </w:r>
            <w:r w:rsidR="00937ADD">
              <w:rPr>
                <w:noProof/>
                <w:webHidden/>
              </w:rPr>
              <w:t>13</w:t>
            </w:r>
            <w:r w:rsidR="008A4A95">
              <w:rPr>
                <w:noProof/>
                <w:webHidden/>
              </w:rPr>
              <w:fldChar w:fldCharType="end"/>
            </w:r>
          </w:hyperlink>
        </w:p>
        <w:p w14:paraId="01A88EB3" w14:textId="751EED9F" w:rsidR="008A4A95" w:rsidRDefault="009B0C52">
          <w:pPr>
            <w:pStyle w:val="TOC3"/>
            <w:rPr>
              <w:rFonts w:asciiTheme="minorHAnsi" w:eastAsiaTheme="minorEastAsia" w:hAnsiTheme="minorHAnsi"/>
              <w:noProof/>
              <w:sz w:val="22"/>
              <w:szCs w:val="22"/>
              <w:lang w:eastAsia="en-AU"/>
            </w:rPr>
          </w:pPr>
          <w:hyperlink w:anchor="_Toc87278325" w:history="1">
            <w:r w:rsidR="008A4A95" w:rsidRPr="00240D7C">
              <w:rPr>
                <w:rStyle w:val="Hyperlink"/>
                <w:noProof/>
              </w:rPr>
              <w:t>3.2.5.</w:t>
            </w:r>
            <w:r w:rsidR="008A4A95">
              <w:rPr>
                <w:rFonts w:asciiTheme="minorHAnsi" w:eastAsiaTheme="minorEastAsia" w:hAnsiTheme="minorHAnsi"/>
                <w:noProof/>
                <w:sz w:val="22"/>
                <w:szCs w:val="22"/>
                <w:lang w:eastAsia="en-AU"/>
              </w:rPr>
              <w:tab/>
            </w:r>
            <w:r w:rsidR="008A4A95" w:rsidRPr="00240D7C">
              <w:rPr>
                <w:rStyle w:val="Hyperlink"/>
                <w:noProof/>
              </w:rPr>
              <w:t>Effects of climate change</w:t>
            </w:r>
            <w:r w:rsidR="008A4A95">
              <w:rPr>
                <w:noProof/>
                <w:webHidden/>
              </w:rPr>
              <w:tab/>
            </w:r>
            <w:r w:rsidR="008A4A95">
              <w:rPr>
                <w:noProof/>
                <w:webHidden/>
              </w:rPr>
              <w:fldChar w:fldCharType="begin"/>
            </w:r>
            <w:r w:rsidR="008A4A95">
              <w:rPr>
                <w:noProof/>
                <w:webHidden/>
              </w:rPr>
              <w:instrText xml:space="preserve"> PAGEREF _Toc87278325 \h </w:instrText>
            </w:r>
            <w:r w:rsidR="008A4A95">
              <w:rPr>
                <w:noProof/>
                <w:webHidden/>
              </w:rPr>
            </w:r>
            <w:r w:rsidR="008A4A95">
              <w:rPr>
                <w:noProof/>
                <w:webHidden/>
              </w:rPr>
              <w:fldChar w:fldCharType="separate"/>
            </w:r>
            <w:r w:rsidR="00937ADD">
              <w:rPr>
                <w:noProof/>
                <w:webHidden/>
              </w:rPr>
              <w:t>13</w:t>
            </w:r>
            <w:r w:rsidR="008A4A95">
              <w:rPr>
                <w:noProof/>
                <w:webHidden/>
              </w:rPr>
              <w:fldChar w:fldCharType="end"/>
            </w:r>
          </w:hyperlink>
        </w:p>
        <w:p w14:paraId="3A7725F2" w14:textId="0A458701" w:rsidR="008A4A95" w:rsidRDefault="009B0C52">
          <w:pPr>
            <w:pStyle w:val="TOC3"/>
            <w:rPr>
              <w:rFonts w:asciiTheme="minorHAnsi" w:eastAsiaTheme="minorEastAsia" w:hAnsiTheme="minorHAnsi"/>
              <w:noProof/>
              <w:sz w:val="22"/>
              <w:szCs w:val="22"/>
              <w:lang w:eastAsia="en-AU"/>
            </w:rPr>
          </w:pPr>
          <w:hyperlink w:anchor="_Toc87278326" w:history="1">
            <w:r w:rsidR="008A4A95" w:rsidRPr="00240D7C">
              <w:rPr>
                <w:rStyle w:val="Hyperlink"/>
                <w:noProof/>
              </w:rPr>
              <w:t>3.2.6.</w:t>
            </w:r>
            <w:r w:rsidR="008A4A95">
              <w:rPr>
                <w:rFonts w:asciiTheme="minorHAnsi" w:eastAsiaTheme="minorEastAsia" w:hAnsiTheme="minorHAnsi"/>
                <w:noProof/>
                <w:sz w:val="22"/>
                <w:szCs w:val="22"/>
                <w:lang w:eastAsia="en-AU"/>
              </w:rPr>
              <w:tab/>
            </w:r>
            <w:r w:rsidR="008A4A95" w:rsidRPr="00240D7C">
              <w:rPr>
                <w:rStyle w:val="Hyperlink"/>
                <w:noProof/>
              </w:rPr>
              <w:t>Potential impacts</w:t>
            </w:r>
            <w:r w:rsidR="008A4A95">
              <w:rPr>
                <w:noProof/>
                <w:webHidden/>
              </w:rPr>
              <w:tab/>
            </w:r>
            <w:r w:rsidR="008A4A95">
              <w:rPr>
                <w:noProof/>
                <w:webHidden/>
              </w:rPr>
              <w:fldChar w:fldCharType="begin"/>
            </w:r>
            <w:r w:rsidR="008A4A95">
              <w:rPr>
                <w:noProof/>
                <w:webHidden/>
              </w:rPr>
              <w:instrText xml:space="preserve"> PAGEREF _Toc87278326 \h </w:instrText>
            </w:r>
            <w:r w:rsidR="008A4A95">
              <w:rPr>
                <w:noProof/>
                <w:webHidden/>
              </w:rPr>
            </w:r>
            <w:r w:rsidR="008A4A95">
              <w:rPr>
                <w:noProof/>
                <w:webHidden/>
              </w:rPr>
              <w:fldChar w:fldCharType="separate"/>
            </w:r>
            <w:r w:rsidR="00937ADD">
              <w:rPr>
                <w:noProof/>
                <w:webHidden/>
              </w:rPr>
              <w:t>14</w:t>
            </w:r>
            <w:r w:rsidR="008A4A95">
              <w:rPr>
                <w:noProof/>
                <w:webHidden/>
              </w:rPr>
              <w:fldChar w:fldCharType="end"/>
            </w:r>
          </w:hyperlink>
        </w:p>
        <w:p w14:paraId="07F7823F" w14:textId="74E5828F" w:rsidR="008A4A95" w:rsidRDefault="009B0C52">
          <w:pPr>
            <w:pStyle w:val="TOC2"/>
            <w:rPr>
              <w:rFonts w:eastAsiaTheme="minorEastAsia"/>
              <w:noProof/>
              <w:sz w:val="22"/>
              <w:szCs w:val="22"/>
              <w:lang w:eastAsia="en-AU"/>
            </w:rPr>
          </w:pPr>
          <w:hyperlink w:anchor="_Toc87278327" w:history="1">
            <w:r w:rsidR="008A4A95" w:rsidRPr="00240D7C">
              <w:rPr>
                <w:rStyle w:val="Hyperlink"/>
                <w:noProof/>
              </w:rPr>
              <w:t>3.3.</w:t>
            </w:r>
            <w:r w:rsidR="008A4A95">
              <w:rPr>
                <w:rFonts w:eastAsiaTheme="minorEastAsia"/>
                <w:noProof/>
                <w:sz w:val="22"/>
                <w:szCs w:val="22"/>
                <w:lang w:eastAsia="en-AU"/>
              </w:rPr>
              <w:tab/>
            </w:r>
            <w:r w:rsidR="008A4A95" w:rsidRPr="00240D7C">
              <w:rPr>
                <w:rStyle w:val="Hyperlink"/>
                <w:noProof/>
              </w:rPr>
              <w:t>Partially-filled final void</w:t>
            </w:r>
            <w:r w:rsidR="008A4A95">
              <w:rPr>
                <w:noProof/>
                <w:webHidden/>
              </w:rPr>
              <w:tab/>
            </w:r>
            <w:r w:rsidR="008A4A95">
              <w:rPr>
                <w:noProof/>
                <w:webHidden/>
              </w:rPr>
              <w:fldChar w:fldCharType="begin"/>
            </w:r>
            <w:r w:rsidR="008A4A95">
              <w:rPr>
                <w:noProof/>
                <w:webHidden/>
              </w:rPr>
              <w:instrText xml:space="preserve"> PAGEREF _Toc87278327 \h </w:instrText>
            </w:r>
            <w:r w:rsidR="008A4A95">
              <w:rPr>
                <w:noProof/>
                <w:webHidden/>
              </w:rPr>
            </w:r>
            <w:r w:rsidR="008A4A95">
              <w:rPr>
                <w:noProof/>
                <w:webHidden/>
              </w:rPr>
              <w:fldChar w:fldCharType="separate"/>
            </w:r>
            <w:r w:rsidR="00937ADD">
              <w:rPr>
                <w:noProof/>
                <w:webHidden/>
              </w:rPr>
              <w:t>14</w:t>
            </w:r>
            <w:r w:rsidR="008A4A95">
              <w:rPr>
                <w:noProof/>
                <w:webHidden/>
              </w:rPr>
              <w:fldChar w:fldCharType="end"/>
            </w:r>
          </w:hyperlink>
        </w:p>
        <w:p w14:paraId="3D4C54D9" w14:textId="49DF144C" w:rsidR="008A4A95" w:rsidRDefault="009B0C52">
          <w:pPr>
            <w:pStyle w:val="TOC2"/>
            <w:rPr>
              <w:rFonts w:eastAsiaTheme="minorEastAsia"/>
              <w:noProof/>
              <w:sz w:val="22"/>
              <w:szCs w:val="22"/>
              <w:lang w:eastAsia="en-AU"/>
            </w:rPr>
          </w:pPr>
          <w:hyperlink w:anchor="_Toc87278328" w:history="1">
            <w:r w:rsidR="008A4A95" w:rsidRPr="00240D7C">
              <w:rPr>
                <w:rStyle w:val="Hyperlink"/>
                <w:noProof/>
              </w:rPr>
              <w:t>3.4.</w:t>
            </w:r>
            <w:r w:rsidR="008A4A95">
              <w:rPr>
                <w:rFonts w:eastAsiaTheme="minorEastAsia"/>
                <w:noProof/>
                <w:sz w:val="22"/>
                <w:szCs w:val="22"/>
                <w:lang w:eastAsia="en-AU"/>
              </w:rPr>
              <w:tab/>
            </w:r>
            <w:r w:rsidR="008A4A95" w:rsidRPr="00240D7C">
              <w:rPr>
                <w:rStyle w:val="Hyperlink"/>
                <w:noProof/>
              </w:rPr>
              <w:t>Complete void filling</w:t>
            </w:r>
            <w:r w:rsidR="008A4A95">
              <w:rPr>
                <w:noProof/>
                <w:webHidden/>
              </w:rPr>
              <w:tab/>
            </w:r>
            <w:r w:rsidR="008A4A95">
              <w:rPr>
                <w:noProof/>
                <w:webHidden/>
              </w:rPr>
              <w:fldChar w:fldCharType="begin"/>
            </w:r>
            <w:r w:rsidR="008A4A95">
              <w:rPr>
                <w:noProof/>
                <w:webHidden/>
              </w:rPr>
              <w:instrText xml:space="preserve"> PAGEREF _Toc87278328 \h </w:instrText>
            </w:r>
            <w:r w:rsidR="008A4A95">
              <w:rPr>
                <w:noProof/>
                <w:webHidden/>
              </w:rPr>
            </w:r>
            <w:r w:rsidR="008A4A95">
              <w:rPr>
                <w:noProof/>
                <w:webHidden/>
              </w:rPr>
              <w:fldChar w:fldCharType="separate"/>
            </w:r>
            <w:r w:rsidR="00937ADD">
              <w:rPr>
                <w:noProof/>
                <w:webHidden/>
              </w:rPr>
              <w:t>15</w:t>
            </w:r>
            <w:r w:rsidR="008A4A95">
              <w:rPr>
                <w:noProof/>
                <w:webHidden/>
              </w:rPr>
              <w:fldChar w:fldCharType="end"/>
            </w:r>
          </w:hyperlink>
        </w:p>
        <w:p w14:paraId="345FD7E2" w14:textId="2A100883" w:rsidR="008A4A95" w:rsidRDefault="009B0C52">
          <w:pPr>
            <w:pStyle w:val="TOC1"/>
            <w:rPr>
              <w:rFonts w:eastAsiaTheme="minorEastAsia"/>
              <w:sz w:val="22"/>
              <w:lang w:eastAsia="en-AU"/>
            </w:rPr>
          </w:pPr>
          <w:hyperlink w:anchor="_Toc87278329" w:history="1">
            <w:r w:rsidR="008A4A95" w:rsidRPr="00240D7C">
              <w:rPr>
                <w:rStyle w:val="Hyperlink"/>
              </w:rPr>
              <w:t>4.</w:t>
            </w:r>
            <w:r w:rsidR="008A4A95">
              <w:rPr>
                <w:rFonts w:eastAsiaTheme="minorEastAsia"/>
                <w:sz w:val="22"/>
                <w:lang w:eastAsia="en-AU"/>
              </w:rPr>
              <w:tab/>
            </w:r>
            <w:r w:rsidR="008A4A95" w:rsidRPr="00240D7C">
              <w:rPr>
                <w:rStyle w:val="Hyperlink"/>
              </w:rPr>
              <w:t>Database of open cut coal mines in Queensland</w:t>
            </w:r>
            <w:r w:rsidR="008A4A95">
              <w:rPr>
                <w:webHidden/>
              </w:rPr>
              <w:tab/>
            </w:r>
            <w:r w:rsidR="008A4A95">
              <w:rPr>
                <w:webHidden/>
              </w:rPr>
              <w:fldChar w:fldCharType="begin"/>
            </w:r>
            <w:r w:rsidR="008A4A95">
              <w:rPr>
                <w:webHidden/>
              </w:rPr>
              <w:instrText xml:space="preserve"> PAGEREF _Toc87278329 \h </w:instrText>
            </w:r>
            <w:r w:rsidR="008A4A95">
              <w:rPr>
                <w:webHidden/>
              </w:rPr>
            </w:r>
            <w:r w:rsidR="008A4A95">
              <w:rPr>
                <w:webHidden/>
              </w:rPr>
              <w:fldChar w:fldCharType="separate"/>
            </w:r>
            <w:r w:rsidR="00937ADD">
              <w:rPr>
                <w:webHidden/>
              </w:rPr>
              <w:t>16</w:t>
            </w:r>
            <w:r w:rsidR="008A4A95">
              <w:rPr>
                <w:webHidden/>
              </w:rPr>
              <w:fldChar w:fldCharType="end"/>
            </w:r>
          </w:hyperlink>
        </w:p>
        <w:p w14:paraId="5BE9C4C7" w14:textId="19154DE4" w:rsidR="008A4A95" w:rsidRDefault="009B0C52">
          <w:pPr>
            <w:pStyle w:val="TOC2"/>
            <w:rPr>
              <w:rFonts w:eastAsiaTheme="minorEastAsia"/>
              <w:noProof/>
              <w:sz w:val="22"/>
              <w:szCs w:val="22"/>
              <w:lang w:eastAsia="en-AU"/>
            </w:rPr>
          </w:pPr>
          <w:hyperlink w:anchor="_Toc87278330" w:history="1">
            <w:r w:rsidR="008A4A95" w:rsidRPr="00240D7C">
              <w:rPr>
                <w:rStyle w:val="Hyperlink"/>
                <w:noProof/>
              </w:rPr>
              <w:t>4.1.</w:t>
            </w:r>
            <w:r w:rsidR="008A4A95">
              <w:rPr>
                <w:rFonts w:eastAsiaTheme="minorEastAsia"/>
                <w:noProof/>
                <w:sz w:val="22"/>
                <w:szCs w:val="22"/>
                <w:lang w:eastAsia="en-AU"/>
              </w:rPr>
              <w:tab/>
            </w:r>
            <w:r w:rsidR="008A4A95" w:rsidRPr="00240D7C">
              <w:rPr>
                <w:rStyle w:val="Hyperlink"/>
                <w:noProof/>
              </w:rPr>
              <w:t>Introduction</w:t>
            </w:r>
            <w:r w:rsidR="008A4A95">
              <w:rPr>
                <w:noProof/>
                <w:webHidden/>
              </w:rPr>
              <w:tab/>
            </w:r>
            <w:r w:rsidR="008A4A95">
              <w:rPr>
                <w:noProof/>
                <w:webHidden/>
              </w:rPr>
              <w:fldChar w:fldCharType="begin"/>
            </w:r>
            <w:r w:rsidR="008A4A95">
              <w:rPr>
                <w:noProof/>
                <w:webHidden/>
              </w:rPr>
              <w:instrText xml:space="preserve"> PAGEREF _Toc87278330 \h </w:instrText>
            </w:r>
            <w:r w:rsidR="008A4A95">
              <w:rPr>
                <w:noProof/>
                <w:webHidden/>
              </w:rPr>
            </w:r>
            <w:r w:rsidR="008A4A95">
              <w:rPr>
                <w:noProof/>
                <w:webHidden/>
              </w:rPr>
              <w:fldChar w:fldCharType="separate"/>
            </w:r>
            <w:r w:rsidR="00937ADD">
              <w:rPr>
                <w:noProof/>
                <w:webHidden/>
              </w:rPr>
              <w:t>16</w:t>
            </w:r>
            <w:r w:rsidR="008A4A95">
              <w:rPr>
                <w:noProof/>
                <w:webHidden/>
              </w:rPr>
              <w:fldChar w:fldCharType="end"/>
            </w:r>
          </w:hyperlink>
        </w:p>
        <w:p w14:paraId="322EF1AB" w14:textId="501E2C11" w:rsidR="008A4A95" w:rsidRDefault="009B0C52">
          <w:pPr>
            <w:pStyle w:val="TOC2"/>
            <w:rPr>
              <w:rFonts w:eastAsiaTheme="minorEastAsia"/>
              <w:noProof/>
              <w:sz w:val="22"/>
              <w:szCs w:val="22"/>
              <w:lang w:eastAsia="en-AU"/>
            </w:rPr>
          </w:pPr>
          <w:hyperlink w:anchor="_Toc87278331" w:history="1">
            <w:r w:rsidR="008A4A95" w:rsidRPr="00240D7C">
              <w:rPr>
                <w:rStyle w:val="Hyperlink"/>
                <w:noProof/>
              </w:rPr>
              <w:t>4.2.</w:t>
            </w:r>
            <w:r w:rsidR="008A4A95">
              <w:rPr>
                <w:rFonts w:eastAsiaTheme="minorEastAsia"/>
                <w:noProof/>
                <w:sz w:val="22"/>
                <w:szCs w:val="22"/>
                <w:lang w:eastAsia="en-AU"/>
              </w:rPr>
              <w:tab/>
            </w:r>
            <w:r w:rsidR="008A4A95" w:rsidRPr="00240D7C">
              <w:rPr>
                <w:rStyle w:val="Hyperlink"/>
                <w:noProof/>
              </w:rPr>
              <w:t>Current open pit status</w:t>
            </w:r>
            <w:r w:rsidR="008A4A95">
              <w:rPr>
                <w:noProof/>
                <w:webHidden/>
              </w:rPr>
              <w:tab/>
            </w:r>
            <w:r w:rsidR="008A4A95">
              <w:rPr>
                <w:noProof/>
                <w:webHidden/>
              </w:rPr>
              <w:fldChar w:fldCharType="begin"/>
            </w:r>
            <w:r w:rsidR="008A4A95">
              <w:rPr>
                <w:noProof/>
                <w:webHidden/>
              </w:rPr>
              <w:instrText xml:space="preserve"> PAGEREF _Toc87278331 \h </w:instrText>
            </w:r>
            <w:r w:rsidR="008A4A95">
              <w:rPr>
                <w:noProof/>
                <w:webHidden/>
              </w:rPr>
            </w:r>
            <w:r w:rsidR="008A4A95">
              <w:rPr>
                <w:noProof/>
                <w:webHidden/>
              </w:rPr>
              <w:fldChar w:fldCharType="separate"/>
            </w:r>
            <w:r w:rsidR="00937ADD">
              <w:rPr>
                <w:noProof/>
                <w:webHidden/>
              </w:rPr>
              <w:t>16</w:t>
            </w:r>
            <w:r w:rsidR="008A4A95">
              <w:rPr>
                <w:noProof/>
                <w:webHidden/>
              </w:rPr>
              <w:fldChar w:fldCharType="end"/>
            </w:r>
          </w:hyperlink>
        </w:p>
        <w:p w14:paraId="4DF9EBC3" w14:textId="3A7A6AB0" w:rsidR="008A4A95" w:rsidRDefault="009B0C52">
          <w:pPr>
            <w:pStyle w:val="TOC2"/>
            <w:rPr>
              <w:rFonts w:eastAsiaTheme="minorEastAsia"/>
              <w:noProof/>
              <w:sz w:val="22"/>
              <w:szCs w:val="22"/>
              <w:lang w:eastAsia="en-AU"/>
            </w:rPr>
          </w:pPr>
          <w:hyperlink w:anchor="_Toc87278332" w:history="1">
            <w:r w:rsidR="008A4A95" w:rsidRPr="00240D7C">
              <w:rPr>
                <w:rStyle w:val="Hyperlink"/>
                <w:noProof/>
              </w:rPr>
              <w:t>4.3.</w:t>
            </w:r>
            <w:r w:rsidR="008A4A95">
              <w:rPr>
                <w:rFonts w:eastAsiaTheme="minorEastAsia"/>
                <w:noProof/>
                <w:sz w:val="22"/>
                <w:szCs w:val="22"/>
                <w:lang w:eastAsia="en-AU"/>
              </w:rPr>
              <w:tab/>
            </w:r>
            <w:r w:rsidR="008A4A95" w:rsidRPr="00240D7C">
              <w:rPr>
                <w:rStyle w:val="Hyperlink"/>
                <w:noProof/>
              </w:rPr>
              <w:t>Location and area</w:t>
            </w:r>
            <w:r w:rsidR="008A4A95">
              <w:rPr>
                <w:noProof/>
                <w:webHidden/>
              </w:rPr>
              <w:tab/>
            </w:r>
            <w:r w:rsidR="008A4A95">
              <w:rPr>
                <w:noProof/>
                <w:webHidden/>
              </w:rPr>
              <w:fldChar w:fldCharType="begin"/>
            </w:r>
            <w:r w:rsidR="008A4A95">
              <w:rPr>
                <w:noProof/>
                <w:webHidden/>
              </w:rPr>
              <w:instrText xml:space="preserve"> PAGEREF _Toc87278332 \h </w:instrText>
            </w:r>
            <w:r w:rsidR="008A4A95">
              <w:rPr>
                <w:noProof/>
                <w:webHidden/>
              </w:rPr>
            </w:r>
            <w:r w:rsidR="008A4A95">
              <w:rPr>
                <w:noProof/>
                <w:webHidden/>
              </w:rPr>
              <w:fldChar w:fldCharType="separate"/>
            </w:r>
            <w:r w:rsidR="00937ADD">
              <w:rPr>
                <w:noProof/>
                <w:webHidden/>
              </w:rPr>
              <w:t>17</w:t>
            </w:r>
            <w:r w:rsidR="008A4A95">
              <w:rPr>
                <w:noProof/>
                <w:webHidden/>
              </w:rPr>
              <w:fldChar w:fldCharType="end"/>
            </w:r>
          </w:hyperlink>
        </w:p>
        <w:p w14:paraId="07D66BFD" w14:textId="28FDCCF6" w:rsidR="008A4A95" w:rsidRDefault="009B0C52">
          <w:pPr>
            <w:pStyle w:val="TOC3"/>
            <w:rPr>
              <w:rFonts w:asciiTheme="minorHAnsi" w:eastAsiaTheme="minorEastAsia" w:hAnsiTheme="minorHAnsi"/>
              <w:noProof/>
              <w:sz w:val="22"/>
              <w:szCs w:val="22"/>
              <w:lang w:eastAsia="en-AU"/>
            </w:rPr>
          </w:pPr>
          <w:hyperlink w:anchor="_Toc87278333" w:history="1">
            <w:r w:rsidR="008A4A95" w:rsidRPr="00240D7C">
              <w:rPr>
                <w:rStyle w:val="Hyperlink"/>
                <w:noProof/>
              </w:rPr>
              <w:t>4.3.1.</w:t>
            </w:r>
            <w:r w:rsidR="008A4A95">
              <w:rPr>
                <w:rFonts w:asciiTheme="minorHAnsi" w:eastAsiaTheme="minorEastAsia" w:hAnsiTheme="minorHAnsi"/>
                <w:noProof/>
                <w:sz w:val="22"/>
                <w:szCs w:val="22"/>
                <w:lang w:eastAsia="en-AU"/>
              </w:rPr>
              <w:tab/>
            </w:r>
            <w:r w:rsidR="008A4A95" w:rsidRPr="00240D7C">
              <w:rPr>
                <w:rStyle w:val="Hyperlink"/>
                <w:noProof/>
              </w:rPr>
              <w:t>Geological basin</w:t>
            </w:r>
            <w:r w:rsidR="008A4A95">
              <w:rPr>
                <w:noProof/>
                <w:webHidden/>
              </w:rPr>
              <w:tab/>
            </w:r>
            <w:r w:rsidR="008A4A95">
              <w:rPr>
                <w:noProof/>
                <w:webHidden/>
              </w:rPr>
              <w:fldChar w:fldCharType="begin"/>
            </w:r>
            <w:r w:rsidR="008A4A95">
              <w:rPr>
                <w:noProof/>
                <w:webHidden/>
              </w:rPr>
              <w:instrText xml:space="preserve"> PAGEREF _Toc87278333 \h </w:instrText>
            </w:r>
            <w:r w:rsidR="008A4A95">
              <w:rPr>
                <w:noProof/>
                <w:webHidden/>
              </w:rPr>
            </w:r>
            <w:r w:rsidR="008A4A95">
              <w:rPr>
                <w:noProof/>
                <w:webHidden/>
              </w:rPr>
              <w:fldChar w:fldCharType="separate"/>
            </w:r>
            <w:r w:rsidR="00937ADD">
              <w:rPr>
                <w:noProof/>
                <w:webHidden/>
              </w:rPr>
              <w:t>19</w:t>
            </w:r>
            <w:r w:rsidR="008A4A95">
              <w:rPr>
                <w:noProof/>
                <w:webHidden/>
              </w:rPr>
              <w:fldChar w:fldCharType="end"/>
            </w:r>
          </w:hyperlink>
        </w:p>
        <w:p w14:paraId="47F97BB6" w14:textId="1DC565BC" w:rsidR="008A4A95" w:rsidRDefault="009B0C52">
          <w:pPr>
            <w:pStyle w:val="TOC3"/>
            <w:rPr>
              <w:rFonts w:asciiTheme="minorHAnsi" w:eastAsiaTheme="minorEastAsia" w:hAnsiTheme="minorHAnsi"/>
              <w:noProof/>
              <w:sz w:val="22"/>
              <w:szCs w:val="22"/>
              <w:lang w:eastAsia="en-AU"/>
            </w:rPr>
          </w:pPr>
          <w:hyperlink w:anchor="_Toc87278334" w:history="1">
            <w:r w:rsidR="008A4A95" w:rsidRPr="00240D7C">
              <w:rPr>
                <w:rStyle w:val="Hyperlink"/>
                <w:noProof/>
              </w:rPr>
              <w:t>4.3.2.</w:t>
            </w:r>
            <w:r w:rsidR="008A4A95">
              <w:rPr>
                <w:rFonts w:asciiTheme="minorHAnsi" w:eastAsiaTheme="minorEastAsia" w:hAnsiTheme="minorHAnsi"/>
                <w:noProof/>
                <w:sz w:val="22"/>
                <w:szCs w:val="22"/>
                <w:lang w:eastAsia="en-AU"/>
              </w:rPr>
              <w:tab/>
            </w:r>
            <w:r w:rsidR="008A4A95" w:rsidRPr="00240D7C">
              <w:rPr>
                <w:rStyle w:val="Hyperlink"/>
                <w:noProof/>
              </w:rPr>
              <w:t>Drainage basin and catchment</w:t>
            </w:r>
            <w:r w:rsidR="008A4A95">
              <w:rPr>
                <w:noProof/>
                <w:webHidden/>
              </w:rPr>
              <w:tab/>
            </w:r>
            <w:r w:rsidR="008A4A95">
              <w:rPr>
                <w:noProof/>
                <w:webHidden/>
              </w:rPr>
              <w:fldChar w:fldCharType="begin"/>
            </w:r>
            <w:r w:rsidR="008A4A95">
              <w:rPr>
                <w:noProof/>
                <w:webHidden/>
              </w:rPr>
              <w:instrText xml:space="preserve"> PAGEREF _Toc87278334 \h </w:instrText>
            </w:r>
            <w:r w:rsidR="008A4A95">
              <w:rPr>
                <w:noProof/>
                <w:webHidden/>
              </w:rPr>
            </w:r>
            <w:r w:rsidR="008A4A95">
              <w:rPr>
                <w:noProof/>
                <w:webHidden/>
              </w:rPr>
              <w:fldChar w:fldCharType="separate"/>
            </w:r>
            <w:r w:rsidR="00937ADD">
              <w:rPr>
                <w:noProof/>
                <w:webHidden/>
              </w:rPr>
              <w:t>19</w:t>
            </w:r>
            <w:r w:rsidR="008A4A95">
              <w:rPr>
                <w:noProof/>
                <w:webHidden/>
              </w:rPr>
              <w:fldChar w:fldCharType="end"/>
            </w:r>
          </w:hyperlink>
        </w:p>
        <w:p w14:paraId="490BD4CD" w14:textId="0126680B" w:rsidR="008A4A95" w:rsidRDefault="009B0C52">
          <w:pPr>
            <w:pStyle w:val="TOC2"/>
            <w:rPr>
              <w:rFonts w:eastAsiaTheme="minorEastAsia"/>
              <w:noProof/>
              <w:sz w:val="22"/>
              <w:szCs w:val="22"/>
              <w:lang w:eastAsia="en-AU"/>
            </w:rPr>
          </w:pPr>
          <w:hyperlink w:anchor="_Toc87278335" w:history="1">
            <w:r w:rsidR="008A4A95" w:rsidRPr="00240D7C">
              <w:rPr>
                <w:rStyle w:val="Hyperlink"/>
                <w:noProof/>
              </w:rPr>
              <w:t>4.4.</w:t>
            </w:r>
            <w:r w:rsidR="008A4A95">
              <w:rPr>
                <w:rFonts w:eastAsiaTheme="minorEastAsia"/>
                <w:noProof/>
                <w:sz w:val="22"/>
                <w:szCs w:val="22"/>
                <w:lang w:eastAsia="en-AU"/>
              </w:rPr>
              <w:tab/>
            </w:r>
            <w:r w:rsidR="008A4A95" w:rsidRPr="00240D7C">
              <w:rPr>
                <w:rStyle w:val="Hyperlink"/>
                <w:noProof/>
              </w:rPr>
              <w:t>Floodplain mapping</w:t>
            </w:r>
            <w:r w:rsidR="008A4A95">
              <w:rPr>
                <w:noProof/>
                <w:webHidden/>
              </w:rPr>
              <w:tab/>
            </w:r>
            <w:r w:rsidR="008A4A95">
              <w:rPr>
                <w:noProof/>
                <w:webHidden/>
              </w:rPr>
              <w:fldChar w:fldCharType="begin"/>
            </w:r>
            <w:r w:rsidR="008A4A95">
              <w:rPr>
                <w:noProof/>
                <w:webHidden/>
              </w:rPr>
              <w:instrText xml:space="preserve"> PAGEREF _Toc87278335 \h </w:instrText>
            </w:r>
            <w:r w:rsidR="008A4A95">
              <w:rPr>
                <w:noProof/>
                <w:webHidden/>
              </w:rPr>
            </w:r>
            <w:r w:rsidR="008A4A95">
              <w:rPr>
                <w:noProof/>
                <w:webHidden/>
              </w:rPr>
              <w:fldChar w:fldCharType="separate"/>
            </w:r>
            <w:r w:rsidR="00937ADD">
              <w:rPr>
                <w:noProof/>
                <w:webHidden/>
              </w:rPr>
              <w:t>20</w:t>
            </w:r>
            <w:r w:rsidR="008A4A95">
              <w:rPr>
                <w:noProof/>
                <w:webHidden/>
              </w:rPr>
              <w:fldChar w:fldCharType="end"/>
            </w:r>
          </w:hyperlink>
        </w:p>
        <w:p w14:paraId="65EF9496" w14:textId="6C9A382F" w:rsidR="008A4A95" w:rsidRDefault="009B0C52">
          <w:pPr>
            <w:pStyle w:val="TOC2"/>
            <w:rPr>
              <w:rFonts w:eastAsiaTheme="minorEastAsia"/>
              <w:noProof/>
              <w:sz w:val="22"/>
              <w:szCs w:val="22"/>
              <w:lang w:eastAsia="en-AU"/>
            </w:rPr>
          </w:pPr>
          <w:hyperlink w:anchor="_Toc87278336" w:history="1">
            <w:r w:rsidR="008A4A95" w:rsidRPr="00240D7C">
              <w:rPr>
                <w:rStyle w:val="Hyperlink"/>
                <w:noProof/>
              </w:rPr>
              <w:t>4.5.</w:t>
            </w:r>
            <w:r w:rsidR="008A4A95">
              <w:rPr>
                <w:rFonts w:eastAsiaTheme="minorEastAsia"/>
                <w:noProof/>
                <w:sz w:val="22"/>
                <w:szCs w:val="22"/>
                <w:lang w:eastAsia="en-AU"/>
              </w:rPr>
              <w:tab/>
            </w:r>
            <w:r w:rsidR="008A4A95" w:rsidRPr="00240D7C">
              <w:rPr>
                <w:rStyle w:val="Hyperlink"/>
                <w:noProof/>
              </w:rPr>
              <w:t>Proximity to surface waters</w:t>
            </w:r>
            <w:r w:rsidR="008A4A95">
              <w:rPr>
                <w:noProof/>
                <w:webHidden/>
              </w:rPr>
              <w:tab/>
            </w:r>
            <w:r w:rsidR="008A4A95">
              <w:rPr>
                <w:noProof/>
                <w:webHidden/>
              </w:rPr>
              <w:fldChar w:fldCharType="begin"/>
            </w:r>
            <w:r w:rsidR="008A4A95">
              <w:rPr>
                <w:noProof/>
                <w:webHidden/>
              </w:rPr>
              <w:instrText xml:space="preserve"> PAGEREF _Toc87278336 \h </w:instrText>
            </w:r>
            <w:r w:rsidR="008A4A95">
              <w:rPr>
                <w:noProof/>
                <w:webHidden/>
              </w:rPr>
            </w:r>
            <w:r w:rsidR="008A4A95">
              <w:rPr>
                <w:noProof/>
                <w:webHidden/>
              </w:rPr>
              <w:fldChar w:fldCharType="separate"/>
            </w:r>
            <w:r w:rsidR="00937ADD">
              <w:rPr>
                <w:noProof/>
                <w:webHidden/>
              </w:rPr>
              <w:t>21</w:t>
            </w:r>
            <w:r w:rsidR="008A4A95">
              <w:rPr>
                <w:noProof/>
                <w:webHidden/>
              </w:rPr>
              <w:fldChar w:fldCharType="end"/>
            </w:r>
          </w:hyperlink>
        </w:p>
        <w:p w14:paraId="33242FB6" w14:textId="53586D93" w:rsidR="008A4A95" w:rsidRDefault="009B0C52">
          <w:pPr>
            <w:pStyle w:val="TOC2"/>
            <w:rPr>
              <w:rFonts w:eastAsiaTheme="minorEastAsia"/>
              <w:noProof/>
              <w:sz w:val="22"/>
              <w:szCs w:val="22"/>
              <w:lang w:eastAsia="en-AU"/>
            </w:rPr>
          </w:pPr>
          <w:hyperlink w:anchor="_Toc87278337" w:history="1">
            <w:r w:rsidR="008A4A95" w:rsidRPr="00240D7C">
              <w:rPr>
                <w:rStyle w:val="Hyperlink"/>
                <w:noProof/>
              </w:rPr>
              <w:t>4.6.</w:t>
            </w:r>
            <w:r w:rsidR="008A4A95">
              <w:rPr>
                <w:rFonts w:eastAsiaTheme="minorEastAsia"/>
                <w:noProof/>
                <w:sz w:val="22"/>
                <w:szCs w:val="22"/>
                <w:lang w:eastAsia="en-AU"/>
              </w:rPr>
              <w:tab/>
            </w:r>
            <w:r w:rsidR="008A4A95" w:rsidRPr="00240D7C">
              <w:rPr>
                <w:rStyle w:val="Hyperlink"/>
                <w:noProof/>
              </w:rPr>
              <w:t>Rehabilitation</w:t>
            </w:r>
            <w:r w:rsidR="008A4A95">
              <w:rPr>
                <w:noProof/>
                <w:webHidden/>
              </w:rPr>
              <w:tab/>
            </w:r>
            <w:r w:rsidR="008A4A95">
              <w:rPr>
                <w:noProof/>
                <w:webHidden/>
              </w:rPr>
              <w:fldChar w:fldCharType="begin"/>
            </w:r>
            <w:r w:rsidR="008A4A95">
              <w:rPr>
                <w:noProof/>
                <w:webHidden/>
              </w:rPr>
              <w:instrText xml:space="preserve"> PAGEREF _Toc87278337 \h </w:instrText>
            </w:r>
            <w:r w:rsidR="008A4A95">
              <w:rPr>
                <w:noProof/>
                <w:webHidden/>
              </w:rPr>
            </w:r>
            <w:r w:rsidR="008A4A95">
              <w:rPr>
                <w:noProof/>
                <w:webHidden/>
              </w:rPr>
              <w:fldChar w:fldCharType="separate"/>
            </w:r>
            <w:r w:rsidR="00937ADD">
              <w:rPr>
                <w:noProof/>
                <w:webHidden/>
              </w:rPr>
              <w:t>24</w:t>
            </w:r>
            <w:r w:rsidR="008A4A95">
              <w:rPr>
                <w:noProof/>
                <w:webHidden/>
              </w:rPr>
              <w:fldChar w:fldCharType="end"/>
            </w:r>
          </w:hyperlink>
        </w:p>
        <w:p w14:paraId="0E471E34" w14:textId="303C6C21" w:rsidR="008A4A95" w:rsidRDefault="009B0C52">
          <w:pPr>
            <w:pStyle w:val="TOC3"/>
            <w:rPr>
              <w:rFonts w:asciiTheme="minorHAnsi" w:eastAsiaTheme="minorEastAsia" w:hAnsiTheme="minorHAnsi"/>
              <w:noProof/>
              <w:sz w:val="22"/>
              <w:szCs w:val="22"/>
              <w:lang w:eastAsia="en-AU"/>
            </w:rPr>
          </w:pPr>
          <w:hyperlink w:anchor="_Toc87278338" w:history="1">
            <w:r w:rsidR="008A4A95" w:rsidRPr="00240D7C">
              <w:rPr>
                <w:rStyle w:val="Hyperlink"/>
                <w:noProof/>
              </w:rPr>
              <w:t>4.6.1.</w:t>
            </w:r>
            <w:r w:rsidR="008A4A95">
              <w:rPr>
                <w:rFonts w:asciiTheme="minorHAnsi" w:eastAsiaTheme="minorEastAsia" w:hAnsiTheme="minorHAnsi"/>
                <w:noProof/>
                <w:sz w:val="22"/>
                <w:szCs w:val="22"/>
                <w:lang w:eastAsia="en-AU"/>
              </w:rPr>
              <w:tab/>
            </w:r>
            <w:r w:rsidR="008A4A95" w:rsidRPr="00240D7C">
              <w:rPr>
                <w:rStyle w:val="Hyperlink"/>
                <w:noProof/>
              </w:rPr>
              <w:t>Rehabilitation management planning</w:t>
            </w:r>
            <w:r w:rsidR="008A4A95">
              <w:rPr>
                <w:noProof/>
                <w:webHidden/>
              </w:rPr>
              <w:tab/>
            </w:r>
            <w:r w:rsidR="008A4A95">
              <w:rPr>
                <w:noProof/>
                <w:webHidden/>
              </w:rPr>
              <w:fldChar w:fldCharType="begin"/>
            </w:r>
            <w:r w:rsidR="008A4A95">
              <w:rPr>
                <w:noProof/>
                <w:webHidden/>
              </w:rPr>
              <w:instrText xml:space="preserve"> PAGEREF _Toc87278338 \h </w:instrText>
            </w:r>
            <w:r w:rsidR="008A4A95">
              <w:rPr>
                <w:noProof/>
                <w:webHidden/>
              </w:rPr>
            </w:r>
            <w:r w:rsidR="008A4A95">
              <w:rPr>
                <w:noProof/>
                <w:webHidden/>
              </w:rPr>
              <w:fldChar w:fldCharType="separate"/>
            </w:r>
            <w:r w:rsidR="00937ADD">
              <w:rPr>
                <w:noProof/>
                <w:webHidden/>
              </w:rPr>
              <w:t>24</w:t>
            </w:r>
            <w:r w:rsidR="008A4A95">
              <w:rPr>
                <w:noProof/>
                <w:webHidden/>
              </w:rPr>
              <w:fldChar w:fldCharType="end"/>
            </w:r>
          </w:hyperlink>
        </w:p>
        <w:p w14:paraId="595E767F" w14:textId="1FBF2910" w:rsidR="008A4A95" w:rsidRDefault="009B0C52">
          <w:pPr>
            <w:pStyle w:val="TOC3"/>
            <w:rPr>
              <w:rFonts w:asciiTheme="minorHAnsi" w:eastAsiaTheme="minorEastAsia" w:hAnsiTheme="minorHAnsi"/>
              <w:noProof/>
              <w:sz w:val="22"/>
              <w:szCs w:val="22"/>
              <w:lang w:eastAsia="en-AU"/>
            </w:rPr>
          </w:pPr>
          <w:hyperlink w:anchor="_Toc87278339" w:history="1">
            <w:r w:rsidR="008A4A95" w:rsidRPr="00240D7C">
              <w:rPr>
                <w:rStyle w:val="Hyperlink"/>
                <w:noProof/>
              </w:rPr>
              <w:t>4.6.2.</w:t>
            </w:r>
            <w:r w:rsidR="008A4A95">
              <w:rPr>
                <w:rFonts w:asciiTheme="minorHAnsi" w:eastAsiaTheme="minorEastAsia" w:hAnsiTheme="minorHAnsi"/>
                <w:noProof/>
                <w:sz w:val="22"/>
                <w:szCs w:val="22"/>
                <w:lang w:eastAsia="en-AU"/>
              </w:rPr>
              <w:tab/>
            </w:r>
            <w:r w:rsidR="008A4A95" w:rsidRPr="00240D7C">
              <w:rPr>
                <w:rStyle w:val="Hyperlink"/>
                <w:noProof/>
              </w:rPr>
              <w:t>Rehabilitation examples</w:t>
            </w:r>
            <w:r w:rsidR="008A4A95">
              <w:rPr>
                <w:noProof/>
                <w:webHidden/>
              </w:rPr>
              <w:tab/>
            </w:r>
            <w:r w:rsidR="008A4A95">
              <w:rPr>
                <w:noProof/>
                <w:webHidden/>
              </w:rPr>
              <w:fldChar w:fldCharType="begin"/>
            </w:r>
            <w:r w:rsidR="008A4A95">
              <w:rPr>
                <w:noProof/>
                <w:webHidden/>
              </w:rPr>
              <w:instrText xml:space="preserve"> PAGEREF _Toc87278339 \h </w:instrText>
            </w:r>
            <w:r w:rsidR="008A4A95">
              <w:rPr>
                <w:noProof/>
                <w:webHidden/>
              </w:rPr>
            </w:r>
            <w:r w:rsidR="008A4A95">
              <w:rPr>
                <w:noProof/>
                <w:webHidden/>
              </w:rPr>
              <w:fldChar w:fldCharType="separate"/>
            </w:r>
            <w:r w:rsidR="00937ADD">
              <w:rPr>
                <w:noProof/>
                <w:webHidden/>
              </w:rPr>
              <w:t>24</w:t>
            </w:r>
            <w:r w:rsidR="008A4A95">
              <w:rPr>
                <w:noProof/>
                <w:webHidden/>
              </w:rPr>
              <w:fldChar w:fldCharType="end"/>
            </w:r>
          </w:hyperlink>
        </w:p>
        <w:p w14:paraId="17F4DC87" w14:textId="523BD357" w:rsidR="008A4A95" w:rsidRDefault="009B0C52">
          <w:pPr>
            <w:pStyle w:val="TOC2"/>
            <w:rPr>
              <w:rFonts w:eastAsiaTheme="minorEastAsia"/>
              <w:noProof/>
              <w:sz w:val="22"/>
              <w:szCs w:val="22"/>
              <w:lang w:eastAsia="en-AU"/>
            </w:rPr>
          </w:pPr>
          <w:hyperlink w:anchor="_Toc87278340" w:history="1">
            <w:r w:rsidR="008A4A95" w:rsidRPr="00240D7C">
              <w:rPr>
                <w:rStyle w:val="Hyperlink"/>
                <w:noProof/>
              </w:rPr>
              <w:t>4.7.</w:t>
            </w:r>
            <w:r w:rsidR="008A4A95">
              <w:rPr>
                <w:rFonts w:eastAsiaTheme="minorEastAsia"/>
                <w:noProof/>
                <w:sz w:val="22"/>
                <w:szCs w:val="22"/>
                <w:lang w:eastAsia="en-AU"/>
              </w:rPr>
              <w:tab/>
            </w:r>
            <w:r w:rsidR="008A4A95" w:rsidRPr="00240D7C">
              <w:rPr>
                <w:rStyle w:val="Hyperlink"/>
                <w:noProof/>
              </w:rPr>
              <w:t>Preliminary characterisation of vulnerability</w:t>
            </w:r>
            <w:r w:rsidR="008A4A95">
              <w:rPr>
                <w:noProof/>
                <w:webHidden/>
              </w:rPr>
              <w:tab/>
            </w:r>
            <w:r w:rsidR="008A4A95">
              <w:rPr>
                <w:noProof/>
                <w:webHidden/>
              </w:rPr>
              <w:fldChar w:fldCharType="begin"/>
            </w:r>
            <w:r w:rsidR="008A4A95">
              <w:rPr>
                <w:noProof/>
                <w:webHidden/>
              </w:rPr>
              <w:instrText xml:space="preserve"> PAGEREF _Toc87278340 \h </w:instrText>
            </w:r>
            <w:r w:rsidR="008A4A95">
              <w:rPr>
                <w:noProof/>
                <w:webHidden/>
              </w:rPr>
            </w:r>
            <w:r w:rsidR="008A4A95">
              <w:rPr>
                <w:noProof/>
                <w:webHidden/>
              </w:rPr>
              <w:fldChar w:fldCharType="separate"/>
            </w:r>
            <w:r w:rsidR="00937ADD">
              <w:rPr>
                <w:noProof/>
                <w:webHidden/>
              </w:rPr>
              <w:t>25</w:t>
            </w:r>
            <w:r w:rsidR="008A4A95">
              <w:rPr>
                <w:noProof/>
                <w:webHidden/>
              </w:rPr>
              <w:fldChar w:fldCharType="end"/>
            </w:r>
          </w:hyperlink>
        </w:p>
        <w:p w14:paraId="27BCDA39" w14:textId="73C06B8A" w:rsidR="008A4A95" w:rsidRDefault="009B0C52">
          <w:pPr>
            <w:pStyle w:val="TOC1"/>
            <w:rPr>
              <w:rFonts w:eastAsiaTheme="minorEastAsia"/>
              <w:sz w:val="22"/>
              <w:lang w:eastAsia="en-AU"/>
            </w:rPr>
          </w:pPr>
          <w:hyperlink w:anchor="_Toc87278341" w:history="1">
            <w:r w:rsidR="008A4A95" w:rsidRPr="00240D7C">
              <w:rPr>
                <w:rStyle w:val="Hyperlink"/>
              </w:rPr>
              <w:t>5.</w:t>
            </w:r>
            <w:r w:rsidR="008A4A95">
              <w:rPr>
                <w:rFonts w:eastAsiaTheme="minorEastAsia"/>
                <w:sz w:val="22"/>
                <w:lang w:eastAsia="en-AU"/>
              </w:rPr>
              <w:tab/>
            </w:r>
            <w:r w:rsidR="008A4A95" w:rsidRPr="00240D7C">
              <w:rPr>
                <w:rStyle w:val="Hyperlink"/>
              </w:rPr>
              <w:t>Case studies</w:t>
            </w:r>
            <w:r w:rsidR="008A4A95">
              <w:rPr>
                <w:webHidden/>
              </w:rPr>
              <w:tab/>
            </w:r>
            <w:r w:rsidR="008A4A95">
              <w:rPr>
                <w:webHidden/>
              </w:rPr>
              <w:fldChar w:fldCharType="begin"/>
            </w:r>
            <w:r w:rsidR="008A4A95">
              <w:rPr>
                <w:webHidden/>
              </w:rPr>
              <w:instrText xml:space="preserve"> PAGEREF _Toc87278341 \h </w:instrText>
            </w:r>
            <w:r w:rsidR="008A4A95">
              <w:rPr>
                <w:webHidden/>
              </w:rPr>
            </w:r>
            <w:r w:rsidR="008A4A95">
              <w:rPr>
                <w:webHidden/>
              </w:rPr>
              <w:fldChar w:fldCharType="separate"/>
            </w:r>
            <w:r w:rsidR="00937ADD">
              <w:rPr>
                <w:webHidden/>
              </w:rPr>
              <w:t>27</w:t>
            </w:r>
            <w:r w:rsidR="008A4A95">
              <w:rPr>
                <w:webHidden/>
              </w:rPr>
              <w:fldChar w:fldCharType="end"/>
            </w:r>
          </w:hyperlink>
        </w:p>
        <w:p w14:paraId="130C7282" w14:textId="3C680C20" w:rsidR="008A4A95" w:rsidRDefault="009B0C52">
          <w:pPr>
            <w:pStyle w:val="TOC2"/>
            <w:rPr>
              <w:rFonts w:eastAsiaTheme="minorEastAsia"/>
              <w:noProof/>
              <w:sz w:val="22"/>
              <w:szCs w:val="22"/>
              <w:lang w:eastAsia="en-AU"/>
            </w:rPr>
          </w:pPr>
          <w:hyperlink w:anchor="_Toc87278342" w:history="1">
            <w:r w:rsidR="008A4A95" w:rsidRPr="00240D7C">
              <w:rPr>
                <w:rStyle w:val="Hyperlink"/>
                <w:noProof/>
              </w:rPr>
              <w:t>5.1.</w:t>
            </w:r>
            <w:r w:rsidR="008A4A95">
              <w:rPr>
                <w:rFonts w:eastAsiaTheme="minorEastAsia"/>
                <w:noProof/>
                <w:sz w:val="22"/>
                <w:szCs w:val="22"/>
                <w:lang w:eastAsia="en-AU"/>
              </w:rPr>
              <w:tab/>
            </w:r>
            <w:r w:rsidR="008A4A95" w:rsidRPr="00240D7C">
              <w:rPr>
                <w:rStyle w:val="Hyperlink"/>
                <w:noProof/>
              </w:rPr>
              <w:t>Olive Downs coking coal project</w:t>
            </w:r>
            <w:r w:rsidR="008A4A95">
              <w:rPr>
                <w:noProof/>
                <w:webHidden/>
              </w:rPr>
              <w:tab/>
            </w:r>
            <w:r w:rsidR="008A4A95">
              <w:rPr>
                <w:noProof/>
                <w:webHidden/>
              </w:rPr>
              <w:fldChar w:fldCharType="begin"/>
            </w:r>
            <w:r w:rsidR="008A4A95">
              <w:rPr>
                <w:noProof/>
                <w:webHidden/>
              </w:rPr>
              <w:instrText xml:space="preserve"> PAGEREF _Toc87278342 \h </w:instrText>
            </w:r>
            <w:r w:rsidR="008A4A95">
              <w:rPr>
                <w:noProof/>
                <w:webHidden/>
              </w:rPr>
            </w:r>
            <w:r w:rsidR="008A4A95">
              <w:rPr>
                <w:noProof/>
                <w:webHidden/>
              </w:rPr>
              <w:fldChar w:fldCharType="separate"/>
            </w:r>
            <w:r w:rsidR="00937ADD">
              <w:rPr>
                <w:noProof/>
                <w:webHidden/>
              </w:rPr>
              <w:t>27</w:t>
            </w:r>
            <w:r w:rsidR="008A4A95">
              <w:rPr>
                <w:noProof/>
                <w:webHidden/>
              </w:rPr>
              <w:fldChar w:fldCharType="end"/>
            </w:r>
          </w:hyperlink>
        </w:p>
        <w:p w14:paraId="5F91A8BC" w14:textId="4014B51A" w:rsidR="008A4A95" w:rsidRDefault="009B0C52">
          <w:pPr>
            <w:pStyle w:val="TOC3"/>
            <w:rPr>
              <w:rFonts w:asciiTheme="minorHAnsi" w:eastAsiaTheme="minorEastAsia" w:hAnsiTheme="minorHAnsi"/>
              <w:noProof/>
              <w:sz w:val="22"/>
              <w:szCs w:val="22"/>
              <w:lang w:eastAsia="en-AU"/>
            </w:rPr>
          </w:pPr>
          <w:hyperlink w:anchor="_Toc87278343" w:history="1">
            <w:r w:rsidR="008A4A95" w:rsidRPr="00240D7C">
              <w:rPr>
                <w:rStyle w:val="Hyperlink"/>
                <w:noProof/>
              </w:rPr>
              <w:t>5.1.1.</w:t>
            </w:r>
            <w:r w:rsidR="008A4A95">
              <w:rPr>
                <w:rFonts w:asciiTheme="minorHAnsi" w:eastAsiaTheme="minorEastAsia" w:hAnsiTheme="minorHAnsi"/>
                <w:noProof/>
                <w:sz w:val="22"/>
                <w:szCs w:val="22"/>
                <w:lang w:eastAsia="en-AU"/>
              </w:rPr>
              <w:tab/>
            </w:r>
            <w:r w:rsidR="008A4A95" w:rsidRPr="00240D7C">
              <w:rPr>
                <w:rStyle w:val="Hyperlink"/>
                <w:noProof/>
              </w:rPr>
              <w:t>Project status</w:t>
            </w:r>
            <w:r w:rsidR="008A4A95">
              <w:rPr>
                <w:noProof/>
                <w:webHidden/>
              </w:rPr>
              <w:tab/>
            </w:r>
            <w:r w:rsidR="008A4A95">
              <w:rPr>
                <w:noProof/>
                <w:webHidden/>
              </w:rPr>
              <w:fldChar w:fldCharType="begin"/>
            </w:r>
            <w:r w:rsidR="008A4A95">
              <w:rPr>
                <w:noProof/>
                <w:webHidden/>
              </w:rPr>
              <w:instrText xml:space="preserve"> PAGEREF _Toc87278343 \h </w:instrText>
            </w:r>
            <w:r w:rsidR="008A4A95">
              <w:rPr>
                <w:noProof/>
                <w:webHidden/>
              </w:rPr>
            </w:r>
            <w:r w:rsidR="008A4A95">
              <w:rPr>
                <w:noProof/>
                <w:webHidden/>
              </w:rPr>
              <w:fldChar w:fldCharType="separate"/>
            </w:r>
            <w:r w:rsidR="00937ADD">
              <w:rPr>
                <w:noProof/>
                <w:webHidden/>
              </w:rPr>
              <w:t>27</w:t>
            </w:r>
            <w:r w:rsidR="008A4A95">
              <w:rPr>
                <w:noProof/>
                <w:webHidden/>
              </w:rPr>
              <w:fldChar w:fldCharType="end"/>
            </w:r>
          </w:hyperlink>
        </w:p>
        <w:p w14:paraId="72032762" w14:textId="13026FD5" w:rsidR="008A4A95" w:rsidRDefault="009B0C52">
          <w:pPr>
            <w:pStyle w:val="TOC3"/>
            <w:rPr>
              <w:rFonts w:asciiTheme="minorHAnsi" w:eastAsiaTheme="minorEastAsia" w:hAnsiTheme="minorHAnsi"/>
              <w:noProof/>
              <w:sz w:val="22"/>
              <w:szCs w:val="22"/>
              <w:lang w:eastAsia="en-AU"/>
            </w:rPr>
          </w:pPr>
          <w:hyperlink w:anchor="_Toc87278344" w:history="1">
            <w:r w:rsidR="008A4A95" w:rsidRPr="00240D7C">
              <w:rPr>
                <w:rStyle w:val="Hyperlink"/>
                <w:noProof/>
              </w:rPr>
              <w:t>5.1.2.</w:t>
            </w:r>
            <w:r w:rsidR="008A4A95">
              <w:rPr>
                <w:rFonts w:asciiTheme="minorHAnsi" w:eastAsiaTheme="minorEastAsia" w:hAnsiTheme="minorHAnsi"/>
                <w:noProof/>
                <w:sz w:val="22"/>
                <w:szCs w:val="22"/>
                <w:lang w:eastAsia="en-AU"/>
              </w:rPr>
              <w:tab/>
            </w:r>
            <w:r w:rsidR="008A4A95" w:rsidRPr="00240D7C">
              <w:rPr>
                <w:rStyle w:val="Hyperlink"/>
                <w:noProof/>
              </w:rPr>
              <w:t>Physical setting</w:t>
            </w:r>
            <w:r w:rsidR="008A4A95">
              <w:rPr>
                <w:noProof/>
                <w:webHidden/>
              </w:rPr>
              <w:tab/>
            </w:r>
            <w:r w:rsidR="008A4A95">
              <w:rPr>
                <w:noProof/>
                <w:webHidden/>
              </w:rPr>
              <w:fldChar w:fldCharType="begin"/>
            </w:r>
            <w:r w:rsidR="008A4A95">
              <w:rPr>
                <w:noProof/>
                <w:webHidden/>
              </w:rPr>
              <w:instrText xml:space="preserve"> PAGEREF _Toc87278344 \h </w:instrText>
            </w:r>
            <w:r w:rsidR="008A4A95">
              <w:rPr>
                <w:noProof/>
                <w:webHidden/>
              </w:rPr>
            </w:r>
            <w:r w:rsidR="008A4A95">
              <w:rPr>
                <w:noProof/>
                <w:webHidden/>
              </w:rPr>
              <w:fldChar w:fldCharType="separate"/>
            </w:r>
            <w:r w:rsidR="00937ADD">
              <w:rPr>
                <w:noProof/>
                <w:webHidden/>
              </w:rPr>
              <w:t>27</w:t>
            </w:r>
            <w:r w:rsidR="008A4A95">
              <w:rPr>
                <w:noProof/>
                <w:webHidden/>
              </w:rPr>
              <w:fldChar w:fldCharType="end"/>
            </w:r>
          </w:hyperlink>
        </w:p>
        <w:p w14:paraId="7E0ADACD" w14:textId="222C41D2" w:rsidR="008A4A95" w:rsidRDefault="009B0C52">
          <w:pPr>
            <w:pStyle w:val="TOC3"/>
            <w:rPr>
              <w:rFonts w:asciiTheme="minorHAnsi" w:eastAsiaTheme="minorEastAsia" w:hAnsiTheme="minorHAnsi"/>
              <w:noProof/>
              <w:sz w:val="22"/>
              <w:szCs w:val="22"/>
              <w:lang w:eastAsia="en-AU"/>
            </w:rPr>
          </w:pPr>
          <w:hyperlink w:anchor="_Toc87278345" w:history="1">
            <w:r w:rsidR="008A4A95" w:rsidRPr="00240D7C">
              <w:rPr>
                <w:rStyle w:val="Hyperlink"/>
                <w:noProof/>
              </w:rPr>
              <w:t>5.1.3.</w:t>
            </w:r>
            <w:r w:rsidR="008A4A95">
              <w:rPr>
                <w:rFonts w:asciiTheme="minorHAnsi" w:eastAsiaTheme="minorEastAsia" w:hAnsiTheme="minorHAnsi"/>
                <w:noProof/>
                <w:sz w:val="22"/>
                <w:szCs w:val="22"/>
                <w:lang w:eastAsia="en-AU"/>
              </w:rPr>
              <w:tab/>
            </w:r>
            <w:r w:rsidR="008A4A95" w:rsidRPr="00240D7C">
              <w:rPr>
                <w:rStyle w:val="Hyperlink"/>
                <w:noProof/>
              </w:rPr>
              <w:t>Proposed design of residual voids</w:t>
            </w:r>
            <w:r w:rsidR="008A4A95">
              <w:rPr>
                <w:noProof/>
                <w:webHidden/>
              </w:rPr>
              <w:tab/>
            </w:r>
            <w:r w:rsidR="008A4A95">
              <w:rPr>
                <w:noProof/>
                <w:webHidden/>
              </w:rPr>
              <w:fldChar w:fldCharType="begin"/>
            </w:r>
            <w:r w:rsidR="008A4A95">
              <w:rPr>
                <w:noProof/>
                <w:webHidden/>
              </w:rPr>
              <w:instrText xml:space="preserve"> PAGEREF _Toc87278345 \h </w:instrText>
            </w:r>
            <w:r w:rsidR="008A4A95">
              <w:rPr>
                <w:noProof/>
                <w:webHidden/>
              </w:rPr>
            </w:r>
            <w:r w:rsidR="008A4A95">
              <w:rPr>
                <w:noProof/>
                <w:webHidden/>
              </w:rPr>
              <w:fldChar w:fldCharType="separate"/>
            </w:r>
            <w:r w:rsidR="00937ADD">
              <w:rPr>
                <w:noProof/>
                <w:webHidden/>
              </w:rPr>
              <w:t>28</w:t>
            </w:r>
            <w:r w:rsidR="008A4A95">
              <w:rPr>
                <w:noProof/>
                <w:webHidden/>
              </w:rPr>
              <w:fldChar w:fldCharType="end"/>
            </w:r>
          </w:hyperlink>
        </w:p>
        <w:p w14:paraId="0178E296" w14:textId="0BC3714E" w:rsidR="008A4A95" w:rsidRDefault="009B0C52">
          <w:pPr>
            <w:pStyle w:val="TOC3"/>
            <w:rPr>
              <w:rFonts w:asciiTheme="minorHAnsi" w:eastAsiaTheme="minorEastAsia" w:hAnsiTheme="minorHAnsi"/>
              <w:noProof/>
              <w:sz w:val="22"/>
              <w:szCs w:val="22"/>
              <w:lang w:eastAsia="en-AU"/>
            </w:rPr>
          </w:pPr>
          <w:hyperlink w:anchor="_Toc87278346" w:history="1">
            <w:r w:rsidR="008A4A95" w:rsidRPr="00240D7C">
              <w:rPr>
                <w:rStyle w:val="Hyperlink"/>
                <w:noProof/>
              </w:rPr>
              <w:t>5.1.4.</w:t>
            </w:r>
            <w:r w:rsidR="008A4A95">
              <w:rPr>
                <w:rFonts w:asciiTheme="minorHAnsi" w:eastAsiaTheme="minorEastAsia" w:hAnsiTheme="minorHAnsi"/>
                <w:noProof/>
                <w:sz w:val="22"/>
                <w:szCs w:val="22"/>
                <w:lang w:eastAsia="en-AU"/>
              </w:rPr>
              <w:tab/>
            </w:r>
            <w:r w:rsidR="008A4A95" w:rsidRPr="00240D7C">
              <w:rPr>
                <w:rStyle w:val="Hyperlink"/>
                <w:noProof/>
              </w:rPr>
              <w:t>Conceptualisation of flow regime</w:t>
            </w:r>
            <w:r w:rsidR="008A4A95">
              <w:rPr>
                <w:noProof/>
                <w:webHidden/>
              </w:rPr>
              <w:tab/>
            </w:r>
            <w:r w:rsidR="008A4A95">
              <w:rPr>
                <w:noProof/>
                <w:webHidden/>
              </w:rPr>
              <w:fldChar w:fldCharType="begin"/>
            </w:r>
            <w:r w:rsidR="008A4A95">
              <w:rPr>
                <w:noProof/>
                <w:webHidden/>
              </w:rPr>
              <w:instrText xml:space="preserve"> PAGEREF _Toc87278346 \h </w:instrText>
            </w:r>
            <w:r w:rsidR="008A4A95">
              <w:rPr>
                <w:noProof/>
                <w:webHidden/>
              </w:rPr>
            </w:r>
            <w:r w:rsidR="008A4A95">
              <w:rPr>
                <w:noProof/>
                <w:webHidden/>
              </w:rPr>
              <w:fldChar w:fldCharType="separate"/>
            </w:r>
            <w:r w:rsidR="00937ADD">
              <w:rPr>
                <w:noProof/>
                <w:webHidden/>
              </w:rPr>
              <w:t>30</w:t>
            </w:r>
            <w:r w:rsidR="008A4A95">
              <w:rPr>
                <w:noProof/>
                <w:webHidden/>
              </w:rPr>
              <w:fldChar w:fldCharType="end"/>
            </w:r>
          </w:hyperlink>
        </w:p>
        <w:p w14:paraId="15994E91" w14:textId="68472579" w:rsidR="008A4A95" w:rsidRDefault="009B0C52">
          <w:pPr>
            <w:pStyle w:val="TOC3"/>
            <w:rPr>
              <w:rFonts w:asciiTheme="minorHAnsi" w:eastAsiaTheme="minorEastAsia" w:hAnsiTheme="minorHAnsi"/>
              <w:noProof/>
              <w:sz w:val="22"/>
              <w:szCs w:val="22"/>
              <w:lang w:eastAsia="en-AU"/>
            </w:rPr>
          </w:pPr>
          <w:hyperlink w:anchor="_Toc87278347" w:history="1">
            <w:r w:rsidR="008A4A95" w:rsidRPr="00240D7C">
              <w:rPr>
                <w:rStyle w:val="Hyperlink"/>
                <w:noProof/>
              </w:rPr>
              <w:t>5.1.5.</w:t>
            </w:r>
            <w:r w:rsidR="008A4A95">
              <w:rPr>
                <w:rFonts w:asciiTheme="minorHAnsi" w:eastAsiaTheme="minorEastAsia" w:hAnsiTheme="minorHAnsi"/>
                <w:noProof/>
                <w:sz w:val="22"/>
                <w:szCs w:val="22"/>
                <w:lang w:eastAsia="en-AU"/>
              </w:rPr>
              <w:tab/>
            </w:r>
            <w:r w:rsidR="008A4A95" w:rsidRPr="00240D7C">
              <w:rPr>
                <w:rStyle w:val="Hyperlink"/>
                <w:noProof/>
              </w:rPr>
              <w:t>Potential impacts</w:t>
            </w:r>
            <w:r w:rsidR="008A4A95">
              <w:rPr>
                <w:noProof/>
                <w:webHidden/>
              </w:rPr>
              <w:tab/>
            </w:r>
            <w:r w:rsidR="008A4A95">
              <w:rPr>
                <w:noProof/>
                <w:webHidden/>
              </w:rPr>
              <w:fldChar w:fldCharType="begin"/>
            </w:r>
            <w:r w:rsidR="008A4A95">
              <w:rPr>
                <w:noProof/>
                <w:webHidden/>
              </w:rPr>
              <w:instrText xml:space="preserve"> PAGEREF _Toc87278347 \h </w:instrText>
            </w:r>
            <w:r w:rsidR="008A4A95">
              <w:rPr>
                <w:noProof/>
                <w:webHidden/>
              </w:rPr>
            </w:r>
            <w:r w:rsidR="008A4A95">
              <w:rPr>
                <w:noProof/>
                <w:webHidden/>
              </w:rPr>
              <w:fldChar w:fldCharType="separate"/>
            </w:r>
            <w:r w:rsidR="00937ADD">
              <w:rPr>
                <w:noProof/>
                <w:webHidden/>
              </w:rPr>
              <w:t>31</w:t>
            </w:r>
            <w:r w:rsidR="008A4A95">
              <w:rPr>
                <w:noProof/>
                <w:webHidden/>
              </w:rPr>
              <w:fldChar w:fldCharType="end"/>
            </w:r>
          </w:hyperlink>
        </w:p>
        <w:p w14:paraId="3567BB63" w14:textId="12FABBD5" w:rsidR="008A4A95" w:rsidRDefault="009B0C52">
          <w:pPr>
            <w:pStyle w:val="TOC3"/>
            <w:rPr>
              <w:rFonts w:asciiTheme="minorHAnsi" w:eastAsiaTheme="minorEastAsia" w:hAnsiTheme="minorHAnsi"/>
              <w:noProof/>
              <w:sz w:val="22"/>
              <w:szCs w:val="22"/>
              <w:lang w:eastAsia="en-AU"/>
            </w:rPr>
          </w:pPr>
          <w:hyperlink w:anchor="_Toc87278348" w:history="1">
            <w:r w:rsidR="008A4A95" w:rsidRPr="00240D7C">
              <w:rPr>
                <w:rStyle w:val="Hyperlink"/>
                <w:noProof/>
              </w:rPr>
              <w:t>5.1.6.</w:t>
            </w:r>
            <w:r w:rsidR="008A4A95">
              <w:rPr>
                <w:rFonts w:asciiTheme="minorHAnsi" w:eastAsiaTheme="minorEastAsia" w:hAnsiTheme="minorHAnsi"/>
                <w:noProof/>
                <w:sz w:val="22"/>
                <w:szCs w:val="22"/>
                <w:lang w:eastAsia="en-AU"/>
              </w:rPr>
              <w:tab/>
            </w:r>
            <w:r w:rsidR="008A4A95" w:rsidRPr="00240D7C">
              <w:rPr>
                <w:rStyle w:val="Hyperlink"/>
                <w:noProof/>
              </w:rPr>
              <w:t>Rehabilitation planning</w:t>
            </w:r>
            <w:r w:rsidR="008A4A95">
              <w:rPr>
                <w:noProof/>
                <w:webHidden/>
              </w:rPr>
              <w:tab/>
            </w:r>
            <w:r w:rsidR="008A4A95">
              <w:rPr>
                <w:noProof/>
                <w:webHidden/>
              </w:rPr>
              <w:fldChar w:fldCharType="begin"/>
            </w:r>
            <w:r w:rsidR="008A4A95">
              <w:rPr>
                <w:noProof/>
                <w:webHidden/>
              </w:rPr>
              <w:instrText xml:space="preserve"> PAGEREF _Toc87278348 \h </w:instrText>
            </w:r>
            <w:r w:rsidR="008A4A95">
              <w:rPr>
                <w:noProof/>
                <w:webHidden/>
              </w:rPr>
            </w:r>
            <w:r w:rsidR="008A4A95">
              <w:rPr>
                <w:noProof/>
                <w:webHidden/>
              </w:rPr>
              <w:fldChar w:fldCharType="separate"/>
            </w:r>
            <w:r w:rsidR="00937ADD">
              <w:rPr>
                <w:noProof/>
                <w:webHidden/>
              </w:rPr>
              <w:t>32</w:t>
            </w:r>
            <w:r w:rsidR="008A4A95">
              <w:rPr>
                <w:noProof/>
                <w:webHidden/>
              </w:rPr>
              <w:fldChar w:fldCharType="end"/>
            </w:r>
          </w:hyperlink>
        </w:p>
        <w:p w14:paraId="678C9878" w14:textId="227AD3F5" w:rsidR="008A4A95" w:rsidRDefault="009B0C52">
          <w:pPr>
            <w:pStyle w:val="TOC3"/>
            <w:rPr>
              <w:rFonts w:asciiTheme="minorHAnsi" w:eastAsiaTheme="minorEastAsia" w:hAnsiTheme="minorHAnsi"/>
              <w:noProof/>
              <w:sz w:val="22"/>
              <w:szCs w:val="22"/>
              <w:lang w:eastAsia="en-AU"/>
            </w:rPr>
          </w:pPr>
          <w:hyperlink w:anchor="_Toc87278349" w:history="1">
            <w:r w:rsidR="008A4A95" w:rsidRPr="00240D7C">
              <w:rPr>
                <w:rStyle w:val="Hyperlink"/>
                <w:noProof/>
              </w:rPr>
              <w:t>5.1.7.</w:t>
            </w:r>
            <w:r w:rsidR="008A4A95">
              <w:rPr>
                <w:rFonts w:asciiTheme="minorHAnsi" w:eastAsiaTheme="minorEastAsia" w:hAnsiTheme="minorHAnsi"/>
                <w:noProof/>
                <w:sz w:val="22"/>
                <w:szCs w:val="22"/>
                <w:lang w:eastAsia="en-AU"/>
              </w:rPr>
              <w:tab/>
            </w:r>
            <w:r w:rsidR="008A4A95" w:rsidRPr="00240D7C">
              <w:rPr>
                <w:rStyle w:val="Hyperlink"/>
                <w:noProof/>
              </w:rPr>
              <w:t>Risk mitigation and management</w:t>
            </w:r>
            <w:r w:rsidR="008A4A95">
              <w:rPr>
                <w:noProof/>
                <w:webHidden/>
              </w:rPr>
              <w:tab/>
            </w:r>
            <w:r w:rsidR="008A4A95">
              <w:rPr>
                <w:noProof/>
                <w:webHidden/>
              </w:rPr>
              <w:fldChar w:fldCharType="begin"/>
            </w:r>
            <w:r w:rsidR="008A4A95">
              <w:rPr>
                <w:noProof/>
                <w:webHidden/>
              </w:rPr>
              <w:instrText xml:space="preserve"> PAGEREF _Toc87278349 \h </w:instrText>
            </w:r>
            <w:r w:rsidR="008A4A95">
              <w:rPr>
                <w:noProof/>
                <w:webHidden/>
              </w:rPr>
            </w:r>
            <w:r w:rsidR="008A4A95">
              <w:rPr>
                <w:noProof/>
                <w:webHidden/>
              </w:rPr>
              <w:fldChar w:fldCharType="separate"/>
            </w:r>
            <w:r w:rsidR="00937ADD">
              <w:rPr>
                <w:noProof/>
                <w:webHidden/>
              </w:rPr>
              <w:t>37</w:t>
            </w:r>
            <w:r w:rsidR="008A4A95">
              <w:rPr>
                <w:noProof/>
                <w:webHidden/>
              </w:rPr>
              <w:fldChar w:fldCharType="end"/>
            </w:r>
          </w:hyperlink>
        </w:p>
        <w:p w14:paraId="17C2317A" w14:textId="7FAC25DA" w:rsidR="008A4A95" w:rsidRDefault="009B0C52">
          <w:pPr>
            <w:pStyle w:val="TOC2"/>
            <w:rPr>
              <w:rFonts w:eastAsiaTheme="minorEastAsia"/>
              <w:noProof/>
              <w:sz w:val="22"/>
              <w:szCs w:val="22"/>
              <w:lang w:eastAsia="en-AU"/>
            </w:rPr>
          </w:pPr>
          <w:hyperlink w:anchor="_Toc87278350" w:history="1">
            <w:r w:rsidR="008A4A95" w:rsidRPr="00240D7C">
              <w:rPr>
                <w:rStyle w:val="Hyperlink"/>
                <w:noProof/>
              </w:rPr>
              <w:t>5.2.</w:t>
            </w:r>
            <w:r w:rsidR="008A4A95">
              <w:rPr>
                <w:rFonts w:eastAsiaTheme="minorEastAsia"/>
                <w:noProof/>
                <w:sz w:val="22"/>
                <w:szCs w:val="22"/>
                <w:lang w:eastAsia="en-AU"/>
              </w:rPr>
              <w:tab/>
            </w:r>
            <w:r w:rsidR="008A4A95" w:rsidRPr="00240D7C">
              <w:rPr>
                <w:rStyle w:val="Hyperlink"/>
                <w:noProof/>
              </w:rPr>
              <w:t>Middlemount coal mine</w:t>
            </w:r>
            <w:r w:rsidR="008A4A95">
              <w:rPr>
                <w:noProof/>
                <w:webHidden/>
              </w:rPr>
              <w:tab/>
            </w:r>
            <w:r w:rsidR="008A4A95">
              <w:rPr>
                <w:noProof/>
                <w:webHidden/>
              </w:rPr>
              <w:fldChar w:fldCharType="begin"/>
            </w:r>
            <w:r w:rsidR="008A4A95">
              <w:rPr>
                <w:noProof/>
                <w:webHidden/>
              </w:rPr>
              <w:instrText xml:space="preserve"> PAGEREF _Toc87278350 \h </w:instrText>
            </w:r>
            <w:r w:rsidR="008A4A95">
              <w:rPr>
                <w:noProof/>
                <w:webHidden/>
              </w:rPr>
            </w:r>
            <w:r w:rsidR="008A4A95">
              <w:rPr>
                <w:noProof/>
                <w:webHidden/>
              </w:rPr>
              <w:fldChar w:fldCharType="separate"/>
            </w:r>
            <w:r w:rsidR="00937ADD">
              <w:rPr>
                <w:noProof/>
                <w:webHidden/>
              </w:rPr>
              <w:t>38</w:t>
            </w:r>
            <w:r w:rsidR="008A4A95">
              <w:rPr>
                <w:noProof/>
                <w:webHidden/>
              </w:rPr>
              <w:fldChar w:fldCharType="end"/>
            </w:r>
          </w:hyperlink>
        </w:p>
        <w:p w14:paraId="0FF0CECB" w14:textId="312AD6D7" w:rsidR="008A4A95" w:rsidRDefault="009B0C52">
          <w:pPr>
            <w:pStyle w:val="TOC3"/>
            <w:rPr>
              <w:rFonts w:asciiTheme="minorHAnsi" w:eastAsiaTheme="minorEastAsia" w:hAnsiTheme="minorHAnsi"/>
              <w:noProof/>
              <w:sz w:val="22"/>
              <w:szCs w:val="22"/>
              <w:lang w:eastAsia="en-AU"/>
            </w:rPr>
          </w:pPr>
          <w:hyperlink w:anchor="_Toc87278351" w:history="1">
            <w:r w:rsidR="008A4A95" w:rsidRPr="00240D7C">
              <w:rPr>
                <w:rStyle w:val="Hyperlink"/>
                <w:noProof/>
              </w:rPr>
              <w:t>5.2.1.</w:t>
            </w:r>
            <w:r w:rsidR="008A4A95">
              <w:rPr>
                <w:rFonts w:asciiTheme="minorHAnsi" w:eastAsiaTheme="minorEastAsia" w:hAnsiTheme="minorHAnsi"/>
                <w:noProof/>
                <w:sz w:val="22"/>
                <w:szCs w:val="22"/>
                <w:lang w:eastAsia="en-AU"/>
              </w:rPr>
              <w:tab/>
            </w:r>
            <w:r w:rsidR="008A4A95" w:rsidRPr="00240D7C">
              <w:rPr>
                <w:rStyle w:val="Hyperlink"/>
                <w:noProof/>
              </w:rPr>
              <w:t>Project status</w:t>
            </w:r>
            <w:r w:rsidR="008A4A95">
              <w:rPr>
                <w:noProof/>
                <w:webHidden/>
              </w:rPr>
              <w:tab/>
            </w:r>
            <w:r w:rsidR="008A4A95">
              <w:rPr>
                <w:noProof/>
                <w:webHidden/>
              </w:rPr>
              <w:fldChar w:fldCharType="begin"/>
            </w:r>
            <w:r w:rsidR="008A4A95">
              <w:rPr>
                <w:noProof/>
                <w:webHidden/>
              </w:rPr>
              <w:instrText xml:space="preserve"> PAGEREF _Toc87278351 \h </w:instrText>
            </w:r>
            <w:r w:rsidR="008A4A95">
              <w:rPr>
                <w:noProof/>
                <w:webHidden/>
              </w:rPr>
            </w:r>
            <w:r w:rsidR="008A4A95">
              <w:rPr>
                <w:noProof/>
                <w:webHidden/>
              </w:rPr>
              <w:fldChar w:fldCharType="separate"/>
            </w:r>
            <w:r w:rsidR="00937ADD">
              <w:rPr>
                <w:noProof/>
                <w:webHidden/>
              </w:rPr>
              <w:t>38</w:t>
            </w:r>
            <w:r w:rsidR="008A4A95">
              <w:rPr>
                <w:noProof/>
                <w:webHidden/>
              </w:rPr>
              <w:fldChar w:fldCharType="end"/>
            </w:r>
          </w:hyperlink>
        </w:p>
        <w:p w14:paraId="243A0170" w14:textId="0CC80A58" w:rsidR="008A4A95" w:rsidRDefault="009B0C52">
          <w:pPr>
            <w:pStyle w:val="TOC3"/>
            <w:rPr>
              <w:rFonts w:asciiTheme="minorHAnsi" w:eastAsiaTheme="minorEastAsia" w:hAnsiTheme="minorHAnsi"/>
              <w:noProof/>
              <w:sz w:val="22"/>
              <w:szCs w:val="22"/>
              <w:lang w:eastAsia="en-AU"/>
            </w:rPr>
          </w:pPr>
          <w:hyperlink w:anchor="_Toc87278352" w:history="1">
            <w:r w:rsidR="008A4A95" w:rsidRPr="00240D7C">
              <w:rPr>
                <w:rStyle w:val="Hyperlink"/>
                <w:noProof/>
              </w:rPr>
              <w:t>5.2.2.</w:t>
            </w:r>
            <w:r w:rsidR="008A4A95">
              <w:rPr>
                <w:rFonts w:asciiTheme="minorHAnsi" w:eastAsiaTheme="minorEastAsia" w:hAnsiTheme="minorHAnsi"/>
                <w:noProof/>
                <w:sz w:val="22"/>
                <w:szCs w:val="22"/>
                <w:lang w:eastAsia="en-AU"/>
              </w:rPr>
              <w:tab/>
            </w:r>
            <w:r w:rsidR="008A4A95" w:rsidRPr="00240D7C">
              <w:rPr>
                <w:rStyle w:val="Hyperlink"/>
                <w:noProof/>
              </w:rPr>
              <w:t>Physical setting</w:t>
            </w:r>
            <w:r w:rsidR="008A4A95">
              <w:rPr>
                <w:noProof/>
                <w:webHidden/>
              </w:rPr>
              <w:tab/>
            </w:r>
            <w:r w:rsidR="008A4A95">
              <w:rPr>
                <w:noProof/>
                <w:webHidden/>
              </w:rPr>
              <w:fldChar w:fldCharType="begin"/>
            </w:r>
            <w:r w:rsidR="008A4A95">
              <w:rPr>
                <w:noProof/>
                <w:webHidden/>
              </w:rPr>
              <w:instrText xml:space="preserve"> PAGEREF _Toc87278352 \h </w:instrText>
            </w:r>
            <w:r w:rsidR="008A4A95">
              <w:rPr>
                <w:noProof/>
                <w:webHidden/>
              </w:rPr>
            </w:r>
            <w:r w:rsidR="008A4A95">
              <w:rPr>
                <w:noProof/>
                <w:webHidden/>
              </w:rPr>
              <w:fldChar w:fldCharType="separate"/>
            </w:r>
            <w:r w:rsidR="00937ADD">
              <w:rPr>
                <w:noProof/>
                <w:webHidden/>
              </w:rPr>
              <w:t>38</w:t>
            </w:r>
            <w:r w:rsidR="008A4A95">
              <w:rPr>
                <w:noProof/>
                <w:webHidden/>
              </w:rPr>
              <w:fldChar w:fldCharType="end"/>
            </w:r>
          </w:hyperlink>
        </w:p>
        <w:p w14:paraId="6055E84C" w14:textId="79CE9667" w:rsidR="008A4A95" w:rsidRDefault="009B0C52">
          <w:pPr>
            <w:pStyle w:val="TOC3"/>
            <w:rPr>
              <w:rFonts w:asciiTheme="minorHAnsi" w:eastAsiaTheme="minorEastAsia" w:hAnsiTheme="minorHAnsi"/>
              <w:noProof/>
              <w:sz w:val="22"/>
              <w:szCs w:val="22"/>
              <w:lang w:eastAsia="en-AU"/>
            </w:rPr>
          </w:pPr>
          <w:hyperlink w:anchor="_Toc87278353" w:history="1">
            <w:r w:rsidR="008A4A95" w:rsidRPr="00240D7C">
              <w:rPr>
                <w:rStyle w:val="Hyperlink"/>
                <w:noProof/>
              </w:rPr>
              <w:t>5.2.3.</w:t>
            </w:r>
            <w:r w:rsidR="008A4A95">
              <w:rPr>
                <w:rFonts w:asciiTheme="minorHAnsi" w:eastAsiaTheme="minorEastAsia" w:hAnsiTheme="minorHAnsi"/>
                <w:noProof/>
                <w:sz w:val="22"/>
                <w:szCs w:val="22"/>
                <w:lang w:eastAsia="en-AU"/>
              </w:rPr>
              <w:tab/>
            </w:r>
            <w:r w:rsidR="008A4A95" w:rsidRPr="00240D7C">
              <w:rPr>
                <w:rStyle w:val="Hyperlink"/>
                <w:noProof/>
              </w:rPr>
              <w:t>Proposed design of residual voids</w:t>
            </w:r>
            <w:r w:rsidR="008A4A95">
              <w:rPr>
                <w:noProof/>
                <w:webHidden/>
              </w:rPr>
              <w:tab/>
            </w:r>
            <w:r w:rsidR="008A4A95">
              <w:rPr>
                <w:noProof/>
                <w:webHidden/>
              </w:rPr>
              <w:fldChar w:fldCharType="begin"/>
            </w:r>
            <w:r w:rsidR="008A4A95">
              <w:rPr>
                <w:noProof/>
                <w:webHidden/>
              </w:rPr>
              <w:instrText xml:space="preserve"> PAGEREF _Toc87278353 \h </w:instrText>
            </w:r>
            <w:r w:rsidR="008A4A95">
              <w:rPr>
                <w:noProof/>
                <w:webHidden/>
              </w:rPr>
            </w:r>
            <w:r w:rsidR="008A4A95">
              <w:rPr>
                <w:noProof/>
                <w:webHidden/>
              </w:rPr>
              <w:fldChar w:fldCharType="separate"/>
            </w:r>
            <w:r w:rsidR="00937ADD">
              <w:rPr>
                <w:noProof/>
                <w:webHidden/>
              </w:rPr>
              <w:t>39</w:t>
            </w:r>
            <w:r w:rsidR="008A4A95">
              <w:rPr>
                <w:noProof/>
                <w:webHidden/>
              </w:rPr>
              <w:fldChar w:fldCharType="end"/>
            </w:r>
          </w:hyperlink>
        </w:p>
        <w:p w14:paraId="5ABD97CE" w14:textId="3C8ED969" w:rsidR="008A4A95" w:rsidRDefault="009B0C52">
          <w:pPr>
            <w:pStyle w:val="TOC3"/>
            <w:rPr>
              <w:rFonts w:asciiTheme="minorHAnsi" w:eastAsiaTheme="minorEastAsia" w:hAnsiTheme="minorHAnsi"/>
              <w:noProof/>
              <w:sz w:val="22"/>
              <w:szCs w:val="22"/>
              <w:lang w:eastAsia="en-AU"/>
            </w:rPr>
          </w:pPr>
          <w:hyperlink w:anchor="_Toc87278354" w:history="1">
            <w:r w:rsidR="008A4A95" w:rsidRPr="00240D7C">
              <w:rPr>
                <w:rStyle w:val="Hyperlink"/>
                <w:noProof/>
              </w:rPr>
              <w:t>5.2.4.</w:t>
            </w:r>
            <w:r w:rsidR="008A4A95">
              <w:rPr>
                <w:rFonts w:asciiTheme="minorHAnsi" w:eastAsiaTheme="minorEastAsia" w:hAnsiTheme="minorHAnsi"/>
                <w:noProof/>
                <w:sz w:val="22"/>
                <w:szCs w:val="22"/>
                <w:lang w:eastAsia="en-AU"/>
              </w:rPr>
              <w:tab/>
            </w:r>
            <w:r w:rsidR="008A4A95" w:rsidRPr="00240D7C">
              <w:rPr>
                <w:rStyle w:val="Hyperlink"/>
                <w:noProof/>
              </w:rPr>
              <w:t>Conceptualisation of flow regime</w:t>
            </w:r>
            <w:r w:rsidR="008A4A95">
              <w:rPr>
                <w:noProof/>
                <w:webHidden/>
              </w:rPr>
              <w:tab/>
            </w:r>
            <w:r w:rsidR="008A4A95">
              <w:rPr>
                <w:noProof/>
                <w:webHidden/>
              </w:rPr>
              <w:fldChar w:fldCharType="begin"/>
            </w:r>
            <w:r w:rsidR="008A4A95">
              <w:rPr>
                <w:noProof/>
                <w:webHidden/>
              </w:rPr>
              <w:instrText xml:space="preserve"> PAGEREF _Toc87278354 \h </w:instrText>
            </w:r>
            <w:r w:rsidR="008A4A95">
              <w:rPr>
                <w:noProof/>
                <w:webHidden/>
              </w:rPr>
            </w:r>
            <w:r w:rsidR="008A4A95">
              <w:rPr>
                <w:noProof/>
                <w:webHidden/>
              </w:rPr>
              <w:fldChar w:fldCharType="separate"/>
            </w:r>
            <w:r w:rsidR="00937ADD">
              <w:rPr>
                <w:noProof/>
                <w:webHidden/>
              </w:rPr>
              <w:t>41</w:t>
            </w:r>
            <w:r w:rsidR="008A4A95">
              <w:rPr>
                <w:noProof/>
                <w:webHidden/>
              </w:rPr>
              <w:fldChar w:fldCharType="end"/>
            </w:r>
          </w:hyperlink>
        </w:p>
        <w:p w14:paraId="36759EC4" w14:textId="1944576C" w:rsidR="008A4A95" w:rsidRDefault="009B0C52">
          <w:pPr>
            <w:pStyle w:val="TOC3"/>
            <w:rPr>
              <w:rFonts w:asciiTheme="minorHAnsi" w:eastAsiaTheme="minorEastAsia" w:hAnsiTheme="minorHAnsi"/>
              <w:noProof/>
              <w:sz w:val="22"/>
              <w:szCs w:val="22"/>
              <w:lang w:eastAsia="en-AU"/>
            </w:rPr>
          </w:pPr>
          <w:hyperlink w:anchor="_Toc87278355" w:history="1">
            <w:r w:rsidR="008A4A95" w:rsidRPr="00240D7C">
              <w:rPr>
                <w:rStyle w:val="Hyperlink"/>
                <w:noProof/>
              </w:rPr>
              <w:t>5.2.5.</w:t>
            </w:r>
            <w:r w:rsidR="008A4A95">
              <w:rPr>
                <w:rFonts w:asciiTheme="minorHAnsi" w:eastAsiaTheme="minorEastAsia" w:hAnsiTheme="minorHAnsi"/>
                <w:noProof/>
                <w:sz w:val="22"/>
                <w:szCs w:val="22"/>
                <w:lang w:eastAsia="en-AU"/>
              </w:rPr>
              <w:tab/>
            </w:r>
            <w:r w:rsidR="008A4A95" w:rsidRPr="00240D7C">
              <w:rPr>
                <w:rStyle w:val="Hyperlink"/>
                <w:noProof/>
              </w:rPr>
              <w:t>Potential impacts</w:t>
            </w:r>
            <w:r w:rsidR="008A4A95">
              <w:rPr>
                <w:noProof/>
                <w:webHidden/>
              </w:rPr>
              <w:tab/>
            </w:r>
            <w:r w:rsidR="008A4A95">
              <w:rPr>
                <w:noProof/>
                <w:webHidden/>
              </w:rPr>
              <w:fldChar w:fldCharType="begin"/>
            </w:r>
            <w:r w:rsidR="008A4A95">
              <w:rPr>
                <w:noProof/>
                <w:webHidden/>
              </w:rPr>
              <w:instrText xml:space="preserve"> PAGEREF _Toc87278355 \h </w:instrText>
            </w:r>
            <w:r w:rsidR="008A4A95">
              <w:rPr>
                <w:noProof/>
                <w:webHidden/>
              </w:rPr>
            </w:r>
            <w:r w:rsidR="008A4A95">
              <w:rPr>
                <w:noProof/>
                <w:webHidden/>
              </w:rPr>
              <w:fldChar w:fldCharType="separate"/>
            </w:r>
            <w:r w:rsidR="00937ADD">
              <w:rPr>
                <w:noProof/>
                <w:webHidden/>
              </w:rPr>
              <w:t>42</w:t>
            </w:r>
            <w:r w:rsidR="008A4A95">
              <w:rPr>
                <w:noProof/>
                <w:webHidden/>
              </w:rPr>
              <w:fldChar w:fldCharType="end"/>
            </w:r>
          </w:hyperlink>
        </w:p>
        <w:p w14:paraId="59589261" w14:textId="76513008" w:rsidR="008A4A95" w:rsidRDefault="009B0C52">
          <w:pPr>
            <w:pStyle w:val="TOC3"/>
            <w:rPr>
              <w:rFonts w:asciiTheme="minorHAnsi" w:eastAsiaTheme="minorEastAsia" w:hAnsiTheme="minorHAnsi"/>
              <w:noProof/>
              <w:sz w:val="22"/>
              <w:szCs w:val="22"/>
              <w:lang w:eastAsia="en-AU"/>
            </w:rPr>
          </w:pPr>
          <w:hyperlink w:anchor="_Toc87278356" w:history="1">
            <w:r w:rsidR="008A4A95" w:rsidRPr="00240D7C">
              <w:rPr>
                <w:rStyle w:val="Hyperlink"/>
                <w:noProof/>
              </w:rPr>
              <w:t>5.2.6.</w:t>
            </w:r>
            <w:r w:rsidR="008A4A95">
              <w:rPr>
                <w:rFonts w:asciiTheme="minorHAnsi" w:eastAsiaTheme="minorEastAsia" w:hAnsiTheme="minorHAnsi"/>
                <w:noProof/>
                <w:sz w:val="22"/>
                <w:szCs w:val="22"/>
                <w:lang w:eastAsia="en-AU"/>
              </w:rPr>
              <w:tab/>
            </w:r>
            <w:r w:rsidR="008A4A95" w:rsidRPr="00240D7C">
              <w:rPr>
                <w:rStyle w:val="Hyperlink"/>
                <w:noProof/>
              </w:rPr>
              <w:t>Rehabilitation planning</w:t>
            </w:r>
            <w:r w:rsidR="008A4A95">
              <w:rPr>
                <w:noProof/>
                <w:webHidden/>
              </w:rPr>
              <w:tab/>
            </w:r>
            <w:r w:rsidR="008A4A95">
              <w:rPr>
                <w:noProof/>
                <w:webHidden/>
              </w:rPr>
              <w:fldChar w:fldCharType="begin"/>
            </w:r>
            <w:r w:rsidR="008A4A95">
              <w:rPr>
                <w:noProof/>
                <w:webHidden/>
              </w:rPr>
              <w:instrText xml:space="preserve"> PAGEREF _Toc87278356 \h </w:instrText>
            </w:r>
            <w:r w:rsidR="008A4A95">
              <w:rPr>
                <w:noProof/>
                <w:webHidden/>
              </w:rPr>
            </w:r>
            <w:r w:rsidR="008A4A95">
              <w:rPr>
                <w:noProof/>
                <w:webHidden/>
              </w:rPr>
              <w:fldChar w:fldCharType="separate"/>
            </w:r>
            <w:r w:rsidR="00937ADD">
              <w:rPr>
                <w:noProof/>
                <w:webHidden/>
              </w:rPr>
              <w:t>43</w:t>
            </w:r>
            <w:r w:rsidR="008A4A95">
              <w:rPr>
                <w:noProof/>
                <w:webHidden/>
              </w:rPr>
              <w:fldChar w:fldCharType="end"/>
            </w:r>
          </w:hyperlink>
        </w:p>
        <w:p w14:paraId="35F47086" w14:textId="2E0EDC8B" w:rsidR="008A4A95" w:rsidRDefault="009B0C52">
          <w:pPr>
            <w:pStyle w:val="TOC3"/>
            <w:rPr>
              <w:rFonts w:asciiTheme="minorHAnsi" w:eastAsiaTheme="minorEastAsia" w:hAnsiTheme="minorHAnsi"/>
              <w:noProof/>
              <w:sz w:val="22"/>
              <w:szCs w:val="22"/>
              <w:lang w:eastAsia="en-AU"/>
            </w:rPr>
          </w:pPr>
          <w:hyperlink w:anchor="_Toc87278357" w:history="1">
            <w:r w:rsidR="008A4A95" w:rsidRPr="00240D7C">
              <w:rPr>
                <w:rStyle w:val="Hyperlink"/>
                <w:noProof/>
              </w:rPr>
              <w:t>5.2.7.</w:t>
            </w:r>
            <w:r w:rsidR="008A4A95">
              <w:rPr>
                <w:rFonts w:asciiTheme="minorHAnsi" w:eastAsiaTheme="minorEastAsia" w:hAnsiTheme="minorHAnsi"/>
                <w:noProof/>
                <w:sz w:val="22"/>
                <w:szCs w:val="22"/>
                <w:lang w:eastAsia="en-AU"/>
              </w:rPr>
              <w:tab/>
            </w:r>
            <w:r w:rsidR="008A4A95" w:rsidRPr="00240D7C">
              <w:rPr>
                <w:rStyle w:val="Hyperlink"/>
                <w:noProof/>
              </w:rPr>
              <w:t>Risk mitigation and management</w:t>
            </w:r>
            <w:r w:rsidR="008A4A95">
              <w:rPr>
                <w:noProof/>
                <w:webHidden/>
              </w:rPr>
              <w:tab/>
            </w:r>
            <w:r w:rsidR="008A4A95">
              <w:rPr>
                <w:noProof/>
                <w:webHidden/>
              </w:rPr>
              <w:fldChar w:fldCharType="begin"/>
            </w:r>
            <w:r w:rsidR="008A4A95">
              <w:rPr>
                <w:noProof/>
                <w:webHidden/>
              </w:rPr>
              <w:instrText xml:space="preserve"> PAGEREF _Toc87278357 \h </w:instrText>
            </w:r>
            <w:r w:rsidR="008A4A95">
              <w:rPr>
                <w:noProof/>
                <w:webHidden/>
              </w:rPr>
            </w:r>
            <w:r w:rsidR="008A4A95">
              <w:rPr>
                <w:noProof/>
                <w:webHidden/>
              </w:rPr>
              <w:fldChar w:fldCharType="separate"/>
            </w:r>
            <w:r w:rsidR="00937ADD">
              <w:rPr>
                <w:noProof/>
                <w:webHidden/>
              </w:rPr>
              <w:t>47</w:t>
            </w:r>
            <w:r w:rsidR="008A4A95">
              <w:rPr>
                <w:noProof/>
                <w:webHidden/>
              </w:rPr>
              <w:fldChar w:fldCharType="end"/>
            </w:r>
          </w:hyperlink>
        </w:p>
        <w:p w14:paraId="7D8DA3FC" w14:textId="3CD34052" w:rsidR="008A4A95" w:rsidRDefault="009B0C52">
          <w:pPr>
            <w:pStyle w:val="TOC2"/>
            <w:rPr>
              <w:rFonts w:eastAsiaTheme="minorEastAsia"/>
              <w:noProof/>
              <w:sz w:val="22"/>
              <w:szCs w:val="22"/>
              <w:lang w:eastAsia="en-AU"/>
            </w:rPr>
          </w:pPr>
          <w:hyperlink w:anchor="_Toc87278358" w:history="1">
            <w:r w:rsidR="008A4A95" w:rsidRPr="00240D7C">
              <w:rPr>
                <w:rStyle w:val="Hyperlink"/>
                <w:noProof/>
              </w:rPr>
              <w:t>5.3.</w:t>
            </w:r>
            <w:r w:rsidR="008A4A95">
              <w:rPr>
                <w:rFonts w:eastAsiaTheme="minorEastAsia"/>
                <w:noProof/>
                <w:sz w:val="22"/>
                <w:szCs w:val="22"/>
                <w:lang w:eastAsia="en-AU"/>
              </w:rPr>
              <w:tab/>
            </w:r>
            <w:r w:rsidR="008A4A95" w:rsidRPr="00240D7C">
              <w:rPr>
                <w:rStyle w:val="Hyperlink"/>
                <w:noProof/>
              </w:rPr>
              <w:t>Jellinbah coal mine</w:t>
            </w:r>
            <w:r w:rsidR="008A4A95">
              <w:rPr>
                <w:noProof/>
                <w:webHidden/>
              </w:rPr>
              <w:tab/>
            </w:r>
            <w:r w:rsidR="008A4A95">
              <w:rPr>
                <w:noProof/>
                <w:webHidden/>
              </w:rPr>
              <w:fldChar w:fldCharType="begin"/>
            </w:r>
            <w:r w:rsidR="008A4A95">
              <w:rPr>
                <w:noProof/>
                <w:webHidden/>
              </w:rPr>
              <w:instrText xml:space="preserve"> PAGEREF _Toc87278358 \h </w:instrText>
            </w:r>
            <w:r w:rsidR="008A4A95">
              <w:rPr>
                <w:noProof/>
                <w:webHidden/>
              </w:rPr>
            </w:r>
            <w:r w:rsidR="008A4A95">
              <w:rPr>
                <w:noProof/>
                <w:webHidden/>
              </w:rPr>
              <w:fldChar w:fldCharType="separate"/>
            </w:r>
            <w:r w:rsidR="00937ADD">
              <w:rPr>
                <w:noProof/>
                <w:webHidden/>
              </w:rPr>
              <w:t>48</w:t>
            </w:r>
            <w:r w:rsidR="008A4A95">
              <w:rPr>
                <w:noProof/>
                <w:webHidden/>
              </w:rPr>
              <w:fldChar w:fldCharType="end"/>
            </w:r>
          </w:hyperlink>
        </w:p>
        <w:p w14:paraId="3DD8FC8C" w14:textId="23C4699F" w:rsidR="008A4A95" w:rsidRDefault="009B0C52">
          <w:pPr>
            <w:pStyle w:val="TOC3"/>
            <w:rPr>
              <w:rFonts w:asciiTheme="minorHAnsi" w:eastAsiaTheme="minorEastAsia" w:hAnsiTheme="minorHAnsi"/>
              <w:noProof/>
              <w:sz w:val="22"/>
              <w:szCs w:val="22"/>
              <w:lang w:eastAsia="en-AU"/>
            </w:rPr>
          </w:pPr>
          <w:hyperlink w:anchor="_Toc87278359" w:history="1">
            <w:r w:rsidR="008A4A95" w:rsidRPr="00240D7C">
              <w:rPr>
                <w:rStyle w:val="Hyperlink"/>
                <w:noProof/>
              </w:rPr>
              <w:t>5.3.1.</w:t>
            </w:r>
            <w:r w:rsidR="008A4A95">
              <w:rPr>
                <w:rFonts w:asciiTheme="minorHAnsi" w:eastAsiaTheme="minorEastAsia" w:hAnsiTheme="minorHAnsi"/>
                <w:noProof/>
                <w:sz w:val="22"/>
                <w:szCs w:val="22"/>
                <w:lang w:eastAsia="en-AU"/>
              </w:rPr>
              <w:tab/>
            </w:r>
            <w:r w:rsidR="008A4A95" w:rsidRPr="00240D7C">
              <w:rPr>
                <w:rStyle w:val="Hyperlink"/>
                <w:noProof/>
              </w:rPr>
              <w:t>Project status</w:t>
            </w:r>
            <w:r w:rsidR="008A4A95">
              <w:rPr>
                <w:noProof/>
                <w:webHidden/>
              </w:rPr>
              <w:tab/>
            </w:r>
            <w:r w:rsidR="008A4A95">
              <w:rPr>
                <w:noProof/>
                <w:webHidden/>
              </w:rPr>
              <w:fldChar w:fldCharType="begin"/>
            </w:r>
            <w:r w:rsidR="008A4A95">
              <w:rPr>
                <w:noProof/>
                <w:webHidden/>
              </w:rPr>
              <w:instrText xml:space="preserve"> PAGEREF _Toc87278359 \h </w:instrText>
            </w:r>
            <w:r w:rsidR="008A4A95">
              <w:rPr>
                <w:noProof/>
                <w:webHidden/>
              </w:rPr>
            </w:r>
            <w:r w:rsidR="008A4A95">
              <w:rPr>
                <w:noProof/>
                <w:webHidden/>
              </w:rPr>
              <w:fldChar w:fldCharType="separate"/>
            </w:r>
            <w:r w:rsidR="00937ADD">
              <w:rPr>
                <w:noProof/>
                <w:webHidden/>
              </w:rPr>
              <w:t>48</w:t>
            </w:r>
            <w:r w:rsidR="008A4A95">
              <w:rPr>
                <w:noProof/>
                <w:webHidden/>
              </w:rPr>
              <w:fldChar w:fldCharType="end"/>
            </w:r>
          </w:hyperlink>
        </w:p>
        <w:p w14:paraId="485D6665" w14:textId="569852D9" w:rsidR="008A4A95" w:rsidRDefault="009B0C52">
          <w:pPr>
            <w:pStyle w:val="TOC3"/>
            <w:rPr>
              <w:rFonts w:asciiTheme="minorHAnsi" w:eastAsiaTheme="minorEastAsia" w:hAnsiTheme="minorHAnsi"/>
              <w:noProof/>
              <w:sz w:val="22"/>
              <w:szCs w:val="22"/>
              <w:lang w:eastAsia="en-AU"/>
            </w:rPr>
          </w:pPr>
          <w:hyperlink w:anchor="_Toc87278360" w:history="1">
            <w:r w:rsidR="008A4A95" w:rsidRPr="00240D7C">
              <w:rPr>
                <w:rStyle w:val="Hyperlink"/>
                <w:noProof/>
              </w:rPr>
              <w:t>5.3.2.</w:t>
            </w:r>
            <w:r w:rsidR="008A4A95">
              <w:rPr>
                <w:rFonts w:asciiTheme="minorHAnsi" w:eastAsiaTheme="minorEastAsia" w:hAnsiTheme="minorHAnsi"/>
                <w:noProof/>
                <w:sz w:val="22"/>
                <w:szCs w:val="22"/>
                <w:lang w:eastAsia="en-AU"/>
              </w:rPr>
              <w:tab/>
            </w:r>
            <w:r w:rsidR="008A4A95" w:rsidRPr="00240D7C">
              <w:rPr>
                <w:rStyle w:val="Hyperlink"/>
                <w:noProof/>
              </w:rPr>
              <w:t>Physical setting</w:t>
            </w:r>
            <w:r w:rsidR="008A4A95">
              <w:rPr>
                <w:noProof/>
                <w:webHidden/>
              </w:rPr>
              <w:tab/>
            </w:r>
            <w:r w:rsidR="008A4A95">
              <w:rPr>
                <w:noProof/>
                <w:webHidden/>
              </w:rPr>
              <w:fldChar w:fldCharType="begin"/>
            </w:r>
            <w:r w:rsidR="008A4A95">
              <w:rPr>
                <w:noProof/>
                <w:webHidden/>
              </w:rPr>
              <w:instrText xml:space="preserve"> PAGEREF _Toc87278360 \h </w:instrText>
            </w:r>
            <w:r w:rsidR="008A4A95">
              <w:rPr>
                <w:noProof/>
                <w:webHidden/>
              </w:rPr>
            </w:r>
            <w:r w:rsidR="008A4A95">
              <w:rPr>
                <w:noProof/>
                <w:webHidden/>
              </w:rPr>
              <w:fldChar w:fldCharType="separate"/>
            </w:r>
            <w:r w:rsidR="00937ADD">
              <w:rPr>
                <w:noProof/>
                <w:webHidden/>
              </w:rPr>
              <w:t>48</w:t>
            </w:r>
            <w:r w:rsidR="008A4A95">
              <w:rPr>
                <w:noProof/>
                <w:webHidden/>
              </w:rPr>
              <w:fldChar w:fldCharType="end"/>
            </w:r>
          </w:hyperlink>
        </w:p>
        <w:p w14:paraId="422DFADF" w14:textId="5A97D38A" w:rsidR="008A4A95" w:rsidRDefault="009B0C52">
          <w:pPr>
            <w:pStyle w:val="TOC3"/>
            <w:rPr>
              <w:rFonts w:asciiTheme="minorHAnsi" w:eastAsiaTheme="minorEastAsia" w:hAnsiTheme="minorHAnsi"/>
              <w:noProof/>
              <w:sz w:val="22"/>
              <w:szCs w:val="22"/>
              <w:lang w:eastAsia="en-AU"/>
            </w:rPr>
          </w:pPr>
          <w:hyperlink w:anchor="_Toc87278361" w:history="1">
            <w:r w:rsidR="008A4A95" w:rsidRPr="00240D7C">
              <w:rPr>
                <w:rStyle w:val="Hyperlink"/>
                <w:noProof/>
              </w:rPr>
              <w:t>5.3.3.</w:t>
            </w:r>
            <w:r w:rsidR="008A4A95">
              <w:rPr>
                <w:rFonts w:asciiTheme="minorHAnsi" w:eastAsiaTheme="minorEastAsia" w:hAnsiTheme="minorHAnsi"/>
                <w:noProof/>
                <w:sz w:val="22"/>
                <w:szCs w:val="22"/>
                <w:lang w:eastAsia="en-AU"/>
              </w:rPr>
              <w:tab/>
            </w:r>
            <w:r w:rsidR="008A4A95" w:rsidRPr="00240D7C">
              <w:rPr>
                <w:rStyle w:val="Hyperlink"/>
                <w:noProof/>
              </w:rPr>
              <w:t>Proposed design of residual voids</w:t>
            </w:r>
            <w:r w:rsidR="008A4A95">
              <w:rPr>
                <w:noProof/>
                <w:webHidden/>
              </w:rPr>
              <w:tab/>
            </w:r>
            <w:r w:rsidR="008A4A95">
              <w:rPr>
                <w:noProof/>
                <w:webHidden/>
              </w:rPr>
              <w:fldChar w:fldCharType="begin"/>
            </w:r>
            <w:r w:rsidR="008A4A95">
              <w:rPr>
                <w:noProof/>
                <w:webHidden/>
              </w:rPr>
              <w:instrText xml:space="preserve"> PAGEREF _Toc87278361 \h </w:instrText>
            </w:r>
            <w:r w:rsidR="008A4A95">
              <w:rPr>
                <w:noProof/>
                <w:webHidden/>
              </w:rPr>
            </w:r>
            <w:r w:rsidR="008A4A95">
              <w:rPr>
                <w:noProof/>
                <w:webHidden/>
              </w:rPr>
              <w:fldChar w:fldCharType="separate"/>
            </w:r>
            <w:r w:rsidR="00937ADD">
              <w:rPr>
                <w:noProof/>
                <w:webHidden/>
              </w:rPr>
              <w:t>50</w:t>
            </w:r>
            <w:r w:rsidR="008A4A95">
              <w:rPr>
                <w:noProof/>
                <w:webHidden/>
              </w:rPr>
              <w:fldChar w:fldCharType="end"/>
            </w:r>
          </w:hyperlink>
        </w:p>
        <w:p w14:paraId="78FE101B" w14:textId="14FB7CEB" w:rsidR="008A4A95" w:rsidRDefault="009B0C52">
          <w:pPr>
            <w:pStyle w:val="TOC3"/>
            <w:rPr>
              <w:rFonts w:asciiTheme="minorHAnsi" w:eastAsiaTheme="minorEastAsia" w:hAnsiTheme="minorHAnsi"/>
              <w:noProof/>
              <w:sz w:val="22"/>
              <w:szCs w:val="22"/>
              <w:lang w:eastAsia="en-AU"/>
            </w:rPr>
          </w:pPr>
          <w:hyperlink w:anchor="_Toc87278362" w:history="1">
            <w:r w:rsidR="008A4A95" w:rsidRPr="00240D7C">
              <w:rPr>
                <w:rStyle w:val="Hyperlink"/>
                <w:noProof/>
              </w:rPr>
              <w:t>5.3.4.</w:t>
            </w:r>
            <w:r w:rsidR="008A4A95">
              <w:rPr>
                <w:rFonts w:asciiTheme="minorHAnsi" w:eastAsiaTheme="minorEastAsia" w:hAnsiTheme="minorHAnsi"/>
                <w:noProof/>
                <w:sz w:val="22"/>
                <w:szCs w:val="22"/>
                <w:lang w:eastAsia="en-AU"/>
              </w:rPr>
              <w:tab/>
            </w:r>
            <w:r w:rsidR="008A4A95" w:rsidRPr="00240D7C">
              <w:rPr>
                <w:rStyle w:val="Hyperlink"/>
                <w:noProof/>
              </w:rPr>
              <w:t>Conceptualisation of flow regime</w:t>
            </w:r>
            <w:r w:rsidR="008A4A95">
              <w:rPr>
                <w:noProof/>
                <w:webHidden/>
              </w:rPr>
              <w:tab/>
            </w:r>
            <w:r w:rsidR="008A4A95">
              <w:rPr>
                <w:noProof/>
                <w:webHidden/>
              </w:rPr>
              <w:fldChar w:fldCharType="begin"/>
            </w:r>
            <w:r w:rsidR="008A4A95">
              <w:rPr>
                <w:noProof/>
                <w:webHidden/>
              </w:rPr>
              <w:instrText xml:space="preserve"> PAGEREF _Toc87278362 \h </w:instrText>
            </w:r>
            <w:r w:rsidR="008A4A95">
              <w:rPr>
                <w:noProof/>
                <w:webHidden/>
              </w:rPr>
            </w:r>
            <w:r w:rsidR="008A4A95">
              <w:rPr>
                <w:noProof/>
                <w:webHidden/>
              </w:rPr>
              <w:fldChar w:fldCharType="separate"/>
            </w:r>
            <w:r w:rsidR="00937ADD">
              <w:rPr>
                <w:noProof/>
                <w:webHidden/>
              </w:rPr>
              <w:t>54</w:t>
            </w:r>
            <w:r w:rsidR="008A4A95">
              <w:rPr>
                <w:noProof/>
                <w:webHidden/>
              </w:rPr>
              <w:fldChar w:fldCharType="end"/>
            </w:r>
          </w:hyperlink>
        </w:p>
        <w:p w14:paraId="45BCC682" w14:textId="401B16F6" w:rsidR="008A4A95" w:rsidRDefault="009B0C52">
          <w:pPr>
            <w:pStyle w:val="TOC3"/>
            <w:rPr>
              <w:rFonts w:asciiTheme="minorHAnsi" w:eastAsiaTheme="minorEastAsia" w:hAnsiTheme="minorHAnsi"/>
              <w:noProof/>
              <w:sz w:val="22"/>
              <w:szCs w:val="22"/>
              <w:lang w:eastAsia="en-AU"/>
            </w:rPr>
          </w:pPr>
          <w:hyperlink w:anchor="_Toc87278363" w:history="1">
            <w:r w:rsidR="008A4A95" w:rsidRPr="00240D7C">
              <w:rPr>
                <w:rStyle w:val="Hyperlink"/>
                <w:noProof/>
              </w:rPr>
              <w:t>5.3.5.</w:t>
            </w:r>
            <w:r w:rsidR="008A4A95">
              <w:rPr>
                <w:rFonts w:asciiTheme="minorHAnsi" w:eastAsiaTheme="minorEastAsia" w:hAnsiTheme="minorHAnsi"/>
                <w:noProof/>
                <w:sz w:val="22"/>
                <w:szCs w:val="22"/>
                <w:lang w:eastAsia="en-AU"/>
              </w:rPr>
              <w:tab/>
            </w:r>
            <w:r w:rsidR="008A4A95" w:rsidRPr="00240D7C">
              <w:rPr>
                <w:rStyle w:val="Hyperlink"/>
                <w:noProof/>
              </w:rPr>
              <w:t>Potential impacts</w:t>
            </w:r>
            <w:r w:rsidR="008A4A95">
              <w:rPr>
                <w:noProof/>
                <w:webHidden/>
              </w:rPr>
              <w:tab/>
            </w:r>
            <w:r w:rsidR="008A4A95">
              <w:rPr>
                <w:noProof/>
                <w:webHidden/>
              </w:rPr>
              <w:fldChar w:fldCharType="begin"/>
            </w:r>
            <w:r w:rsidR="008A4A95">
              <w:rPr>
                <w:noProof/>
                <w:webHidden/>
              </w:rPr>
              <w:instrText xml:space="preserve"> PAGEREF _Toc87278363 \h </w:instrText>
            </w:r>
            <w:r w:rsidR="008A4A95">
              <w:rPr>
                <w:noProof/>
                <w:webHidden/>
              </w:rPr>
            </w:r>
            <w:r w:rsidR="008A4A95">
              <w:rPr>
                <w:noProof/>
                <w:webHidden/>
              </w:rPr>
              <w:fldChar w:fldCharType="separate"/>
            </w:r>
            <w:r w:rsidR="00937ADD">
              <w:rPr>
                <w:noProof/>
                <w:webHidden/>
              </w:rPr>
              <w:t>54</w:t>
            </w:r>
            <w:r w:rsidR="008A4A95">
              <w:rPr>
                <w:noProof/>
                <w:webHidden/>
              </w:rPr>
              <w:fldChar w:fldCharType="end"/>
            </w:r>
          </w:hyperlink>
        </w:p>
        <w:p w14:paraId="761835E0" w14:textId="1BFBA1FD" w:rsidR="008A4A95" w:rsidRDefault="009B0C52">
          <w:pPr>
            <w:pStyle w:val="TOC3"/>
            <w:rPr>
              <w:rFonts w:asciiTheme="minorHAnsi" w:eastAsiaTheme="minorEastAsia" w:hAnsiTheme="minorHAnsi"/>
              <w:noProof/>
              <w:sz w:val="22"/>
              <w:szCs w:val="22"/>
              <w:lang w:eastAsia="en-AU"/>
            </w:rPr>
          </w:pPr>
          <w:hyperlink w:anchor="_Toc87278364" w:history="1">
            <w:r w:rsidR="008A4A95" w:rsidRPr="00240D7C">
              <w:rPr>
                <w:rStyle w:val="Hyperlink"/>
                <w:noProof/>
              </w:rPr>
              <w:t>5.3.6.</w:t>
            </w:r>
            <w:r w:rsidR="008A4A95">
              <w:rPr>
                <w:rFonts w:asciiTheme="minorHAnsi" w:eastAsiaTheme="minorEastAsia" w:hAnsiTheme="minorHAnsi"/>
                <w:noProof/>
                <w:sz w:val="22"/>
                <w:szCs w:val="22"/>
                <w:lang w:eastAsia="en-AU"/>
              </w:rPr>
              <w:tab/>
            </w:r>
            <w:r w:rsidR="008A4A95" w:rsidRPr="00240D7C">
              <w:rPr>
                <w:rStyle w:val="Hyperlink"/>
                <w:noProof/>
              </w:rPr>
              <w:t>Rehabilitation planning</w:t>
            </w:r>
            <w:r w:rsidR="008A4A95">
              <w:rPr>
                <w:noProof/>
                <w:webHidden/>
              </w:rPr>
              <w:tab/>
            </w:r>
            <w:r w:rsidR="008A4A95">
              <w:rPr>
                <w:noProof/>
                <w:webHidden/>
              </w:rPr>
              <w:fldChar w:fldCharType="begin"/>
            </w:r>
            <w:r w:rsidR="008A4A95">
              <w:rPr>
                <w:noProof/>
                <w:webHidden/>
              </w:rPr>
              <w:instrText xml:space="preserve"> PAGEREF _Toc87278364 \h </w:instrText>
            </w:r>
            <w:r w:rsidR="008A4A95">
              <w:rPr>
                <w:noProof/>
                <w:webHidden/>
              </w:rPr>
            </w:r>
            <w:r w:rsidR="008A4A95">
              <w:rPr>
                <w:noProof/>
                <w:webHidden/>
              </w:rPr>
              <w:fldChar w:fldCharType="separate"/>
            </w:r>
            <w:r w:rsidR="00937ADD">
              <w:rPr>
                <w:noProof/>
                <w:webHidden/>
              </w:rPr>
              <w:t>57</w:t>
            </w:r>
            <w:r w:rsidR="008A4A95">
              <w:rPr>
                <w:noProof/>
                <w:webHidden/>
              </w:rPr>
              <w:fldChar w:fldCharType="end"/>
            </w:r>
          </w:hyperlink>
        </w:p>
        <w:p w14:paraId="19D7CB9D" w14:textId="5F65E0AD" w:rsidR="008A4A95" w:rsidRDefault="009B0C52">
          <w:pPr>
            <w:pStyle w:val="TOC3"/>
            <w:rPr>
              <w:rFonts w:asciiTheme="minorHAnsi" w:eastAsiaTheme="minorEastAsia" w:hAnsiTheme="minorHAnsi"/>
              <w:noProof/>
              <w:sz w:val="22"/>
              <w:szCs w:val="22"/>
              <w:lang w:eastAsia="en-AU"/>
            </w:rPr>
          </w:pPr>
          <w:hyperlink w:anchor="_Toc87278365" w:history="1">
            <w:r w:rsidR="008A4A95" w:rsidRPr="00240D7C">
              <w:rPr>
                <w:rStyle w:val="Hyperlink"/>
                <w:noProof/>
              </w:rPr>
              <w:t>5.3.7.</w:t>
            </w:r>
            <w:r w:rsidR="008A4A95">
              <w:rPr>
                <w:rFonts w:asciiTheme="minorHAnsi" w:eastAsiaTheme="minorEastAsia" w:hAnsiTheme="minorHAnsi"/>
                <w:noProof/>
                <w:sz w:val="22"/>
                <w:szCs w:val="22"/>
                <w:lang w:eastAsia="en-AU"/>
              </w:rPr>
              <w:tab/>
            </w:r>
            <w:r w:rsidR="008A4A95" w:rsidRPr="00240D7C">
              <w:rPr>
                <w:rStyle w:val="Hyperlink"/>
                <w:noProof/>
              </w:rPr>
              <w:t>Risk mitigation and management</w:t>
            </w:r>
            <w:r w:rsidR="008A4A95">
              <w:rPr>
                <w:noProof/>
                <w:webHidden/>
              </w:rPr>
              <w:tab/>
            </w:r>
            <w:r w:rsidR="008A4A95">
              <w:rPr>
                <w:noProof/>
                <w:webHidden/>
              </w:rPr>
              <w:fldChar w:fldCharType="begin"/>
            </w:r>
            <w:r w:rsidR="008A4A95">
              <w:rPr>
                <w:noProof/>
                <w:webHidden/>
              </w:rPr>
              <w:instrText xml:space="preserve"> PAGEREF _Toc87278365 \h </w:instrText>
            </w:r>
            <w:r w:rsidR="008A4A95">
              <w:rPr>
                <w:noProof/>
                <w:webHidden/>
              </w:rPr>
            </w:r>
            <w:r w:rsidR="008A4A95">
              <w:rPr>
                <w:noProof/>
                <w:webHidden/>
              </w:rPr>
              <w:fldChar w:fldCharType="separate"/>
            </w:r>
            <w:r w:rsidR="00937ADD">
              <w:rPr>
                <w:noProof/>
                <w:webHidden/>
              </w:rPr>
              <w:t>59</w:t>
            </w:r>
            <w:r w:rsidR="008A4A95">
              <w:rPr>
                <w:noProof/>
                <w:webHidden/>
              </w:rPr>
              <w:fldChar w:fldCharType="end"/>
            </w:r>
          </w:hyperlink>
        </w:p>
        <w:p w14:paraId="06AAF59E" w14:textId="78768EAA" w:rsidR="008A4A95" w:rsidRDefault="009B0C52">
          <w:pPr>
            <w:pStyle w:val="TOC2"/>
            <w:rPr>
              <w:rFonts w:eastAsiaTheme="minorEastAsia"/>
              <w:noProof/>
              <w:sz w:val="22"/>
              <w:szCs w:val="22"/>
              <w:lang w:eastAsia="en-AU"/>
            </w:rPr>
          </w:pPr>
          <w:hyperlink w:anchor="_Toc87278366" w:history="1">
            <w:r w:rsidR="008A4A95" w:rsidRPr="00240D7C">
              <w:rPr>
                <w:rStyle w:val="Hyperlink"/>
                <w:noProof/>
              </w:rPr>
              <w:t>5.4.</w:t>
            </w:r>
            <w:r w:rsidR="008A4A95">
              <w:rPr>
                <w:rFonts w:eastAsiaTheme="minorEastAsia"/>
                <w:noProof/>
                <w:sz w:val="22"/>
                <w:szCs w:val="22"/>
                <w:lang w:eastAsia="en-AU"/>
              </w:rPr>
              <w:tab/>
            </w:r>
            <w:r w:rsidR="008A4A95" w:rsidRPr="00240D7C">
              <w:rPr>
                <w:rStyle w:val="Hyperlink"/>
                <w:noProof/>
              </w:rPr>
              <w:t>Ensham coal mine</w:t>
            </w:r>
            <w:r w:rsidR="008A4A95">
              <w:rPr>
                <w:noProof/>
                <w:webHidden/>
              </w:rPr>
              <w:tab/>
            </w:r>
            <w:r w:rsidR="008A4A95">
              <w:rPr>
                <w:noProof/>
                <w:webHidden/>
              </w:rPr>
              <w:fldChar w:fldCharType="begin"/>
            </w:r>
            <w:r w:rsidR="008A4A95">
              <w:rPr>
                <w:noProof/>
                <w:webHidden/>
              </w:rPr>
              <w:instrText xml:space="preserve"> PAGEREF _Toc87278366 \h </w:instrText>
            </w:r>
            <w:r w:rsidR="008A4A95">
              <w:rPr>
                <w:noProof/>
                <w:webHidden/>
              </w:rPr>
            </w:r>
            <w:r w:rsidR="008A4A95">
              <w:rPr>
                <w:noProof/>
                <w:webHidden/>
              </w:rPr>
              <w:fldChar w:fldCharType="separate"/>
            </w:r>
            <w:r w:rsidR="00937ADD">
              <w:rPr>
                <w:noProof/>
                <w:webHidden/>
              </w:rPr>
              <w:t>60</w:t>
            </w:r>
            <w:r w:rsidR="008A4A95">
              <w:rPr>
                <w:noProof/>
                <w:webHidden/>
              </w:rPr>
              <w:fldChar w:fldCharType="end"/>
            </w:r>
          </w:hyperlink>
        </w:p>
        <w:p w14:paraId="679D6EFC" w14:textId="3B91879A" w:rsidR="008A4A95" w:rsidRDefault="009B0C52">
          <w:pPr>
            <w:pStyle w:val="TOC3"/>
            <w:rPr>
              <w:rFonts w:asciiTheme="minorHAnsi" w:eastAsiaTheme="minorEastAsia" w:hAnsiTheme="minorHAnsi"/>
              <w:noProof/>
              <w:sz w:val="22"/>
              <w:szCs w:val="22"/>
              <w:lang w:eastAsia="en-AU"/>
            </w:rPr>
          </w:pPr>
          <w:hyperlink w:anchor="_Toc87278367" w:history="1">
            <w:r w:rsidR="008A4A95" w:rsidRPr="00240D7C">
              <w:rPr>
                <w:rStyle w:val="Hyperlink"/>
                <w:noProof/>
              </w:rPr>
              <w:t>5.4.1.</w:t>
            </w:r>
            <w:r w:rsidR="008A4A95">
              <w:rPr>
                <w:rFonts w:asciiTheme="minorHAnsi" w:eastAsiaTheme="minorEastAsia" w:hAnsiTheme="minorHAnsi"/>
                <w:noProof/>
                <w:sz w:val="22"/>
                <w:szCs w:val="22"/>
                <w:lang w:eastAsia="en-AU"/>
              </w:rPr>
              <w:tab/>
            </w:r>
            <w:r w:rsidR="008A4A95" w:rsidRPr="00240D7C">
              <w:rPr>
                <w:rStyle w:val="Hyperlink"/>
                <w:noProof/>
              </w:rPr>
              <w:t>Project status</w:t>
            </w:r>
            <w:r w:rsidR="008A4A95">
              <w:rPr>
                <w:noProof/>
                <w:webHidden/>
              </w:rPr>
              <w:tab/>
            </w:r>
            <w:r w:rsidR="008A4A95">
              <w:rPr>
                <w:noProof/>
                <w:webHidden/>
              </w:rPr>
              <w:fldChar w:fldCharType="begin"/>
            </w:r>
            <w:r w:rsidR="008A4A95">
              <w:rPr>
                <w:noProof/>
                <w:webHidden/>
              </w:rPr>
              <w:instrText xml:space="preserve"> PAGEREF _Toc87278367 \h </w:instrText>
            </w:r>
            <w:r w:rsidR="008A4A95">
              <w:rPr>
                <w:noProof/>
                <w:webHidden/>
              </w:rPr>
            </w:r>
            <w:r w:rsidR="008A4A95">
              <w:rPr>
                <w:noProof/>
                <w:webHidden/>
              </w:rPr>
              <w:fldChar w:fldCharType="separate"/>
            </w:r>
            <w:r w:rsidR="00937ADD">
              <w:rPr>
                <w:noProof/>
                <w:webHidden/>
              </w:rPr>
              <w:t>60</w:t>
            </w:r>
            <w:r w:rsidR="008A4A95">
              <w:rPr>
                <w:noProof/>
                <w:webHidden/>
              </w:rPr>
              <w:fldChar w:fldCharType="end"/>
            </w:r>
          </w:hyperlink>
        </w:p>
        <w:p w14:paraId="1DB7A96B" w14:textId="3915228F" w:rsidR="008A4A95" w:rsidRDefault="009B0C52">
          <w:pPr>
            <w:pStyle w:val="TOC3"/>
            <w:rPr>
              <w:rFonts w:asciiTheme="minorHAnsi" w:eastAsiaTheme="minorEastAsia" w:hAnsiTheme="minorHAnsi"/>
              <w:noProof/>
              <w:sz w:val="22"/>
              <w:szCs w:val="22"/>
              <w:lang w:eastAsia="en-AU"/>
            </w:rPr>
          </w:pPr>
          <w:hyperlink w:anchor="_Toc87278368" w:history="1">
            <w:r w:rsidR="008A4A95" w:rsidRPr="00240D7C">
              <w:rPr>
                <w:rStyle w:val="Hyperlink"/>
                <w:noProof/>
              </w:rPr>
              <w:t>5.4.2.</w:t>
            </w:r>
            <w:r w:rsidR="008A4A95">
              <w:rPr>
                <w:rFonts w:asciiTheme="minorHAnsi" w:eastAsiaTheme="minorEastAsia" w:hAnsiTheme="minorHAnsi"/>
                <w:noProof/>
                <w:sz w:val="22"/>
                <w:szCs w:val="22"/>
                <w:lang w:eastAsia="en-AU"/>
              </w:rPr>
              <w:tab/>
            </w:r>
            <w:r w:rsidR="008A4A95" w:rsidRPr="00240D7C">
              <w:rPr>
                <w:rStyle w:val="Hyperlink"/>
                <w:noProof/>
              </w:rPr>
              <w:t>Physical setting</w:t>
            </w:r>
            <w:r w:rsidR="008A4A95">
              <w:rPr>
                <w:noProof/>
                <w:webHidden/>
              </w:rPr>
              <w:tab/>
            </w:r>
            <w:r w:rsidR="008A4A95">
              <w:rPr>
                <w:noProof/>
                <w:webHidden/>
              </w:rPr>
              <w:fldChar w:fldCharType="begin"/>
            </w:r>
            <w:r w:rsidR="008A4A95">
              <w:rPr>
                <w:noProof/>
                <w:webHidden/>
              </w:rPr>
              <w:instrText xml:space="preserve"> PAGEREF _Toc87278368 \h </w:instrText>
            </w:r>
            <w:r w:rsidR="008A4A95">
              <w:rPr>
                <w:noProof/>
                <w:webHidden/>
              </w:rPr>
            </w:r>
            <w:r w:rsidR="008A4A95">
              <w:rPr>
                <w:noProof/>
                <w:webHidden/>
              </w:rPr>
              <w:fldChar w:fldCharType="separate"/>
            </w:r>
            <w:r w:rsidR="00937ADD">
              <w:rPr>
                <w:noProof/>
                <w:webHidden/>
              </w:rPr>
              <w:t>61</w:t>
            </w:r>
            <w:r w:rsidR="008A4A95">
              <w:rPr>
                <w:noProof/>
                <w:webHidden/>
              </w:rPr>
              <w:fldChar w:fldCharType="end"/>
            </w:r>
          </w:hyperlink>
        </w:p>
        <w:p w14:paraId="29EB289E" w14:textId="53D276F9" w:rsidR="008A4A95" w:rsidRDefault="009B0C52">
          <w:pPr>
            <w:pStyle w:val="TOC3"/>
            <w:rPr>
              <w:rFonts w:asciiTheme="minorHAnsi" w:eastAsiaTheme="minorEastAsia" w:hAnsiTheme="minorHAnsi"/>
              <w:noProof/>
              <w:sz w:val="22"/>
              <w:szCs w:val="22"/>
              <w:lang w:eastAsia="en-AU"/>
            </w:rPr>
          </w:pPr>
          <w:hyperlink w:anchor="_Toc87278369" w:history="1">
            <w:r w:rsidR="008A4A95" w:rsidRPr="00240D7C">
              <w:rPr>
                <w:rStyle w:val="Hyperlink"/>
                <w:noProof/>
              </w:rPr>
              <w:t>5.4.3.</w:t>
            </w:r>
            <w:r w:rsidR="008A4A95">
              <w:rPr>
                <w:rFonts w:asciiTheme="minorHAnsi" w:eastAsiaTheme="minorEastAsia" w:hAnsiTheme="minorHAnsi"/>
                <w:noProof/>
                <w:sz w:val="22"/>
                <w:szCs w:val="22"/>
                <w:lang w:eastAsia="en-AU"/>
              </w:rPr>
              <w:tab/>
            </w:r>
            <w:r w:rsidR="008A4A95" w:rsidRPr="00240D7C">
              <w:rPr>
                <w:rStyle w:val="Hyperlink"/>
                <w:noProof/>
              </w:rPr>
              <w:t>Proposed design of residual voids</w:t>
            </w:r>
            <w:r w:rsidR="008A4A95">
              <w:rPr>
                <w:noProof/>
                <w:webHidden/>
              </w:rPr>
              <w:tab/>
            </w:r>
            <w:r w:rsidR="008A4A95">
              <w:rPr>
                <w:noProof/>
                <w:webHidden/>
              </w:rPr>
              <w:fldChar w:fldCharType="begin"/>
            </w:r>
            <w:r w:rsidR="008A4A95">
              <w:rPr>
                <w:noProof/>
                <w:webHidden/>
              </w:rPr>
              <w:instrText xml:space="preserve"> PAGEREF _Toc87278369 \h </w:instrText>
            </w:r>
            <w:r w:rsidR="008A4A95">
              <w:rPr>
                <w:noProof/>
                <w:webHidden/>
              </w:rPr>
            </w:r>
            <w:r w:rsidR="008A4A95">
              <w:rPr>
                <w:noProof/>
                <w:webHidden/>
              </w:rPr>
              <w:fldChar w:fldCharType="separate"/>
            </w:r>
            <w:r w:rsidR="00937ADD">
              <w:rPr>
                <w:noProof/>
                <w:webHidden/>
              </w:rPr>
              <w:t>62</w:t>
            </w:r>
            <w:r w:rsidR="008A4A95">
              <w:rPr>
                <w:noProof/>
                <w:webHidden/>
              </w:rPr>
              <w:fldChar w:fldCharType="end"/>
            </w:r>
          </w:hyperlink>
        </w:p>
        <w:p w14:paraId="3D81F876" w14:textId="29DE9DCD" w:rsidR="008A4A95" w:rsidRDefault="009B0C52">
          <w:pPr>
            <w:pStyle w:val="TOC3"/>
            <w:rPr>
              <w:rFonts w:asciiTheme="minorHAnsi" w:eastAsiaTheme="minorEastAsia" w:hAnsiTheme="minorHAnsi"/>
              <w:noProof/>
              <w:sz w:val="22"/>
              <w:szCs w:val="22"/>
              <w:lang w:eastAsia="en-AU"/>
            </w:rPr>
          </w:pPr>
          <w:hyperlink w:anchor="_Toc87278370" w:history="1">
            <w:r w:rsidR="008A4A95" w:rsidRPr="00240D7C">
              <w:rPr>
                <w:rStyle w:val="Hyperlink"/>
                <w:noProof/>
              </w:rPr>
              <w:t>5.4.4.</w:t>
            </w:r>
            <w:r w:rsidR="008A4A95">
              <w:rPr>
                <w:rFonts w:asciiTheme="minorHAnsi" w:eastAsiaTheme="minorEastAsia" w:hAnsiTheme="minorHAnsi"/>
                <w:noProof/>
                <w:sz w:val="22"/>
                <w:szCs w:val="22"/>
                <w:lang w:eastAsia="en-AU"/>
              </w:rPr>
              <w:tab/>
            </w:r>
            <w:r w:rsidR="008A4A95" w:rsidRPr="00240D7C">
              <w:rPr>
                <w:rStyle w:val="Hyperlink"/>
                <w:noProof/>
              </w:rPr>
              <w:t>Conceptualisation of flow regime</w:t>
            </w:r>
            <w:r w:rsidR="008A4A95">
              <w:rPr>
                <w:noProof/>
                <w:webHidden/>
              </w:rPr>
              <w:tab/>
            </w:r>
            <w:r w:rsidR="008A4A95">
              <w:rPr>
                <w:noProof/>
                <w:webHidden/>
              </w:rPr>
              <w:fldChar w:fldCharType="begin"/>
            </w:r>
            <w:r w:rsidR="008A4A95">
              <w:rPr>
                <w:noProof/>
                <w:webHidden/>
              </w:rPr>
              <w:instrText xml:space="preserve"> PAGEREF _Toc87278370 \h </w:instrText>
            </w:r>
            <w:r w:rsidR="008A4A95">
              <w:rPr>
                <w:noProof/>
                <w:webHidden/>
              </w:rPr>
            </w:r>
            <w:r w:rsidR="008A4A95">
              <w:rPr>
                <w:noProof/>
                <w:webHidden/>
              </w:rPr>
              <w:fldChar w:fldCharType="separate"/>
            </w:r>
            <w:r w:rsidR="00937ADD">
              <w:rPr>
                <w:noProof/>
                <w:webHidden/>
              </w:rPr>
              <w:t>65</w:t>
            </w:r>
            <w:r w:rsidR="008A4A95">
              <w:rPr>
                <w:noProof/>
                <w:webHidden/>
              </w:rPr>
              <w:fldChar w:fldCharType="end"/>
            </w:r>
          </w:hyperlink>
        </w:p>
        <w:p w14:paraId="3E259026" w14:textId="4AF28446" w:rsidR="008A4A95" w:rsidRDefault="009B0C52">
          <w:pPr>
            <w:pStyle w:val="TOC3"/>
            <w:rPr>
              <w:rFonts w:asciiTheme="minorHAnsi" w:eastAsiaTheme="minorEastAsia" w:hAnsiTheme="minorHAnsi"/>
              <w:noProof/>
              <w:sz w:val="22"/>
              <w:szCs w:val="22"/>
              <w:lang w:eastAsia="en-AU"/>
            </w:rPr>
          </w:pPr>
          <w:hyperlink w:anchor="_Toc87278371" w:history="1">
            <w:r w:rsidR="008A4A95" w:rsidRPr="00240D7C">
              <w:rPr>
                <w:rStyle w:val="Hyperlink"/>
                <w:noProof/>
              </w:rPr>
              <w:t>5.4.5.</w:t>
            </w:r>
            <w:r w:rsidR="008A4A95">
              <w:rPr>
                <w:rFonts w:asciiTheme="minorHAnsi" w:eastAsiaTheme="minorEastAsia" w:hAnsiTheme="minorHAnsi"/>
                <w:noProof/>
                <w:sz w:val="22"/>
                <w:szCs w:val="22"/>
                <w:lang w:eastAsia="en-AU"/>
              </w:rPr>
              <w:tab/>
            </w:r>
            <w:r w:rsidR="008A4A95" w:rsidRPr="00240D7C">
              <w:rPr>
                <w:rStyle w:val="Hyperlink"/>
                <w:noProof/>
              </w:rPr>
              <w:t>Potential impacts</w:t>
            </w:r>
            <w:r w:rsidR="008A4A95">
              <w:rPr>
                <w:noProof/>
                <w:webHidden/>
              </w:rPr>
              <w:tab/>
            </w:r>
            <w:r w:rsidR="008A4A95">
              <w:rPr>
                <w:noProof/>
                <w:webHidden/>
              </w:rPr>
              <w:fldChar w:fldCharType="begin"/>
            </w:r>
            <w:r w:rsidR="008A4A95">
              <w:rPr>
                <w:noProof/>
                <w:webHidden/>
              </w:rPr>
              <w:instrText xml:space="preserve"> PAGEREF _Toc87278371 \h </w:instrText>
            </w:r>
            <w:r w:rsidR="008A4A95">
              <w:rPr>
                <w:noProof/>
                <w:webHidden/>
              </w:rPr>
            </w:r>
            <w:r w:rsidR="008A4A95">
              <w:rPr>
                <w:noProof/>
                <w:webHidden/>
              </w:rPr>
              <w:fldChar w:fldCharType="separate"/>
            </w:r>
            <w:r w:rsidR="00937ADD">
              <w:rPr>
                <w:noProof/>
                <w:webHidden/>
              </w:rPr>
              <w:t>67</w:t>
            </w:r>
            <w:r w:rsidR="008A4A95">
              <w:rPr>
                <w:noProof/>
                <w:webHidden/>
              </w:rPr>
              <w:fldChar w:fldCharType="end"/>
            </w:r>
          </w:hyperlink>
        </w:p>
        <w:p w14:paraId="4217CE02" w14:textId="495967BD" w:rsidR="008A4A95" w:rsidRDefault="009B0C52">
          <w:pPr>
            <w:pStyle w:val="TOC3"/>
            <w:rPr>
              <w:rFonts w:asciiTheme="minorHAnsi" w:eastAsiaTheme="minorEastAsia" w:hAnsiTheme="minorHAnsi"/>
              <w:noProof/>
              <w:sz w:val="22"/>
              <w:szCs w:val="22"/>
              <w:lang w:eastAsia="en-AU"/>
            </w:rPr>
          </w:pPr>
          <w:hyperlink w:anchor="_Toc87278372" w:history="1">
            <w:r w:rsidR="008A4A95" w:rsidRPr="00240D7C">
              <w:rPr>
                <w:rStyle w:val="Hyperlink"/>
                <w:noProof/>
              </w:rPr>
              <w:t>5.4.6.</w:t>
            </w:r>
            <w:r w:rsidR="008A4A95">
              <w:rPr>
                <w:rFonts w:asciiTheme="minorHAnsi" w:eastAsiaTheme="minorEastAsia" w:hAnsiTheme="minorHAnsi"/>
                <w:noProof/>
                <w:sz w:val="22"/>
                <w:szCs w:val="22"/>
                <w:lang w:eastAsia="en-AU"/>
              </w:rPr>
              <w:tab/>
            </w:r>
            <w:r w:rsidR="008A4A95" w:rsidRPr="00240D7C">
              <w:rPr>
                <w:rStyle w:val="Hyperlink"/>
                <w:noProof/>
              </w:rPr>
              <w:t>Rehabilitation planning</w:t>
            </w:r>
            <w:r w:rsidR="008A4A95">
              <w:rPr>
                <w:noProof/>
                <w:webHidden/>
              </w:rPr>
              <w:tab/>
            </w:r>
            <w:r w:rsidR="008A4A95">
              <w:rPr>
                <w:noProof/>
                <w:webHidden/>
              </w:rPr>
              <w:fldChar w:fldCharType="begin"/>
            </w:r>
            <w:r w:rsidR="008A4A95">
              <w:rPr>
                <w:noProof/>
                <w:webHidden/>
              </w:rPr>
              <w:instrText xml:space="preserve"> PAGEREF _Toc87278372 \h </w:instrText>
            </w:r>
            <w:r w:rsidR="008A4A95">
              <w:rPr>
                <w:noProof/>
                <w:webHidden/>
              </w:rPr>
            </w:r>
            <w:r w:rsidR="008A4A95">
              <w:rPr>
                <w:noProof/>
                <w:webHidden/>
              </w:rPr>
              <w:fldChar w:fldCharType="separate"/>
            </w:r>
            <w:r w:rsidR="00937ADD">
              <w:rPr>
                <w:noProof/>
                <w:webHidden/>
              </w:rPr>
              <w:t>67</w:t>
            </w:r>
            <w:r w:rsidR="008A4A95">
              <w:rPr>
                <w:noProof/>
                <w:webHidden/>
              </w:rPr>
              <w:fldChar w:fldCharType="end"/>
            </w:r>
          </w:hyperlink>
        </w:p>
        <w:p w14:paraId="2646F227" w14:textId="06C89BF4" w:rsidR="008A4A95" w:rsidRDefault="009B0C52">
          <w:pPr>
            <w:pStyle w:val="TOC3"/>
            <w:rPr>
              <w:rFonts w:asciiTheme="minorHAnsi" w:eastAsiaTheme="minorEastAsia" w:hAnsiTheme="minorHAnsi"/>
              <w:noProof/>
              <w:sz w:val="22"/>
              <w:szCs w:val="22"/>
              <w:lang w:eastAsia="en-AU"/>
            </w:rPr>
          </w:pPr>
          <w:hyperlink w:anchor="_Toc87278373" w:history="1">
            <w:r w:rsidR="008A4A95" w:rsidRPr="00240D7C">
              <w:rPr>
                <w:rStyle w:val="Hyperlink"/>
                <w:noProof/>
              </w:rPr>
              <w:t>5.4.7.</w:t>
            </w:r>
            <w:r w:rsidR="008A4A95">
              <w:rPr>
                <w:rFonts w:asciiTheme="minorHAnsi" w:eastAsiaTheme="minorEastAsia" w:hAnsiTheme="minorHAnsi"/>
                <w:noProof/>
                <w:sz w:val="22"/>
                <w:szCs w:val="22"/>
                <w:lang w:eastAsia="en-AU"/>
              </w:rPr>
              <w:tab/>
            </w:r>
            <w:r w:rsidR="008A4A95" w:rsidRPr="00240D7C">
              <w:rPr>
                <w:rStyle w:val="Hyperlink"/>
                <w:noProof/>
              </w:rPr>
              <w:t>Risk mitigation and management</w:t>
            </w:r>
            <w:r w:rsidR="008A4A95">
              <w:rPr>
                <w:noProof/>
                <w:webHidden/>
              </w:rPr>
              <w:tab/>
            </w:r>
            <w:r w:rsidR="008A4A95">
              <w:rPr>
                <w:noProof/>
                <w:webHidden/>
              </w:rPr>
              <w:fldChar w:fldCharType="begin"/>
            </w:r>
            <w:r w:rsidR="008A4A95">
              <w:rPr>
                <w:noProof/>
                <w:webHidden/>
              </w:rPr>
              <w:instrText xml:space="preserve"> PAGEREF _Toc87278373 \h </w:instrText>
            </w:r>
            <w:r w:rsidR="008A4A95">
              <w:rPr>
                <w:noProof/>
                <w:webHidden/>
              </w:rPr>
            </w:r>
            <w:r w:rsidR="008A4A95">
              <w:rPr>
                <w:noProof/>
                <w:webHidden/>
              </w:rPr>
              <w:fldChar w:fldCharType="separate"/>
            </w:r>
            <w:r w:rsidR="00937ADD">
              <w:rPr>
                <w:noProof/>
                <w:webHidden/>
              </w:rPr>
              <w:t>72</w:t>
            </w:r>
            <w:r w:rsidR="008A4A95">
              <w:rPr>
                <w:noProof/>
                <w:webHidden/>
              </w:rPr>
              <w:fldChar w:fldCharType="end"/>
            </w:r>
          </w:hyperlink>
        </w:p>
        <w:p w14:paraId="0AC48A54" w14:textId="5CE34FE2" w:rsidR="008A4A95" w:rsidRDefault="009B0C52">
          <w:pPr>
            <w:pStyle w:val="TOC2"/>
            <w:rPr>
              <w:rFonts w:eastAsiaTheme="minorEastAsia"/>
              <w:noProof/>
              <w:sz w:val="22"/>
              <w:szCs w:val="22"/>
              <w:lang w:eastAsia="en-AU"/>
            </w:rPr>
          </w:pPr>
          <w:hyperlink w:anchor="_Toc87278374" w:history="1">
            <w:r w:rsidR="008A4A95" w:rsidRPr="00240D7C">
              <w:rPr>
                <w:rStyle w:val="Hyperlink"/>
                <w:noProof/>
              </w:rPr>
              <w:t>5.5.</w:t>
            </w:r>
            <w:r w:rsidR="008A4A95">
              <w:rPr>
                <w:rFonts w:eastAsiaTheme="minorEastAsia"/>
                <w:noProof/>
                <w:sz w:val="22"/>
                <w:szCs w:val="22"/>
                <w:lang w:eastAsia="en-AU"/>
              </w:rPr>
              <w:tab/>
            </w:r>
            <w:r w:rsidR="008A4A95" w:rsidRPr="00240D7C">
              <w:rPr>
                <w:rStyle w:val="Hyperlink"/>
                <w:noProof/>
              </w:rPr>
              <w:t>Case study summary</w:t>
            </w:r>
            <w:r w:rsidR="008A4A95">
              <w:rPr>
                <w:noProof/>
                <w:webHidden/>
              </w:rPr>
              <w:tab/>
            </w:r>
            <w:r w:rsidR="008A4A95">
              <w:rPr>
                <w:noProof/>
                <w:webHidden/>
              </w:rPr>
              <w:fldChar w:fldCharType="begin"/>
            </w:r>
            <w:r w:rsidR="008A4A95">
              <w:rPr>
                <w:noProof/>
                <w:webHidden/>
              </w:rPr>
              <w:instrText xml:space="preserve"> PAGEREF _Toc87278374 \h </w:instrText>
            </w:r>
            <w:r w:rsidR="008A4A95">
              <w:rPr>
                <w:noProof/>
                <w:webHidden/>
              </w:rPr>
            </w:r>
            <w:r w:rsidR="008A4A95">
              <w:rPr>
                <w:noProof/>
                <w:webHidden/>
              </w:rPr>
              <w:fldChar w:fldCharType="separate"/>
            </w:r>
            <w:r w:rsidR="00937ADD">
              <w:rPr>
                <w:noProof/>
                <w:webHidden/>
              </w:rPr>
              <w:t>74</w:t>
            </w:r>
            <w:r w:rsidR="008A4A95">
              <w:rPr>
                <w:noProof/>
                <w:webHidden/>
              </w:rPr>
              <w:fldChar w:fldCharType="end"/>
            </w:r>
          </w:hyperlink>
        </w:p>
        <w:p w14:paraId="30FB68EC" w14:textId="1C2DA512" w:rsidR="008A4A95" w:rsidRDefault="009B0C52">
          <w:pPr>
            <w:pStyle w:val="TOC1"/>
            <w:rPr>
              <w:rFonts w:eastAsiaTheme="minorEastAsia"/>
              <w:sz w:val="22"/>
              <w:lang w:eastAsia="en-AU"/>
            </w:rPr>
          </w:pPr>
          <w:hyperlink w:anchor="_Toc87278375" w:history="1">
            <w:r w:rsidR="008A4A95" w:rsidRPr="00240D7C">
              <w:rPr>
                <w:rStyle w:val="Hyperlink"/>
              </w:rPr>
              <w:t>6.</w:t>
            </w:r>
            <w:r w:rsidR="008A4A95">
              <w:rPr>
                <w:rFonts w:eastAsiaTheme="minorEastAsia"/>
                <w:sz w:val="22"/>
                <w:lang w:eastAsia="en-AU"/>
              </w:rPr>
              <w:tab/>
            </w:r>
            <w:r w:rsidR="008A4A95" w:rsidRPr="00240D7C">
              <w:rPr>
                <w:rStyle w:val="Hyperlink"/>
              </w:rPr>
              <w:t>Development of a risk assessment approach</w:t>
            </w:r>
            <w:r w:rsidR="008A4A95">
              <w:rPr>
                <w:webHidden/>
              </w:rPr>
              <w:tab/>
            </w:r>
            <w:r w:rsidR="008A4A95">
              <w:rPr>
                <w:webHidden/>
              </w:rPr>
              <w:fldChar w:fldCharType="begin"/>
            </w:r>
            <w:r w:rsidR="008A4A95">
              <w:rPr>
                <w:webHidden/>
              </w:rPr>
              <w:instrText xml:space="preserve"> PAGEREF _Toc87278375 \h </w:instrText>
            </w:r>
            <w:r w:rsidR="008A4A95">
              <w:rPr>
                <w:webHidden/>
              </w:rPr>
            </w:r>
            <w:r w:rsidR="008A4A95">
              <w:rPr>
                <w:webHidden/>
              </w:rPr>
              <w:fldChar w:fldCharType="separate"/>
            </w:r>
            <w:r w:rsidR="00937ADD">
              <w:rPr>
                <w:webHidden/>
              </w:rPr>
              <w:t>80</w:t>
            </w:r>
            <w:r w:rsidR="008A4A95">
              <w:rPr>
                <w:webHidden/>
              </w:rPr>
              <w:fldChar w:fldCharType="end"/>
            </w:r>
          </w:hyperlink>
        </w:p>
        <w:p w14:paraId="37F4E640" w14:textId="25D00D5E" w:rsidR="008A4A95" w:rsidRDefault="009B0C52">
          <w:pPr>
            <w:pStyle w:val="TOC1"/>
            <w:rPr>
              <w:rFonts w:eastAsiaTheme="minorEastAsia"/>
              <w:sz w:val="22"/>
              <w:lang w:eastAsia="en-AU"/>
            </w:rPr>
          </w:pPr>
          <w:hyperlink w:anchor="_Toc87278376" w:history="1">
            <w:r w:rsidR="008A4A95" w:rsidRPr="00240D7C">
              <w:rPr>
                <w:rStyle w:val="Hyperlink"/>
              </w:rPr>
              <w:t>7.</w:t>
            </w:r>
            <w:r w:rsidR="008A4A95">
              <w:rPr>
                <w:rFonts w:eastAsiaTheme="minorEastAsia"/>
                <w:sz w:val="22"/>
                <w:lang w:eastAsia="en-AU"/>
              </w:rPr>
              <w:tab/>
            </w:r>
            <w:r w:rsidR="008A4A95" w:rsidRPr="00240D7C">
              <w:rPr>
                <w:rStyle w:val="Hyperlink"/>
              </w:rPr>
              <w:t>References</w:t>
            </w:r>
            <w:r w:rsidR="008A4A95">
              <w:rPr>
                <w:webHidden/>
              </w:rPr>
              <w:tab/>
            </w:r>
            <w:r w:rsidR="008A4A95">
              <w:rPr>
                <w:webHidden/>
              </w:rPr>
              <w:fldChar w:fldCharType="begin"/>
            </w:r>
            <w:r w:rsidR="008A4A95">
              <w:rPr>
                <w:webHidden/>
              </w:rPr>
              <w:instrText xml:space="preserve"> PAGEREF _Toc87278376 \h </w:instrText>
            </w:r>
            <w:r w:rsidR="008A4A95">
              <w:rPr>
                <w:webHidden/>
              </w:rPr>
            </w:r>
            <w:r w:rsidR="008A4A95">
              <w:rPr>
                <w:webHidden/>
              </w:rPr>
              <w:fldChar w:fldCharType="separate"/>
            </w:r>
            <w:r w:rsidR="00937ADD">
              <w:rPr>
                <w:webHidden/>
              </w:rPr>
              <w:t>87</w:t>
            </w:r>
            <w:r w:rsidR="008A4A95">
              <w:rPr>
                <w:webHidden/>
              </w:rPr>
              <w:fldChar w:fldCharType="end"/>
            </w:r>
          </w:hyperlink>
        </w:p>
        <w:p w14:paraId="6C99ECB9" w14:textId="4931E7C9" w:rsidR="00830FD0" w:rsidRPr="00AF19D8" w:rsidRDefault="003E391C">
          <w:r w:rsidRPr="00AF19D8">
            <w:rPr>
              <w:b/>
              <w:bCs/>
              <w:noProof/>
            </w:rPr>
            <w:fldChar w:fldCharType="end"/>
          </w:r>
        </w:p>
      </w:sdtContent>
    </w:sdt>
    <w:p w14:paraId="7B948704" w14:textId="77777777" w:rsidR="00925B50" w:rsidRPr="00AF19D8" w:rsidRDefault="00925B50" w:rsidP="00216210">
      <w:pPr>
        <w:pStyle w:val="BodyText"/>
        <w:rPr>
          <w:b/>
          <w:sz w:val="24"/>
        </w:rPr>
      </w:pPr>
      <w:r w:rsidRPr="00AF19D8">
        <w:rPr>
          <w:b/>
          <w:sz w:val="24"/>
        </w:rPr>
        <w:t>Tables</w:t>
      </w:r>
    </w:p>
    <w:p w14:paraId="3D1C679A" w14:textId="77777777" w:rsidR="0098330A" w:rsidRDefault="007930FB">
      <w:pPr>
        <w:pStyle w:val="TableofFigures"/>
        <w:rPr>
          <w:rFonts w:eastAsiaTheme="minorEastAsia"/>
          <w:noProof/>
          <w:sz w:val="22"/>
          <w:szCs w:val="22"/>
          <w:lang w:eastAsia="en-AU"/>
        </w:rPr>
      </w:pPr>
      <w:r>
        <w:fldChar w:fldCharType="begin"/>
      </w:r>
      <w:r>
        <w:instrText xml:space="preserve"> TOC \n \h \z \c "Table" </w:instrText>
      </w:r>
      <w:r>
        <w:fldChar w:fldCharType="separate"/>
      </w:r>
      <w:hyperlink w:anchor="_Toc65140577" w:history="1">
        <w:r w:rsidR="0098330A" w:rsidRPr="00010E56">
          <w:rPr>
            <w:rStyle w:val="Hyperlink"/>
            <w:noProof/>
          </w:rPr>
          <w:t>Table 2</w:t>
        </w:r>
        <w:r w:rsidR="0098330A" w:rsidRPr="00010E56">
          <w:rPr>
            <w:rStyle w:val="Hyperlink"/>
            <w:noProof/>
          </w:rPr>
          <w:noBreakHyphen/>
          <w:t>1 Database attributes and information sources</w:t>
        </w:r>
      </w:hyperlink>
    </w:p>
    <w:p w14:paraId="05BF581D" w14:textId="77777777" w:rsidR="0098330A" w:rsidRDefault="009B0C52">
      <w:pPr>
        <w:pStyle w:val="TableofFigures"/>
        <w:rPr>
          <w:rFonts w:eastAsiaTheme="minorEastAsia"/>
          <w:noProof/>
          <w:sz w:val="22"/>
          <w:szCs w:val="22"/>
          <w:lang w:eastAsia="en-AU"/>
        </w:rPr>
      </w:pPr>
      <w:hyperlink w:anchor="_Toc65140578" w:history="1">
        <w:r w:rsidR="0098330A" w:rsidRPr="00010E56">
          <w:rPr>
            <w:rStyle w:val="Hyperlink"/>
            <w:noProof/>
          </w:rPr>
          <w:t>Table 4</w:t>
        </w:r>
        <w:r w:rsidR="0098330A" w:rsidRPr="00010E56">
          <w:rPr>
            <w:rStyle w:val="Hyperlink"/>
            <w:noProof/>
          </w:rPr>
          <w:noBreakHyphen/>
          <w:t>1 Type and current status of open cut coal mines in Queensland</w:t>
        </w:r>
      </w:hyperlink>
    </w:p>
    <w:p w14:paraId="18A409DC" w14:textId="77777777" w:rsidR="0098330A" w:rsidRDefault="009B0C52">
      <w:pPr>
        <w:pStyle w:val="TableofFigures"/>
        <w:rPr>
          <w:rFonts w:eastAsiaTheme="minorEastAsia"/>
          <w:noProof/>
          <w:sz w:val="22"/>
          <w:szCs w:val="22"/>
          <w:lang w:eastAsia="en-AU"/>
        </w:rPr>
      </w:pPr>
      <w:hyperlink w:anchor="_Toc65140579" w:history="1">
        <w:r w:rsidR="0098330A" w:rsidRPr="00010E56">
          <w:rPr>
            <w:rStyle w:val="Hyperlink"/>
            <w:noProof/>
          </w:rPr>
          <w:t>Table 4</w:t>
        </w:r>
        <w:r w:rsidR="0098330A" w:rsidRPr="00010E56">
          <w:rPr>
            <w:rStyle w:val="Hyperlink"/>
            <w:noProof/>
          </w:rPr>
          <w:noBreakHyphen/>
          <w:t>2 Distribution of current open coal pits in Queensland according to geological basin or province</w:t>
        </w:r>
      </w:hyperlink>
    </w:p>
    <w:p w14:paraId="681AEEAC" w14:textId="77777777" w:rsidR="0098330A" w:rsidRDefault="009B0C52">
      <w:pPr>
        <w:pStyle w:val="TableofFigures"/>
        <w:rPr>
          <w:rFonts w:eastAsiaTheme="minorEastAsia"/>
          <w:noProof/>
          <w:sz w:val="22"/>
          <w:szCs w:val="22"/>
          <w:lang w:eastAsia="en-AU"/>
        </w:rPr>
      </w:pPr>
      <w:hyperlink w:anchor="_Toc65140580" w:history="1">
        <w:r w:rsidR="0098330A" w:rsidRPr="00010E56">
          <w:rPr>
            <w:rStyle w:val="Hyperlink"/>
            <w:noProof/>
          </w:rPr>
          <w:t>Table 4</w:t>
        </w:r>
        <w:r w:rsidR="0098330A" w:rsidRPr="00010E56">
          <w:rPr>
            <w:rStyle w:val="Hyperlink"/>
            <w:noProof/>
          </w:rPr>
          <w:noBreakHyphen/>
          <w:t>3 Distribution of current open coal pits in Queensland according to drain basin and drain sub-basins</w:t>
        </w:r>
      </w:hyperlink>
    </w:p>
    <w:p w14:paraId="6C432DB3" w14:textId="77777777" w:rsidR="0098330A" w:rsidRDefault="009B0C52">
      <w:pPr>
        <w:pStyle w:val="TableofFigures"/>
        <w:rPr>
          <w:rFonts w:eastAsiaTheme="minorEastAsia"/>
          <w:noProof/>
          <w:sz w:val="22"/>
          <w:szCs w:val="22"/>
          <w:lang w:eastAsia="en-AU"/>
        </w:rPr>
      </w:pPr>
      <w:hyperlink w:anchor="_Toc65140581" w:history="1">
        <w:r w:rsidR="0098330A" w:rsidRPr="00010E56">
          <w:rPr>
            <w:rStyle w:val="Hyperlink"/>
            <w:noProof/>
          </w:rPr>
          <w:t>Table 4</w:t>
        </w:r>
        <w:r w:rsidR="0098330A" w:rsidRPr="00010E56">
          <w:rPr>
            <w:rStyle w:val="Hyperlink"/>
            <w:noProof/>
          </w:rPr>
          <w:noBreakHyphen/>
          <w:t>4 Current open coal pits in Queensland located in mapped floodplain zones</w:t>
        </w:r>
      </w:hyperlink>
    </w:p>
    <w:p w14:paraId="683D1779" w14:textId="77777777" w:rsidR="0098330A" w:rsidRDefault="009B0C52">
      <w:pPr>
        <w:pStyle w:val="TableofFigures"/>
        <w:rPr>
          <w:rFonts w:eastAsiaTheme="minorEastAsia"/>
          <w:noProof/>
          <w:sz w:val="22"/>
          <w:szCs w:val="22"/>
          <w:lang w:eastAsia="en-AU"/>
        </w:rPr>
      </w:pPr>
      <w:hyperlink w:anchor="_Toc65140582" w:history="1">
        <w:r w:rsidR="0098330A" w:rsidRPr="00010E56">
          <w:rPr>
            <w:rStyle w:val="Hyperlink"/>
            <w:noProof/>
          </w:rPr>
          <w:t>Table 5</w:t>
        </w:r>
        <w:r w:rsidR="0098330A" w:rsidRPr="00010E56">
          <w:rPr>
            <w:rStyle w:val="Hyperlink"/>
            <w:noProof/>
          </w:rPr>
          <w:noBreakHyphen/>
          <w:t>1 Proposed geometrics of final void design (Pembroke Resources, 2018)</w:t>
        </w:r>
      </w:hyperlink>
    </w:p>
    <w:p w14:paraId="0ABA6915" w14:textId="77777777" w:rsidR="0098330A" w:rsidRDefault="009B0C52">
      <w:pPr>
        <w:pStyle w:val="TableofFigures"/>
        <w:rPr>
          <w:rFonts w:eastAsiaTheme="minorEastAsia"/>
          <w:noProof/>
          <w:sz w:val="22"/>
          <w:szCs w:val="22"/>
          <w:lang w:eastAsia="en-AU"/>
        </w:rPr>
      </w:pPr>
      <w:hyperlink w:anchor="_Toc65140583" w:history="1">
        <w:r w:rsidR="0098330A" w:rsidRPr="00010E56">
          <w:rPr>
            <w:rStyle w:val="Hyperlink"/>
            <w:noProof/>
          </w:rPr>
          <w:t>Table 5</w:t>
        </w:r>
        <w:r w:rsidR="0098330A" w:rsidRPr="00010E56">
          <w:rPr>
            <w:rStyle w:val="Hyperlink"/>
            <w:noProof/>
          </w:rPr>
          <w:noBreakHyphen/>
          <w:t>2 Long-term water level and quality model simulation results of final voids (Pembroke Resources, 2018 &amp; 2019)</w:t>
        </w:r>
      </w:hyperlink>
    </w:p>
    <w:p w14:paraId="2C5E023A" w14:textId="77777777" w:rsidR="0098330A" w:rsidRDefault="009B0C52">
      <w:pPr>
        <w:pStyle w:val="TableofFigures"/>
        <w:rPr>
          <w:rFonts w:eastAsiaTheme="minorEastAsia"/>
          <w:noProof/>
          <w:sz w:val="22"/>
          <w:szCs w:val="22"/>
          <w:lang w:eastAsia="en-AU"/>
        </w:rPr>
      </w:pPr>
      <w:hyperlink w:anchor="_Toc65140584" w:history="1">
        <w:r w:rsidR="0098330A" w:rsidRPr="00010E56">
          <w:rPr>
            <w:rStyle w:val="Hyperlink"/>
            <w:noProof/>
          </w:rPr>
          <w:t>Table 5</w:t>
        </w:r>
        <w:r w:rsidR="0098330A" w:rsidRPr="00010E56">
          <w:rPr>
            <w:rStyle w:val="Hyperlink"/>
            <w:noProof/>
          </w:rPr>
          <w:noBreakHyphen/>
          <w:t>3 Preliminary rehabilitation requirements for residual voids (Pembroke Resources, 2019)</w:t>
        </w:r>
      </w:hyperlink>
    </w:p>
    <w:p w14:paraId="2D883C5E" w14:textId="77777777" w:rsidR="0098330A" w:rsidRDefault="009B0C52">
      <w:pPr>
        <w:pStyle w:val="TableofFigures"/>
        <w:rPr>
          <w:rFonts w:eastAsiaTheme="minorEastAsia"/>
          <w:noProof/>
          <w:sz w:val="22"/>
          <w:szCs w:val="22"/>
          <w:lang w:eastAsia="en-AU"/>
        </w:rPr>
      </w:pPr>
      <w:hyperlink w:anchor="_Toc65140585" w:history="1">
        <w:r w:rsidR="0098330A" w:rsidRPr="00010E56">
          <w:rPr>
            <w:rStyle w:val="Hyperlink"/>
            <w:noProof/>
          </w:rPr>
          <w:t>Table 5</w:t>
        </w:r>
        <w:r w:rsidR="0098330A" w:rsidRPr="00010E56">
          <w:rPr>
            <w:rStyle w:val="Hyperlink"/>
            <w:noProof/>
          </w:rPr>
          <w:noBreakHyphen/>
          <w:t>4 Geometrics of final void design (MCPL, 2018a)</w:t>
        </w:r>
      </w:hyperlink>
    </w:p>
    <w:p w14:paraId="5E80BF0F" w14:textId="77777777" w:rsidR="0098330A" w:rsidRDefault="009B0C52">
      <w:pPr>
        <w:pStyle w:val="TableofFigures"/>
        <w:rPr>
          <w:rFonts w:eastAsiaTheme="minorEastAsia"/>
          <w:noProof/>
          <w:sz w:val="22"/>
          <w:szCs w:val="22"/>
          <w:lang w:eastAsia="en-AU"/>
        </w:rPr>
      </w:pPr>
      <w:hyperlink w:anchor="_Toc65140586" w:history="1">
        <w:r w:rsidR="0098330A" w:rsidRPr="00010E56">
          <w:rPr>
            <w:rStyle w:val="Hyperlink"/>
            <w:noProof/>
          </w:rPr>
          <w:t>Table 5</w:t>
        </w:r>
        <w:r w:rsidR="0098330A" w:rsidRPr="00010E56">
          <w:rPr>
            <w:rStyle w:val="Hyperlink"/>
            <w:noProof/>
          </w:rPr>
          <w:noBreakHyphen/>
          <w:t>5 Long-term water level and quality model simulation results of final voids (MCPL, 2018a)</w:t>
        </w:r>
      </w:hyperlink>
    </w:p>
    <w:p w14:paraId="0C2E8548" w14:textId="77777777" w:rsidR="0098330A" w:rsidRDefault="009B0C52">
      <w:pPr>
        <w:pStyle w:val="TableofFigures"/>
        <w:rPr>
          <w:rFonts w:eastAsiaTheme="minorEastAsia"/>
          <w:noProof/>
          <w:sz w:val="22"/>
          <w:szCs w:val="22"/>
          <w:lang w:eastAsia="en-AU"/>
        </w:rPr>
      </w:pPr>
      <w:hyperlink w:anchor="_Toc65140587" w:history="1">
        <w:r w:rsidR="0098330A" w:rsidRPr="00010E56">
          <w:rPr>
            <w:rStyle w:val="Hyperlink"/>
            <w:noProof/>
          </w:rPr>
          <w:t>Table 5</w:t>
        </w:r>
        <w:r w:rsidR="0098330A" w:rsidRPr="00010E56">
          <w:rPr>
            <w:rStyle w:val="Hyperlink"/>
            <w:noProof/>
          </w:rPr>
          <w:noBreakHyphen/>
          <w:t>6 Rehabilitation management of final void RMU</w:t>
        </w:r>
      </w:hyperlink>
    </w:p>
    <w:p w14:paraId="6FBBE508" w14:textId="77777777" w:rsidR="0098330A" w:rsidRDefault="009B0C52">
      <w:pPr>
        <w:pStyle w:val="TableofFigures"/>
        <w:rPr>
          <w:rFonts w:eastAsiaTheme="minorEastAsia"/>
          <w:noProof/>
          <w:sz w:val="22"/>
          <w:szCs w:val="22"/>
          <w:lang w:eastAsia="en-AU"/>
        </w:rPr>
      </w:pPr>
      <w:hyperlink w:anchor="_Toc65140588" w:history="1">
        <w:r w:rsidR="0098330A" w:rsidRPr="00010E56">
          <w:rPr>
            <w:rStyle w:val="Hyperlink"/>
            <w:noProof/>
          </w:rPr>
          <w:t>Table 5</w:t>
        </w:r>
        <w:r w:rsidR="0098330A" w:rsidRPr="00010E56">
          <w:rPr>
            <w:rStyle w:val="Hyperlink"/>
            <w:noProof/>
          </w:rPr>
          <w:noBreakHyphen/>
          <w:t>7 Rehabilitation objectives, success criteria and corrective actions for final voids (MCPL, 2018b)</w:t>
        </w:r>
      </w:hyperlink>
    </w:p>
    <w:p w14:paraId="164E67DC" w14:textId="77777777" w:rsidR="0098330A" w:rsidRDefault="009B0C52">
      <w:pPr>
        <w:pStyle w:val="TableofFigures"/>
        <w:rPr>
          <w:rFonts w:eastAsiaTheme="minorEastAsia"/>
          <w:noProof/>
          <w:sz w:val="22"/>
          <w:szCs w:val="22"/>
          <w:lang w:eastAsia="en-AU"/>
        </w:rPr>
      </w:pPr>
      <w:hyperlink w:anchor="_Toc65140589" w:history="1">
        <w:r w:rsidR="0098330A" w:rsidRPr="00010E56">
          <w:rPr>
            <w:rStyle w:val="Hyperlink"/>
            <w:noProof/>
          </w:rPr>
          <w:t>Table 5</w:t>
        </w:r>
        <w:r w:rsidR="0098330A" w:rsidRPr="00010E56">
          <w:rPr>
            <w:rStyle w:val="Hyperlink"/>
            <w:noProof/>
          </w:rPr>
          <w:noBreakHyphen/>
          <w:t>8 Geometrics of final void design (AARC, 2018)</w:t>
        </w:r>
      </w:hyperlink>
    </w:p>
    <w:p w14:paraId="58F31173" w14:textId="77777777" w:rsidR="0098330A" w:rsidRDefault="009B0C52">
      <w:pPr>
        <w:pStyle w:val="TableofFigures"/>
        <w:rPr>
          <w:rFonts w:eastAsiaTheme="minorEastAsia"/>
          <w:noProof/>
          <w:sz w:val="22"/>
          <w:szCs w:val="22"/>
          <w:lang w:eastAsia="en-AU"/>
        </w:rPr>
      </w:pPr>
      <w:hyperlink w:anchor="_Toc65140590" w:history="1">
        <w:r w:rsidR="0098330A" w:rsidRPr="00010E56">
          <w:rPr>
            <w:rStyle w:val="Hyperlink"/>
            <w:noProof/>
          </w:rPr>
          <w:t>Table 5</w:t>
        </w:r>
        <w:r w:rsidR="0098330A" w:rsidRPr="00010E56">
          <w:rPr>
            <w:rStyle w:val="Hyperlink"/>
            <w:noProof/>
          </w:rPr>
          <w:noBreakHyphen/>
          <w:t xml:space="preserve">9 Long-term water level and quality model simulation results of final voids (AARC, 2018 and Engeny, 2019) </w:t>
        </w:r>
        <w:r w:rsidR="0098330A" w:rsidRPr="00010E56">
          <w:rPr>
            <w:rStyle w:val="Hyperlink"/>
            <w:noProof/>
            <w:vertAlign w:val="superscript"/>
          </w:rPr>
          <w:t>(1)</w:t>
        </w:r>
      </w:hyperlink>
    </w:p>
    <w:p w14:paraId="7FF16142" w14:textId="77777777" w:rsidR="0098330A" w:rsidRDefault="009B0C52">
      <w:pPr>
        <w:pStyle w:val="TableofFigures"/>
        <w:rPr>
          <w:rFonts w:eastAsiaTheme="minorEastAsia"/>
          <w:noProof/>
          <w:sz w:val="22"/>
          <w:szCs w:val="22"/>
          <w:lang w:eastAsia="en-AU"/>
        </w:rPr>
      </w:pPr>
      <w:hyperlink w:anchor="_Toc65140591" w:history="1">
        <w:r w:rsidR="0098330A" w:rsidRPr="00010E56">
          <w:rPr>
            <w:rStyle w:val="Hyperlink"/>
            <w:noProof/>
          </w:rPr>
          <w:t>Table 5</w:t>
        </w:r>
        <w:r w:rsidR="0098330A" w:rsidRPr="00010E56">
          <w:rPr>
            <w:rStyle w:val="Hyperlink"/>
            <w:noProof/>
          </w:rPr>
          <w:noBreakHyphen/>
          <w:t>10 Jellinbah mine rehabilitation goals, objectives, indicators and completion criteria for final voids</w:t>
        </w:r>
      </w:hyperlink>
    </w:p>
    <w:p w14:paraId="6A2D242C" w14:textId="77777777" w:rsidR="0098330A" w:rsidRDefault="009B0C52">
      <w:pPr>
        <w:pStyle w:val="TableofFigures"/>
        <w:rPr>
          <w:rFonts w:eastAsiaTheme="minorEastAsia"/>
          <w:noProof/>
          <w:sz w:val="22"/>
          <w:szCs w:val="22"/>
          <w:lang w:eastAsia="en-AU"/>
        </w:rPr>
      </w:pPr>
      <w:hyperlink w:anchor="_Toc65140592" w:history="1">
        <w:r w:rsidR="0098330A" w:rsidRPr="00010E56">
          <w:rPr>
            <w:rStyle w:val="Hyperlink"/>
            <w:noProof/>
          </w:rPr>
          <w:t>Table 5</w:t>
        </w:r>
        <w:r w:rsidR="0098330A" w:rsidRPr="00010E56">
          <w:rPr>
            <w:rStyle w:val="Hyperlink"/>
            <w:noProof/>
          </w:rPr>
          <w:noBreakHyphen/>
          <w:t>11 Predicted final equilibrium water levels of final voids (Ensham, 2019b)</w:t>
        </w:r>
      </w:hyperlink>
    </w:p>
    <w:p w14:paraId="60D1AE48" w14:textId="77777777" w:rsidR="0098330A" w:rsidRDefault="009B0C52">
      <w:pPr>
        <w:pStyle w:val="TableofFigures"/>
        <w:rPr>
          <w:rFonts w:eastAsiaTheme="minorEastAsia"/>
          <w:noProof/>
          <w:sz w:val="22"/>
          <w:szCs w:val="22"/>
          <w:lang w:eastAsia="en-AU"/>
        </w:rPr>
      </w:pPr>
      <w:hyperlink w:anchor="_Toc65140593" w:history="1">
        <w:r w:rsidR="0098330A" w:rsidRPr="00010E56">
          <w:rPr>
            <w:rStyle w:val="Hyperlink"/>
            <w:noProof/>
          </w:rPr>
          <w:t>Table 5</w:t>
        </w:r>
        <w:r w:rsidR="0098330A" w:rsidRPr="00010E56">
          <w:rPr>
            <w:rStyle w:val="Hyperlink"/>
            <w:noProof/>
          </w:rPr>
          <w:noBreakHyphen/>
          <w:t>12 Ensham rehabilitation objectives for void domains based on rehabilitation goals</w:t>
        </w:r>
      </w:hyperlink>
    </w:p>
    <w:p w14:paraId="6717FB7C" w14:textId="77777777" w:rsidR="0098330A" w:rsidRDefault="009B0C52">
      <w:pPr>
        <w:pStyle w:val="TableofFigures"/>
        <w:rPr>
          <w:rFonts w:eastAsiaTheme="minorEastAsia"/>
          <w:noProof/>
          <w:sz w:val="22"/>
          <w:szCs w:val="22"/>
          <w:lang w:eastAsia="en-AU"/>
        </w:rPr>
      </w:pPr>
      <w:hyperlink w:anchor="_Toc65140594" w:history="1">
        <w:r w:rsidR="0098330A" w:rsidRPr="00010E56">
          <w:rPr>
            <w:rStyle w:val="Hyperlink"/>
            <w:noProof/>
          </w:rPr>
          <w:t>Table 5</w:t>
        </w:r>
        <w:r w:rsidR="0098330A" w:rsidRPr="00010E56">
          <w:rPr>
            <w:rStyle w:val="Hyperlink"/>
            <w:noProof/>
          </w:rPr>
          <w:noBreakHyphen/>
          <w:t>13 Ensham mine rehabilitation indicators and completion criteria</w:t>
        </w:r>
      </w:hyperlink>
    </w:p>
    <w:p w14:paraId="1E17C381" w14:textId="77777777" w:rsidR="0098330A" w:rsidRDefault="009B0C52">
      <w:pPr>
        <w:pStyle w:val="TableofFigures"/>
        <w:rPr>
          <w:rFonts w:eastAsiaTheme="minorEastAsia"/>
          <w:noProof/>
          <w:sz w:val="22"/>
          <w:szCs w:val="22"/>
          <w:lang w:eastAsia="en-AU"/>
        </w:rPr>
      </w:pPr>
      <w:hyperlink w:anchor="_Toc65140595" w:history="1">
        <w:r w:rsidR="0098330A" w:rsidRPr="00010E56">
          <w:rPr>
            <w:rStyle w:val="Hyperlink"/>
            <w:noProof/>
          </w:rPr>
          <w:t>Table 5</w:t>
        </w:r>
        <w:r w:rsidR="0098330A" w:rsidRPr="00010E56">
          <w:rPr>
            <w:rStyle w:val="Hyperlink"/>
            <w:noProof/>
          </w:rPr>
          <w:noBreakHyphen/>
          <w:t xml:space="preserve">14 Summary of key findings from the case study analysis </w:t>
        </w:r>
        <w:r w:rsidR="0098330A" w:rsidRPr="00010E56">
          <w:rPr>
            <w:rStyle w:val="Hyperlink"/>
            <w:noProof/>
            <w:vertAlign w:val="superscript"/>
          </w:rPr>
          <w:t>(1)</w:t>
        </w:r>
      </w:hyperlink>
    </w:p>
    <w:p w14:paraId="10B3DE38" w14:textId="77777777" w:rsidR="0098330A" w:rsidRDefault="009B0C52">
      <w:pPr>
        <w:pStyle w:val="TableofFigures"/>
        <w:rPr>
          <w:rFonts w:eastAsiaTheme="minorEastAsia"/>
          <w:noProof/>
          <w:sz w:val="22"/>
          <w:szCs w:val="22"/>
          <w:lang w:eastAsia="en-AU"/>
        </w:rPr>
      </w:pPr>
      <w:hyperlink w:anchor="_Toc65140596" w:history="1">
        <w:r w:rsidR="0098330A" w:rsidRPr="00010E56">
          <w:rPr>
            <w:rStyle w:val="Hyperlink"/>
            <w:noProof/>
          </w:rPr>
          <w:t>Table 6</w:t>
        </w:r>
        <w:r w:rsidR="0098330A" w:rsidRPr="00010E56">
          <w:rPr>
            <w:rStyle w:val="Hyperlink"/>
            <w:noProof/>
          </w:rPr>
          <w:noBreakHyphen/>
          <w:t>1 Possible approach to risk assessment based on the QERMF</w:t>
        </w:r>
      </w:hyperlink>
    </w:p>
    <w:p w14:paraId="5AE2008A" w14:textId="5F60C037" w:rsidR="00216210" w:rsidRPr="00AF19D8" w:rsidRDefault="007930FB" w:rsidP="006F5479">
      <w:pPr>
        <w:pStyle w:val="TOC1"/>
      </w:pPr>
      <w:r>
        <w:fldChar w:fldCharType="end"/>
      </w:r>
    </w:p>
    <w:p w14:paraId="2B3B9A7B" w14:textId="77777777" w:rsidR="00925B50" w:rsidRPr="00AF19D8" w:rsidRDefault="00925B50" w:rsidP="00216210">
      <w:pPr>
        <w:pStyle w:val="BodyText"/>
        <w:rPr>
          <w:b/>
          <w:sz w:val="24"/>
        </w:rPr>
      </w:pPr>
      <w:r w:rsidRPr="00AF19D8">
        <w:rPr>
          <w:b/>
          <w:sz w:val="24"/>
        </w:rPr>
        <w:t>Figures</w:t>
      </w:r>
    </w:p>
    <w:p w14:paraId="15217BA2" w14:textId="77777777" w:rsidR="0098330A" w:rsidRDefault="0006104D">
      <w:pPr>
        <w:pStyle w:val="TableofFigures"/>
        <w:rPr>
          <w:rFonts w:eastAsiaTheme="minorEastAsia"/>
          <w:noProof/>
          <w:sz w:val="22"/>
          <w:szCs w:val="22"/>
          <w:lang w:eastAsia="en-AU"/>
        </w:rPr>
      </w:pPr>
      <w:r w:rsidRPr="00AF19D8">
        <w:fldChar w:fldCharType="begin"/>
      </w:r>
      <w:r w:rsidRPr="00AF19D8">
        <w:instrText xml:space="preserve"> TOC \n \h \z \c "Figure" </w:instrText>
      </w:r>
      <w:r w:rsidRPr="00AF19D8">
        <w:fldChar w:fldCharType="separate"/>
      </w:r>
      <w:hyperlink w:anchor="_Toc65140597" w:history="1">
        <w:r w:rsidR="0098330A" w:rsidRPr="00FC1209">
          <w:rPr>
            <w:rStyle w:val="Hyperlink"/>
            <w:noProof/>
          </w:rPr>
          <w:t>Figure 3</w:t>
        </w:r>
        <w:r w:rsidR="0098330A" w:rsidRPr="00FC1209">
          <w:rPr>
            <w:rStyle w:val="Hyperlink"/>
            <w:noProof/>
          </w:rPr>
          <w:noBreakHyphen/>
          <w:t>1 Simplified conceptual hydraulics of residual mine voids (</w:t>
        </w:r>
        <w:r w:rsidR="0098330A" w:rsidRPr="00FC1209">
          <w:rPr>
            <w:rStyle w:val="Hyperlink"/>
            <w:i/>
            <w:noProof/>
          </w:rPr>
          <w:t xml:space="preserve">after </w:t>
        </w:r>
        <w:r w:rsidR="0098330A" w:rsidRPr="00FC1209">
          <w:rPr>
            <w:rStyle w:val="Hyperlink"/>
            <w:noProof/>
          </w:rPr>
          <w:t>Commander, et al., 1994)</w:t>
        </w:r>
      </w:hyperlink>
    </w:p>
    <w:p w14:paraId="4090A090" w14:textId="77777777" w:rsidR="0098330A" w:rsidRDefault="009B0C52">
      <w:pPr>
        <w:pStyle w:val="TableofFigures"/>
        <w:rPr>
          <w:rFonts w:eastAsiaTheme="minorEastAsia"/>
          <w:noProof/>
          <w:sz w:val="22"/>
          <w:szCs w:val="22"/>
          <w:lang w:eastAsia="en-AU"/>
        </w:rPr>
      </w:pPr>
      <w:hyperlink w:anchor="_Toc65140598" w:history="1">
        <w:r w:rsidR="0098330A" w:rsidRPr="00FC1209">
          <w:rPr>
            <w:rStyle w:val="Hyperlink"/>
            <w:noProof/>
          </w:rPr>
          <w:t>Figure 3</w:t>
        </w:r>
        <w:r w:rsidR="0098330A" w:rsidRPr="00FC1209">
          <w:rPr>
            <w:rStyle w:val="Hyperlink"/>
            <w:noProof/>
          </w:rPr>
          <w:noBreakHyphen/>
          <w:t>2 Conceptualised equilibrium condition of residual void – Terminal sink flow regime (adapted from Mackie, 2009)</w:t>
        </w:r>
      </w:hyperlink>
    </w:p>
    <w:p w14:paraId="076C7C53" w14:textId="77777777" w:rsidR="0098330A" w:rsidRDefault="009B0C52">
      <w:pPr>
        <w:pStyle w:val="TableofFigures"/>
        <w:rPr>
          <w:rFonts w:eastAsiaTheme="minorEastAsia"/>
          <w:noProof/>
          <w:sz w:val="22"/>
          <w:szCs w:val="22"/>
          <w:lang w:eastAsia="en-AU"/>
        </w:rPr>
      </w:pPr>
      <w:hyperlink w:anchor="_Toc65140599" w:history="1">
        <w:r w:rsidR="0098330A" w:rsidRPr="00FC1209">
          <w:rPr>
            <w:rStyle w:val="Hyperlink"/>
            <w:noProof/>
          </w:rPr>
          <w:t>Figure 3</w:t>
        </w:r>
        <w:r w:rsidR="0098330A" w:rsidRPr="00FC1209">
          <w:rPr>
            <w:rStyle w:val="Hyperlink"/>
            <w:noProof/>
          </w:rPr>
          <w:noBreakHyphen/>
          <w:t>3 Conceptualised equilibrium condition of residual void – Source flow regime (adapted from Mackie, 2009)</w:t>
        </w:r>
      </w:hyperlink>
    </w:p>
    <w:p w14:paraId="67EA1E9E" w14:textId="77777777" w:rsidR="0098330A" w:rsidRDefault="009B0C52">
      <w:pPr>
        <w:pStyle w:val="TableofFigures"/>
        <w:rPr>
          <w:rFonts w:eastAsiaTheme="minorEastAsia"/>
          <w:noProof/>
          <w:sz w:val="22"/>
          <w:szCs w:val="22"/>
          <w:lang w:eastAsia="en-AU"/>
        </w:rPr>
      </w:pPr>
      <w:hyperlink w:anchor="_Toc65140600" w:history="1">
        <w:r w:rsidR="0098330A" w:rsidRPr="00FC1209">
          <w:rPr>
            <w:rStyle w:val="Hyperlink"/>
            <w:noProof/>
          </w:rPr>
          <w:t>Figure 3</w:t>
        </w:r>
        <w:r w:rsidR="0098330A" w:rsidRPr="00FC1209">
          <w:rPr>
            <w:rStyle w:val="Hyperlink"/>
            <w:noProof/>
          </w:rPr>
          <w:noBreakHyphen/>
          <w:t>4 Conceptualised equilibrium condition of residual void – Groundwater throughflow regime (adapted from Mackie, 2009)</w:t>
        </w:r>
      </w:hyperlink>
    </w:p>
    <w:p w14:paraId="1BA58285" w14:textId="77777777" w:rsidR="0098330A" w:rsidRDefault="009B0C52">
      <w:pPr>
        <w:pStyle w:val="TableofFigures"/>
        <w:rPr>
          <w:rFonts w:eastAsiaTheme="minorEastAsia"/>
          <w:noProof/>
          <w:sz w:val="22"/>
          <w:szCs w:val="22"/>
          <w:lang w:eastAsia="en-AU"/>
        </w:rPr>
      </w:pPr>
      <w:hyperlink w:anchor="_Toc65140601" w:history="1">
        <w:r w:rsidR="0098330A" w:rsidRPr="00FC1209">
          <w:rPr>
            <w:rStyle w:val="Hyperlink"/>
            <w:noProof/>
          </w:rPr>
          <w:t>Figure 3</w:t>
        </w:r>
        <w:r w:rsidR="0098330A" w:rsidRPr="00FC1209">
          <w:rPr>
            <w:rStyle w:val="Hyperlink"/>
            <w:noProof/>
          </w:rPr>
          <w:noBreakHyphen/>
          <w:t>5 Conceptualised equilibrium condition of residual void – Surface water flow</w:t>
        </w:r>
      </w:hyperlink>
    </w:p>
    <w:p w14:paraId="378CEA1B" w14:textId="77777777" w:rsidR="0098330A" w:rsidRDefault="009B0C52">
      <w:pPr>
        <w:pStyle w:val="TableofFigures"/>
        <w:rPr>
          <w:rFonts w:eastAsiaTheme="minorEastAsia"/>
          <w:noProof/>
          <w:sz w:val="22"/>
          <w:szCs w:val="22"/>
          <w:lang w:eastAsia="en-AU"/>
        </w:rPr>
      </w:pPr>
      <w:hyperlink w:anchor="_Toc65140602" w:history="1">
        <w:r w:rsidR="0098330A" w:rsidRPr="00FC1209">
          <w:rPr>
            <w:rStyle w:val="Hyperlink"/>
            <w:noProof/>
          </w:rPr>
          <w:t>Figure 3</w:t>
        </w:r>
        <w:r w:rsidR="0098330A" w:rsidRPr="00FC1209">
          <w:rPr>
            <w:rStyle w:val="Hyperlink"/>
            <w:noProof/>
          </w:rPr>
          <w:noBreakHyphen/>
          <w:t>6 Conceptualised equilibrium condition of partially filled residual void (adapted from Mackie, 2009)</w:t>
        </w:r>
      </w:hyperlink>
    </w:p>
    <w:p w14:paraId="33FDD3B8" w14:textId="77777777" w:rsidR="0098330A" w:rsidRDefault="009B0C52">
      <w:pPr>
        <w:pStyle w:val="TableofFigures"/>
        <w:rPr>
          <w:rFonts w:eastAsiaTheme="minorEastAsia"/>
          <w:noProof/>
          <w:sz w:val="22"/>
          <w:szCs w:val="22"/>
          <w:lang w:eastAsia="en-AU"/>
        </w:rPr>
      </w:pPr>
      <w:hyperlink w:anchor="_Toc65140603" w:history="1">
        <w:r w:rsidR="0098330A" w:rsidRPr="00FC1209">
          <w:rPr>
            <w:rStyle w:val="Hyperlink"/>
            <w:noProof/>
          </w:rPr>
          <w:t>Figure 3</w:t>
        </w:r>
        <w:r w:rsidR="0098330A" w:rsidRPr="00FC1209">
          <w:rPr>
            <w:rStyle w:val="Hyperlink"/>
            <w:noProof/>
          </w:rPr>
          <w:noBreakHyphen/>
          <w:t>7 Conceptualised equilibrium condition of completely filled void (adapted from Mackie, 2009)</w:t>
        </w:r>
      </w:hyperlink>
    </w:p>
    <w:p w14:paraId="2BAFFF61" w14:textId="77777777" w:rsidR="0098330A" w:rsidRDefault="009B0C52">
      <w:pPr>
        <w:pStyle w:val="TableofFigures"/>
        <w:rPr>
          <w:rFonts w:eastAsiaTheme="minorEastAsia"/>
          <w:noProof/>
          <w:sz w:val="22"/>
          <w:szCs w:val="22"/>
          <w:lang w:eastAsia="en-AU"/>
        </w:rPr>
      </w:pPr>
      <w:hyperlink w:anchor="_Toc65140604" w:history="1">
        <w:r w:rsidR="0098330A" w:rsidRPr="00FC1209">
          <w:rPr>
            <w:rStyle w:val="Hyperlink"/>
            <w:noProof/>
          </w:rPr>
          <w:t>Figure 4</w:t>
        </w:r>
        <w:r w:rsidR="0098330A" w:rsidRPr="00FC1209">
          <w:rPr>
            <w:rStyle w:val="Hyperlink"/>
            <w:noProof/>
          </w:rPr>
          <w:noBreakHyphen/>
          <w:t>1 Distribution of current open coal pits in Queensland</w:t>
        </w:r>
      </w:hyperlink>
    </w:p>
    <w:p w14:paraId="19E4F54C" w14:textId="77777777" w:rsidR="0098330A" w:rsidRDefault="009B0C52">
      <w:pPr>
        <w:pStyle w:val="TableofFigures"/>
        <w:rPr>
          <w:rFonts w:eastAsiaTheme="minorEastAsia"/>
          <w:noProof/>
          <w:sz w:val="22"/>
          <w:szCs w:val="22"/>
          <w:lang w:eastAsia="en-AU"/>
        </w:rPr>
      </w:pPr>
      <w:hyperlink w:anchor="_Toc65140605" w:history="1">
        <w:r w:rsidR="0098330A" w:rsidRPr="00FC1209">
          <w:rPr>
            <w:rStyle w:val="Hyperlink"/>
            <w:noProof/>
          </w:rPr>
          <w:t>Figure 4</w:t>
        </w:r>
        <w:r w:rsidR="0098330A" w:rsidRPr="00FC1209">
          <w:rPr>
            <w:rStyle w:val="Hyperlink"/>
            <w:noProof/>
          </w:rPr>
          <w:noBreakHyphen/>
          <w:t>2 Distance of current open coal pits from minor streams</w:t>
        </w:r>
      </w:hyperlink>
    </w:p>
    <w:p w14:paraId="7FA31BE7" w14:textId="77777777" w:rsidR="0098330A" w:rsidRDefault="009B0C52">
      <w:pPr>
        <w:pStyle w:val="TableofFigures"/>
        <w:rPr>
          <w:rFonts w:eastAsiaTheme="minorEastAsia"/>
          <w:noProof/>
          <w:sz w:val="22"/>
          <w:szCs w:val="22"/>
          <w:lang w:eastAsia="en-AU"/>
        </w:rPr>
      </w:pPr>
      <w:hyperlink w:anchor="_Toc65140606" w:history="1">
        <w:r w:rsidR="0098330A" w:rsidRPr="00FC1209">
          <w:rPr>
            <w:rStyle w:val="Hyperlink"/>
            <w:noProof/>
          </w:rPr>
          <w:t>Figure 4</w:t>
        </w:r>
        <w:r w:rsidR="0098330A" w:rsidRPr="00FC1209">
          <w:rPr>
            <w:rStyle w:val="Hyperlink"/>
            <w:noProof/>
          </w:rPr>
          <w:noBreakHyphen/>
          <w:t>3 Distance of current open coal pits from major streams</w:t>
        </w:r>
      </w:hyperlink>
    </w:p>
    <w:p w14:paraId="2F726F12" w14:textId="77777777" w:rsidR="0098330A" w:rsidRDefault="009B0C52">
      <w:pPr>
        <w:pStyle w:val="TableofFigures"/>
        <w:rPr>
          <w:rFonts w:eastAsiaTheme="minorEastAsia"/>
          <w:noProof/>
          <w:sz w:val="22"/>
          <w:szCs w:val="22"/>
          <w:lang w:eastAsia="en-AU"/>
        </w:rPr>
      </w:pPr>
      <w:hyperlink w:anchor="_Toc65140607" w:history="1">
        <w:r w:rsidR="0098330A" w:rsidRPr="00FC1209">
          <w:rPr>
            <w:rStyle w:val="Hyperlink"/>
            <w:noProof/>
          </w:rPr>
          <w:t>Figure 5</w:t>
        </w:r>
        <w:r w:rsidR="0098330A" w:rsidRPr="00FC1209">
          <w:rPr>
            <w:rStyle w:val="Hyperlink"/>
            <w:noProof/>
          </w:rPr>
          <w:noBreakHyphen/>
          <w:t>1 Olive Downs Coking Coal Project - Final voids (Pembroke Resources, 2018)</w:t>
        </w:r>
      </w:hyperlink>
    </w:p>
    <w:p w14:paraId="541BCCA5" w14:textId="77777777" w:rsidR="0098330A" w:rsidRDefault="009B0C52">
      <w:pPr>
        <w:pStyle w:val="TableofFigures"/>
        <w:rPr>
          <w:rFonts w:eastAsiaTheme="minorEastAsia"/>
          <w:noProof/>
          <w:sz w:val="22"/>
          <w:szCs w:val="22"/>
          <w:lang w:eastAsia="en-AU"/>
        </w:rPr>
      </w:pPr>
      <w:hyperlink w:anchor="_Toc65140608" w:history="1">
        <w:r w:rsidR="0098330A" w:rsidRPr="00FC1209">
          <w:rPr>
            <w:rStyle w:val="Hyperlink"/>
            <w:noProof/>
          </w:rPr>
          <w:t>Figure 5</w:t>
        </w:r>
        <w:r w:rsidR="0098330A" w:rsidRPr="00FC1209">
          <w:rPr>
            <w:rStyle w:val="Hyperlink"/>
            <w:noProof/>
          </w:rPr>
          <w:noBreakHyphen/>
          <w:t>2 Layout of Middlemount coal mine – Western Extension Project (MCPL, 2018a)</w:t>
        </w:r>
      </w:hyperlink>
    </w:p>
    <w:p w14:paraId="4986BE3E" w14:textId="77777777" w:rsidR="0098330A" w:rsidRDefault="009B0C52">
      <w:pPr>
        <w:pStyle w:val="TableofFigures"/>
        <w:rPr>
          <w:rFonts w:eastAsiaTheme="minorEastAsia"/>
          <w:noProof/>
          <w:sz w:val="22"/>
          <w:szCs w:val="22"/>
          <w:lang w:eastAsia="en-AU"/>
        </w:rPr>
      </w:pPr>
      <w:hyperlink w:anchor="_Toc65140609" w:history="1">
        <w:r w:rsidR="0098330A" w:rsidRPr="00FC1209">
          <w:rPr>
            <w:rStyle w:val="Hyperlink"/>
            <w:noProof/>
          </w:rPr>
          <w:t>Figure 5</w:t>
        </w:r>
        <w:r w:rsidR="0098330A" w:rsidRPr="00FC1209">
          <w:rPr>
            <w:rStyle w:val="Hyperlink"/>
            <w:noProof/>
          </w:rPr>
          <w:noBreakHyphen/>
          <w:t>3 Location of residual voids at the Jellinbah coal mine (AARC, 2018)</w:t>
        </w:r>
      </w:hyperlink>
    </w:p>
    <w:p w14:paraId="513D245E" w14:textId="77777777" w:rsidR="0098330A" w:rsidRDefault="009B0C52">
      <w:pPr>
        <w:pStyle w:val="TableofFigures"/>
        <w:rPr>
          <w:rFonts w:eastAsiaTheme="minorEastAsia"/>
          <w:noProof/>
          <w:sz w:val="22"/>
          <w:szCs w:val="22"/>
          <w:lang w:eastAsia="en-AU"/>
        </w:rPr>
      </w:pPr>
      <w:hyperlink w:anchor="_Toc65140610" w:history="1">
        <w:r w:rsidR="0098330A" w:rsidRPr="00FC1209">
          <w:rPr>
            <w:rStyle w:val="Hyperlink"/>
            <w:noProof/>
          </w:rPr>
          <w:t>Figure 5</w:t>
        </w:r>
        <w:r w:rsidR="0098330A" w:rsidRPr="00FC1209">
          <w:rPr>
            <w:rStyle w:val="Hyperlink"/>
            <w:noProof/>
          </w:rPr>
          <w:noBreakHyphen/>
          <w:t>4 Final landform of the Jellinbah coal mine - MacKenzie North and Plains (AARC, 2018)</w:t>
        </w:r>
      </w:hyperlink>
    </w:p>
    <w:p w14:paraId="31A90DCE" w14:textId="77777777" w:rsidR="0098330A" w:rsidRDefault="009B0C52">
      <w:pPr>
        <w:pStyle w:val="TableofFigures"/>
        <w:rPr>
          <w:rFonts w:eastAsiaTheme="minorEastAsia"/>
          <w:noProof/>
          <w:sz w:val="22"/>
          <w:szCs w:val="22"/>
          <w:lang w:eastAsia="en-AU"/>
        </w:rPr>
      </w:pPr>
      <w:hyperlink w:anchor="_Toc65140611" w:history="1">
        <w:r w:rsidR="0098330A" w:rsidRPr="00FC1209">
          <w:rPr>
            <w:rStyle w:val="Hyperlink"/>
            <w:noProof/>
          </w:rPr>
          <w:t>Figure 5</w:t>
        </w:r>
        <w:r w:rsidR="0098330A" w:rsidRPr="00FC1209">
          <w:rPr>
            <w:rStyle w:val="Hyperlink"/>
            <w:noProof/>
          </w:rPr>
          <w:noBreakHyphen/>
          <w:t>5 Final landform of the Jellinbah coal mine – Central North, Central, Jellinbah Central South and Jellinbah South (AARC, 2018)</w:t>
        </w:r>
      </w:hyperlink>
    </w:p>
    <w:p w14:paraId="3D8361A4" w14:textId="77777777" w:rsidR="0098330A" w:rsidRDefault="009B0C52">
      <w:pPr>
        <w:pStyle w:val="TableofFigures"/>
        <w:rPr>
          <w:rFonts w:eastAsiaTheme="minorEastAsia"/>
          <w:noProof/>
          <w:sz w:val="22"/>
          <w:szCs w:val="22"/>
          <w:lang w:eastAsia="en-AU"/>
        </w:rPr>
      </w:pPr>
      <w:hyperlink w:anchor="_Toc65140612" w:history="1">
        <w:r w:rsidR="0098330A" w:rsidRPr="00FC1209">
          <w:rPr>
            <w:rStyle w:val="Hyperlink"/>
            <w:noProof/>
          </w:rPr>
          <w:t>Figure 5</w:t>
        </w:r>
        <w:r w:rsidR="0098330A" w:rsidRPr="00FC1209">
          <w:rPr>
            <w:rStyle w:val="Hyperlink"/>
            <w:noProof/>
          </w:rPr>
          <w:noBreakHyphen/>
          <w:t>6 Location of open-cut pits and mining leases – Ensham coal mine (Ensham, 2019b)</w:t>
        </w:r>
      </w:hyperlink>
    </w:p>
    <w:p w14:paraId="7445A731" w14:textId="77777777" w:rsidR="0098330A" w:rsidRDefault="009B0C52">
      <w:pPr>
        <w:pStyle w:val="TableofFigures"/>
        <w:rPr>
          <w:rFonts w:eastAsiaTheme="minorEastAsia"/>
          <w:noProof/>
          <w:sz w:val="22"/>
          <w:szCs w:val="22"/>
          <w:lang w:eastAsia="en-AU"/>
        </w:rPr>
      </w:pPr>
      <w:hyperlink w:anchor="_Toc65140613" w:history="1">
        <w:r w:rsidR="0098330A" w:rsidRPr="00FC1209">
          <w:rPr>
            <w:rStyle w:val="Hyperlink"/>
            <w:noProof/>
          </w:rPr>
          <w:t>Figure 6</w:t>
        </w:r>
        <w:r w:rsidR="0098330A" w:rsidRPr="00FC1209">
          <w:rPr>
            <w:rStyle w:val="Hyperlink"/>
            <w:noProof/>
          </w:rPr>
          <w:noBreakHyphen/>
          <w:t>1 Snapshot of QERMF risk assessment approach (Queensland Fire and Emergency Services, 2018)</w:t>
        </w:r>
      </w:hyperlink>
    </w:p>
    <w:p w14:paraId="2F2C021B" w14:textId="77777777" w:rsidR="0098330A" w:rsidRDefault="009B0C52">
      <w:pPr>
        <w:pStyle w:val="TableofFigures"/>
        <w:rPr>
          <w:rFonts w:eastAsiaTheme="minorEastAsia"/>
          <w:noProof/>
          <w:sz w:val="22"/>
          <w:szCs w:val="22"/>
          <w:lang w:eastAsia="en-AU"/>
        </w:rPr>
      </w:pPr>
      <w:hyperlink w:anchor="_Toc65140614" w:history="1">
        <w:r w:rsidR="0098330A" w:rsidRPr="00FC1209">
          <w:rPr>
            <w:rStyle w:val="Hyperlink"/>
            <w:noProof/>
          </w:rPr>
          <w:t>Figure 6</w:t>
        </w:r>
        <w:r w:rsidR="0098330A" w:rsidRPr="00FC1209">
          <w:rPr>
            <w:rStyle w:val="Hyperlink"/>
            <w:noProof/>
          </w:rPr>
          <w:noBreakHyphen/>
          <w:t>2 QERMF risk matrix (Queensland Fire and Emergency Services, 2018)</w:t>
        </w:r>
      </w:hyperlink>
    </w:p>
    <w:p w14:paraId="1D6DCD8D" w14:textId="465990A9" w:rsidR="00D75F20" w:rsidRDefault="0006104D" w:rsidP="00D75F20">
      <w:pPr>
        <w:pStyle w:val="TOC1"/>
      </w:pPr>
      <w:r w:rsidRPr="00AF19D8">
        <w:fldChar w:fldCharType="end"/>
      </w:r>
      <w:r w:rsidR="00D75F20">
        <w:t xml:space="preserve"> </w:t>
      </w:r>
    </w:p>
    <w:p w14:paraId="1A3F204A" w14:textId="7000AA8B" w:rsidR="001A62F2" w:rsidRDefault="001A62F2" w:rsidP="0098330A">
      <w:pPr>
        <w:pStyle w:val="BodyText"/>
      </w:pPr>
    </w:p>
    <w:p w14:paraId="02C66F9C" w14:textId="7B6D3F53" w:rsidR="00AA66E7" w:rsidRDefault="00AA66E7" w:rsidP="0098330A">
      <w:pPr>
        <w:pStyle w:val="BodyText"/>
      </w:pPr>
      <w:r>
        <w:br w:type="page"/>
      </w:r>
    </w:p>
    <w:p w14:paraId="460CF6A1" w14:textId="2D7E4B7C" w:rsidR="006F620D" w:rsidRDefault="00AA66E7" w:rsidP="00F27835">
      <w:pPr>
        <w:pStyle w:val="Heading1NoNumbers"/>
      </w:pPr>
      <w:bookmarkStart w:id="0" w:name="_Toc87278305"/>
      <w:r w:rsidRPr="00F27835">
        <w:lastRenderedPageBreak/>
        <w:t>Glossary</w:t>
      </w:r>
      <w:r w:rsidR="00CC4CCF">
        <w:t xml:space="preserve">, </w:t>
      </w:r>
      <w:r w:rsidRPr="00F27835">
        <w:t>acronyms</w:t>
      </w:r>
      <w:r w:rsidR="00CC4CCF">
        <w:t>, initialisms and abbreviations</w:t>
      </w:r>
      <w:bookmarkEnd w:id="0"/>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6612"/>
      </w:tblGrid>
      <w:tr w:rsidR="00C83DC0" w:rsidRPr="00F27835" w14:paraId="3CCB86FA" w14:textId="77777777" w:rsidTr="00644EED">
        <w:tc>
          <w:tcPr>
            <w:tcW w:w="2405" w:type="dxa"/>
          </w:tcPr>
          <w:p w14:paraId="288BEEE7" w14:textId="67AF1B24" w:rsidR="00C83DC0" w:rsidRPr="000C7472" w:rsidRDefault="00C83DC0" w:rsidP="00C83DC0">
            <w:pPr>
              <w:pStyle w:val="BodyText"/>
              <w:spacing w:before="60" w:after="60" w:line="300" w:lineRule="auto"/>
              <w:rPr>
                <w:sz w:val="18"/>
                <w:szCs w:val="18"/>
              </w:rPr>
            </w:pPr>
            <w:r w:rsidRPr="000C7472">
              <w:rPr>
                <w:sz w:val="18"/>
                <w:szCs w:val="18"/>
              </w:rPr>
              <w:t>AEP</w:t>
            </w:r>
          </w:p>
        </w:tc>
        <w:tc>
          <w:tcPr>
            <w:tcW w:w="6612" w:type="dxa"/>
          </w:tcPr>
          <w:p w14:paraId="1B58E811" w14:textId="43B126F1" w:rsidR="00C83DC0" w:rsidRPr="000C7472" w:rsidRDefault="00C83DC0" w:rsidP="00C83DC0">
            <w:pPr>
              <w:pStyle w:val="BodyText"/>
              <w:spacing w:before="60" w:after="60" w:line="300" w:lineRule="auto"/>
              <w:rPr>
                <w:sz w:val="18"/>
                <w:szCs w:val="18"/>
              </w:rPr>
            </w:pPr>
            <w:bookmarkStart w:id="1" w:name="_Hlk59522812"/>
            <w:r w:rsidRPr="000C7472">
              <w:rPr>
                <w:sz w:val="18"/>
                <w:szCs w:val="18"/>
              </w:rPr>
              <w:t xml:space="preserve">Annual exceedance probability; </w:t>
            </w:r>
            <w:bookmarkEnd w:id="1"/>
            <w:r w:rsidRPr="000C7472">
              <w:rPr>
                <w:sz w:val="18"/>
                <w:szCs w:val="18"/>
              </w:rPr>
              <w:t>the probability that at least one event in excess of a particular magnitude will occur in any given year.</w:t>
            </w:r>
          </w:p>
        </w:tc>
      </w:tr>
      <w:tr w:rsidR="00980CB4" w:rsidRPr="00F27835" w14:paraId="4F9B881C" w14:textId="77777777" w:rsidTr="00644EED">
        <w:tc>
          <w:tcPr>
            <w:tcW w:w="2405" w:type="dxa"/>
          </w:tcPr>
          <w:p w14:paraId="02156DD2" w14:textId="2AA30F6E" w:rsidR="00980CB4" w:rsidRPr="000C7472" w:rsidRDefault="00980CB4" w:rsidP="00980CB4">
            <w:pPr>
              <w:pStyle w:val="BodyText"/>
              <w:spacing w:before="60" w:after="60" w:line="300" w:lineRule="auto"/>
              <w:rPr>
                <w:sz w:val="18"/>
                <w:szCs w:val="18"/>
              </w:rPr>
            </w:pPr>
            <w:r w:rsidRPr="000C7472">
              <w:rPr>
                <w:sz w:val="18"/>
                <w:szCs w:val="18"/>
              </w:rPr>
              <w:t>AHD</w:t>
            </w:r>
          </w:p>
        </w:tc>
        <w:tc>
          <w:tcPr>
            <w:tcW w:w="6612" w:type="dxa"/>
          </w:tcPr>
          <w:p w14:paraId="0B22C2E5" w14:textId="59FB5304" w:rsidR="00980CB4" w:rsidRPr="000C7472" w:rsidRDefault="00980CB4" w:rsidP="00980CB4">
            <w:pPr>
              <w:pStyle w:val="BodyText"/>
              <w:spacing w:before="60" w:after="60" w:line="300" w:lineRule="auto"/>
              <w:rPr>
                <w:sz w:val="18"/>
                <w:szCs w:val="18"/>
              </w:rPr>
            </w:pPr>
            <w:r w:rsidRPr="000C7472">
              <w:rPr>
                <w:sz w:val="18"/>
                <w:szCs w:val="18"/>
              </w:rPr>
              <w:t>Australian Height Datum</w:t>
            </w:r>
          </w:p>
        </w:tc>
      </w:tr>
      <w:tr w:rsidR="00F27835" w:rsidRPr="00F27835" w14:paraId="792AB843" w14:textId="77777777" w:rsidTr="00644EED">
        <w:tc>
          <w:tcPr>
            <w:tcW w:w="2405" w:type="dxa"/>
          </w:tcPr>
          <w:p w14:paraId="2537511D" w14:textId="27B611E6" w:rsidR="00F27835" w:rsidRPr="000C7472" w:rsidRDefault="00A377D9" w:rsidP="00980CB4">
            <w:pPr>
              <w:pStyle w:val="BodyText"/>
              <w:spacing w:before="60" w:after="60" w:line="300" w:lineRule="auto"/>
              <w:rPr>
                <w:sz w:val="18"/>
                <w:szCs w:val="18"/>
              </w:rPr>
            </w:pPr>
            <w:r w:rsidRPr="000C7472">
              <w:rPr>
                <w:sz w:val="18"/>
                <w:szCs w:val="18"/>
              </w:rPr>
              <w:t>AMD</w:t>
            </w:r>
          </w:p>
        </w:tc>
        <w:tc>
          <w:tcPr>
            <w:tcW w:w="6612" w:type="dxa"/>
          </w:tcPr>
          <w:p w14:paraId="562F8C6B" w14:textId="40F2E3FD" w:rsidR="00F27835" w:rsidRPr="000C7472" w:rsidRDefault="00A377D9" w:rsidP="00980CB4">
            <w:pPr>
              <w:pStyle w:val="BodyText"/>
              <w:spacing w:before="60" w:after="60" w:line="300" w:lineRule="auto"/>
              <w:rPr>
                <w:sz w:val="18"/>
                <w:szCs w:val="18"/>
              </w:rPr>
            </w:pPr>
            <w:r w:rsidRPr="000C7472">
              <w:rPr>
                <w:sz w:val="18"/>
                <w:szCs w:val="18"/>
              </w:rPr>
              <w:t>Acid and metalliferous drainage</w:t>
            </w:r>
          </w:p>
        </w:tc>
      </w:tr>
      <w:tr w:rsidR="00980CB4" w:rsidRPr="00F27835" w14:paraId="7ECFD16A" w14:textId="77777777" w:rsidTr="00644EED">
        <w:tc>
          <w:tcPr>
            <w:tcW w:w="2405" w:type="dxa"/>
          </w:tcPr>
          <w:p w14:paraId="2B66363C" w14:textId="3EFD47F7" w:rsidR="00980CB4" w:rsidRPr="000C7472" w:rsidRDefault="00980CB4" w:rsidP="00980CB4">
            <w:pPr>
              <w:pStyle w:val="BodyText"/>
              <w:spacing w:before="60" w:after="60" w:line="300" w:lineRule="auto"/>
              <w:rPr>
                <w:sz w:val="18"/>
                <w:szCs w:val="18"/>
              </w:rPr>
            </w:pPr>
            <w:r w:rsidRPr="000C7472">
              <w:rPr>
                <w:sz w:val="18"/>
                <w:szCs w:val="18"/>
              </w:rPr>
              <w:t>ANC</w:t>
            </w:r>
          </w:p>
        </w:tc>
        <w:tc>
          <w:tcPr>
            <w:tcW w:w="6612" w:type="dxa"/>
          </w:tcPr>
          <w:p w14:paraId="0B3B58F1" w14:textId="4FE89652" w:rsidR="00980CB4" w:rsidRPr="000C7472" w:rsidRDefault="00980CB4" w:rsidP="00980CB4">
            <w:pPr>
              <w:pStyle w:val="BodyText"/>
              <w:spacing w:before="60" w:after="60" w:line="300" w:lineRule="auto"/>
              <w:rPr>
                <w:sz w:val="18"/>
                <w:szCs w:val="18"/>
              </w:rPr>
            </w:pPr>
            <w:r w:rsidRPr="000C7472">
              <w:rPr>
                <w:sz w:val="18"/>
                <w:szCs w:val="18"/>
              </w:rPr>
              <w:t>Acid neutralising capacity</w:t>
            </w:r>
          </w:p>
        </w:tc>
      </w:tr>
      <w:tr w:rsidR="007858BB" w:rsidRPr="00F27835" w14:paraId="282406E6" w14:textId="77777777" w:rsidTr="00644EED">
        <w:tc>
          <w:tcPr>
            <w:tcW w:w="2405" w:type="dxa"/>
          </w:tcPr>
          <w:p w14:paraId="152A8DCD" w14:textId="633CC82E" w:rsidR="007858BB" w:rsidRPr="000C7472" w:rsidRDefault="007858BB" w:rsidP="00980CB4">
            <w:pPr>
              <w:pStyle w:val="BodyText"/>
              <w:spacing w:before="60" w:after="60" w:line="300" w:lineRule="auto"/>
              <w:rPr>
                <w:sz w:val="18"/>
                <w:szCs w:val="18"/>
              </w:rPr>
            </w:pPr>
            <w:r w:rsidRPr="000C7472">
              <w:rPr>
                <w:sz w:val="18"/>
                <w:szCs w:val="18"/>
              </w:rPr>
              <w:t>ARI</w:t>
            </w:r>
          </w:p>
        </w:tc>
        <w:tc>
          <w:tcPr>
            <w:tcW w:w="6612" w:type="dxa"/>
          </w:tcPr>
          <w:p w14:paraId="1C8EAA32" w14:textId="4507C12C" w:rsidR="007858BB" w:rsidRPr="000C7472" w:rsidRDefault="007858BB" w:rsidP="00980CB4">
            <w:pPr>
              <w:pStyle w:val="BodyText"/>
              <w:spacing w:before="60" w:after="60" w:line="300" w:lineRule="auto"/>
              <w:rPr>
                <w:sz w:val="18"/>
                <w:szCs w:val="18"/>
              </w:rPr>
            </w:pPr>
            <w:r w:rsidRPr="000C7472">
              <w:rPr>
                <w:sz w:val="18"/>
                <w:szCs w:val="18"/>
              </w:rPr>
              <w:t>Average recurrence interval</w:t>
            </w:r>
          </w:p>
        </w:tc>
      </w:tr>
      <w:tr w:rsidR="00881FCF" w:rsidRPr="00F27835" w14:paraId="0CDC3237" w14:textId="77777777" w:rsidTr="00644EED">
        <w:tc>
          <w:tcPr>
            <w:tcW w:w="2405" w:type="dxa"/>
          </w:tcPr>
          <w:p w14:paraId="66602E42" w14:textId="1A5B8769" w:rsidR="00881FCF" w:rsidRDefault="00881FCF" w:rsidP="00980CB4">
            <w:pPr>
              <w:pStyle w:val="BodyText"/>
              <w:spacing w:before="60" w:after="60" w:line="300" w:lineRule="auto"/>
              <w:rPr>
                <w:sz w:val="18"/>
                <w:szCs w:val="18"/>
              </w:rPr>
            </w:pPr>
            <w:r>
              <w:rPr>
                <w:sz w:val="18"/>
                <w:szCs w:val="18"/>
              </w:rPr>
              <w:t>ATM</w:t>
            </w:r>
          </w:p>
        </w:tc>
        <w:tc>
          <w:tcPr>
            <w:tcW w:w="6612" w:type="dxa"/>
          </w:tcPr>
          <w:p w14:paraId="12DB947D" w14:textId="3CFB1558" w:rsidR="00881FCF" w:rsidRPr="0080736A" w:rsidRDefault="00881FCF" w:rsidP="00980CB4">
            <w:pPr>
              <w:pStyle w:val="BodyText"/>
              <w:spacing w:before="60" w:after="60" w:line="300" w:lineRule="auto"/>
              <w:rPr>
                <w:sz w:val="18"/>
                <w:szCs w:val="18"/>
              </w:rPr>
            </w:pPr>
            <w:r>
              <w:rPr>
                <w:sz w:val="18"/>
                <w:szCs w:val="18"/>
              </w:rPr>
              <w:t>Approach to Market</w:t>
            </w:r>
          </w:p>
        </w:tc>
      </w:tr>
      <w:tr w:rsidR="0080736A" w:rsidRPr="00F27835" w14:paraId="6AE39D54" w14:textId="77777777" w:rsidTr="00644EED">
        <w:tc>
          <w:tcPr>
            <w:tcW w:w="2405" w:type="dxa"/>
          </w:tcPr>
          <w:p w14:paraId="082CBEAD" w14:textId="4D6B41CA" w:rsidR="0080736A" w:rsidRPr="000C7472" w:rsidRDefault="0080736A" w:rsidP="00980CB4">
            <w:pPr>
              <w:pStyle w:val="BodyText"/>
              <w:spacing w:before="60" w:after="60" w:line="300" w:lineRule="auto"/>
              <w:rPr>
                <w:sz w:val="18"/>
                <w:szCs w:val="18"/>
              </w:rPr>
            </w:pPr>
            <w:r>
              <w:rPr>
                <w:sz w:val="18"/>
                <w:szCs w:val="18"/>
              </w:rPr>
              <w:t>CMIP</w:t>
            </w:r>
          </w:p>
        </w:tc>
        <w:tc>
          <w:tcPr>
            <w:tcW w:w="6612" w:type="dxa"/>
          </w:tcPr>
          <w:p w14:paraId="379BB10A" w14:textId="3FE4AA49" w:rsidR="0080736A" w:rsidRPr="000C7472" w:rsidRDefault="0080736A" w:rsidP="00980CB4">
            <w:pPr>
              <w:pStyle w:val="BodyText"/>
              <w:spacing w:before="60" w:after="60" w:line="300" w:lineRule="auto"/>
              <w:rPr>
                <w:sz w:val="18"/>
                <w:szCs w:val="18"/>
              </w:rPr>
            </w:pPr>
            <w:r w:rsidRPr="0080736A">
              <w:rPr>
                <w:sz w:val="18"/>
                <w:szCs w:val="18"/>
              </w:rPr>
              <w:t>Coupled Model Inter-comparison Project</w:t>
            </w:r>
          </w:p>
        </w:tc>
      </w:tr>
      <w:tr w:rsidR="00B76246" w:rsidRPr="00F27835" w14:paraId="19F08403" w14:textId="77777777" w:rsidTr="00644EED">
        <w:tc>
          <w:tcPr>
            <w:tcW w:w="2405" w:type="dxa"/>
          </w:tcPr>
          <w:p w14:paraId="22EF7200" w14:textId="15259C95" w:rsidR="00B76246" w:rsidRPr="000C7472" w:rsidRDefault="00B76246" w:rsidP="00980CB4">
            <w:pPr>
              <w:pStyle w:val="BodyText"/>
              <w:spacing w:before="60" w:after="60" w:line="300" w:lineRule="auto"/>
              <w:rPr>
                <w:sz w:val="18"/>
                <w:szCs w:val="18"/>
              </w:rPr>
            </w:pPr>
            <w:r w:rsidRPr="000C7472">
              <w:rPr>
                <w:sz w:val="18"/>
                <w:szCs w:val="18"/>
              </w:rPr>
              <w:t>CNE project</w:t>
            </w:r>
          </w:p>
        </w:tc>
        <w:tc>
          <w:tcPr>
            <w:tcW w:w="6612" w:type="dxa"/>
          </w:tcPr>
          <w:p w14:paraId="56F541F7" w14:textId="7558D2FB" w:rsidR="00B76246" w:rsidRPr="000C7472" w:rsidRDefault="00B76246" w:rsidP="00980CB4">
            <w:pPr>
              <w:pStyle w:val="BodyText"/>
              <w:spacing w:before="60" w:after="60" w:line="300" w:lineRule="auto"/>
              <w:rPr>
                <w:sz w:val="18"/>
                <w:szCs w:val="18"/>
              </w:rPr>
            </w:pPr>
            <w:r w:rsidRPr="000C7472">
              <w:rPr>
                <w:sz w:val="18"/>
                <w:szCs w:val="18"/>
              </w:rPr>
              <w:t>Central North Extension project (Jellinbah coal mine)</w:t>
            </w:r>
          </w:p>
        </w:tc>
      </w:tr>
      <w:tr w:rsidR="00980CB4" w:rsidRPr="00F27835" w14:paraId="6FEF65FC" w14:textId="77777777" w:rsidTr="00644EED">
        <w:tc>
          <w:tcPr>
            <w:tcW w:w="2405" w:type="dxa"/>
          </w:tcPr>
          <w:p w14:paraId="7D57D4FC" w14:textId="66D0D6DC" w:rsidR="00980CB4" w:rsidRPr="000C7472" w:rsidRDefault="00980CB4" w:rsidP="00980CB4">
            <w:pPr>
              <w:pStyle w:val="BodyText"/>
              <w:spacing w:before="60" w:after="60" w:line="300" w:lineRule="auto"/>
              <w:rPr>
                <w:sz w:val="18"/>
                <w:szCs w:val="18"/>
              </w:rPr>
            </w:pPr>
            <w:r w:rsidRPr="000C7472">
              <w:rPr>
                <w:sz w:val="18"/>
                <w:szCs w:val="18"/>
              </w:rPr>
              <w:t>DAWE</w:t>
            </w:r>
          </w:p>
        </w:tc>
        <w:tc>
          <w:tcPr>
            <w:tcW w:w="6612" w:type="dxa"/>
          </w:tcPr>
          <w:p w14:paraId="2D92B325" w14:textId="649F813A" w:rsidR="00980CB4" w:rsidRPr="000C7472" w:rsidRDefault="00980CB4" w:rsidP="00980CB4">
            <w:pPr>
              <w:pStyle w:val="BodyText"/>
              <w:spacing w:before="60" w:after="60" w:line="300" w:lineRule="auto"/>
              <w:rPr>
                <w:sz w:val="18"/>
                <w:szCs w:val="18"/>
              </w:rPr>
            </w:pPr>
            <w:r w:rsidRPr="000C7472">
              <w:rPr>
                <w:sz w:val="18"/>
                <w:szCs w:val="18"/>
              </w:rPr>
              <w:t>Department of Agriculture, Water and the Environment</w:t>
            </w:r>
          </w:p>
        </w:tc>
      </w:tr>
      <w:tr w:rsidR="00980CB4" w:rsidRPr="00F27835" w14:paraId="13B5E73F" w14:textId="77777777" w:rsidTr="00644EED">
        <w:tc>
          <w:tcPr>
            <w:tcW w:w="2405" w:type="dxa"/>
          </w:tcPr>
          <w:p w14:paraId="52331F7E" w14:textId="0017898F" w:rsidR="00980CB4" w:rsidRPr="000C7472" w:rsidRDefault="00980CB4" w:rsidP="00980CB4">
            <w:pPr>
              <w:pStyle w:val="BodyText"/>
              <w:spacing w:before="60" w:after="60" w:line="300" w:lineRule="auto"/>
              <w:rPr>
                <w:sz w:val="18"/>
                <w:szCs w:val="18"/>
              </w:rPr>
            </w:pPr>
            <w:r w:rsidRPr="000C7472">
              <w:rPr>
                <w:sz w:val="18"/>
                <w:szCs w:val="18"/>
              </w:rPr>
              <w:t>DEHP</w:t>
            </w:r>
          </w:p>
        </w:tc>
        <w:tc>
          <w:tcPr>
            <w:tcW w:w="6612" w:type="dxa"/>
          </w:tcPr>
          <w:p w14:paraId="0E4BF9AC" w14:textId="043ACC89" w:rsidR="00980CB4" w:rsidRPr="000C7472" w:rsidRDefault="00980CB4" w:rsidP="00980CB4">
            <w:pPr>
              <w:pStyle w:val="BodyText"/>
              <w:spacing w:before="60" w:after="60" w:line="300" w:lineRule="auto"/>
              <w:rPr>
                <w:sz w:val="18"/>
                <w:szCs w:val="18"/>
              </w:rPr>
            </w:pPr>
            <w:r w:rsidRPr="000C7472">
              <w:rPr>
                <w:sz w:val="18"/>
                <w:szCs w:val="18"/>
              </w:rPr>
              <w:t>Queensland Department of Environment and Heritage Protection</w:t>
            </w:r>
          </w:p>
        </w:tc>
      </w:tr>
      <w:tr w:rsidR="00207CF8" w:rsidRPr="00F27835" w14:paraId="1CC056CD" w14:textId="77777777" w:rsidTr="00644EED">
        <w:tc>
          <w:tcPr>
            <w:tcW w:w="2405" w:type="dxa"/>
          </w:tcPr>
          <w:p w14:paraId="0CAB9143" w14:textId="0E1BDCB3" w:rsidR="00207CF8" w:rsidRPr="000C7472" w:rsidRDefault="00207CF8" w:rsidP="00980CB4">
            <w:pPr>
              <w:pStyle w:val="BodyText"/>
              <w:spacing w:before="60" w:after="60" w:line="300" w:lineRule="auto"/>
              <w:rPr>
                <w:sz w:val="18"/>
                <w:szCs w:val="18"/>
              </w:rPr>
            </w:pPr>
            <w:r w:rsidRPr="000C7472">
              <w:rPr>
                <w:sz w:val="18"/>
                <w:szCs w:val="18"/>
              </w:rPr>
              <w:t>DEM</w:t>
            </w:r>
          </w:p>
        </w:tc>
        <w:tc>
          <w:tcPr>
            <w:tcW w:w="6612" w:type="dxa"/>
          </w:tcPr>
          <w:p w14:paraId="2CF060DA" w14:textId="068990FB" w:rsidR="00207CF8" w:rsidRPr="000C7472" w:rsidRDefault="00207CF8" w:rsidP="00980CB4">
            <w:pPr>
              <w:pStyle w:val="BodyText"/>
              <w:spacing w:before="60" w:after="60" w:line="300" w:lineRule="auto"/>
              <w:rPr>
                <w:sz w:val="18"/>
                <w:szCs w:val="18"/>
              </w:rPr>
            </w:pPr>
            <w:r w:rsidRPr="000C7472">
              <w:rPr>
                <w:sz w:val="18"/>
                <w:szCs w:val="18"/>
              </w:rPr>
              <w:t>Digital Elevation Model</w:t>
            </w:r>
          </w:p>
        </w:tc>
      </w:tr>
      <w:tr w:rsidR="00207CF8" w:rsidRPr="00F27835" w14:paraId="04208DB8" w14:textId="77777777" w:rsidTr="00644EED">
        <w:tc>
          <w:tcPr>
            <w:tcW w:w="2405" w:type="dxa"/>
          </w:tcPr>
          <w:p w14:paraId="4E88708F" w14:textId="22296282" w:rsidR="00207CF8" w:rsidRPr="000C7472" w:rsidRDefault="00207CF8" w:rsidP="00980CB4">
            <w:pPr>
              <w:pStyle w:val="BodyText"/>
              <w:spacing w:before="60" w:after="60" w:line="300" w:lineRule="auto"/>
              <w:rPr>
                <w:sz w:val="18"/>
                <w:szCs w:val="18"/>
              </w:rPr>
            </w:pPr>
            <w:r w:rsidRPr="000C7472">
              <w:rPr>
                <w:sz w:val="18"/>
                <w:szCs w:val="18"/>
              </w:rPr>
              <w:t>DES</w:t>
            </w:r>
          </w:p>
        </w:tc>
        <w:tc>
          <w:tcPr>
            <w:tcW w:w="6612" w:type="dxa"/>
          </w:tcPr>
          <w:p w14:paraId="63530CD7" w14:textId="550A5B4C" w:rsidR="00207CF8" w:rsidRPr="000C7472" w:rsidRDefault="00207CF8" w:rsidP="00980CB4">
            <w:pPr>
              <w:pStyle w:val="BodyText"/>
              <w:spacing w:before="60" w:after="60" w:line="300" w:lineRule="auto"/>
              <w:rPr>
                <w:sz w:val="18"/>
                <w:szCs w:val="18"/>
              </w:rPr>
            </w:pPr>
            <w:r w:rsidRPr="000C7472">
              <w:rPr>
                <w:sz w:val="18"/>
                <w:szCs w:val="18"/>
              </w:rPr>
              <w:t>Department of Environment and Science</w:t>
            </w:r>
          </w:p>
        </w:tc>
      </w:tr>
      <w:tr w:rsidR="00517D23" w:rsidRPr="00F27835" w14:paraId="138B8C92" w14:textId="77777777" w:rsidTr="00644EED">
        <w:tc>
          <w:tcPr>
            <w:tcW w:w="2405" w:type="dxa"/>
          </w:tcPr>
          <w:p w14:paraId="2F121BBE" w14:textId="55F8C0C6" w:rsidR="00517D23" w:rsidRPr="000C7472" w:rsidRDefault="00517D23" w:rsidP="00980CB4">
            <w:pPr>
              <w:pStyle w:val="BodyText"/>
              <w:spacing w:before="60" w:after="60" w:line="300" w:lineRule="auto"/>
              <w:rPr>
                <w:sz w:val="18"/>
                <w:szCs w:val="18"/>
              </w:rPr>
            </w:pPr>
            <w:r w:rsidRPr="000C7472">
              <w:rPr>
                <w:sz w:val="18"/>
                <w:szCs w:val="18"/>
              </w:rPr>
              <w:t>DNRME</w:t>
            </w:r>
          </w:p>
        </w:tc>
        <w:tc>
          <w:tcPr>
            <w:tcW w:w="6612" w:type="dxa"/>
          </w:tcPr>
          <w:p w14:paraId="64BF2216" w14:textId="6F5850EB" w:rsidR="00517D23" w:rsidRPr="000C7472" w:rsidRDefault="00517D23" w:rsidP="00980CB4">
            <w:pPr>
              <w:pStyle w:val="BodyText"/>
              <w:spacing w:before="60" w:after="60" w:line="300" w:lineRule="auto"/>
              <w:rPr>
                <w:sz w:val="18"/>
                <w:szCs w:val="18"/>
              </w:rPr>
            </w:pPr>
            <w:r w:rsidRPr="000C7472">
              <w:rPr>
                <w:sz w:val="18"/>
                <w:szCs w:val="18"/>
              </w:rPr>
              <w:t xml:space="preserve">Department of Natural Resources, Mines and Energy </w:t>
            </w:r>
          </w:p>
        </w:tc>
      </w:tr>
      <w:tr w:rsidR="00207CF8" w:rsidRPr="00F27835" w14:paraId="45458751" w14:textId="77777777" w:rsidTr="00644EED">
        <w:tc>
          <w:tcPr>
            <w:tcW w:w="2405" w:type="dxa"/>
          </w:tcPr>
          <w:p w14:paraId="7840A577" w14:textId="054A0484" w:rsidR="00207CF8" w:rsidRPr="000C7472" w:rsidRDefault="00207CF8" w:rsidP="00980CB4">
            <w:pPr>
              <w:pStyle w:val="BodyText"/>
              <w:spacing w:before="60" w:after="60" w:line="300" w:lineRule="auto"/>
              <w:rPr>
                <w:sz w:val="18"/>
                <w:szCs w:val="18"/>
              </w:rPr>
            </w:pPr>
            <w:r w:rsidRPr="000C7472">
              <w:rPr>
                <w:sz w:val="18"/>
                <w:szCs w:val="18"/>
              </w:rPr>
              <w:t>DTM</w:t>
            </w:r>
          </w:p>
        </w:tc>
        <w:tc>
          <w:tcPr>
            <w:tcW w:w="6612" w:type="dxa"/>
          </w:tcPr>
          <w:p w14:paraId="6318B0DA" w14:textId="671BAB65" w:rsidR="00207CF8" w:rsidRPr="000C7472" w:rsidRDefault="00207CF8" w:rsidP="00980CB4">
            <w:pPr>
              <w:pStyle w:val="BodyText"/>
              <w:spacing w:before="60" w:after="60" w:line="300" w:lineRule="auto"/>
              <w:rPr>
                <w:sz w:val="18"/>
                <w:szCs w:val="18"/>
              </w:rPr>
            </w:pPr>
            <w:r w:rsidRPr="000C7472">
              <w:rPr>
                <w:sz w:val="18"/>
                <w:szCs w:val="18"/>
              </w:rPr>
              <w:t>Digital Terrain Model</w:t>
            </w:r>
          </w:p>
        </w:tc>
      </w:tr>
      <w:tr w:rsidR="00F27835" w:rsidRPr="00F27835" w14:paraId="02D54AF1" w14:textId="77777777" w:rsidTr="00644EED">
        <w:tc>
          <w:tcPr>
            <w:tcW w:w="2405" w:type="dxa"/>
          </w:tcPr>
          <w:p w14:paraId="46AFC16C" w14:textId="53A54D1B" w:rsidR="00F27835" w:rsidRPr="000C7472" w:rsidRDefault="00F27835" w:rsidP="00980CB4">
            <w:pPr>
              <w:pStyle w:val="BodyText"/>
              <w:spacing w:before="60" w:after="60" w:line="300" w:lineRule="auto"/>
              <w:rPr>
                <w:sz w:val="18"/>
                <w:szCs w:val="18"/>
              </w:rPr>
            </w:pPr>
            <w:r w:rsidRPr="000C7472">
              <w:rPr>
                <w:sz w:val="18"/>
                <w:szCs w:val="18"/>
              </w:rPr>
              <w:t>EA</w:t>
            </w:r>
          </w:p>
        </w:tc>
        <w:tc>
          <w:tcPr>
            <w:tcW w:w="6612" w:type="dxa"/>
          </w:tcPr>
          <w:p w14:paraId="5F9C1B6F" w14:textId="56F482A7" w:rsidR="00F27835" w:rsidRPr="000C7472" w:rsidRDefault="00F27835" w:rsidP="00980CB4">
            <w:pPr>
              <w:pStyle w:val="BodyText"/>
              <w:spacing w:before="60" w:after="60" w:line="300" w:lineRule="auto"/>
              <w:rPr>
                <w:sz w:val="18"/>
                <w:szCs w:val="18"/>
              </w:rPr>
            </w:pPr>
            <w:r w:rsidRPr="000C7472">
              <w:rPr>
                <w:sz w:val="18"/>
                <w:szCs w:val="18"/>
              </w:rPr>
              <w:t xml:space="preserve">Environmental </w:t>
            </w:r>
            <w:r w:rsidR="00693E1C" w:rsidRPr="000C7472">
              <w:rPr>
                <w:sz w:val="18"/>
                <w:szCs w:val="18"/>
              </w:rPr>
              <w:t>A</w:t>
            </w:r>
            <w:r w:rsidRPr="000C7472">
              <w:rPr>
                <w:sz w:val="18"/>
                <w:szCs w:val="18"/>
              </w:rPr>
              <w:t xml:space="preserve">uthority; an </w:t>
            </w:r>
            <w:r w:rsidR="00693E1C" w:rsidRPr="000C7472">
              <w:rPr>
                <w:sz w:val="18"/>
                <w:szCs w:val="18"/>
              </w:rPr>
              <w:t>E</w:t>
            </w:r>
            <w:r w:rsidRPr="000C7472">
              <w:rPr>
                <w:sz w:val="18"/>
                <w:szCs w:val="18"/>
              </w:rPr>
              <w:t xml:space="preserve">nvironmental </w:t>
            </w:r>
            <w:r w:rsidR="00693E1C" w:rsidRPr="000C7472">
              <w:rPr>
                <w:sz w:val="18"/>
                <w:szCs w:val="18"/>
              </w:rPr>
              <w:t>A</w:t>
            </w:r>
            <w:r w:rsidRPr="000C7472">
              <w:rPr>
                <w:sz w:val="18"/>
                <w:szCs w:val="18"/>
              </w:rPr>
              <w:t>uthority granted in relation to an environmentally relevant activity under the Environmental Protection Act 1994.</w:t>
            </w:r>
          </w:p>
        </w:tc>
      </w:tr>
      <w:tr w:rsidR="004D0F71" w:rsidRPr="00F27835" w14:paraId="3C5F2694" w14:textId="77777777" w:rsidTr="00644EED">
        <w:tc>
          <w:tcPr>
            <w:tcW w:w="2405" w:type="dxa"/>
          </w:tcPr>
          <w:p w14:paraId="1BEDF2BE" w14:textId="7E3B92FE" w:rsidR="004D0F71" w:rsidRPr="000C7472" w:rsidRDefault="004D0F71" w:rsidP="00980CB4">
            <w:pPr>
              <w:pStyle w:val="BodyText"/>
              <w:spacing w:before="60" w:after="60" w:line="300" w:lineRule="auto"/>
              <w:rPr>
                <w:sz w:val="18"/>
                <w:szCs w:val="18"/>
              </w:rPr>
            </w:pPr>
            <w:r w:rsidRPr="000C7472">
              <w:rPr>
                <w:sz w:val="18"/>
                <w:szCs w:val="18"/>
              </w:rPr>
              <w:t>EC</w:t>
            </w:r>
          </w:p>
        </w:tc>
        <w:tc>
          <w:tcPr>
            <w:tcW w:w="6612" w:type="dxa"/>
          </w:tcPr>
          <w:p w14:paraId="128611A2" w14:textId="5371B81B" w:rsidR="004D0F71" w:rsidRPr="000C7472" w:rsidRDefault="004D0F71" w:rsidP="00980CB4">
            <w:pPr>
              <w:pStyle w:val="BodyText"/>
              <w:spacing w:before="60" w:after="60" w:line="300" w:lineRule="auto"/>
              <w:rPr>
                <w:sz w:val="18"/>
                <w:szCs w:val="18"/>
              </w:rPr>
            </w:pPr>
            <w:r w:rsidRPr="000C7472">
              <w:rPr>
                <w:sz w:val="18"/>
                <w:szCs w:val="18"/>
              </w:rPr>
              <w:t>Electrical conductivity</w:t>
            </w:r>
          </w:p>
        </w:tc>
      </w:tr>
      <w:tr w:rsidR="00934D32" w:rsidRPr="00F27835" w14:paraId="60BD0D25" w14:textId="77777777" w:rsidTr="00644EED">
        <w:tc>
          <w:tcPr>
            <w:tcW w:w="2405" w:type="dxa"/>
          </w:tcPr>
          <w:p w14:paraId="7B897D7B" w14:textId="1C2C4538" w:rsidR="00934D32" w:rsidRPr="000C7472" w:rsidRDefault="00934D32" w:rsidP="00980CB4">
            <w:pPr>
              <w:pStyle w:val="BodyText"/>
              <w:spacing w:before="60" w:after="60" w:line="300" w:lineRule="auto"/>
              <w:rPr>
                <w:sz w:val="18"/>
                <w:szCs w:val="18"/>
              </w:rPr>
            </w:pPr>
            <w:r w:rsidRPr="000C7472">
              <w:rPr>
                <w:sz w:val="18"/>
                <w:szCs w:val="18"/>
              </w:rPr>
              <w:t>EIS</w:t>
            </w:r>
          </w:p>
        </w:tc>
        <w:tc>
          <w:tcPr>
            <w:tcW w:w="6612" w:type="dxa"/>
          </w:tcPr>
          <w:p w14:paraId="649FC7B3" w14:textId="0C9C7A66" w:rsidR="00934D32" w:rsidRPr="000C7472" w:rsidRDefault="00934D32" w:rsidP="00980CB4">
            <w:pPr>
              <w:pStyle w:val="BodyText"/>
              <w:spacing w:before="60" w:after="60" w:line="300" w:lineRule="auto"/>
              <w:rPr>
                <w:sz w:val="18"/>
                <w:szCs w:val="18"/>
              </w:rPr>
            </w:pPr>
            <w:r w:rsidRPr="000C7472">
              <w:rPr>
                <w:sz w:val="18"/>
                <w:szCs w:val="18"/>
              </w:rPr>
              <w:t>Environmental Impact Statement</w:t>
            </w:r>
          </w:p>
        </w:tc>
      </w:tr>
      <w:tr w:rsidR="00980CB4" w:rsidRPr="00F27835" w14:paraId="3076ADAB" w14:textId="77777777" w:rsidTr="00644EED">
        <w:tc>
          <w:tcPr>
            <w:tcW w:w="2405" w:type="dxa"/>
          </w:tcPr>
          <w:p w14:paraId="12D01018" w14:textId="623E5C10" w:rsidR="00980CB4" w:rsidRPr="000C7472" w:rsidRDefault="00980CB4" w:rsidP="00980CB4">
            <w:pPr>
              <w:pStyle w:val="BodyText"/>
              <w:spacing w:before="60" w:after="60" w:line="300" w:lineRule="auto"/>
              <w:rPr>
                <w:sz w:val="18"/>
                <w:szCs w:val="18"/>
              </w:rPr>
            </w:pPr>
            <w:r w:rsidRPr="000C7472">
              <w:rPr>
                <w:sz w:val="18"/>
                <w:szCs w:val="18"/>
              </w:rPr>
              <w:t>EPBC Act</w:t>
            </w:r>
          </w:p>
        </w:tc>
        <w:tc>
          <w:tcPr>
            <w:tcW w:w="6612" w:type="dxa"/>
          </w:tcPr>
          <w:p w14:paraId="530636F1" w14:textId="4350D128" w:rsidR="00980CB4" w:rsidRPr="000C7472" w:rsidRDefault="00980CB4" w:rsidP="00980CB4">
            <w:pPr>
              <w:pStyle w:val="BodyText"/>
              <w:spacing w:before="60" w:after="60" w:line="300" w:lineRule="auto"/>
              <w:rPr>
                <w:sz w:val="18"/>
                <w:szCs w:val="18"/>
              </w:rPr>
            </w:pPr>
            <w:r w:rsidRPr="000C7472">
              <w:rPr>
                <w:sz w:val="18"/>
                <w:szCs w:val="18"/>
              </w:rPr>
              <w:t>Environment Protection and Biodiversity Conservation Act</w:t>
            </w:r>
          </w:p>
        </w:tc>
      </w:tr>
      <w:tr w:rsidR="00207CF8" w:rsidRPr="00F27835" w14:paraId="794C5C1B" w14:textId="77777777" w:rsidTr="00644EED">
        <w:tc>
          <w:tcPr>
            <w:tcW w:w="2405" w:type="dxa"/>
          </w:tcPr>
          <w:p w14:paraId="4CE1459B" w14:textId="3867AE53" w:rsidR="00207CF8" w:rsidRPr="000C7472" w:rsidRDefault="00207CF8" w:rsidP="00980CB4">
            <w:pPr>
              <w:pStyle w:val="BodyText"/>
              <w:spacing w:before="60" w:after="60" w:line="300" w:lineRule="auto"/>
              <w:rPr>
                <w:sz w:val="18"/>
                <w:szCs w:val="18"/>
              </w:rPr>
            </w:pPr>
            <w:r w:rsidRPr="000C7472">
              <w:rPr>
                <w:sz w:val="18"/>
                <w:szCs w:val="18"/>
              </w:rPr>
              <w:t>Esri</w:t>
            </w:r>
          </w:p>
        </w:tc>
        <w:tc>
          <w:tcPr>
            <w:tcW w:w="6612" w:type="dxa"/>
          </w:tcPr>
          <w:p w14:paraId="793820B9" w14:textId="0D11EC44" w:rsidR="00207CF8" w:rsidRPr="000C7472" w:rsidRDefault="00207CF8" w:rsidP="00980CB4">
            <w:pPr>
              <w:pStyle w:val="BodyText"/>
              <w:spacing w:before="60" w:after="60" w:line="300" w:lineRule="auto"/>
              <w:rPr>
                <w:sz w:val="18"/>
                <w:szCs w:val="18"/>
              </w:rPr>
            </w:pPr>
            <w:r w:rsidRPr="000C7472">
              <w:rPr>
                <w:sz w:val="18"/>
                <w:szCs w:val="18"/>
              </w:rPr>
              <w:t>Environmental Systems Research Institute; an international supplier of GIS software, web GIS and geodatabase management applications.</w:t>
            </w:r>
          </w:p>
        </w:tc>
      </w:tr>
      <w:tr w:rsidR="00934D32" w:rsidRPr="00F27835" w14:paraId="1968449C" w14:textId="77777777" w:rsidTr="00644EED">
        <w:tc>
          <w:tcPr>
            <w:tcW w:w="2405" w:type="dxa"/>
          </w:tcPr>
          <w:p w14:paraId="45764B6C" w14:textId="58160C06" w:rsidR="00934D32" w:rsidRPr="000C7472" w:rsidRDefault="00934D32" w:rsidP="00980CB4">
            <w:pPr>
              <w:pStyle w:val="BodyText"/>
              <w:spacing w:before="60" w:after="60" w:line="300" w:lineRule="auto"/>
              <w:rPr>
                <w:sz w:val="18"/>
                <w:szCs w:val="18"/>
              </w:rPr>
            </w:pPr>
            <w:r w:rsidRPr="000C7472">
              <w:rPr>
                <w:sz w:val="18"/>
                <w:szCs w:val="18"/>
              </w:rPr>
              <w:t>Esri Shapefile</w:t>
            </w:r>
          </w:p>
        </w:tc>
        <w:tc>
          <w:tcPr>
            <w:tcW w:w="6612" w:type="dxa"/>
          </w:tcPr>
          <w:p w14:paraId="6638502A" w14:textId="4428E7DA" w:rsidR="00934D32" w:rsidRPr="000C7472" w:rsidRDefault="00934D32" w:rsidP="00980CB4">
            <w:pPr>
              <w:pStyle w:val="BodyText"/>
              <w:spacing w:before="60" w:after="60" w:line="300" w:lineRule="auto"/>
              <w:rPr>
                <w:sz w:val="18"/>
                <w:szCs w:val="18"/>
              </w:rPr>
            </w:pPr>
            <w:r w:rsidRPr="000C7472">
              <w:rPr>
                <w:sz w:val="18"/>
                <w:szCs w:val="18"/>
              </w:rPr>
              <w:t>Geospatial vector data format for geographic information system software</w:t>
            </w:r>
            <w:r w:rsidR="00C83DC0" w:rsidRPr="000C7472">
              <w:rPr>
                <w:sz w:val="18"/>
                <w:szCs w:val="18"/>
              </w:rPr>
              <w:t>.</w:t>
            </w:r>
          </w:p>
        </w:tc>
      </w:tr>
      <w:tr w:rsidR="00255EFE" w:rsidRPr="00F27835" w14:paraId="09BCED01" w14:textId="77777777" w:rsidTr="00644EED">
        <w:tc>
          <w:tcPr>
            <w:tcW w:w="2405" w:type="dxa"/>
          </w:tcPr>
          <w:p w14:paraId="0F6BCD5C" w14:textId="268FE733" w:rsidR="00255EFE" w:rsidRPr="000C7472" w:rsidRDefault="00255EFE" w:rsidP="00255EFE">
            <w:pPr>
              <w:pStyle w:val="BodyText"/>
              <w:spacing w:before="60" w:after="60" w:line="300" w:lineRule="auto"/>
              <w:rPr>
                <w:sz w:val="18"/>
                <w:szCs w:val="18"/>
              </w:rPr>
            </w:pPr>
            <w:r w:rsidRPr="000C7472">
              <w:rPr>
                <w:sz w:val="18"/>
                <w:szCs w:val="18"/>
              </w:rPr>
              <w:t>Final (residual) void</w:t>
            </w:r>
          </w:p>
        </w:tc>
        <w:tc>
          <w:tcPr>
            <w:tcW w:w="6612" w:type="dxa"/>
          </w:tcPr>
          <w:p w14:paraId="35B206D5" w14:textId="1BEF7B54" w:rsidR="00255EFE" w:rsidRPr="000C7472" w:rsidRDefault="00255EFE" w:rsidP="00255EFE">
            <w:pPr>
              <w:pStyle w:val="BodyText"/>
              <w:spacing w:before="60" w:after="60" w:line="300" w:lineRule="auto"/>
              <w:rPr>
                <w:sz w:val="18"/>
                <w:szCs w:val="18"/>
              </w:rPr>
            </w:pPr>
            <w:r w:rsidRPr="000C7472">
              <w:rPr>
                <w:sz w:val="18"/>
                <w:szCs w:val="18"/>
              </w:rPr>
              <w:t xml:space="preserve">An open pit resulting from the removal of ore and/or waste rock which will remain following the cessation of all mining activities and completion of rehabilitation processes. The terms </w:t>
            </w:r>
            <w:r w:rsidR="00C83DC0" w:rsidRPr="000C7472">
              <w:rPr>
                <w:sz w:val="18"/>
                <w:szCs w:val="18"/>
              </w:rPr>
              <w:t>‘</w:t>
            </w:r>
            <w:r w:rsidRPr="000C7472">
              <w:rPr>
                <w:sz w:val="18"/>
                <w:szCs w:val="18"/>
              </w:rPr>
              <w:t>final void</w:t>
            </w:r>
            <w:r w:rsidR="00C83DC0" w:rsidRPr="000C7472">
              <w:rPr>
                <w:sz w:val="18"/>
                <w:szCs w:val="18"/>
              </w:rPr>
              <w:t>’</w:t>
            </w:r>
            <w:r w:rsidRPr="000C7472">
              <w:rPr>
                <w:sz w:val="18"/>
                <w:szCs w:val="18"/>
              </w:rPr>
              <w:t xml:space="preserve"> and </w:t>
            </w:r>
            <w:r w:rsidR="00C83DC0" w:rsidRPr="000C7472">
              <w:rPr>
                <w:sz w:val="18"/>
                <w:szCs w:val="18"/>
              </w:rPr>
              <w:t>‘</w:t>
            </w:r>
            <w:r w:rsidRPr="000C7472">
              <w:rPr>
                <w:sz w:val="18"/>
                <w:szCs w:val="18"/>
              </w:rPr>
              <w:t>residual void</w:t>
            </w:r>
            <w:r w:rsidR="00C83DC0" w:rsidRPr="000C7472">
              <w:rPr>
                <w:sz w:val="18"/>
                <w:szCs w:val="18"/>
              </w:rPr>
              <w:t>’</w:t>
            </w:r>
            <w:r w:rsidRPr="000C7472">
              <w:rPr>
                <w:sz w:val="18"/>
                <w:szCs w:val="18"/>
              </w:rPr>
              <w:t xml:space="preserve"> are used interchangeably throughout this report.</w:t>
            </w:r>
          </w:p>
        </w:tc>
      </w:tr>
      <w:tr w:rsidR="00464605" w:rsidRPr="00F27835" w14:paraId="6D7D39A6" w14:textId="77777777" w:rsidTr="00644EED">
        <w:tc>
          <w:tcPr>
            <w:tcW w:w="2405" w:type="dxa"/>
          </w:tcPr>
          <w:p w14:paraId="110BFA7F" w14:textId="4BF96709" w:rsidR="00464605" w:rsidRPr="000C7472" w:rsidRDefault="00464605" w:rsidP="00980CB4">
            <w:pPr>
              <w:pStyle w:val="BodyText"/>
              <w:spacing w:before="60" w:after="60" w:line="300" w:lineRule="auto"/>
              <w:rPr>
                <w:sz w:val="18"/>
                <w:szCs w:val="18"/>
              </w:rPr>
            </w:pPr>
            <w:r w:rsidRPr="000C7472">
              <w:rPr>
                <w:sz w:val="18"/>
                <w:szCs w:val="18"/>
              </w:rPr>
              <w:t>Forblands</w:t>
            </w:r>
          </w:p>
        </w:tc>
        <w:tc>
          <w:tcPr>
            <w:tcW w:w="6612" w:type="dxa"/>
          </w:tcPr>
          <w:p w14:paraId="13959B8D" w14:textId="0677F80E" w:rsidR="00464605" w:rsidRPr="000C7472" w:rsidRDefault="00464605" w:rsidP="00464605">
            <w:pPr>
              <w:pStyle w:val="BodyText"/>
              <w:spacing w:before="60" w:after="60" w:line="300" w:lineRule="auto"/>
              <w:rPr>
                <w:sz w:val="18"/>
                <w:szCs w:val="18"/>
              </w:rPr>
            </w:pPr>
            <w:r w:rsidRPr="000C7472">
              <w:rPr>
                <w:sz w:val="18"/>
                <w:szCs w:val="18"/>
              </w:rPr>
              <w:t>Barren-looking stony deserts with a few scattered saltbushes, but when the rains come, many types of herbs germinate and blossom overnight.</w:t>
            </w:r>
          </w:p>
        </w:tc>
      </w:tr>
      <w:tr w:rsidR="00207CF8" w:rsidRPr="00F27835" w14:paraId="1346E988" w14:textId="77777777" w:rsidTr="00644EED">
        <w:tc>
          <w:tcPr>
            <w:tcW w:w="2405" w:type="dxa"/>
          </w:tcPr>
          <w:p w14:paraId="1C5EA743" w14:textId="6A1941F7" w:rsidR="00207CF8" w:rsidRPr="000C7472" w:rsidRDefault="00207CF8" w:rsidP="00980CB4">
            <w:pPr>
              <w:pStyle w:val="BodyText"/>
              <w:spacing w:before="60" w:after="60" w:line="300" w:lineRule="auto"/>
              <w:rPr>
                <w:sz w:val="18"/>
                <w:szCs w:val="18"/>
              </w:rPr>
            </w:pPr>
            <w:r w:rsidRPr="000C7472">
              <w:rPr>
                <w:sz w:val="18"/>
                <w:szCs w:val="18"/>
              </w:rPr>
              <w:t>GA</w:t>
            </w:r>
          </w:p>
        </w:tc>
        <w:tc>
          <w:tcPr>
            <w:tcW w:w="6612" w:type="dxa"/>
          </w:tcPr>
          <w:p w14:paraId="76436A03" w14:textId="440F3CA0" w:rsidR="00207CF8" w:rsidRPr="000C7472" w:rsidRDefault="00207CF8" w:rsidP="00980CB4">
            <w:pPr>
              <w:pStyle w:val="BodyText"/>
              <w:spacing w:before="60" w:after="60" w:line="300" w:lineRule="auto"/>
              <w:rPr>
                <w:sz w:val="18"/>
                <w:szCs w:val="18"/>
              </w:rPr>
            </w:pPr>
            <w:r w:rsidRPr="000C7472">
              <w:rPr>
                <w:sz w:val="18"/>
                <w:szCs w:val="18"/>
              </w:rPr>
              <w:t>Geoscience Australia</w:t>
            </w:r>
          </w:p>
        </w:tc>
      </w:tr>
      <w:tr w:rsidR="00C83DC0" w:rsidRPr="00F27835" w14:paraId="2F50E478" w14:textId="77777777" w:rsidTr="00644EED">
        <w:tc>
          <w:tcPr>
            <w:tcW w:w="2405" w:type="dxa"/>
          </w:tcPr>
          <w:p w14:paraId="7A4ABC3D" w14:textId="339BD0AF" w:rsidR="00C83DC0" w:rsidRPr="000C7472" w:rsidRDefault="00C83DC0" w:rsidP="00C83DC0">
            <w:pPr>
              <w:pStyle w:val="BodyText"/>
              <w:spacing w:before="60" w:after="60" w:line="300" w:lineRule="auto"/>
              <w:rPr>
                <w:sz w:val="18"/>
                <w:szCs w:val="18"/>
              </w:rPr>
            </w:pPr>
            <w:r w:rsidRPr="000C7472">
              <w:rPr>
                <w:sz w:val="18"/>
                <w:szCs w:val="18"/>
              </w:rPr>
              <w:t>GAB</w:t>
            </w:r>
          </w:p>
        </w:tc>
        <w:tc>
          <w:tcPr>
            <w:tcW w:w="6612" w:type="dxa"/>
          </w:tcPr>
          <w:p w14:paraId="2024655A" w14:textId="7BA18883" w:rsidR="00C83DC0" w:rsidRPr="000C7472" w:rsidRDefault="00C83DC0" w:rsidP="00C83DC0">
            <w:pPr>
              <w:pStyle w:val="BodyText"/>
              <w:spacing w:before="60" w:after="60" w:line="300" w:lineRule="auto"/>
              <w:rPr>
                <w:sz w:val="18"/>
                <w:szCs w:val="18"/>
              </w:rPr>
            </w:pPr>
            <w:r w:rsidRPr="000C7472">
              <w:rPr>
                <w:sz w:val="18"/>
                <w:szCs w:val="18"/>
              </w:rPr>
              <w:t>Great Artesian Basin</w:t>
            </w:r>
          </w:p>
        </w:tc>
      </w:tr>
      <w:tr w:rsidR="00C83DC0" w:rsidRPr="00F27835" w14:paraId="2E592742" w14:textId="77777777" w:rsidTr="00644EED">
        <w:tc>
          <w:tcPr>
            <w:tcW w:w="2405" w:type="dxa"/>
          </w:tcPr>
          <w:p w14:paraId="6D3AC9BB" w14:textId="5A9AC048" w:rsidR="00C83DC0" w:rsidRPr="000C7472" w:rsidRDefault="00C83DC0" w:rsidP="00C83DC0">
            <w:pPr>
              <w:pStyle w:val="BodyText"/>
              <w:spacing w:before="60" w:after="60" w:line="300" w:lineRule="auto"/>
              <w:rPr>
                <w:sz w:val="18"/>
                <w:szCs w:val="18"/>
              </w:rPr>
            </w:pPr>
            <w:r w:rsidRPr="000C7472">
              <w:rPr>
                <w:sz w:val="18"/>
                <w:szCs w:val="18"/>
              </w:rPr>
              <w:t>GDE</w:t>
            </w:r>
          </w:p>
        </w:tc>
        <w:tc>
          <w:tcPr>
            <w:tcW w:w="6612" w:type="dxa"/>
          </w:tcPr>
          <w:p w14:paraId="0359FD5A" w14:textId="7DCF7560" w:rsidR="00C83DC0" w:rsidRPr="000C7472" w:rsidRDefault="00C83DC0" w:rsidP="00C83DC0">
            <w:pPr>
              <w:pStyle w:val="BodyText"/>
              <w:spacing w:before="60" w:after="60" w:line="300" w:lineRule="auto"/>
              <w:rPr>
                <w:sz w:val="18"/>
                <w:szCs w:val="18"/>
              </w:rPr>
            </w:pPr>
            <w:r w:rsidRPr="000C7472">
              <w:rPr>
                <w:sz w:val="18"/>
                <w:szCs w:val="18"/>
              </w:rPr>
              <w:t>Groundwater dependent ecosystem</w:t>
            </w:r>
          </w:p>
        </w:tc>
      </w:tr>
      <w:tr w:rsidR="00207CF8" w:rsidRPr="00F27835" w14:paraId="2A6A2940" w14:textId="77777777" w:rsidTr="00644EED">
        <w:tc>
          <w:tcPr>
            <w:tcW w:w="2405" w:type="dxa"/>
          </w:tcPr>
          <w:p w14:paraId="7BCAFFF4" w14:textId="3C25E532" w:rsidR="00207CF8" w:rsidRPr="000C7472" w:rsidRDefault="00207CF8" w:rsidP="00980CB4">
            <w:pPr>
              <w:pStyle w:val="BodyText"/>
              <w:spacing w:before="60" w:after="60" w:line="300" w:lineRule="auto"/>
              <w:rPr>
                <w:sz w:val="18"/>
                <w:szCs w:val="18"/>
              </w:rPr>
            </w:pPr>
            <w:r w:rsidRPr="000C7472">
              <w:rPr>
                <w:sz w:val="18"/>
                <w:szCs w:val="18"/>
              </w:rPr>
              <w:t>GIS</w:t>
            </w:r>
          </w:p>
        </w:tc>
        <w:tc>
          <w:tcPr>
            <w:tcW w:w="6612" w:type="dxa"/>
          </w:tcPr>
          <w:p w14:paraId="35CA3BF0" w14:textId="1CD5E724" w:rsidR="00207CF8" w:rsidRPr="000C7472" w:rsidRDefault="00207CF8" w:rsidP="00980CB4">
            <w:pPr>
              <w:pStyle w:val="BodyText"/>
              <w:spacing w:before="60" w:after="60" w:line="300" w:lineRule="auto"/>
              <w:rPr>
                <w:sz w:val="18"/>
                <w:szCs w:val="18"/>
              </w:rPr>
            </w:pPr>
            <w:bookmarkStart w:id="2" w:name="_Hlk57277742"/>
            <w:r w:rsidRPr="000C7472">
              <w:rPr>
                <w:sz w:val="18"/>
                <w:szCs w:val="18"/>
              </w:rPr>
              <w:t>Geographic Information System</w:t>
            </w:r>
            <w:bookmarkEnd w:id="2"/>
          </w:p>
        </w:tc>
      </w:tr>
      <w:tr w:rsidR="00980CB4" w:rsidRPr="00F27835" w14:paraId="120ABC41" w14:textId="77777777" w:rsidTr="00644EED">
        <w:tc>
          <w:tcPr>
            <w:tcW w:w="2405" w:type="dxa"/>
          </w:tcPr>
          <w:p w14:paraId="05169834" w14:textId="013928B1" w:rsidR="00980CB4" w:rsidRPr="000C7472" w:rsidRDefault="00980CB4" w:rsidP="00980CB4">
            <w:pPr>
              <w:pStyle w:val="BodyText"/>
              <w:spacing w:before="60" w:after="60" w:line="300" w:lineRule="auto"/>
              <w:rPr>
                <w:sz w:val="18"/>
                <w:szCs w:val="18"/>
              </w:rPr>
            </w:pPr>
            <w:r w:rsidRPr="000C7472">
              <w:rPr>
                <w:sz w:val="18"/>
                <w:szCs w:val="18"/>
              </w:rPr>
              <w:t>GoldSim</w:t>
            </w:r>
          </w:p>
        </w:tc>
        <w:tc>
          <w:tcPr>
            <w:tcW w:w="6612" w:type="dxa"/>
          </w:tcPr>
          <w:p w14:paraId="4ED9BBE9" w14:textId="7DA7BD08" w:rsidR="00980CB4" w:rsidRPr="000C7472" w:rsidRDefault="00980CB4" w:rsidP="00980CB4">
            <w:pPr>
              <w:pStyle w:val="BodyText"/>
              <w:spacing w:before="60" w:after="60" w:line="300" w:lineRule="auto"/>
              <w:rPr>
                <w:sz w:val="18"/>
                <w:szCs w:val="18"/>
              </w:rPr>
            </w:pPr>
            <w:r w:rsidRPr="000C7472">
              <w:rPr>
                <w:sz w:val="18"/>
                <w:szCs w:val="18"/>
              </w:rPr>
              <w:t>Dynamic, probabilistic simulation software developed by GoldSim Technology Group.</w:t>
            </w:r>
          </w:p>
        </w:tc>
      </w:tr>
      <w:tr w:rsidR="00934D32" w:rsidRPr="00F27835" w14:paraId="0684A392" w14:textId="77777777" w:rsidTr="00644EED">
        <w:tc>
          <w:tcPr>
            <w:tcW w:w="2405" w:type="dxa"/>
          </w:tcPr>
          <w:p w14:paraId="4ABBCF55" w14:textId="0A6035AF" w:rsidR="00934D32" w:rsidRPr="000C7472" w:rsidRDefault="00C83DC0" w:rsidP="00980CB4">
            <w:pPr>
              <w:pStyle w:val="BodyText"/>
              <w:spacing w:before="60" w:after="60" w:line="300" w:lineRule="auto"/>
              <w:rPr>
                <w:sz w:val="18"/>
                <w:szCs w:val="18"/>
              </w:rPr>
            </w:pPr>
            <w:r w:rsidRPr="000C7472">
              <w:rPr>
                <w:sz w:val="18"/>
                <w:szCs w:val="18"/>
              </w:rPr>
              <w:t>h</w:t>
            </w:r>
            <w:r w:rsidR="00934D32" w:rsidRPr="000C7472">
              <w:rPr>
                <w:sz w:val="18"/>
                <w:szCs w:val="18"/>
              </w:rPr>
              <w:t>a</w:t>
            </w:r>
          </w:p>
        </w:tc>
        <w:tc>
          <w:tcPr>
            <w:tcW w:w="6612" w:type="dxa"/>
          </w:tcPr>
          <w:p w14:paraId="220DCD2B" w14:textId="31783D52" w:rsidR="00934D32" w:rsidRPr="000C7472" w:rsidRDefault="00934D32" w:rsidP="00980CB4">
            <w:pPr>
              <w:pStyle w:val="BodyText"/>
              <w:spacing w:before="60" w:after="60" w:line="300" w:lineRule="auto"/>
              <w:rPr>
                <w:sz w:val="18"/>
                <w:szCs w:val="18"/>
              </w:rPr>
            </w:pPr>
            <w:r w:rsidRPr="000C7472">
              <w:rPr>
                <w:sz w:val="18"/>
                <w:szCs w:val="18"/>
              </w:rPr>
              <w:t>Hectare</w:t>
            </w:r>
          </w:p>
        </w:tc>
      </w:tr>
      <w:tr w:rsidR="00B76246" w:rsidRPr="00F27835" w14:paraId="6456B83C" w14:textId="77777777" w:rsidTr="00644EED">
        <w:tc>
          <w:tcPr>
            <w:tcW w:w="2405" w:type="dxa"/>
          </w:tcPr>
          <w:p w14:paraId="0564EDC9" w14:textId="0C0212B5" w:rsidR="00B76246" w:rsidRPr="000C7472" w:rsidRDefault="00B76246" w:rsidP="00980CB4">
            <w:pPr>
              <w:pStyle w:val="BodyText"/>
              <w:spacing w:before="60" w:after="60" w:line="300" w:lineRule="auto"/>
              <w:rPr>
                <w:sz w:val="18"/>
                <w:szCs w:val="18"/>
              </w:rPr>
            </w:pPr>
            <w:r w:rsidRPr="000C7472">
              <w:rPr>
                <w:sz w:val="18"/>
                <w:szCs w:val="18"/>
              </w:rPr>
              <w:t>JEJV</w:t>
            </w:r>
          </w:p>
        </w:tc>
        <w:tc>
          <w:tcPr>
            <w:tcW w:w="6612" w:type="dxa"/>
          </w:tcPr>
          <w:p w14:paraId="0C02D94B" w14:textId="6F40A2FF" w:rsidR="00B76246" w:rsidRPr="000C7472" w:rsidRDefault="00B76246" w:rsidP="00980CB4">
            <w:pPr>
              <w:pStyle w:val="BodyText"/>
              <w:spacing w:before="60" w:after="60" w:line="300" w:lineRule="auto"/>
              <w:rPr>
                <w:sz w:val="18"/>
                <w:szCs w:val="18"/>
              </w:rPr>
            </w:pPr>
            <w:r w:rsidRPr="000C7472">
              <w:rPr>
                <w:sz w:val="18"/>
                <w:szCs w:val="18"/>
              </w:rPr>
              <w:t>Jellinbah East Joint Venture</w:t>
            </w:r>
          </w:p>
        </w:tc>
      </w:tr>
      <w:tr w:rsidR="0093075A" w:rsidRPr="00F27835" w14:paraId="09DC8221" w14:textId="77777777" w:rsidTr="00644EED">
        <w:tc>
          <w:tcPr>
            <w:tcW w:w="2405" w:type="dxa"/>
          </w:tcPr>
          <w:p w14:paraId="5F04C389" w14:textId="67E6888E" w:rsidR="0093075A" w:rsidRPr="000C7472" w:rsidRDefault="0093075A" w:rsidP="00980CB4">
            <w:pPr>
              <w:pStyle w:val="BodyText"/>
              <w:spacing w:before="60" w:after="60" w:line="300" w:lineRule="auto"/>
              <w:rPr>
                <w:sz w:val="18"/>
                <w:szCs w:val="18"/>
              </w:rPr>
            </w:pPr>
            <w:r w:rsidRPr="000C7472">
              <w:rPr>
                <w:sz w:val="18"/>
                <w:szCs w:val="18"/>
              </w:rPr>
              <w:lastRenderedPageBreak/>
              <w:t>IAR</w:t>
            </w:r>
          </w:p>
        </w:tc>
        <w:tc>
          <w:tcPr>
            <w:tcW w:w="6612" w:type="dxa"/>
          </w:tcPr>
          <w:p w14:paraId="54CE4FE9" w14:textId="7FA7352B" w:rsidR="0093075A" w:rsidRPr="000C7472" w:rsidRDefault="0093075A" w:rsidP="00980CB4">
            <w:pPr>
              <w:pStyle w:val="BodyText"/>
              <w:spacing w:before="60" w:after="60" w:line="300" w:lineRule="auto"/>
              <w:rPr>
                <w:sz w:val="18"/>
                <w:szCs w:val="18"/>
              </w:rPr>
            </w:pPr>
            <w:r w:rsidRPr="000C7472">
              <w:rPr>
                <w:sz w:val="18"/>
                <w:szCs w:val="18"/>
              </w:rPr>
              <w:t>Impact Assessment Report</w:t>
            </w:r>
          </w:p>
        </w:tc>
      </w:tr>
      <w:tr w:rsidR="00934D32" w:rsidRPr="00F27835" w14:paraId="7D77D220" w14:textId="77777777" w:rsidTr="00644EED">
        <w:tc>
          <w:tcPr>
            <w:tcW w:w="2405" w:type="dxa"/>
          </w:tcPr>
          <w:p w14:paraId="767364AB" w14:textId="134E0712" w:rsidR="00934D32" w:rsidRPr="000C7472" w:rsidRDefault="00934D32" w:rsidP="00980CB4">
            <w:pPr>
              <w:pStyle w:val="BodyText"/>
              <w:spacing w:before="60" w:after="60" w:line="300" w:lineRule="auto"/>
              <w:rPr>
                <w:sz w:val="18"/>
                <w:szCs w:val="18"/>
              </w:rPr>
            </w:pPr>
            <w:r w:rsidRPr="000C7472">
              <w:rPr>
                <w:sz w:val="18"/>
                <w:szCs w:val="18"/>
              </w:rPr>
              <w:t>ID</w:t>
            </w:r>
          </w:p>
        </w:tc>
        <w:tc>
          <w:tcPr>
            <w:tcW w:w="6612" w:type="dxa"/>
          </w:tcPr>
          <w:p w14:paraId="43E9DAB3" w14:textId="53EF260E" w:rsidR="00934D32" w:rsidRPr="000C7472" w:rsidRDefault="00934D32" w:rsidP="00980CB4">
            <w:pPr>
              <w:pStyle w:val="BodyText"/>
              <w:spacing w:before="60" w:after="60" w:line="300" w:lineRule="auto"/>
              <w:rPr>
                <w:sz w:val="18"/>
                <w:szCs w:val="18"/>
              </w:rPr>
            </w:pPr>
            <w:r w:rsidRPr="000C7472">
              <w:rPr>
                <w:sz w:val="18"/>
                <w:szCs w:val="18"/>
              </w:rPr>
              <w:t>Identification number</w:t>
            </w:r>
          </w:p>
        </w:tc>
      </w:tr>
      <w:tr w:rsidR="00207CF8" w:rsidRPr="00F27835" w14:paraId="7D725A6D" w14:textId="77777777" w:rsidTr="00644EED">
        <w:tc>
          <w:tcPr>
            <w:tcW w:w="2405" w:type="dxa"/>
          </w:tcPr>
          <w:p w14:paraId="2C2BCD09" w14:textId="51F81445" w:rsidR="00207CF8" w:rsidRPr="000C7472" w:rsidRDefault="00207CF8" w:rsidP="00980CB4">
            <w:pPr>
              <w:pStyle w:val="BodyText"/>
              <w:spacing w:before="60" w:after="60" w:line="300" w:lineRule="auto"/>
              <w:rPr>
                <w:sz w:val="18"/>
                <w:szCs w:val="18"/>
              </w:rPr>
            </w:pPr>
            <w:r w:rsidRPr="000C7472">
              <w:rPr>
                <w:sz w:val="18"/>
                <w:szCs w:val="18"/>
              </w:rPr>
              <w:t>IESC</w:t>
            </w:r>
          </w:p>
        </w:tc>
        <w:tc>
          <w:tcPr>
            <w:tcW w:w="6612" w:type="dxa"/>
          </w:tcPr>
          <w:p w14:paraId="27658A2B" w14:textId="4C37FF06" w:rsidR="00207CF8" w:rsidRPr="000C7472" w:rsidRDefault="00207CF8" w:rsidP="00980CB4">
            <w:pPr>
              <w:pStyle w:val="BodyText"/>
              <w:spacing w:before="60" w:after="60" w:line="300" w:lineRule="auto"/>
              <w:rPr>
                <w:sz w:val="18"/>
                <w:szCs w:val="18"/>
              </w:rPr>
            </w:pPr>
            <w:r w:rsidRPr="000C7472">
              <w:rPr>
                <w:sz w:val="18"/>
                <w:szCs w:val="18"/>
              </w:rPr>
              <w:t xml:space="preserve">Independent Expert Scientific Committee on Coal Seam Gas and Large Coal Mining Development </w:t>
            </w:r>
          </w:p>
        </w:tc>
      </w:tr>
      <w:tr w:rsidR="0081651E" w:rsidRPr="00F27835" w14:paraId="34BA51B6" w14:textId="77777777" w:rsidTr="00644EED">
        <w:tc>
          <w:tcPr>
            <w:tcW w:w="2405" w:type="dxa"/>
          </w:tcPr>
          <w:p w14:paraId="03A0B674" w14:textId="1E76418E" w:rsidR="0081651E" w:rsidRPr="000C7472" w:rsidRDefault="0081651E" w:rsidP="00980CB4">
            <w:pPr>
              <w:pStyle w:val="BodyText"/>
              <w:spacing w:before="60" w:after="60" w:line="300" w:lineRule="auto"/>
              <w:rPr>
                <w:sz w:val="18"/>
                <w:szCs w:val="18"/>
              </w:rPr>
            </w:pPr>
            <w:r w:rsidRPr="000C7472">
              <w:rPr>
                <w:sz w:val="18"/>
                <w:szCs w:val="18"/>
              </w:rPr>
              <w:t>FoS</w:t>
            </w:r>
          </w:p>
        </w:tc>
        <w:tc>
          <w:tcPr>
            <w:tcW w:w="6612" w:type="dxa"/>
          </w:tcPr>
          <w:p w14:paraId="47842CDF" w14:textId="67CC394C" w:rsidR="0081651E" w:rsidRPr="000C7472" w:rsidRDefault="0081651E" w:rsidP="00980CB4">
            <w:pPr>
              <w:pStyle w:val="BodyText"/>
              <w:spacing w:before="60" w:after="60" w:line="300" w:lineRule="auto"/>
              <w:rPr>
                <w:sz w:val="18"/>
                <w:szCs w:val="18"/>
              </w:rPr>
            </w:pPr>
            <w:r w:rsidRPr="000C7472">
              <w:rPr>
                <w:sz w:val="18"/>
                <w:szCs w:val="18"/>
              </w:rPr>
              <w:t>Factor of Safety</w:t>
            </w:r>
          </w:p>
        </w:tc>
      </w:tr>
      <w:tr w:rsidR="009D4222" w:rsidRPr="00F27835" w14:paraId="7F544761" w14:textId="77777777" w:rsidTr="00644EED">
        <w:tc>
          <w:tcPr>
            <w:tcW w:w="2405" w:type="dxa"/>
          </w:tcPr>
          <w:p w14:paraId="501150AA" w14:textId="066C26EF" w:rsidR="009D4222" w:rsidRPr="000C7472" w:rsidRDefault="009D4222" w:rsidP="00980CB4">
            <w:pPr>
              <w:pStyle w:val="BodyText"/>
              <w:spacing w:before="60" w:after="60" w:line="300" w:lineRule="auto"/>
              <w:rPr>
                <w:sz w:val="18"/>
                <w:szCs w:val="18"/>
              </w:rPr>
            </w:pPr>
            <w:r w:rsidRPr="000C7472">
              <w:rPr>
                <w:sz w:val="18"/>
                <w:szCs w:val="18"/>
              </w:rPr>
              <w:t>ILF</w:t>
            </w:r>
          </w:p>
        </w:tc>
        <w:tc>
          <w:tcPr>
            <w:tcW w:w="6612" w:type="dxa"/>
          </w:tcPr>
          <w:p w14:paraId="43506C37" w14:textId="1CDC140F" w:rsidR="009D4222" w:rsidRPr="000C7472" w:rsidRDefault="009D4222" w:rsidP="00980CB4">
            <w:pPr>
              <w:pStyle w:val="BodyText"/>
              <w:spacing w:before="60" w:after="60" w:line="300" w:lineRule="auto"/>
              <w:rPr>
                <w:sz w:val="18"/>
                <w:szCs w:val="18"/>
              </w:rPr>
            </w:pPr>
            <w:r w:rsidRPr="000C7472">
              <w:rPr>
                <w:sz w:val="18"/>
                <w:szCs w:val="18"/>
              </w:rPr>
              <w:t>In-line Flocculation</w:t>
            </w:r>
          </w:p>
        </w:tc>
      </w:tr>
      <w:tr w:rsidR="0080736A" w:rsidRPr="00F27835" w14:paraId="25670CAB" w14:textId="77777777" w:rsidTr="00644EED">
        <w:tc>
          <w:tcPr>
            <w:tcW w:w="2405" w:type="dxa"/>
          </w:tcPr>
          <w:p w14:paraId="5FFEA272" w14:textId="5FE5A439" w:rsidR="0080736A" w:rsidRPr="000C7472" w:rsidRDefault="00652FE1" w:rsidP="00980CB4">
            <w:pPr>
              <w:pStyle w:val="BodyText"/>
              <w:spacing w:before="60" w:after="60" w:line="300" w:lineRule="auto"/>
            </w:pPr>
            <w:r>
              <w:t>IPCC</w:t>
            </w:r>
          </w:p>
        </w:tc>
        <w:tc>
          <w:tcPr>
            <w:tcW w:w="6612" w:type="dxa"/>
          </w:tcPr>
          <w:p w14:paraId="46AAE6DA" w14:textId="65EB53B1" w:rsidR="0080736A" w:rsidRPr="000C7472" w:rsidRDefault="0080736A" w:rsidP="00980CB4">
            <w:pPr>
              <w:pStyle w:val="BodyText"/>
              <w:spacing w:before="60" w:after="60" w:line="300" w:lineRule="auto"/>
            </w:pPr>
            <w:r w:rsidRPr="008C363B">
              <w:rPr>
                <w:sz w:val="18"/>
                <w:szCs w:val="18"/>
              </w:rPr>
              <w:t>Intergovernmental Panel on Climate Change</w:t>
            </w:r>
          </w:p>
        </w:tc>
      </w:tr>
      <w:tr w:rsidR="00934D32" w:rsidRPr="00F27835" w14:paraId="0AEA4A0B" w14:textId="77777777" w:rsidTr="00644EED">
        <w:tc>
          <w:tcPr>
            <w:tcW w:w="2405" w:type="dxa"/>
          </w:tcPr>
          <w:p w14:paraId="61CFCC7C" w14:textId="10ECBC5E" w:rsidR="00934D32" w:rsidRPr="000C7472" w:rsidRDefault="00C83DC0" w:rsidP="00980CB4">
            <w:pPr>
              <w:pStyle w:val="BodyText"/>
              <w:spacing w:before="60" w:after="60" w:line="300" w:lineRule="auto"/>
              <w:rPr>
                <w:sz w:val="18"/>
                <w:szCs w:val="18"/>
              </w:rPr>
            </w:pPr>
            <w:r w:rsidRPr="000C7472">
              <w:t>k</w:t>
            </w:r>
            <w:r w:rsidR="00934D32" w:rsidRPr="000C7472">
              <w:t>m</w:t>
            </w:r>
          </w:p>
        </w:tc>
        <w:tc>
          <w:tcPr>
            <w:tcW w:w="6612" w:type="dxa"/>
          </w:tcPr>
          <w:p w14:paraId="7BE4930D" w14:textId="70468228" w:rsidR="00934D32" w:rsidRPr="000C7472" w:rsidRDefault="00934D32" w:rsidP="00980CB4">
            <w:pPr>
              <w:pStyle w:val="BodyText"/>
              <w:spacing w:before="60" w:after="60" w:line="300" w:lineRule="auto"/>
              <w:rPr>
                <w:sz w:val="18"/>
                <w:szCs w:val="18"/>
              </w:rPr>
            </w:pPr>
            <w:r w:rsidRPr="000C7472">
              <w:t>kilometre</w:t>
            </w:r>
          </w:p>
        </w:tc>
      </w:tr>
      <w:tr w:rsidR="00934D32" w:rsidRPr="00F27835" w14:paraId="2B895EB4" w14:textId="77777777" w:rsidTr="00644EED">
        <w:tc>
          <w:tcPr>
            <w:tcW w:w="2405" w:type="dxa"/>
          </w:tcPr>
          <w:p w14:paraId="2919F0AC" w14:textId="4DFB7666" w:rsidR="00934D32" w:rsidRPr="000C7472" w:rsidRDefault="00934D32" w:rsidP="00980CB4">
            <w:pPr>
              <w:pStyle w:val="BodyText"/>
              <w:spacing w:before="60" w:after="60" w:line="300" w:lineRule="auto"/>
              <w:rPr>
                <w:sz w:val="18"/>
                <w:szCs w:val="18"/>
              </w:rPr>
            </w:pPr>
            <w:r w:rsidRPr="000C7472">
              <w:rPr>
                <w:sz w:val="18"/>
                <w:szCs w:val="18"/>
              </w:rPr>
              <w:t>KPI</w:t>
            </w:r>
          </w:p>
        </w:tc>
        <w:tc>
          <w:tcPr>
            <w:tcW w:w="6612" w:type="dxa"/>
          </w:tcPr>
          <w:p w14:paraId="6332B652" w14:textId="3EB3887A" w:rsidR="00934D32" w:rsidRPr="000C7472" w:rsidRDefault="00934D32" w:rsidP="00980CB4">
            <w:pPr>
              <w:pStyle w:val="BodyText"/>
              <w:spacing w:before="60" w:after="60" w:line="300" w:lineRule="auto"/>
              <w:rPr>
                <w:sz w:val="18"/>
                <w:szCs w:val="18"/>
              </w:rPr>
            </w:pPr>
            <w:r w:rsidRPr="000C7472">
              <w:rPr>
                <w:sz w:val="18"/>
                <w:szCs w:val="18"/>
              </w:rPr>
              <w:t>Key performance indicator</w:t>
            </w:r>
          </w:p>
        </w:tc>
      </w:tr>
      <w:tr w:rsidR="00934D32" w:rsidRPr="00F27835" w14:paraId="102E3516" w14:textId="77777777" w:rsidTr="00644EED">
        <w:tc>
          <w:tcPr>
            <w:tcW w:w="2405" w:type="dxa"/>
          </w:tcPr>
          <w:p w14:paraId="3B7DBA29" w14:textId="325BCEB4" w:rsidR="00934D32" w:rsidRPr="000C7472" w:rsidRDefault="00CC4CCF" w:rsidP="00980CB4">
            <w:pPr>
              <w:pStyle w:val="BodyText"/>
              <w:spacing w:before="60" w:after="60" w:line="300" w:lineRule="auto"/>
              <w:rPr>
                <w:sz w:val="18"/>
                <w:szCs w:val="18"/>
              </w:rPr>
            </w:pPr>
            <w:r>
              <w:rPr>
                <w:sz w:val="18"/>
                <w:szCs w:val="18"/>
              </w:rPr>
              <w:t>KMZ</w:t>
            </w:r>
          </w:p>
        </w:tc>
        <w:tc>
          <w:tcPr>
            <w:tcW w:w="6612" w:type="dxa"/>
          </w:tcPr>
          <w:p w14:paraId="615B8C9C" w14:textId="797D6852" w:rsidR="00934D32" w:rsidRPr="000C7472" w:rsidRDefault="00934D32" w:rsidP="00980CB4">
            <w:pPr>
              <w:pStyle w:val="BodyText"/>
              <w:spacing w:before="60" w:after="60" w:line="300" w:lineRule="auto"/>
              <w:rPr>
                <w:sz w:val="18"/>
                <w:szCs w:val="18"/>
              </w:rPr>
            </w:pPr>
            <w:r w:rsidRPr="000C7472">
              <w:rPr>
                <w:sz w:val="18"/>
                <w:szCs w:val="18"/>
              </w:rPr>
              <w:t xml:space="preserve">Keyhole </w:t>
            </w:r>
            <w:r w:rsidR="00FD0530" w:rsidRPr="000C7472">
              <w:rPr>
                <w:sz w:val="18"/>
                <w:szCs w:val="18"/>
              </w:rPr>
              <w:t>Mark-up</w:t>
            </w:r>
            <w:r w:rsidRPr="000C7472">
              <w:rPr>
                <w:sz w:val="18"/>
                <w:szCs w:val="18"/>
              </w:rPr>
              <w:t xml:space="preserve"> language Zipped; a file extension for a placemark file used by Google Earth.  </w:t>
            </w:r>
          </w:p>
        </w:tc>
      </w:tr>
      <w:tr w:rsidR="003B6B06" w:rsidRPr="00F27835" w14:paraId="0311F735" w14:textId="77777777" w:rsidTr="00644EED">
        <w:tc>
          <w:tcPr>
            <w:tcW w:w="2405" w:type="dxa"/>
          </w:tcPr>
          <w:p w14:paraId="1F4D5931" w14:textId="6F461594" w:rsidR="003B6B06" w:rsidRPr="000C7472" w:rsidRDefault="003B6B06" w:rsidP="00980CB4">
            <w:pPr>
              <w:pStyle w:val="BodyText"/>
              <w:spacing w:before="60" w:after="60" w:line="300" w:lineRule="auto"/>
              <w:rPr>
                <w:sz w:val="18"/>
                <w:szCs w:val="18"/>
              </w:rPr>
            </w:pPr>
            <w:r>
              <w:rPr>
                <w:sz w:val="18"/>
                <w:szCs w:val="18"/>
              </w:rPr>
              <w:t>LFA</w:t>
            </w:r>
          </w:p>
        </w:tc>
        <w:tc>
          <w:tcPr>
            <w:tcW w:w="6612" w:type="dxa"/>
          </w:tcPr>
          <w:p w14:paraId="756371CF" w14:textId="5DFFE54A" w:rsidR="003B6B06" w:rsidRPr="000C7472" w:rsidRDefault="003B6B06" w:rsidP="00980CB4">
            <w:pPr>
              <w:pStyle w:val="BodyText"/>
              <w:spacing w:before="60" w:after="60" w:line="300" w:lineRule="auto"/>
              <w:rPr>
                <w:sz w:val="18"/>
                <w:szCs w:val="18"/>
              </w:rPr>
            </w:pPr>
            <w:r>
              <w:rPr>
                <w:sz w:val="18"/>
                <w:szCs w:val="18"/>
              </w:rPr>
              <w:t xml:space="preserve">Landscape Function Analysis; </w:t>
            </w:r>
            <w:r w:rsidRPr="003B6B06">
              <w:rPr>
                <w:sz w:val="18"/>
                <w:szCs w:val="18"/>
              </w:rPr>
              <w:t>a</w:t>
            </w:r>
            <w:r>
              <w:rPr>
                <w:sz w:val="18"/>
                <w:szCs w:val="18"/>
              </w:rPr>
              <w:t xml:space="preserve"> </w:t>
            </w:r>
            <w:r w:rsidRPr="003B6B06">
              <w:rPr>
                <w:sz w:val="18"/>
                <w:szCs w:val="18"/>
              </w:rPr>
              <w:t xml:space="preserve">monitoring procedure </w:t>
            </w:r>
            <w:r>
              <w:rPr>
                <w:sz w:val="18"/>
                <w:szCs w:val="18"/>
              </w:rPr>
              <w:t xml:space="preserve">developed by CSIRO </w:t>
            </w:r>
            <w:r w:rsidRPr="003B6B06">
              <w:rPr>
                <w:sz w:val="18"/>
                <w:szCs w:val="18"/>
              </w:rPr>
              <w:t>that uses rapidly acquired field-assessed</w:t>
            </w:r>
            <w:r>
              <w:rPr>
                <w:sz w:val="18"/>
                <w:szCs w:val="18"/>
              </w:rPr>
              <w:t xml:space="preserve"> </w:t>
            </w:r>
            <w:r w:rsidRPr="003B6B06">
              <w:rPr>
                <w:sz w:val="18"/>
                <w:szCs w:val="18"/>
              </w:rPr>
              <w:t>indicators to assess the biogeochemical functioning of landscapes at the hillslope scale.</w:t>
            </w:r>
          </w:p>
        </w:tc>
      </w:tr>
      <w:tr w:rsidR="00F27835" w:rsidRPr="00F27835" w14:paraId="68C9A9D0" w14:textId="77777777" w:rsidTr="00644EED">
        <w:tc>
          <w:tcPr>
            <w:tcW w:w="2405" w:type="dxa"/>
          </w:tcPr>
          <w:p w14:paraId="4BA8BC51" w14:textId="60080494" w:rsidR="00F27835" w:rsidRPr="000C7472" w:rsidRDefault="00F27835" w:rsidP="00980CB4">
            <w:pPr>
              <w:pStyle w:val="BodyText"/>
              <w:spacing w:before="60" w:after="60" w:line="300" w:lineRule="auto"/>
              <w:rPr>
                <w:sz w:val="18"/>
                <w:szCs w:val="18"/>
              </w:rPr>
            </w:pPr>
            <w:r w:rsidRPr="000C7472">
              <w:rPr>
                <w:sz w:val="18"/>
                <w:szCs w:val="18"/>
              </w:rPr>
              <w:t>Levee</w:t>
            </w:r>
          </w:p>
        </w:tc>
        <w:tc>
          <w:tcPr>
            <w:tcW w:w="6612" w:type="dxa"/>
          </w:tcPr>
          <w:p w14:paraId="234D552F" w14:textId="79782340" w:rsidR="00F27835" w:rsidRPr="000C7472" w:rsidRDefault="00F27835" w:rsidP="00980CB4">
            <w:pPr>
              <w:pStyle w:val="BodyText"/>
              <w:spacing w:before="60" w:after="60" w:line="300" w:lineRule="auto"/>
              <w:rPr>
                <w:sz w:val="18"/>
                <w:szCs w:val="18"/>
              </w:rPr>
            </w:pPr>
            <w:r w:rsidRPr="000C7472">
              <w:rPr>
                <w:sz w:val="18"/>
                <w:szCs w:val="18"/>
              </w:rPr>
              <w:t>An embankment that only provides for the containment and diversion of stormwater or flood flows from a contributing catchment, or containment and diversion of flowable materials resulting from releases from other works, during the progress of those stormwater or flood flows or those releases; and does not store any significant volume of water or flowable substances at any other times.</w:t>
            </w:r>
          </w:p>
        </w:tc>
      </w:tr>
      <w:tr w:rsidR="004947D6" w:rsidRPr="00F27835" w14:paraId="3BF249E5" w14:textId="77777777" w:rsidTr="00644EED">
        <w:tc>
          <w:tcPr>
            <w:tcW w:w="2405" w:type="dxa"/>
          </w:tcPr>
          <w:p w14:paraId="7108E214" w14:textId="42B77844" w:rsidR="004947D6" w:rsidRPr="000C7472" w:rsidRDefault="004947D6" w:rsidP="004947D6">
            <w:pPr>
              <w:pStyle w:val="BodyText"/>
              <w:spacing w:before="60" w:after="60" w:line="300" w:lineRule="auto"/>
              <w:rPr>
                <w:sz w:val="18"/>
                <w:szCs w:val="18"/>
              </w:rPr>
            </w:pPr>
            <w:r w:rsidRPr="000C7472">
              <w:rPr>
                <w:sz w:val="18"/>
                <w:szCs w:val="18"/>
              </w:rPr>
              <w:t>MCPL</w:t>
            </w:r>
          </w:p>
        </w:tc>
        <w:tc>
          <w:tcPr>
            <w:tcW w:w="6612" w:type="dxa"/>
          </w:tcPr>
          <w:p w14:paraId="7CD6150B" w14:textId="138D95E2" w:rsidR="004947D6" w:rsidRPr="000C7472" w:rsidRDefault="004947D6" w:rsidP="004947D6">
            <w:pPr>
              <w:pStyle w:val="BodyText"/>
              <w:spacing w:before="60" w:after="60" w:line="300" w:lineRule="auto"/>
              <w:rPr>
                <w:sz w:val="18"/>
                <w:szCs w:val="18"/>
              </w:rPr>
            </w:pPr>
            <w:r w:rsidRPr="000C7472">
              <w:rPr>
                <w:sz w:val="18"/>
                <w:szCs w:val="18"/>
              </w:rPr>
              <w:t>Middlemount Coal Pty Ltd</w:t>
            </w:r>
          </w:p>
        </w:tc>
      </w:tr>
      <w:tr w:rsidR="004947D6" w:rsidRPr="00F27835" w14:paraId="6FB7ADF0" w14:textId="77777777" w:rsidTr="00644EED">
        <w:tc>
          <w:tcPr>
            <w:tcW w:w="2405" w:type="dxa"/>
          </w:tcPr>
          <w:p w14:paraId="43906868" w14:textId="2A45649A" w:rsidR="004947D6" w:rsidRPr="000C7472" w:rsidRDefault="004947D6" w:rsidP="004947D6">
            <w:pPr>
              <w:pStyle w:val="BodyText"/>
              <w:spacing w:before="60" w:after="60" w:line="300" w:lineRule="auto"/>
              <w:rPr>
                <w:sz w:val="18"/>
                <w:szCs w:val="18"/>
              </w:rPr>
            </w:pPr>
            <w:r w:rsidRPr="000C7472">
              <w:rPr>
                <w:sz w:val="18"/>
                <w:szCs w:val="18"/>
              </w:rPr>
              <w:t>mg/L</w:t>
            </w:r>
          </w:p>
        </w:tc>
        <w:tc>
          <w:tcPr>
            <w:tcW w:w="6612" w:type="dxa"/>
          </w:tcPr>
          <w:p w14:paraId="16024257" w14:textId="433121B7" w:rsidR="004947D6" w:rsidRPr="000C7472" w:rsidRDefault="004947D6" w:rsidP="004947D6">
            <w:pPr>
              <w:pStyle w:val="BodyText"/>
              <w:spacing w:before="60" w:after="60" w:line="300" w:lineRule="auto"/>
              <w:rPr>
                <w:sz w:val="18"/>
                <w:szCs w:val="18"/>
              </w:rPr>
            </w:pPr>
            <w:r w:rsidRPr="000C7472">
              <w:rPr>
                <w:sz w:val="18"/>
                <w:szCs w:val="18"/>
              </w:rPr>
              <w:t>milligrams per litre</w:t>
            </w:r>
          </w:p>
        </w:tc>
      </w:tr>
      <w:tr w:rsidR="005E5A0E" w:rsidRPr="00F27835" w14:paraId="6919274D" w14:textId="77777777" w:rsidTr="00644EED">
        <w:tc>
          <w:tcPr>
            <w:tcW w:w="2405" w:type="dxa"/>
          </w:tcPr>
          <w:p w14:paraId="551EAC0C" w14:textId="0C36C396" w:rsidR="005E5A0E" w:rsidRPr="000C7472" w:rsidRDefault="005E5A0E" w:rsidP="004947D6">
            <w:pPr>
              <w:pStyle w:val="BodyText"/>
              <w:spacing w:before="60" w:after="60" w:line="300" w:lineRule="auto"/>
              <w:rPr>
                <w:sz w:val="18"/>
                <w:szCs w:val="18"/>
              </w:rPr>
            </w:pPr>
            <w:r w:rsidRPr="000C7472">
              <w:rPr>
                <w:sz w:val="18"/>
                <w:szCs w:val="18"/>
              </w:rPr>
              <w:t>μS/cm</w:t>
            </w:r>
          </w:p>
        </w:tc>
        <w:tc>
          <w:tcPr>
            <w:tcW w:w="6612" w:type="dxa"/>
          </w:tcPr>
          <w:p w14:paraId="14BB1B76" w14:textId="797A375F" w:rsidR="005E5A0E" w:rsidRPr="000C7472" w:rsidRDefault="00D52659" w:rsidP="004947D6">
            <w:pPr>
              <w:pStyle w:val="BodyText"/>
              <w:spacing w:before="60" w:after="60" w:line="300" w:lineRule="auto"/>
              <w:rPr>
                <w:sz w:val="18"/>
                <w:szCs w:val="18"/>
              </w:rPr>
            </w:pPr>
            <w:r w:rsidRPr="000C7472">
              <w:rPr>
                <w:sz w:val="18"/>
                <w:szCs w:val="18"/>
              </w:rPr>
              <w:t>micro siemens</w:t>
            </w:r>
            <w:r w:rsidR="005E5A0E" w:rsidRPr="000C7472">
              <w:rPr>
                <w:sz w:val="18"/>
                <w:szCs w:val="18"/>
              </w:rPr>
              <w:t xml:space="preserve"> per </w:t>
            </w:r>
            <w:r w:rsidRPr="000C7472">
              <w:rPr>
                <w:sz w:val="18"/>
                <w:szCs w:val="18"/>
              </w:rPr>
              <w:t>centimetre</w:t>
            </w:r>
          </w:p>
        </w:tc>
      </w:tr>
      <w:tr w:rsidR="004947D6" w:rsidRPr="00F27835" w14:paraId="092523DE" w14:textId="77777777" w:rsidTr="00644EED">
        <w:tc>
          <w:tcPr>
            <w:tcW w:w="2405" w:type="dxa"/>
          </w:tcPr>
          <w:p w14:paraId="682978BD" w14:textId="67E17123" w:rsidR="004947D6" w:rsidRPr="000C7472" w:rsidRDefault="004947D6" w:rsidP="004947D6">
            <w:pPr>
              <w:pStyle w:val="BodyText"/>
              <w:spacing w:before="60" w:after="60" w:line="300" w:lineRule="auto"/>
              <w:rPr>
                <w:sz w:val="18"/>
                <w:szCs w:val="18"/>
              </w:rPr>
            </w:pPr>
            <w:r w:rsidRPr="000C7472">
              <w:rPr>
                <w:sz w:val="18"/>
                <w:szCs w:val="18"/>
              </w:rPr>
              <w:t>ML</w:t>
            </w:r>
          </w:p>
        </w:tc>
        <w:tc>
          <w:tcPr>
            <w:tcW w:w="6612" w:type="dxa"/>
          </w:tcPr>
          <w:p w14:paraId="1A09E865" w14:textId="4EBE2BB3" w:rsidR="004947D6" w:rsidRPr="000C7472" w:rsidRDefault="004947D6" w:rsidP="004947D6">
            <w:pPr>
              <w:pStyle w:val="BodyText"/>
              <w:spacing w:before="60" w:after="60" w:line="300" w:lineRule="auto"/>
              <w:rPr>
                <w:sz w:val="18"/>
                <w:szCs w:val="18"/>
              </w:rPr>
            </w:pPr>
            <w:r w:rsidRPr="000C7472">
              <w:rPr>
                <w:sz w:val="18"/>
                <w:szCs w:val="18"/>
              </w:rPr>
              <w:t>Mining Lease</w:t>
            </w:r>
          </w:p>
        </w:tc>
      </w:tr>
      <w:tr w:rsidR="004947D6" w:rsidRPr="00F27835" w14:paraId="4F41369F" w14:textId="77777777" w:rsidTr="00644EED">
        <w:tc>
          <w:tcPr>
            <w:tcW w:w="2405" w:type="dxa"/>
          </w:tcPr>
          <w:p w14:paraId="263CF91E" w14:textId="709F3FA7" w:rsidR="004947D6" w:rsidRPr="000C7472" w:rsidRDefault="004947D6" w:rsidP="004947D6">
            <w:pPr>
              <w:pStyle w:val="BodyText"/>
              <w:spacing w:before="60" w:after="60" w:line="300" w:lineRule="auto"/>
              <w:rPr>
                <w:sz w:val="18"/>
                <w:szCs w:val="18"/>
              </w:rPr>
            </w:pPr>
            <w:r w:rsidRPr="000C7472">
              <w:rPr>
                <w:sz w:val="18"/>
                <w:szCs w:val="18"/>
              </w:rPr>
              <w:t>ML/year</w:t>
            </w:r>
          </w:p>
        </w:tc>
        <w:tc>
          <w:tcPr>
            <w:tcW w:w="6612" w:type="dxa"/>
          </w:tcPr>
          <w:p w14:paraId="0C2DAC8C" w14:textId="2859CA67" w:rsidR="004947D6" w:rsidRPr="000C7472" w:rsidRDefault="004947D6" w:rsidP="004947D6">
            <w:pPr>
              <w:pStyle w:val="BodyText"/>
              <w:spacing w:before="60" w:after="60" w:line="300" w:lineRule="auto"/>
              <w:rPr>
                <w:sz w:val="18"/>
                <w:szCs w:val="18"/>
              </w:rPr>
            </w:pPr>
            <w:r w:rsidRPr="000C7472">
              <w:rPr>
                <w:sz w:val="18"/>
                <w:szCs w:val="18"/>
              </w:rPr>
              <w:t>Megalitres per year</w:t>
            </w:r>
          </w:p>
        </w:tc>
      </w:tr>
      <w:tr w:rsidR="004947D6" w:rsidRPr="00F27835" w14:paraId="4D5BBAB0" w14:textId="77777777" w:rsidTr="00644EED">
        <w:tc>
          <w:tcPr>
            <w:tcW w:w="2405" w:type="dxa"/>
          </w:tcPr>
          <w:p w14:paraId="18C06E28" w14:textId="5F90B25B" w:rsidR="004947D6" w:rsidRPr="000C7472" w:rsidRDefault="004947D6" w:rsidP="00980CB4">
            <w:pPr>
              <w:pStyle w:val="BodyText"/>
              <w:spacing w:before="60" w:after="60" w:line="300" w:lineRule="auto"/>
              <w:rPr>
                <w:sz w:val="18"/>
                <w:szCs w:val="18"/>
              </w:rPr>
            </w:pPr>
            <w:r w:rsidRPr="000C7472">
              <w:rPr>
                <w:sz w:val="18"/>
                <w:szCs w:val="18"/>
              </w:rPr>
              <w:t>Mm</w:t>
            </w:r>
            <w:r w:rsidRPr="000C7472">
              <w:rPr>
                <w:sz w:val="18"/>
                <w:szCs w:val="18"/>
                <w:vertAlign w:val="superscript"/>
              </w:rPr>
              <w:t>3</w:t>
            </w:r>
          </w:p>
        </w:tc>
        <w:tc>
          <w:tcPr>
            <w:tcW w:w="6612" w:type="dxa"/>
          </w:tcPr>
          <w:p w14:paraId="294EC156" w14:textId="645798A6" w:rsidR="004947D6" w:rsidRPr="000C7472" w:rsidRDefault="004947D6" w:rsidP="00980CB4">
            <w:pPr>
              <w:pStyle w:val="BodyText"/>
              <w:spacing w:before="60" w:after="60" w:line="300" w:lineRule="auto"/>
              <w:rPr>
                <w:sz w:val="18"/>
                <w:szCs w:val="18"/>
              </w:rPr>
            </w:pPr>
            <w:r w:rsidRPr="000C7472">
              <w:rPr>
                <w:sz w:val="18"/>
                <w:szCs w:val="18"/>
              </w:rPr>
              <w:t>Million cubic metres</w:t>
            </w:r>
          </w:p>
        </w:tc>
      </w:tr>
      <w:tr w:rsidR="00EC3A5B" w:rsidRPr="00F27835" w14:paraId="73AC4550" w14:textId="77777777" w:rsidTr="00644EED">
        <w:tc>
          <w:tcPr>
            <w:tcW w:w="2405" w:type="dxa"/>
          </w:tcPr>
          <w:p w14:paraId="296A5377" w14:textId="5D56A19D" w:rsidR="00EC3A5B" w:rsidRPr="000C7472" w:rsidRDefault="00EC3A5B" w:rsidP="00980CB4">
            <w:pPr>
              <w:pStyle w:val="BodyText"/>
              <w:spacing w:before="60" w:after="60" w:line="300" w:lineRule="auto"/>
              <w:rPr>
                <w:sz w:val="18"/>
                <w:szCs w:val="18"/>
              </w:rPr>
            </w:pPr>
            <w:r w:rsidRPr="000C7472">
              <w:rPr>
                <w:sz w:val="18"/>
                <w:szCs w:val="18"/>
              </w:rPr>
              <w:t>MNES</w:t>
            </w:r>
          </w:p>
        </w:tc>
        <w:tc>
          <w:tcPr>
            <w:tcW w:w="6612" w:type="dxa"/>
          </w:tcPr>
          <w:p w14:paraId="6F10D445" w14:textId="04B5E1E6" w:rsidR="00EC3A5B" w:rsidRPr="000C7472" w:rsidRDefault="00EC3A5B" w:rsidP="00980CB4">
            <w:pPr>
              <w:pStyle w:val="BodyText"/>
              <w:spacing w:before="60" w:after="60" w:line="300" w:lineRule="auto"/>
              <w:rPr>
                <w:sz w:val="18"/>
                <w:szCs w:val="18"/>
              </w:rPr>
            </w:pPr>
            <w:r w:rsidRPr="000C7472">
              <w:rPr>
                <w:sz w:val="18"/>
                <w:szCs w:val="18"/>
              </w:rPr>
              <w:t>Matters of National Environmental Significance</w:t>
            </w:r>
          </w:p>
        </w:tc>
      </w:tr>
      <w:tr w:rsidR="00EC3A5B" w:rsidRPr="00F27835" w14:paraId="3B68131A" w14:textId="77777777" w:rsidTr="00644EED">
        <w:tc>
          <w:tcPr>
            <w:tcW w:w="2405" w:type="dxa"/>
          </w:tcPr>
          <w:p w14:paraId="4169C64C" w14:textId="26670744" w:rsidR="00EC3A5B" w:rsidRPr="000C7472" w:rsidRDefault="00EC3A5B" w:rsidP="00980CB4">
            <w:pPr>
              <w:pStyle w:val="BodyText"/>
              <w:spacing w:before="60" w:after="60" w:line="300" w:lineRule="auto"/>
              <w:rPr>
                <w:sz w:val="18"/>
                <w:szCs w:val="18"/>
              </w:rPr>
            </w:pPr>
            <w:r w:rsidRPr="000C7472">
              <w:rPr>
                <w:sz w:val="18"/>
                <w:szCs w:val="18"/>
              </w:rPr>
              <w:t>MSES</w:t>
            </w:r>
          </w:p>
        </w:tc>
        <w:tc>
          <w:tcPr>
            <w:tcW w:w="6612" w:type="dxa"/>
          </w:tcPr>
          <w:p w14:paraId="11E93A23" w14:textId="7AED3E4D" w:rsidR="00EC3A5B" w:rsidRPr="000C7472" w:rsidRDefault="00EC3A5B" w:rsidP="00980CB4">
            <w:pPr>
              <w:pStyle w:val="BodyText"/>
              <w:spacing w:before="60" w:after="60" w:line="300" w:lineRule="auto"/>
              <w:rPr>
                <w:sz w:val="18"/>
                <w:szCs w:val="18"/>
              </w:rPr>
            </w:pPr>
            <w:r w:rsidRPr="000C7472">
              <w:rPr>
                <w:sz w:val="18"/>
                <w:szCs w:val="18"/>
              </w:rPr>
              <w:t>Matters of State Environmental Significance</w:t>
            </w:r>
          </w:p>
        </w:tc>
      </w:tr>
      <w:tr w:rsidR="004C1EFD" w:rsidRPr="00F27835" w14:paraId="1CBA495B" w14:textId="77777777" w:rsidTr="00644EED">
        <w:tc>
          <w:tcPr>
            <w:tcW w:w="2405" w:type="dxa"/>
          </w:tcPr>
          <w:p w14:paraId="56D587D2" w14:textId="5D1331DD" w:rsidR="004C1EFD" w:rsidRPr="000C7472" w:rsidRDefault="004C1EFD" w:rsidP="00980CB4">
            <w:pPr>
              <w:pStyle w:val="BodyText"/>
              <w:spacing w:before="60" w:after="60" w:line="300" w:lineRule="auto"/>
              <w:rPr>
                <w:sz w:val="18"/>
                <w:szCs w:val="18"/>
              </w:rPr>
            </w:pPr>
            <w:r w:rsidRPr="000C7472">
              <w:rPr>
                <w:sz w:val="18"/>
                <w:szCs w:val="18"/>
              </w:rPr>
              <w:t>Mtpa</w:t>
            </w:r>
          </w:p>
        </w:tc>
        <w:tc>
          <w:tcPr>
            <w:tcW w:w="6612" w:type="dxa"/>
          </w:tcPr>
          <w:p w14:paraId="58C87195" w14:textId="01D40238" w:rsidR="004C1EFD" w:rsidRPr="000C7472" w:rsidRDefault="004C1EFD" w:rsidP="00980CB4">
            <w:pPr>
              <w:pStyle w:val="BodyText"/>
              <w:spacing w:before="60" w:after="60" w:line="300" w:lineRule="auto"/>
              <w:rPr>
                <w:sz w:val="18"/>
                <w:szCs w:val="18"/>
              </w:rPr>
            </w:pPr>
            <w:r w:rsidRPr="000C7472">
              <w:rPr>
                <w:sz w:val="18"/>
                <w:szCs w:val="18"/>
              </w:rPr>
              <w:t>Mega tonnes per annum</w:t>
            </w:r>
          </w:p>
        </w:tc>
      </w:tr>
      <w:tr w:rsidR="00934D32" w:rsidRPr="00F27835" w14:paraId="638DECCF" w14:textId="77777777" w:rsidTr="00644EED">
        <w:tc>
          <w:tcPr>
            <w:tcW w:w="2405" w:type="dxa"/>
          </w:tcPr>
          <w:p w14:paraId="7B710756" w14:textId="06DF4E5D" w:rsidR="00934D32" w:rsidRPr="000C7472" w:rsidRDefault="00934D32" w:rsidP="00980CB4">
            <w:pPr>
              <w:pStyle w:val="BodyText"/>
              <w:spacing w:before="60" w:after="60" w:line="300" w:lineRule="auto"/>
              <w:rPr>
                <w:sz w:val="18"/>
                <w:szCs w:val="18"/>
              </w:rPr>
            </w:pPr>
            <w:r w:rsidRPr="000C7472">
              <w:rPr>
                <w:sz w:val="18"/>
                <w:szCs w:val="18"/>
              </w:rPr>
              <w:t>n</w:t>
            </w:r>
          </w:p>
        </w:tc>
        <w:tc>
          <w:tcPr>
            <w:tcW w:w="6612" w:type="dxa"/>
          </w:tcPr>
          <w:p w14:paraId="3A3377F6" w14:textId="454E589E" w:rsidR="00934D32" w:rsidRPr="000C7472" w:rsidRDefault="00934D32" w:rsidP="00980CB4">
            <w:pPr>
              <w:pStyle w:val="BodyText"/>
              <w:spacing w:before="60" w:after="60" w:line="300" w:lineRule="auto"/>
              <w:rPr>
                <w:sz w:val="18"/>
                <w:szCs w:val="18"/>
              </w:rPr>
            </w:pPr>
            <w:r w:rsidRPr="000C7472">
              <w:rPr>
                <w:sz w:val="18"/>
                <w:szCs w:val="18"/>
              </w:rPr>
              <w:t>Count</w:t>
            </w:r>
          </w:p>
        </w:tc>
      </w:tr>
      <w:tr w:rsidR="00207CF8" w:rsidRPr="00F27835" w14:paraId="53B93E1D" w14:textId="77777777" w:rsidTr="00644EED">
        <w:tc>
          <w:tcPr>
            <w:tcW w:w="2405" w:type="dxa"/>
          </w:tcPr>
          <w:p w14:paraId="6E927C2C" w14:textId="2150EB02" w:rsidR="00207CF8" w:rsidRPr="000C7472" w:rsidRDefault="00207CF8" w:rsidP="00980CB4">
            <w:pPr>
              <w:pStyle w:val="BodyText"/>
              <w:spacing w:before="60" w:after="60" w:line="300" w:lineRule="auto"/>
              <w:rPr>
                <w:sz w:val="18"/>
                <w:szCs w:val="18"/>
              </w:rPr>
            </w:pPr>
            <w:r w:rsidRPr="000C7472">
              <w:rPr>
                <w:sz w:val="18"/>
                <w:szCs w:val="18"/>
              </w:rPr>
              <w:t>NAF</w:t>
            </w:r>
          </w:p>
        </w:tc>
        <w:tc>
          <w:tcPr>
            <w:tcW w:w="6612" w:type="dxa"/>
          </w:tcPr>
          <w:p w14:paraId="04B2A038" w14:textId="1EA8C8F6" w:rsidR="00207CF8" w:rsidRPr="000C7472" w:rsidRDefault="00207CF8" w:rsidP="00980CB4">
            <w:pPr>
              <w:pStyle w:val="BodyText"/>
              <w:spacing w:before="60" w:after="60" w:line="300" w:lineRule="auto"/>
              <w:rPr>
                <w:sz w:val="18"/>
                <w:szCs w:val="18"/>
              </w:rPr>
            </w:pPr>
            <w:r w:rsidRPr="000C7472">
              <w:rPr>
                <w:sz w:val="18"/>
                <w:szCs w:val="18"/>
              </w:rPr>
              <w:t>Non-acid forming</w:t>
            </w:r>
          </w:p>
        </w:tc>
      </w:tr>
      <w:tr w:rsidR="00207CF8" w:rsidRPr="00F27835" w14:paraId="2DE88DCD" w14:textId="77777777" w:rsidTr="00644EED">
        <w:tc>
          <w:tcPr>
            <w:tcW w:w="2405" w:type="dxa"/>
          </w:tcPr>
          <w:p w14:paraId="2F8B349A" w14:textId="529F3B5D" w:rsidR="00207CF8" w:rsidRPr="000C7472" w:rsidRDefault="00207CF8" w:rsidP="00980CB4">
            <w:pPr>
              <w:pStyle w:val="BodyText"/>
              <w:spacing w:before="60" w:after="60" w:line="300" w:lineRule="auto"/>
              <w:rPr>
                <w:sz w:val="18"/>
                <w:szCs w:val="18"/>
              </w:rPr>
            </w:pPr>
            <w:r w:rsidRPr="000C7472">
              <w:rPr>
                <w:sz w:val="18"/>
                <w:szCs w:val="18"/>
              </w:rPr>
              <w:t>NASA</w:t>
            </w:r>
          </w:p>
        </w:tc>
        <w:tc>
          <w:tcPr>
            <w:tcW w:w="6612" w:type="dxa"/>
          </w:tcPr>
          <w:p w14:paraId="0A6DB5EA" w14:textId="10D9C824" w:rsidR="00207CF8" w:rsidRPr="000C7472" w:rsidRDefault="00207CF8" w:rsidP="00980CB4">
            <w:pPr>
              <w:pStyle w:val="BodyText"/>
              <w:spacing w:before="60" w:after="60" w:line="300" w:lineRule="auto"/>
              <w:rPr>
                <w:sz w:val="18"/>
                <w:szCs w:val="18"/>
              </w:rPr>
            </w:pPr>
            <w:r w:rsidRPr="000C7472">
              <w:rPr>
                <w:sz w:val="18"/>
                <w:szCs w:val="18"/>
              </w:rPr>
              <w:t>National Aeronautics and Space Administration</w:t>
            </w:r>
          </w:p>
        </w:tc>
      </w:tr>
      <w:tr w:rsidR="00C83DC0" w:rsidRPr="00F27835" w14:paraId="29C64F55" w14:textId="77777777" w:rsidTr="00644EED">
        <w:tc>
          <w:tcPr>
            <w:tcW w:w="2405" w:type="dxa"/>
          </w:tcPr>
          <w:p w14:paraId="78C1AE08" w14:textId="1BF78135" w:rsidR="00C83DC0" w:rsidRPr="000C7472" w:rsidRDefault="00C83DC0" w:rsidP="00C83DC0">
            <w:pPr>
              <w:pStyle w:val="BodyText"/>
              <w:spacing w:before="60" w:after="60" w:line="300" w:lineRule="auto"/>
              <w:rPr>
                <w:sz w:val="18"/>
                <w:szCs w:val="18"/>
              </w:rPr>
            </w:pPr>
            <w:r w:rsidRPr="000C7472">
              <w:rPr>
                <w:sz w:val="18"/>
                <w:szCs w:val="18"/>
              </w:rPr>
              <w:t>Open pit/open cut</w:t>
            </w:r>
          </w:p>
        </w:tc>
        <w:tc>
          <w:tcPr>
            <w:tcW w:w="6612" w:type="dxa"/>
          </w:tcPr>
          <w:p w14:paraId="393E6570" w14:textId="01249969" w:rsidR="00C83DC0" w:rsidRPr="000C7472" w:rsidRDefault="00C83DC0" w:rsidP="00C83DC0">
            <w:pPr>
              <w:pStyle w:val="BodyText"/>
              <w:spacing w:before="60" w:after="60" w:line="300" w:lineRule="auto"/>
              <w:rPr>
                <w:sz w:val="18"/>
                <w:szCs w:val="18"/>
              </w:rPr>
            </w:pPr>
            <w:r w:rsidRPr="000C7472">
              <w:rPr>
                <w:sz w:val="18"/>
                <w:szCs w:val="18"/>
              </w:rPr>
              <w:t>Any constructed, open excavation in the ground.</w:t>
            </w:r>
          </w:p>
        </w:tc>
      </w:tr>
      <w:tr w:rsidR="00207CF8" w:rsidRPr="00F27835" w14:paraId="7CC3AF51" w14:textId="77777777" w:rsidTr="00644EED">
        <w:tc>
          <w:tcPr>
            <w:tcW w:w="2405" w:type="dxa"/>
          </w:tcPr>
          <w:p w14:paraId="3C786BC6" w14:textId="7969AB6B" w:rsidR="00207CF8" w:rsidRPr="000C7472" w:rsidRDefault="00207CF8" w:rsidP="00980CB4">
            <w:pPr>
              <w:pStyle w:val="BodyText"/>
              <w:spacing w:before="60" w:after="60" w:line="300" w:lineRule="auto"/>
              <w:rPr>
                <w:sz w:val="18"/>
                <w:szCs w:val="18"/>
              </w:rPr>
            </w:pPr>
            <w:r w:rsidRPr="000C7472">
              <w:rPr>
                <w:sz w:val="18"/>
                <w:szCs w:val="18"/>
              </w:rPr>
              <w:t>OWS</w:t>
            </w:r>
          </w:p>
        </w:tc>
        <w:tc>
          <w:tcPr>
            <w:tcW w:w="6612" w:type="dxa"/>
          </w:tcPr>
          <w:p w14:paraId="72CB4FDC" w14:textId="19E7B4F0" w:rsidR="00207CF8" w:rsidRPr="000C7472" w:rsidRDefault="00207CF8" w:rsidP="00980CB4">
            <w:pPr>
              <w:pStyle w:val="BodyText"/>
              <w:spacing w:before="60" w:after="60" w:line="300" w:lineRule="auto"/>
              <w:rPr>
                <w:sz w:val="18"/>
                <w:szCs w:val="18"/>
              </w:rPr>
            </w:pPr>
            <w:r w:rsidRPr="000C7472">
              <w:rPr>
                <w:sz w:val="18"/>
                <w:szCs w:val="18"/>
              </w:rPr>
              <w:t>Office of Water Science</w:t>
            </w:r>
          </w:p>
        </w:tc>
      </w:tr>
      <w:tr w:rsidR="00A377D9" w:rsidRPr="00F27835" w14:paraId="5201E902" w14:textId="77777777" w:rsidTr="00644EED">
        <w:tc>
          <w:tcPr>
            <w:tcW w:w="2405" w:type="dxa"/>
          </w:tcPr>
          <w:p w14:paraId="0EF04FC5" w14:textId="44A20B1D" w:rsidR="00A377D9" w:rsidRPr="000C7472" w:rsidRDefault="00207CF8" w:rsidP="00980CB4">
            <w:pPr>
              <w:pStyle w:val="BodyText"/>
              <w:spacing w:before="60" w:after="60" w:line="300" w:lineRule="auto"/>
              <w:rPr>
                <w:sz w:val="18"/>
                <w:szCs w:val="18"/>
              </w:rPr>
            </w:pPr>
            <w:r w:rsidRPr="000C7472">
              <w:rPr>
                <w:sz w:val="18"/>
                <w:szCs w:val="18"/>
              </w:rPr>
              <w:t>PAF</w:t>
            </w:r>
          </w:p>
        </w:tc>
        <w:tc>
          <w:tcPr>
            <w:tcW w:w="6612" w:type="dxa"/>
          </w:tcPr>
          <w:p w14:paraId="3430DFAE" w14:textId="5E341DCE" w:rsidR="00A377D9" w:rsidRPr="000C7472" w:rsidRDefault="00207CF8" w:rsidP="00980CB4">
            <w:pPr>
              <w:pStyle w:val="BodyText"/>
              <w:spacing w:before="60" w:after="60" w:line="300" w:lineRule="auto"/>
              <w:rPr>
                <w:sz w:val="18"/>
                <w:szCs w:val="18"/>
              </w:rPr>
            </w:pPr>
            <w:r w:rsidRPr="000C7472">
              <w:rPr>
                <w:sz w:val="18"/>
                <w:szCs w:val="18"/>
              </w:rPr>
              <w:t>Potentially acid forming</w:t>
            </w:r>
          </w:p>
        </w:tc>
      </w:tr>
      <w:tr w:rsidR="00EC3A5B" w:rsidRPr="00F27835" w14:paraId="1A8EB257" w14:textId="77777777" w:rsidTr="00644EED">
        <w:tc>
          <w:tcPr>
            <w:tcW w:w="2405" w:type="dxa"/>
          </w:tcPr>
          <w:p w14:paraId="0FD47762" w14:textId="1E6B1D28" w:rsidR="00EC3A5B" w:rsidRPr="000C7472" w:rsidRDefault="00EC3A5B" w:rsidP="00980CB4">
            <w:pPr>
              <w:pStyle w:val="BodyText"/>
              <w:spacing w:before="60" w:after="60" w:line="300" w:lineRule="auto"/>
              <w:rPr>
                <w:sz w:val="18"/>
                <w:szCs w:val="18"/>
              </w:rPr>
            </w:pPr>
            <w:r w:rsidRPr="000C7472">
              <w:rPr>
                <w:sz w:val="18"/>
                <w:szCs w:val="18"/>
              </w:rPr>
              <w:t>PCI</w:t>
            </w:r>
          </w:p>
        </w:tc>
        <w:tc>
          <w:tcPr>
            <w:tcW w:w="6612" w:type="dxa"/>
          </w:tcPr>
          <w:p w14:paraId="64F4B348" w14:textId="4CF7002F" w:rsidR="00EC3A5B" w:rsidRPr="000C7472" w:rsidRDefault="00EC3A5B" w:rsidP="00980CB4">
            <w:pPr>
              <w:pStyle w:val="BodyText"/>
              <w:spacing w:before="60" w:after="60" w:line="300" w:lineRule="auto"/>
              <w:rPr>
                <w:sz w:val="18"/>
                <w:szCs w:val="18"/>
              </w:rPr>
            </w:pPr>
            <w:r w:rsidRPr="000C7472">
              <w:rPr>
                <w:sz w:val="18"/>
                <w:szCs w:val="18"/>
              </w:rPr>
              <w:t>Pulverized coal injection</w:t>
            </w:r>
          </w:p>
        </w:tc>
      </w:tr>
      <w:tr w:rsidR="00934D32" w:rsidRPr="00F27835" w14:paraId="1FC941EF" w14:textId="77777777" w:rsidTr="00644EED">
        <w:tc>
          <w:tcPr>
            <w:tcW w:w="2405" w:type="dxa"/>
          </w:tcPr>
          <w:p w14:paraId="4F6E8FCD" w14:textId="09FB3B39" w:rsidR="00934D32" w:rsidRPr="000C7472" w:rsidRDefault="00934D32" w:rsidP="00980CB4">
            <w:pPr>
              <w:pStyle w:val="BodyText"/>
              <w:spacing w:before="60" w:after="60" w:line="300" w:lineRule="auto"/>
              <w:rPr>
                <w:sz w:val="18"/>
                <w:szCs w:val="18"/>
              </w:rPr>
            </w:pPr>
            <w:r w:rsidRPr="000C7472">
              <w:rPr>
                <w:sz w:val="18"/>
                <w:szCs w:val="18"/>
              </w:rPr>
              <w:t>Pit lake</w:t>
            </w:r>
          </w:p>
        </w:tc>
        <w:tc>
          <w:tcPr>
            <w:tcW w:w="6612" w:type="dxa"/>
          </w:tcPr>
          <w:p w14:paraId="5F8F8409" w14:textId="175C8480" w:rsidR="00934D32" w:rsidRPr="000C7472" w:rsidRDefault="00863355" w:rsidP="00980CB4">
            <w:pPr>
              <w:pStyle w:val="BodyText"/>
              <w:spacing w:before="60" w:after="60" w:line="300" w:lineRule="auto"/>
              <w:rPr>
                <w:sz w:val="18"/>
                <w:szCs w:val="18"/>
              </w:rPr>
            </w:pPr>
            <w:r w:rsidRPr="000C7472">
              <w:rPr>
                <w:sz w:val="18"/>
                <w:szCs w:val="18"/>
              </w:rPr>
              <w:t xml:space="preserve">‘Pit lakes’ can form in open coal mine open pits </w:t>
            </w:r>
            <w:r w:rsidR="006857B3" w:rsidRPr="000C7472">
              <w:rPr>
                <w:sz w:val="18"/>
                <w:szCs w:val="18"/>
              </w:rPr>
              <w:t xml:space="preserve">that extend below the watertable. </w:t>
            </w:r>
            <w:r w:rsidRPr="000C7472">
              <w:rPr>
                <w:sz w:val="18"/>
                <w:szCs w:val="18"/>
              </w:rPr>
              <w:t>On completion of mining, dewatering ceases and groundwater levels begin to recover, creating a ‘pit lake’ within the void which may be supplemented by varying quantities of surface water inputs.</w:t>
            </w:r>
          </w:p>
        </w:tc>
      </w:tr>
      <w:tr w:rsidR="00980CB4" w:rsidRPr="00F27835" w14:paraId="7B782E36" w14:textId="77777777" w:rsidTr="00644EED">
        <w:tc>
          <w:tcPr>
            <w:tcW w:w="2405" w:type="dxa"/>
          </w:tcPr>
          <w:p w14:paraId="46857B2B" w14:textId="5602BDD4" w:rsidR="00980CB4" w:rsidRPr="000C7472" w:rsidRDefault="00980CB4" w:rsidP="00980CB4">
            <w:pPr>
              <w:pStyle w:val="BodyText"/>
              <w:spacing w:before="60" w:after="60" w:line="300" w:lineRule="auto"/>
              <w:rPr>
                <w:sz w:val="18"/>
                <w:szCs w:val="18"/>
              </w:rPr>
            </w:pPr>
            <w:r w:rsidRPr="000C7472">
              <w:rPr>
                <w:sz w:val="18"/>
                <w:szCs w:val="18"/>
              </w:rPr>
              <w:t>PMF event</w:t>
            </w:r>
          </w:p>
        </w:tc>
        <w:tc>
          <w:tcPr>
            <w:tcW w:w="6612" w:type="dxa"/>
          </w:tcPr>
          <w:p w14:paraId="09D2EA6E" w14:textId="12F24840" w:rsidR="00980CB4" w:rsidRPr="000C7472" w:rsidRDefault="00980CB4" w:rsidP="00980CB4">
            <w:pPr>
              <w:pStyle w:val="BodyText"/>
              <w:spacing w:before="60" w:after="60" w:line="300" w:lineRule="auto"/>
              <w:rPr>
                <w:sz w:val="18"/>
                <w:szCs w:val="18"/>
              </w:rPr>
            </w:pPr>
            <w:bookmarkStart w:id="3" w:name="_Hlk59522793"/>
            <w:r w:rsidRPr="000C7472">
              <w:rPr>
                <w:sz w:val="18"/>
                <w:szCs w:val="18"/>
              </w:rPr>
              <w:t>Probable Maximum Flood event</w:t>
            </w:r>
            <w:bookmarkEnd w:id="3"/>
          </w:p>
        </w:tc>
      </w:tr>
      <w:tr w:rsidR="0081651E" w:rsidRPr="00F27835" w14:paraId="5B53093C" w14:textId="77777777" w:rsidTr="00644EED">
        <w:tc>
          <w:tcPr>
            <w:tcW w:w="2405" w:type="dxa"/>
          </w:tcPr>
          <w:p w14:paraId="5660A62C" w14:textId="681A8487" w:rsidR="0081651E" w:rsidRPr="000C7472" w:rsidRDefault="0081651E" w:rsidP="00980CB4">
            <w:pPr>
              <w:pStyle w:val="BodyText"/>
              <w:spacing w:before="60" w:after="60" w:line="300" w:lineRule="auto"/>
              <w:rPr>
                <w:sz w:val="18"/>
                <w:szCs w:val="18"/>
              </w:rPr>
            </w:pPr>
            <w:r w:rsidRPr="000C7472">
              <w:rPr>
                <w:sz w:val="18"/>
                <w:szCs w:val="18"/>
              </w:rPr>
              <w:lastRenderedPageBreak/>
              <w:t>PMLU</w:t>
            </w:r>
          </w:p>
        </w:tc>
        <w:tc>
          <w:tcPr>
            <w:tcW w:w="6612" w:type="dxa"/>
          </w:tcPr>
          <w:p w14:paraId="54D3C5AB" w14:textId="3F2FF418" w:rsidR="0081651E" w:rsidRPr="000C7472" w:rsidRDefault="0081651E" w:rsidP="00980CB4">
            <w:pPr>
              <w:pStyle w:val="BodyText"/>
              <w:spacing w:before="60" w:after="60" w:line="300" w:lineRule="auto"/>
              <w:rPr>
                <w:sz w:val="18"/>
                <w:szCs w:val="18"/>
              </w:rPr>
            </w:pPr>
            <w:r w:rsidRPr="000C7472">
              <w:rPr>
                <w:sz w:val="18"/>
                <w:szCs w:val="18"/>
              </w:rPr>
              <w:t>Post mining land use</w:t>
            </w:r>
          </w:p>
        </w:tc>
      </w:tr>
      <w:tr w:rsidR="00A377D9" w:rsidRPr="00F27835" w14:paraId="30704BEE" w14:textId="77777777" w:rsidTr="00644EED">
        <w:tc>
          <w:tcPr>
            <w:tcW w:w="2405" w:type="dxa"/>
          </w:tcPr>
          <w:p w14:paraId="6370C0D4" w14:textId="5F040632" w:rsidR="00A377D9" w:rsidRPr="000C7472" w:rsidRDefault="00A377D9" w:rsidP="00980CB4">
            <w:pPr>
              <w:pStyle w:val="BodyText"/>
              <w:spacing w:before="60" w:after="60" w:line="300" w:lineRule="auto"/>
              <w:rPr>
                <w:sz w:val="18"/>
                <w:szCs w:val="18"/>
              </w:rPr>
            </w:pPr>
            <w:r w:rsidRPr="000C7472">
              <w:rPr>
                <w:sz w:val="18"/>
                <w:szCs w:val="18"/>
              </w:rPr>
              <w:t>Progressive rehabilitation</w:t>
            </w:r>
          </w:p>
        </w:tc>
        <w:tc>
          <w:tcPr>
            <w:tcW w:w="6612" w:type="dxa"/>
          </w:tcPr>
          <w:p w14:paraId="77A2825E" w14:textId="4A33AEE4" w:rsidR="00A377D9" w:rsidRPr="000C7472" w:rsidRDefault="00A377D9" w:rsidP="00980CB4">
            <w:pPr>
              <w:pStyle w:val="BodyText"/>
              <w:spacing w:before="60" w:after="60" w:line="300" w:lineRule="auto"/>
              <w:rPr>
                <w:sz w:val="18"/>
                <w:szCs w:val="18"/>
              </w:rPr>
            </w:pPr>
            <w:r w:rsidRPr="000C7472">
              <w:rPr>
                <w:sz w:val="18"/>
                <w:szCs w:val="18"/>
              </w:rPr>
              <w:t>Rehabilitation (defined below) undertaken progressively</w:t>
            </w:r>
            <w:r w:rsidR="00C83DC0" w:rsidRPr="000C7472">
              <w:rPr>
                <w:sz w:val="18"/>
                <w:szCs w:val="18"/>
              </w:rPr>
              <w:t>,</w:t>
            </w:r>
            <w:r w:rsidRPr="000C7472">
              <w:rPr>
                <w:sz w:val="18"/>
                <w:szCs w:val="18"/>
              </w:rPr>
              <w:t xml:space="preserve"> or </w:t>
            </w:r>
            <w:r w:rsidR="00C83DC0" w:rsidRPr="000C7472">
              <w:rPr>
                <w:sz w:val="18"/>
                <w:szCs w:val="18"/>
              </w:rPr>
              <w:t xml:space="preserve">in </w:t>
            </w:r>
            <w:r w:rsidRPr="000C7472">
              <w:rPr>
                <w:sz w:val="18"/>
                <w:szCs w:val="18"/>
              </w:rPr>
              <w:t>a staged approach as mining operations are ongoing.</w:t>
            </w:r>
          </w:p>
        </w:tc>
      </w:tr>
      <w:tr w:rsidR="00401C8F" w:rsidRPr="00F27835" w14:paraId="079680A5" w14:textId="77777777" w:rsidTr="00644EED">
        <w:tc>
          <w:tcPr>
            <w:tcW w:w="2405" w:type="dxa"/>
          </w:tcPr>
          <w:p w14:paraId="044BE39A" w14:textId="4E4D1B3E" w:rsidR="00401C8F" w:rsidRDefault="00401C8F" w:rsidP="00980CB4">
            <w:pPr>
              <w:pStyle w:val="BodyText"/>
              <w:spacing w:before="60" w:after="60" w:line="300" w:lineRule="auto"/>
              <w:rPr>
                <w:sz w:val="18"/>
                <w:szCs w:val="18"/>
              </w:rPr>
            </w:pPr>
            <w:r>
              <w:rPr>
                <w:sz w:val="18"/>
                <w:szCs w:val="18"/>
              </w:rPr>
              <w:t>QERMF</w:t>
            </w:r>
          </w:p>
        </w:tc>
        <w:tc>
          <w:tcPr>
            <w:tcW w:w="6612" w:type="dxa"/>
          </w:tcPr>
          <w:p w14:paraId="6E672F82" w14:textId="4C8EEAC4" w:rsidR="00401C8F" w:rsidRDefault="00401C8F" w:rsidP="00980CB4">
            <w:pPr>
              <w:pStyle w:val="BodyText"/>
              <w:spacing w:before="60" w:after="60" w:line="300" w:lineRule="auto"/>
              <w:rPr>
                <w:sz w:val="18"/>
                <w:szCs w:val="18"/>
              </w:rPr>
            </w:pPr>
            <w:r w:rsidRPr="00401C8F">
              <w:rPr>
                <w:sz w:val="18"/>
                <w:szCs w:val="18"/>
              </w:rPr>
              <w:t>Queensland Emergency Risk Management Framework</w:t>
            </w:r>
          </w:p>
        </w:tc>
      </w:tr>
      <w:tr w:rsidR="00401C8F" w:rsidRPr="00F27835" w14:paraId="256EF3EF" w14:textId="77777777" w:rsidTr="00644EED">
        <w:tc>
          <w:tcPr>
            <w:tcW w:w="2405" w:type="dxa"/>
          </w:tcPr>
          <w:p w14:paraId="158349B4" w14:textId="13EC591F" w:rsidR="00401C8F" w:rsidRDefault="00401C8F" w:rsidP="00401C8F">
            <w:pPr>
              <w:pStyle w:val="BodyText"/>
              <w:spacing w:before="60" w:after="60" w:line="300" w:lineRule="auto"/>
              <w:rPr>
                <w:sz w:val="18"/>
                <w:szCs w:val="18"/>
              </w:rPr>
            </w:pPr>
            <w:r w:rsidRPr="00401C8F">
              <w:rPr>
                <w:sz w:val="18"/>
                <w:szCs w:val="18"/>
              </w:rPr>
              <w:t>QFAO</w:t>
            </w:r>
          </w:p>
        </w:tc>
        <w:tc>
          <w:tcPr>
            <w:tcW w:w="6612" w:type="dxa"/>
          </w:tcPr>
          <w:p w14:paraId="68AF3AC8" w14:textId="6D23C0EB" w:rsidR="00401C8F" w:rsidRDefault="00401C8F" w:rsidP="00401C8F">
            <w:pPr>
              <w:pStyle w:val="BodyText"/>
              <w:spacing w:before="60" w:after="60" w:line="300" w:lineRule="auto"/>
              <w:rPr>
                <w:sz w:val="18"/>
                <w:szCs w:val="18"/>
              </w:rPr>
            </w:pPr>
            <w:r w:rsidRPr="00401C8F">
              <w:rPr>
                <w:sz w:val="18"/>
                <w:szCs w:val="18"/>
              </w:rPr>
              <w:t>Queensland Floodplain Assessment Overlay</w:t>
            </w:r>
          </w:p>
        </w:tc>
      </w:tr>
      <w:tr w:rsidR="000C7472" w:rsidRPr="00F27835" w14:paraId="4B433C20" w14:textId="77777777" w:rsidTr="00644EED">
        <w:tc>
          <w:tcPr>
            <w:tcW w:w="2405" w:type="dxa"/>
          </w:tcPr>
          <w:p w14:paraId="23D18408" w14:textId="0633B486" w:rsidR="000C7472" w:rsidRPr="000C7472" w:rsidRDefault="000C7472" w:rsidP="00980CB4">
            <w:pPr>
              <w:pStyle w:val="BodyText"/>
              <w:spacing w:before="60" w:after="60" w:line="300" w:lineRule="auto"/>
              <w:rPr>
                <w:sz w:val="18"/>
                <w:szCs w:val="18"/>
              </w:rPr>
            </w:pPr>
            <w:r>
              <w:rPr>
                <w:sz w:val="18"/>
                <w:szCs w:val="18"/>
              </w:rPr>
              <w:t>RE</w:t>
            </w:r>
          </w:p>
        </w:tc>
        <w:tc>
          <w:tcPr>
            <w:tcW w:w="6612" w:type="dxa"/>
          </w:tcPr>
          <w:p w14:paraId="37C2E7CC" w14:textId="1685084F" w:rsidR="000C7472" w:rsidRPr="000C7472" w:rsidRDefault="000C7472" w:rsidP="00980CB4">
            <w:pPr>
              <w:pStyle w:val="BodyText"/>
              <w:spacing w:before="60" w:after="60" w:line="300" w:lineRule="auto"/>
              <w:rPr>
                <w:sz w:val="18"/>
                <w:szCs w:val="18"/>
              </w:rPr>
            </w:pPr>
            <w:r>
              <w:rPr>
                <w:sz w:val="18"/>
                <w:szCs w:val="18"/>
              </w:rPr>
              <w:t>Regional ecosystem</w:t>
            </w:r>
          </w:p>
        </w:tc>
      </w:tr>
      <w:tr w:rsidR="00A377D9" w:rsidRPr="00F27835" w14:paraId="1189B05B" w14:textId="77777777" w:rsidTr="00644EED">
        <w:tc>
          <w:tcPr>
            <w:tcW w:w="2405" w:type="dxa"/>
          </w:tcPr>
          <w:p w14:paraId="457CDC69" w14:textId="33812B78" w:rsidR="00A377D9" w:rsidRPr="000C7472" w:rsidRDefault="00A377D9" w:rsidP="00980CB4">
            <w:pPr>
              <w:pStyle w:val="BodyText"/>
              <w:spacing w:before="60" w:after="60" w:line="300" w:lineRule="auto"/>
              <w:rPr>
                <w:sz w:val="18"/>
                <w:szCs w:val="18"/>
              </w:rPr>
            </w:pPr>
            <w:r w:rsidRPr="000C7472">
              <w:rPr>
                <w:sz w:val="18"/>
                <w:szCs w:val="18"/>
              </w:rPr>
              <w:t>Rehabilitation</w:t>
            </w:r>
          </w:p>
        </w:tc>
        <w:tc>
          <w:tcPr>
            <w:tcW w:w="6612" w:type="dxa"/>
          </w:tcPr>
          <w:p w14:paraId="62207086" w14:textId="7FB5E24B" w:rsidR="00A377D9" w:rsidRPr="000C7472" w:rsidRDefault="00A377D9" w:rsidP="00980CB4">
            <w:pPr>
              <w:pStyle w:val="BodyText"/>
              <w:spacing w:before="60" w:after="60" w:line="300" w:lineRule="auto"/>
              <w:rPr>
                <w:sz w:val="18"/>
                <w:szCs w:val="18"/>
              </w:rPr>
            </w:pPr>
            <w:r w:rsidRPr="000C7472">
              <w:rPr>
                <w:sz w:val="18"/>
                <w:szCs w:val="18"/>
              </w:rPr>
              <w:t xml:space="preserve">The process of reshaping and revegetating land to restore it to a stable landform and in accordance with the acceptance criteria set out in </w:t>
            </w:r>
            <w:r w:rsidR="00C83DC0" w:rsidRPr="000C7472">
              <w:rPr>
                <w:sz w:val="18"/>
                <w:szCs w:val="18"/>
              </w:rPr>
              <w:t>an EA</w:t>
            </w:r>
            <w:r w:rsidRPr="000C7472">
              <w:rPr>
                <w:sz w:val="18"/>
                <w:szCs w:val="18"/>
              </w:rPr>
              <w:t xml:space="preserve"> and, where relevant, includ</w:t>
            </w:r>
            <w:r w:rsidR="00C83DC0" w:rsidRPr="000C7472">
              <w:rPr>
                <w:sz w:val="18"/>
                <w:szCs w:val="18"/>
              </w:rPr>
              <w:t>ing</w:t>
            </w:r>
            <w:r w:rsidRPr="000C7472">
              <w:rPr>
                <w:sz w:val="18"/>
                <w:szCs w:val="18"/>
              </w:rPr>
              <w:t xml:space="preserve"> remediation of contaminated land.</w:t>
            </w:r>
          </w:p>
        </w:tc>
      </w:tr>
      <w:tr w:rsidR="003F7144" w:rsidRPr="00F27835" w14:paraId="00245757" w14:textId="77777777" w:rsidTr="00644EED">
        <w:tc>
          <w:tcPr>
            <w:tcW w:w="2405" w:type="dxa"/>
          </w:tcPr>
          <w:p w14:paraId="41735C9A" w14:textId="6172CE3D" w:rsidR="003F7144" w:rsidRPr="000C7472" w:rsidRDefault="003F7144" w:rsidP="00980CB4">
            <w:pPr>
              <w:pStyle w:val="BodyText"/>
              <w:spacing w:before="60" w:after="60" w:line="300" w:lineRule="auto"/>
              <w:rPr>
                <w:sz w:val="18"/>
                <w:szCs w:val="18"/>
              </w:rPr>
            </w:pPr>
            <w:r w:rsidRPr="000C7472">
              <w:rPr>
                <w:sz w:val="18"/>
                <w:szCs w:val="18"/>
              </w:rPr>
              <w:t>RMU</w:t>
            </w:r>
          </w:p>
        </w:tc>
        <w:tc>
          <w:tcPr>
            <w:tcW w:w="6612" w:type="dxa"/>
          </w:tcPr>
          <w:p w14:paraId="01B4621B" w14:textId="43029CB9" w:rsidR="003F7144" w:rsidRPr="000C7472" w:rsidRDefault="003F7144" w:rsidP="00980CB4">
            <w:pPr>
              <w:pStyle w:val="BodyText"/>
              <w:spacing w:before="60" w:after="60" w:line="300" w:lineRule="auto"/>
              <w:rPr>
                <w:sz w:val="18"/>
                <w:szCs w:val="18"/>
              </w:rPr>
            </w:pPr>
            <w:r w:rsidRPr="000C7472">
              <w:rPr>
                <w:sz w:val="18"/>
                <w:szCs w:val="18"/>
              </w:rPr>
              <w:t>Rehabilitation management unit</w:t>
            </w:r>
          </w:p>
        </w:tc>
      </w:tr>
      <w:tr w:rsidR="00A377D9" w:rsidRPr="00F27835" w14:paraId="59FE585F" w14:textId="77777777" w:rsidTr="00644EED">
        <w:tc>
          <w:tcPr>
            <w:tcW w:w="2405" w:type="dxa"/>
          </w:tcPr>
          <w:p w14:paraId="53BF3824" w14:textId="72A31233" w:rsidR="00A377D9" w:rsidRPr="000C7472" w:rsidRDefault="00A377D9" w:rsidP="00980CB4">
            <w:pPr>
              <w:pStyle w:val="BodyText"/>
              <w:spacing w:before="60" w:after="60" w:line="300" w:lineRule="auto"/>
              <w:rPr>
                <w:sz w:val="18"/>
                <w:szCs w:val="18"/>
              </w:rPr>
            </w:pPr>
            <w:r w:rsidRPr="000C7472">
              <w:rPr>
                <w:sz w:val="18"/>
                <w:szCs w:val="18"/>
              </w:rPr>
              <w:t>Residual (final) void</w:t>
            </w:r>
          </w:p>
        </w:tc>
        <w:tc>
          <w:tcPr>
            <w:tcW w:w="6612" w:type="dxa"/>
          </w:tcPr>
          <w:p w14:paraId="69D98CE0" w14:textId="16C9708F" w:rsidR="00A377D9" w:rsidRPr="000C7472" w:rsidRDefault="00A377D9" w:rsidP="00980CB4">
            <w:pPr>
              <w:pStyle w:val="BodyText"/>
              <w:spacing w:before="60" w:after="60" w:line="300" w:lineRule="auto"/>
              <w:rPr>
                <w:sz w:val="18"/>
                <w:szCs w:val="18"/>
              </w:rPr>
            </w:pPr>
            <w:r w:rsidRPr="000C7472">
              <w:rPr>
                <w:sz w:val="18"/>
                <w:szCs w:val="18"/>
              </w:rPr>
              <w:t>An open pit resulting from the removal of ore and/or waste rock which will remain following the cessation of all mining activities and completion of rehabilitation processes.</w:t>
            </w:r>
            <w:r w:rsidR="00255EFE" w:rsidRPr="000C7472">
              <w:rPr>
                <w:sz w:val="18"/>
                <w:szCs w:val="18"/>
              </w:rPr>
              <w:t xml:space="preserve"> The terms </w:t>
            </w:r>
            <w:r w:rsidR="00C83DC0" w:rsidRPr="000C7472">
              <w:rPr>
                <w:sz w:val="18"/>
                <w:szCs w:val="18"/>
              </w:rPr>
              <w:t>‘</w:t>
            </w:r>
            <w:r w:rsidR="00255EFE" w:rsidRPr="000C7472">
              <w:rPr>
                <w:sz w:val="18"/>
                <w:szCs w:val="18"/>
              </w:rPr>
              <w:t>residual void</w:t>
            </w:r>
            <w:r w:rsidR="00C83DC0" w:rsidRPr="000C7472">
              <w:rPr>
                <w:sz w:val="18"/>
                <w:szCs w:val="18"/>
              </w:rPr>
              <w:t>’</w:t>
            </w:r>
            <w:r w:rsidR="00255EFE" w:rsidRPr="000C7472">
              <w:rPr>
                <w:sz w:val="18"/>
                <w:szCs w:val="18"/>
              </w:rPr>
              <w:t xml:space="preserve"> and </w:t>
            </w:r>
            <w:r w:rsidR="00C83DC0" w:rsidRPr="000C7472">
              <w:rPr>
                <w:sz w:val="18"/>
                <w:szCs w:val="18"/>
              </w:rPr>
              <w:t>‘</w:t>
            </w:r>
            <w:r w:rsidR="00255EFE" w:rsidRPr="000C7472">
              <w:rPr>
                <w:sz w:val="18"/>
                <w:szCs w:val="18"/>
              </w:rPr>
              <w:t>final void</w:t>
            </w:r>
            <w:r w:rsidR="00C83DC0" w:rsidRPr="000C7472">
              <w:rPr>
                <w:sz w:val="18"/>
                <w:szCs w:val="18"/>
              </w:rPr>
              <w:t>’</w:t>
            </w:r>
            <w:r w:rsidR="00255EFE" w:rsidRPr="000C7472">
              <w:rPr>
                <w:sz w:val="18"/>
                <w:szCs w:val="18"/>
              </w:rPr>
              <w:t xml:space="preserve"> are used interchangeably throughout this report.</w:t>
            </w:r>
          </w:p>
        </w:tc>
      </w:tr>
      <w:tr w:rsidR="00672005" w:rsidRPr="00F27835" w14:paraId="29151F3A" w14:textId="77777777" w:rsidTr="00644EED">
        <w:tc>
          <w:tcPr>
            <w:tcW w:w="2405" w:type="dxa"/>
          </w:tcPr>
          <w:p w14:paraId="3269E9A5" w14:textId="3FAB0210" w:rsidR="00672005" w:rsidRPr="000C7472" w:rsidRDefault="00672005" w:rsidP="00672005">
            <w:pPr>
              <w:pStyle w:val="BodyText"/>
              <w:spacing w:before="60" w:after="60" w:line="300" w:lineRule="auto"/>
              <w:rPr>
                <w:sz w:val="18"/>
                <w:szCs w:val="18"/>
              </w:rPr>
            </w:pPr>
            <w:r w:rsidRPr="000C7472">
              <w:rPr>
                <w:sz w:val="18"/>
                <w:szCs w:val="18"/>
              </w:rPr>
              <w:t>Risk</w:t>
            </w:r>
          </w:p>
        </w:tc>
        <w:tc>
          <w:tcPr>
            <w:tcW w:w="6612" w:type="dxa"/>
          </w:tcPr>
          <w:p w14:paraId="24353A95" w14:textId="2306A834" w:rsidR="00672005" w:rsidRPr="000C7472" w:rsidRDefault="00672005" w:rsidP="00672005">
            <w:pPr>
              <w:pStyle w:val="BodyText"/>
              <w:spacing w:before="60" w:after="60" w:line="300" w:lineRule="auto"/>
              <w:rPr>
                <w:sz w:val="18"/>
                <w:szCs w:val="18"/>
              </w:rPr>
            </w:pPr>
            <w:r w:rsidRPr="000C7472">
              <w:rPr>
                <w:sz w:val="18"/>
                <w:szCs w:val="18"/>
              </w:rPr>
              <w:t>The probability of a hazard event causing harmful consequences.</w:t>
            </w:r>
          </w:p>
        </w:tc>
      </w:tr>
      <w:tr w:rsidR="00672005" w:rsidRPr="00F27835" w14:paraId="65D36952" w14:textId="77777777" w:rsidTr="00644EED">
        <w:tc>
          <w:tcPr>
            <w:tcW w:w="2405" w:type="dxa"/>
          </w:tcPr>
          <w:p w14:paraId="71898881" w14:textId="2F4C9F3E" w:rsidR="00672005" w:rsidRPr="000C7472" w:rsidRDefault="00672005" w:rsidP="00672005">
            <w:pPr>
              <w:pStyle w:val="BodyText"/>
              <w:spacing w:before="60" w:after="60" w:line="300" w:lineRule="auto"/>
              <w:rPr>
                <w:sz w:val="18"/>
                <w:szCs w:val="18"/>
              </w:rPr>
            </w:pPr>
            <w:r w:rsidRPr="000C7472">
              <w:rPr>
                <w:sz w:val="18"/>
                <w:szCs w:val="18"/>
              </w:rPr>
              <w:t>RMU</w:t>
            </w:r>
          </w:p>
        </w:tc>
        <w:tc>
          <w:tcPr>
            <w:tcW w:w="6612" w:type="dxa"/>
          </w:tcPr>
          <w:p w14:paraId="4446A922" w14:textId="2985E976" w:rsidR="00672005" w:rsidRPr="000C7472" w:rsidRDefault="00672005" w:rsidP="00672005">
            <w:pPr>
              <w:pStyle w:val="BodyText"/>
              <w:spacing w:before="60" w:after="60" w:line="300" w:lineRule="auto"/>
              <w:rPr>
                <w:sz w:val="18"/>
                <w:szCs w:val="18"/>
              </w:rPr>
            </w:pPr>
            <w:r w:rsidRPr="000C7472">
              <w:rPr>
                <w:sz w:val="18"/>
                <w:szCs w:val="18"/>
              </w:rPr>
              <w:t>Rehabilitation management units</w:t>
            </w:r>
          </w:p>
        </w:tc>
      </w:tr>
      <w:tr w:rsidR="0081651E" w:rsidRPr="00F27835" w14:paraId="7DAECA39" w14:textId="77777777" w:rsidTr="00644EED">
        <w:tc>
          <w:tcPr>
            <w:tcW w:w="2405" w:type="dxa"/>
          </w:tcPr>
          <w:p w14:paraId="7A1362D8" w14:textId="730DC560" w:rsidR="0081651E" w:rsidRPr="000C7472" w:rsidRDefault="0081651E" w:rsidP="00980CB4">
            <w:pPr>
              <w:pStyle w:val="BodyText"/>
              <w:spacing w:before="60" w:after="60" w:line="300" w:lineRule="auto"/>
              <w:rPr>
                <w:sz w:val="18"/>
                <w:szCs w:val="18"/>
              </w:rPr>
            </w:pPr>
            <w:r w:rsidRPr="000C7472">
              <w:rPr>
                <w:sz w:val="18"/>
                <w:szCs w:val="18"/>
              </w:rPr>
              <w:t>RPEQ</w:t>
            </w:r>
          </w:p>
        </w:tc>
        <w:tc>
          <w:tcPr>
            <w:tcW w:w="6612" w:type="dxa"/>
          </w:tcPr>
          <w:p w14:paraId="54C3FC31" w14:textId="1165004E" w:rsidR="0081651E" w:rsidRPr="000C7472" w:rsidRDefault="0081651E" w:rsidP="00980CB4">
            <w:pPr>
              <w:pStyle w:val="BodyText"/>
              <w:spacing w:before="60" w:after="60" w:line="300" w:lineRule="auto"/>
              <w:rPr>
                <w:sz w:val="18"/>
                <w:szCs w:val="18"/>
              </w:rPr>
            </w:pPr>
            <w:r w:rsidRPr="000C7472">
              <w:rPr>
                <w:sz w:val="18"/>
                <w:szCs w:val="18"/>
              </w:rPr>
              <w:t>Registered Professional Engineer of Queensland</w:t>
            </w:r>
          </w:p>
        </w:tc>
      </w:tr>
      <w:tr w:rsidR="00D53180" w:rsidRPr="00F27835" w14:paraId="02B4D8F8" w14:textId="77777777" w:rsidTr="003654C9">
        <w:tc>
          <w:tcPr>
            <w:tcW w:w="2405" w:type="dxa"/>
          </w:tcPr>
          <w:p w14:paraId="7554DA21" w14:textId="2CBF5619" w:rsidR="00D53180" w:rsidRPr="000C7472" w:rsidRDefault="00D53180" w:rsidP="003654C9">
            <w:pPr>
              <w:pStyle w:val="BodyText"/>
              <w:spacing w:before="60" w:after="60" w:line="300" w:lineRule="auto"/>
              <w:rPr>
                <w:sz w:val="18"/>
                <w:szCs w:val="18"/>
              </w:rPr>
            </w:pPr>
            <w:r>
              <w:rPr>
                <w:sz w:val="18"/>
                <w:szCs w:val="18"/>
              </w:rPr>
              <w:t>RVP</w:t>
            </w:r>
          </w:p>
        </w:tc>
        <w:tc>
          <w:tcPr>
            <w:tcW w:w="6612" w:type="dxa"/>
          </w:tcPr>
          <w:p w14:paraId="5341144E" w14:textId="2370479B" w:rsidR="00D53180" w:rsidRPr="000C7472" w:rsidRDefault="00D53180" w:rsidP="003654C9">
            <w:pPr>
              <w:pStyle w:val="BodyText"/>
              <w:spacing w:before="60" w:after="60" w:line="300" w:lineRule="auto"/>
              <w:rPr>
                <w:sz w:val="18"/>
                <w:szCs w:val="18"/>
              </w:rPr>
            </w:pPr>
            <w:r>
              <w:rPr>
                <w:sz w:val="18"/>
                <w:szCs w:val="18"/>
              </w:rPr>
              <w:t>Residual Void Project</w:t>
            </w:r>
          </w:p>
        </w:tc>
      </w:tr>
      <w:tr w:rsidR="003F6B3C" w:rsidRPr="00F27835" w14:paraId="25B62C80" w14:textId="77777777" w:rsidTr="00644EED">
        <w:tc>
          <w:tcPr>
            <w:tcW w:w="2405" w:type="dxa"/>
          </w:tcPr>
          <w:p w14:paraId="44B6A1DA" w14:textId="7C4B680E" w:rsidR="003F6B3C" w:rsidRPr="000C7472" w:rsidRDefault="003F6B3C" w:rsidP="00980CB4">
            <w:pPr>
              <w:pStyle w:val="BodyText"/>
              <w:spacing w:before="60" w:after="60" w:line="300" w:lineRule="auto"/>
              <w:rPr>
                <w:sz w:val="18"/>
                <w:szCs w:val="18"/>
              </w:rPr>
            </w:pPr>
            <w:r w:rsidRPr="000C7472">
              <w:rPr>
                <w:sz w:val="18"/>
                <w:szCs w:val="18"/>
              </w:rPr>
              <w:t>SILO</w:t>
            </w:r>
          </w:p>
        </w:tc>
        <w:tc>
          <w:tcPr>
            <w:tcW w:w="6612" w:type="dxa"/>
          </w:tcPr>
          <w:p w14:paraId="2D6C1032" w14:textId="3E289BA3" w:rsidR="003F6B3C" w:rsidRPr="000C7472" w:rsidRDefault="003F6B3C" w:rsidP="00980CB4">
            <w:pPr>
              <w:pStyle w:val="BodyText"/>
              <w:spacing w:before="60" w:after="60" w:line="300" w:lineRule="auto"/>
              <w:rPr>
                <w:sz w:val="18"/>
                <w:szCs w:val="18"/>
              </w:rPr>
            </w:pPr>
            <w:r w:rsidRPr="000C7472">
              <w:rPr>
                <w:sz w:val="18"/>
                <w:szCs w:val="18"/>
              </w:rPr>
              <w:t>SILO (Scientific Information for Land Owners) is a Queensland Government database containing continuous daily climate data for Australia from 1889 to present.</w:t>
            </w:r>
          </w:p>
        </w:tc>
      </w:tr>
      <w:tr w:rsidR="00A377D9" w:rsidRPr="00F27835" w14:paraId="40D6EDBE" w14:textId="77777777" w:rsidTr="00644EED">
        <w:tc>
          <w:tcPr>
            <w:tcW w:w="2405" w:type="dxa"/>
          </w:tcPr>
          <w:p w14:paraId="0EB1A149" w14:textId="0B57672C" w:rsidR="00A377D9" w:rsidRPr="000C7472" w:rsidRDefault="00207CF8" w:rsidP="00980CB4">
            <w:pPr>
              <w:pStyle w:val="BodyText"/>
              <w:spacing w:before="60" w:after="60" w:line="300" w:lineRule="auto"/>
              <w:rPr>
                <w:sz w:val="18"/>
                <w:szCs w:val="18"/>
              </w:rPr>
            </w:pPr>
            <w:r w:rsidRPr="000C7472">
              <w:rPr>
                <w:sz w:val="18"/>
                <w:szCs w:val="18"/>
              </w:rPr>
              <w:t>SRTM</w:t>
            </w:r>
          </w:p>
        </w:tc>
        <w:tc>
          <w:tcPr>
            <w:tcW w:w="6612" w:type="dxa"/>
          </w:tcPr>
          <w:p w14:paraId="4F851DD9" w14:textId="59C39213" w:rsidR="00A377D9" w:rsidRPr="000C7472" w:rsidRDefault="00207CF8" w:rsidP="00980CB4">
            <w:pPr>
              <w:pStyle w:val="BodyText"/>
              <w:spacing w:before="60" w:after="60" w:line="300" w:lineRule="auto"/>
              <w:rPr>
                <w:sz w:val="18"/>
                <w:szCs w:val="18"/>
              </w:rPr>
            </w:pPr>
            <w:r w:rsidRPr="000C7472">
              <w:rPr>
                <w:sz w:val="18"/>
                <w:szCs w:val="18"/>
              </w:rPr>
              <w:t>Shuttle Radar Topography Mission</w:t>
            </w:r>
          </w:p>
        </w:tc>
      </w:tr>
      <w:tr w:rsidR="00D53180" w:rsidRPr="00F27835" w14:paraId="4031D217" w14:textId="77777777" w:rsidTr="003654C9">
        <w:tc>
          <w:tcPr>
            <w:tcW w:w="2405" w:type="dxa"/>
          </w:tcPr>
          <w:p w14:paraId="0B24D5CC" w14:textId="77777777" w:rsidR="00D53180" w:rsidRPr="000C7472" w:rsidRDefault="00D53180" w:rsidP="003654C9">
            <w:pPr>
              <w:pStyle w:val="BodyText"/>
              <w:spacing w:before="60" w:after="60" w:line="300" w:lineRule="auto"/>
              <w:rPr>
                <w:sz w:val="18"/>
                <w:szCs w:val="18"/>
              </w:rPr>
            </w:pPr>
            <w:r w:rsidRPr="000C7472">
              <w:rPr>
                <w:sz w:val="18"/>
                <w:szCs w:val="18"/>
              </w:rPr>
              <w:t>TBLA</w:t>
            </w:r>
          </w:p>
        </w:tc>
        <w:tc>
          <w:tcPr>
            <w:tcW w:w="6612" w:type="dxa"/>
          </w:tcPr>
          <w:p w14:paraId="1F2A98BA" w14:textId="77777777" w:rsidR="00D53180" w:rsidRPr="000C7472" w:rsidRDefault="00D53180" w:rsidP="003654C9">
            <w:pPr>
              <w:pStyle w:val="BodyText"/>
              <w:spacing w:before="60" w:after="60" w:line="300" w:lineRule="auto"/>
              <w:rPr>
                <w:sz w:val="18"/>
                <w:szCs w:val="18"/>
              </w:rPr>
            </w:pPr>
            <w:r w:rsidRPr="000C7472">
              <w:rPr>
                <w:sz w:val="18"/>
                <w:szCs w:val="18"/>
              </w:rPr>
              <w:t>Triple Bottom Line Assessment</w:t>
            </w:r>
          </w:p>
        </w:tc>
      </w:tr>
      <w:tr w:rsidR="00980CB4" w:rsidRPr="00F27835" w14:paraId="40B5653B" w14:textId="77777777" w:rsidTr="00644EED">
        <w:tc>
          <w:tcPr>
            <w:tcW w:w="2405" w:type="dxa"/>
          </w:tcPr>
          <w:p w14:paraId="50316BE4" w14:textId="5CDC45FD" w:rsidR="00980CB4" w:rsidRPr="000C7472" w:rsidRDefault="00980CB4" w:rsidP="00980CB4">
            <w:pPr>
              <w:pStyle w:val="BodyText"/>
              <w:spacing w:before="60" w:after="60" w:line="300" w:lineRule="auto"/>
              <w:rPr>
                <w:sz w:val="18"/>
                <w:szCs w:val="18"/>
              </w:rPr>
            </w:pPr>
            <w:r w:rsidRPr="000C7472">
              <w:rPr>
                <w:sz w:val="18"/>
                <w:szCs w:val="18"/>
              </w:rPr>
              <w:t>TDS</w:t>
            </w:r>
          </w:p>
        </w:tc>
        <w:tc>
          <w:tcPr>
            <w:tcW w:w="6612" w:type="dxa"/>
          </w:tcPr>
          <w:p w14:paraId="1304F847" w14:textId="1EA2C4F6" w:rsidR="00980CB4" w:rsidRPr="000C7472" w:rsidRDefault="00980CB4" w:rsidP="00980CB4">
            <w:pPr>
              <w:pStyle w:val="BodyText"/>
              <w:spacing w:before="60" w:after="60" w:line="300" w:lineRule="auto"/>
              <w:rPr>
                <w:sz w:val="18"/>
                <w:szCs w:val="18"/>
              </w:rPr>
            </w:pPr>
            <w:r w:rsidRPr="000C7472">
              <w:rPr>
                <w:sz w:val="18"/>
                <w:szCs w:val="18"/>
              </w:rPr>
              <w:t>Total Dissolved Solids</w:t>
            </w:r>
          </w:p>
        </w:tc>
      </w:tr>
      <w:tr w:rsidR="00A377D9" w:rsidRPr="00F27835" w14:paraId="332DBA57" w14:textId="77777777" w:rsidTr="00644EED">
        <w:tc>
          <w:tcPr>
            <w:tcW w:w="2405" w:type="dxa"/>
          </w:tcPr>
          <w:p w14:paraId="0CDEF41C" w14:textId="58B60753" w:rsidR="00A377D9" w:rsidRPr="000C7472" w:rsidRDefault="00934D32" w:rsidP="00980CB4">
            <w:pPr>
              <w:pStyle w:val="BodyText"/>
              <w:spacing w:before="60" w:after="60" w:line="300" w:lineRule="auto"/>
              <w:rPr>
                <w:sz w:val="18"/>
                <w:szCs w:val="18"/>
              </w:rPr>
            </w:pPr>
            <w:r w:rsidRPr="000C7472">
              <w:rPr>
                <w:sz w:val="18"/>
                <w:szCs w:val="18"/>
              </w:rPr>
              <w:t>ToR</w:t>
            </w:r>
          </w:p>
        </w:tc>
        <w:tc>
          <w:tcPr>
            <w:tcW w:w="6612" w:type="dxa"/>
          </w:tcPr>
          <w:p w14:paraId="604787B3" w14:textId="5D68F9CB" w:rsidR="00A377D9" w:rsidRPr="000C7472" w:rsidRDefault="00934D32" w:rsidP="00980CB4">
            <w:pPr>
              <w:pStyle w:val="BodyText"/>
              <w:spacing w:before="60" w:after="60" w:line="300" w:lineRule="auto"/>
              <w:rPr>
                <w:sz w:val="18"/>
                <w:szCs w:val="18"/>
              </w:rPr>
            </w:pPr>
            <w:r w:rsidRPr="000C7472">
              <w:rPr>
                <w:sz w:val="18"/>
                <w:szCs w:val="18"/>
              </w:rPr>
              <w:t>Terms of Reference</w:t>
            </w:r>
          </w:p>
        </w:tc>
      </w:tr>
      <w:tr w:rsidR="00672005" w:rsidRPr="00F27835" w14:paraId="508B2482" w14:textId="77777777" w:rsidTr="00644EED">
        <w:tc>
          <w:tcPr>
            <w:tcW w:w="2405" w:type="dxa"/>
          </w:tcPr>
          <w:p w14:paraId="7C98AF3C" w14:textId="1AEE120B" w:rsidR="00672005" w:rsidRPr="000C7472" w:rsidRDefault="00672005" w:rsidP="00980CB4">
            <w:pPr>
              <w:pStyle w:val="BodyText"/>
              <w:spacing w:before="60" w:after="60" w:line="300" w:lineRule="auto"/>
              <w:rPr>
                <w:sz w:val="18"/>
                <w:szCs w:val="18"/>
              </w:rPr>
            </w:pPr>
            <w:r w:rsidRPr="000C7472">
              <w:rPr>
                <w:sz w:val="18"/>
                <w:szCs w:val="18"/>
              </w:rPr>
              <w:t>Vulnerability</w:t>
            </w:r>
          </w:p>
        </w:tc>
        <w:tc>
          <w:tcPr>
            <w:tcW w:w="6612" w:type="dxa"/>
          </w:tcPr>
          <w:p w14:paraId="08877B20" w14:textId="101A8ECB" w:rsidR="00672005" w:rsidRPr="000C7472" w:rsidRDefault="00672005" w:rsidP="00980CB4">
            <w:pPr>
              <w:pStyle w:val="BodyText"/>
              <w:spacing w:before="60" w:after="60" w:line="300" w:lineRule="auto"/>
              <w:rPr>
                <w:sz w:val="18"/>
                <w:szCs w:val="18"/>
              </w:rPr>
            </w:pPr>
            <w:r w:rsidRPr="000C7472">
              <w:rPr>
                <w:sz w:val="18"/>
                <w:szCs w:val="18"/>
              </w:rPr>
              <w:t>The geographical or physical conditions that increases the susceptibility of the environment to a hazard or to the impact of a hazard event.</w:t>
            </w:r>
          </w:p>
        </w:tc>
      </w:tr>
    </w:tbl>
    <w:p w14:paraId="57A67B9A" w14:textId="4D424951" w:rsidR="000C7472" w:rsidRDefault="000C7472" w:rsidP="000C7472">
      <w:pPr>
        <w:pStyle w:val="BodyText"/>
      </w:pPr>
      <w:r>
        <w:br w:type="page"/>
      </w:r>
    </w:p>
    <w:p w14:paraId="20C45AF8" w14:textId="18964374" w:rsidR="00F27835" w:rsidRDefault="000C7472" w:rsidP="000C7472">
      <w:pPr>
        <w:pStyle w:val="Heading1NoNumbers"/>
      </w:pPr>
      <w:bookmarkStart w:id="4" w:name="_Toc87278306"/>
      <w:r>
        <w:lastRenderedPageBreak/>
        <w:t>Executive summary</w:t>
      </w:r>
      <w:bookmarkEnd w:id="4"/>
    </w:p>
    <w:p w14:paraId="61F21004" w14:textId="4042FB25" w:rsidR="00B35374" w:rsidRDefault="00B35374" w:rsidP="00B35374">
      <w:r w:rsidRPr="00740CEB">
        <w:t xml:space="preserve">As part of the </w:t>
      </w:r>
      <w:r w:rsidRPr="002F53D0">
        <w:t>Independent Expert Scientific Committee on Coal Seam Gas and Large Coal Mining Development (IESC)</w:t>
      </w:r>
      <w:r>
        <w:t xml:space="preserve"> </w:t>
      </w:r>
      <w:r w:rsidRPr="00740CEB">
        <w:t xml:space="preserve">research priorities, the </w:t>
      </w:r>
      <w:r w:rsidR="003654C9">
        <w:t>C</w:t>
      </w:r>
      <w:r>
        <w:t>ommittee</w:t>
      </w:r>
      <w:r w:rsidRPr="00740CEB">
        <w:t xml:space="preserve"> is aiming to increase the understanding of residual (final) coal mine voids in Queensland through a scoping study to identify the location and potential impacts of </w:t>
      </w:r>
      <w:r>
        <w:t xml:space="preserve">these features </w:t>
      </w:r>
      <w:r w:rsidRPr="00740CEB">
        <w:t>within the landscape. The Office of Water Science (OWS) is assisting the IESC to undertake this scoping study, the outcomes of which are documented in this report.</w:t>
      </w:r>
    </w:p>
    <w:p w14:paraId="1E5D4851" w14:textId="69259BD1" w:rsidR="00B35374" w:rsidRDefault="00B35374" w:rsidP="00B35374">
      <w:r>
        <w:t>The scoping study consisted of the following approach</w:t>
      </w:r>
      <w:r w:rsidR="002F27A2">
        <w:t>.</w:t>
      </w:r>
    </w:p>
    <w:p w14:paraId="372351BF" w14:textId="5647AE3F" w:rsidR="00BC25D0" w:rsidRDefault="00B35374" w:rsidP="00BC25D0">
      <w:pPr>
        <w:pStyle w:val="BodyText"/>
        <w:numPr>
          <w:ilvl w:val="0"/>
          <w:numId w:val="34"/>
        </w:numPr>
        <w:spacing w:before="80" w:after="80"/>
      </w:pPr>
      <w:r>
        <w:t>Development of a database (and accompanying spatial files) of current open</w:t>
      </w:r>
      <w:r w:rsidR="002F27A2">
        <w:t>-cut</w:t>
      </w:r>
      <w:r>
        <w:t xml:space="preserve"> coal pits in Queensland and characterisation of the vulnerability to potential impacts these features may present in the landscape in their final form and at a cumulative scale. </w:t>
      </w:r>
      <w:r w:rsidR="00BC25D0">
        <w:t>The contents of the database (as defined in the scope of works) consists of:</w:t>
      </w:r>
    </w:p>
    <w:p w14:paraId="61CEC410" w14:textId="00AFE434" w:rsidR="00BC25D0" w:rsidRDefault="002F27A2" w:rsidP="00BC25D0">
      <w:pPr>
        <w:pStyle w:val="BodyText"/>
        <w:numPr>
          <w:ilvl w:val="1"/>
          <w:numId w:val="34"/>
        </w:numPr>
        <w:spacing w:before="80" w:after="80"/>
      </w:pPr>
      <w:r>
        <w:t>i</w:t>
      </w:r>
      <w:r w:rsidR="00BC25D0">
        <w:t xml:space="preserve">dentification and definition </w:t>
      </w:r>
      <w:r w:rsidR="005F6776">
        <w:t xml:space="preserve">of </w:t>
      </w:r>
      <w:r w:rsidR="00BC25D0">
        <w:t>current and proposed open</w:t>
      </w:r>
      <w:r>
        <w:t>-cut</w:t>
      </w:r>
      <w:r w:rsidR="00BC25D0">
        <w:t xml:space="preserve"> coal pits in Queensland that have E</w:t>
      </w:r>
      <w:r>
        <w:t xml:space="preserve">nvironmental </w:t>
      </w:r>
      <w:r w:rsidR="00BC25D0">
        <w:t>A</w:t>
      </w:r>
      <w:r>
        <w:t>pproval (EA)</w:t>
      </w:r>
      <w:r w:rsidR="00BC25D0">
        <w:t xml:space="preserve"> records, including rehabilitation planning conditions</w:t>
      </w:r>
      <w:r>
        <w:t>;</w:t>
      </w:r>
    </w:p>
    <w:p w14:paraId="47840327" w14:textId="7DC2D0EA" w:rsidR="00BC25D0" w:rsidRDefault="002F27A2" w:rsidP="00BC25D0">
      <w:pPr>
        <w:pStyle w:val="BodyText"/>
        <w:numPr>
          <w:ilvl w:val="1"/>
          <w:numId w:val="34"/>
        </w:numPr>
        <w:spacing w:before="80" w:after="80"/>
      </w:pPr>
      <w:r>
        <w:t>d</w:t>
      </w:r>
      <w:r w:rsidR="00BC25D0">
        <w:t>igitisation of current open</w:t>
      </w:r>
      <w:r>
        <w:t>-cut</w:t>
      </w:r>
      <w:r w:rsidR="00BC25D0">
        <w:t xml:space="preserve"> pit coal areas for those sites with sufficient information to enable digitisation</w:t>
      </w:r>
      <w:r>
        <w:t>; and</w:t>
      </w:r>
    </w:p>
    <w:p w14:paraId="084FB81E" w14:textId="35D58F87" w:rsidR="00BC25D0" w:rsidRDefault="002F27A2" w:rsidP="00BC25D0">
      <w:pPr>
        <w:pStyle w:val="BodyText"/>
        <w:numPr>
          <w:ilvl w:val="1"/>
          <w:numId w:val="34"/>
        </w:numPr>
        <w:spacing w:before="80" w:after="80"/>
      </w:pPr>
      <w:r>
        <w:t>d</w:t>
      </w:r>
      <w:r w:rsidR="00BC25D0">
        <w:t>efinition of landform, geological, hydrological, hydrogeological and ecological attributes of each current open pit coal area.</w:t>
      </w:r>
    </w:p>
    <w:p w14:paraId="2FF6E1C3" w14:textId="162094F9" w:rsidR="00BC25D0" w:rsidRDefault="00BC25D0" w:rsidP="00BC25D0">
      <w:pPr>
        <w:pStyle w:val="BodyText"/>
        <w:numPr>
          <w:ilvl w:val="0"/>
          <w:numId w:val="34"/>
        </w:numPr>
        <w:spacing w:before="80" w:after="80"/>
        <w:ind w:left="714" w:hanging="357"/>
      </w:pPr>
      <w:r>
        <w:t>Case study analysis of residual coal mine voids for four selected mine sites (Olive Downs, Middlemount, Jellinbah and Ensham). The characterisation of each case study (as defined in the scope of works) consisted of:</w:t>
      </w:r>
    </w:p>
    <w:p w14:paraId="2D3FC125" w14:textId="7EF83FF1" w:rsidR="00BC25D0" w:rsidRDefault="002F27A2" w:rsidP="00BC25D0">
      <w:pPr>
        <w:pStyle w:val="BodyText"/>
        <w:numPr>
          <w:ilvl w:val="1"/>
          <w:numId w:val="34"/>
        </w:numPr>
        <w:spacing w:before="80" w:after="80"/>
      </w:pPr>
      <w:r>
        <w:t>d</w:t>
      </w:r>
      <w:r w:rsidR="00BC25D0">
        <w:t>imensions and design features</w:t>
      </w:r>
      <w:r>
        <w:t>;</w:t>
      </w:r>
    </w:p>
    <w:p w14:paraId="65F87B4D" w14:textId="405F6AFB" w:rsidR="00FD7EAB" w:rsidRDefault="002F27A2" w:rsidP="00FD7EAB">
      <w:pPr>
        <w:pStyle w:val="BodyText"/>
        <w:numPr>
          <w:ilvl w:val="1"/>
          <w:numId w:val="34"/>
        </w:numPr>
        <w:spacing w:before="80" w:after="80"/>
      </w:pPr>
      <w:r>
        <w:t>p</w:t>
      </w:r>
      <w:r w:rsidR="00BC25D0">
        <w:t>redicted equilibrated flow regime</w:t>
      </w:r>
      <w:r w:rsidR="00FD7EAB">
        <w:t xml:space="preserve"> (including </w:t>
      </w:r>
      <w:r w:rsidR="00FD7EAB" w:rsidRPr="008670A9">
        <w:rPr>
          <w:u w:val="single"/>
        </w:rPr>
        <w:t>inflows</w:t>
      </w:r>
      <w:r w:rsidR="00FD7EAB">
        <w:t xml:space="preserve">: groundwater inflow and seepage from overburden, direct precipitation, catchment run-off and surface water diversions and </w:t>
      </w:r>
      <w:r w:rsidR="00FD7EAB" w:rsidRPr="008670A9">
        <w:rPr>
          <w:u w:val="single"/>
        </w:rPr>
        <w:t>outflows</w:t>
      </w:r>
      <w:r w:rsidR="00FD7EAB">
        <w:t>: evaporative losses, groundwater and surface water outflows)</w:t>
      </w:r>
      <w:r>
        <w:t>;</w:t>
      </w:r>
    </w:p>
    <w:p w14:paraId="40B7D3B4" w14:textId="09452EDE" w:rsidR="00BC25D0" w:rsidRDefault="002F27A2" w:rsidP="00BC25D0">
      <w:pPr>
        <w:pStyle w:val="BodyText"/>
        <w:numPr>
          <w:ilvl w:val="1"/>
          <w:numId w:val="34"/>
        </w:numPr>
        <w:spacing w:before="80" w:after="80"/>
      </w:pPr>
      <w:r>
        <w:t>p</w:t>
      </w:r>
      <w:r w:rsidR="00BC25D0">
        <w:t>otential water quantity and quality impacts</w:t>
      </w:r>
      <w:r>
        <w:t>;</w:t>
      </w:r>
    </w:p>
    <w:p w14:paraId="674172AA" w14:textId="7B3D6363" w:rsidR="00BC25D0" w:rsidRDefault="002F27A2" w:rsidP="00BC25D0">
      <w:pPr>
        <w:pStyle w:val="BodyText"/>
        <w:numPr>
          <w:ilvl w:val="1"/>
          <w:numId w:val="34"/>
        </w:numPr>
        <w:spacing w:before="80" w:after="80"/>
      </w:pPr>
      <w:r>
        <w:t>r</w:t>
      </w:r>
      <w:r w:rsidR="00BC25D0">
        <w:t>ehabilitation planning and successes</w:t>
      </w:r>
      <w:r>
        <w:t>; and</w:t>
      </w:r>
    </w:p>
    <w:p w14:paraId="7AB21B4E" w14:textId="7D1AC48C" w:rsidR="00BC25D0" w:rsidRDefault="002F27A2" w:rsidP="00BC25D0">
      <w:pPr>
        <w:pStyle w:val="BodyText"/>
        <w:numPr>
          <w:ilvl w:val="1"/>
          <w:numId w:val="34"/>
        </w:numPr>
        <w:spacing w:before="80" w:after="80"/>
      </w:pPr>
      <w:r>
        <w:t>r</w:t>
      </w:r>
      <w:r w:rsidR="00BC25D0">
        <w:t>isk mitigation and management measures.</w:t>
      </w:r>
    </w:p>
    <w:p w14:paraId="225C21A7" w14:textId="06F32B2B" w:rsidR="00B35374" w:rsidRPr="002F53D0" w:rsidRDefault="00B35374" w:rsidP="00AA4C36">
      <w:pPr>
        <w:pStyle w:val="BodyText"/>
        <w:numPr>
          <w:ilvl w:val="0"/>
          <w:numId w:val="34"/>
        </w:numPr>
        <w:spacing w:before="80" w:after="80"/>
        <w:ind w:left="714" w:hanging="357"/>
      </w:pPr>
      <w:r w:rsidRPr="002F53D0">
        <w:t>Develop</w:t>
      </w:r>
      <w:r>
        <w:t>ment of</w:t>
      </w:r>
      <w:r w:rsidRPr="002F53D0">
        <w:t xml:space="preserve"> a high-level approach for consideration by the IESC </w:t>
      </w:r>
      <w:r w:rsidR="00BC25D0">
        <w:t xml:space="preserve">(as defined in the scope of works) </w:t>
      </w:r>
      <w:r w:rsidRPr="002F53D0">
        <w:t>for use in assessing open</w:t>
      </w:r>
      <w:r w:rsidR="002F27A2">
        <w:t>-</w:t>
      </w:r>
      <w:r w:rsidRPr="002F53D0">
        <w:t>cut coal mine development proposals</w:t>
      </w:r>
      <w:r>
        <w:t xml:space="preserve"> and amendments</w:t>
      </w:r>
      <w:r w:rsidRPr="002F53D0">
        <w:t>, with reference to</w:t>
      </w:r>
      <w:r>
        <w:t xml:space="preserve"> characterising </w:t>
      </w:r>
      <w:r w:rsidRPr="002F53D0">
        <w:t>the risks of residual coal mine voids on water resources and the receiving environment.</w:t>
      </w:r>
    </w:p>
    <w:p w14:paraId="4383C9A7" w14:textId="0F0A891B" w:rsidR="00B35374" w:rsidRDefault="00B35374" w:rsidP="00B35374">
      <w:r>
        <w:t xml:space="preserve">The database of current </w:t>
      </w:r>
      <w:r w:rsidR="00CA2F41">
        <w:t xml:space="preserve">(February 2021) </w:t>
      </w:r>
      <w:r>
        <w:t>open</w:t>
      </w:r>
      <w:r w:rsidR="002F27A2">
        <w:t>-</w:t>
      </w:r>
      <w:r>
        <w:t>cut coal mines in Queensland is documented in an Excel file, as an accompaniment to this report. Esri Shape files and K</w:t>
      </w:r>
      <w:r w:rsidR="00CC4CCF">
        <w:t>MZ</w:t>
      </w:r>
      <w:r>
        <w:t xml:space="preserve"> files of the digitised coal mine pits, including key attributes that can be uploaded by the user to Queensland Globe</w:t>
      </w:r>
      <w:r w:rsidR="005F6776">
        <w:t>,</w:t>
      </w:r>
      <w:r>
        <w:t xml:space="preserve"> are also provided as part of the scoping study outputs. </w:t>
      </w:r>
      <w:bookmarkStart w:id="5" w:name="_Hlk59464411"/>
      <w:r>
        <w:t>A total of 71 EA records are associated with open</w:t>
      </w:r>
      <w:r w:rsidR="002F27A2">
        <w:t>-</w:t>
      </w:r>
      <w:r>
        <w:t xml:space="preserve">cut coal mining in </w:t>
      </w:r>
      <w:bookmarkEnd w:id="5"/>
      <w:r>
        <w:t xml:space="preserve">Queensland, consisting of 12 that are currently in pre-construction and 45 in operation. A total of 50 EA records have conditions concerning residual voids and environmental harm, 20 do not and 1 is currently in application. A total of 39 EA records are required to have a rehabilitation management plan, 31 do not and 1 is currently in application. </w:t>
      </w:r>
    </w:p>
    <w:p w14:paraId="31DBD82C" w14:textId="40CBF560" w:rsidR="00B35374" w:rsidRDefault="00B35374" w:rsidP="00B35374">
      <w:r>
        <w:t>Sufficient information was available to enable the digitisation of 128 current open-cut coal pits associated with 57 EA records. The planimetric areas of the open</w:t>
      </w:r>
      <w:r w:rsidR="005B54FE">
        <w:t>-cut</w:t>
      </w:r>
      <w:r>
        <w:t xml:space="preserve"> coal pits digitised totals </w:t>
      </w:r>
      <w:r>
        <w:br/>
      </w:r>
      <w:r w:rsidR="003A7B54" w:rsidRPr="005B54FE">
        <w:t>100,892</w:t>
      </w:r>
      <w:r w:rsidRPr="005B54FE">
        <w:t xml:space="preserve"> hectares (ha),</w:t>
      </w:r>
      <w:r>
        <w:t xml:space="preserve"> varying between approximately 8 ha and 24,405 ha, and averaging </w:t>
      </w:r>
      <w:r w:rsidRPr="005B54FE">
        <w:t xml:space="preserve">approximately </w:t>
      </w:r>
      <w:r w:rsidR="003A7B54" w:rsidRPr="005B54FE">
        <w:t>827</w:t>
      </w:r>
      <w:r w:rsidRPr="005B54FE">
        <w:t xml:space="preserve"> ha.</w:t>
      </w:r>
      <w:r>
        <w:t xml:space="preserve"> </w:t>
      </w:r>
      <w:r w:rsidR="00195785">
        <w:t>It should be noted that t</w:t>
      </w:r>
      <w:r w:rsidR="00F729BA">
        <w:t xml:space="preserve">he reported areas </w:t>
      </w:r>
      <w:r w:rsidR="00F729BA" w:rsidRPr="00F729BA">
        <w:t>do</w:t>
      </w:r>
      <w:r w:rsidR="00F729BA">
        <w:t xml:space="preserve"> not necessarily reflect </w:t>
      </w:r>
      <w:r w:rsidR="00F729BA" w:rsidRPr="00F729BA">
        <w:t xml:space="preserve">future residual coal mine voids that may remain in the landscape following mining cessation. </w:t>
      </w:r>
      <w:r w:rsidR="00F729BA">
        <w:t>T</w:t>
      </w:r>
      <w:r w:rsidR="00F729BA" w:rsidRPr="00F729BA">
        <w:t xml:space="preserve">he size of </w:t>
      </w:r>
      <w:r w:rsidR="00F729BA">
        <w:t>any residual voids left at the conclusion of open</w:t>
      </w:r>
      <w:r w:rsidR="005A6CFA">
        <w:t>-</w:t>
      </w:r>
      <w:r w:rsidR="00F729BA">
        <w:t>cut mining will be</w:t>
      </w:r>
      <w:r w:rsidR="00F729BA" w:rsidRPr="00F729BA">
        <w:t xml:space="preserve"> dictated by the depth of the open</w:t>
      </w:r>
      <w:r w:rsidR="005A6CFA">
        <w:t>-</w:t>
      </w:r>
      <w:r w:rsidR="00F729BA" w:rsidRPr="00F729BA">
        <w:t>cut, final slope design criteria, the extent of waste emplacement within the voids, mining sequencing and rehabilitation commitments.</w:t>
      </w:r>
      <w:r w:rsidR="00F729BA">
        <w:t xml:space="preserve"> The area of a residual void defined by the void’s equilibrium water level and/or spill elevation will be less than the planimetric area of the void remaining in the landscape. </w:t>
      </w:r>
    </w:p>
    <w:p w14:paraId="5A00D4EB" w14:textId="6B91352B" w:rsidR="00B35374" w:rsidRDefault="00B35374" w:rsidP="00B35374">
      <w:r>
        <w:t xml:space="preserve">The existing open-cut coal pits are largely situated in the </w:t>
      </w:r>
      <w:r w:rsidR="00981CD4">
        <w:t>Permo-Triassic</w:t>
      </w:r>
      <w:r>
        <w:t xml:space="preserve"> Bowen Basin, in the northeast part of the State, within the North East Coast drainage division. A large proportion of the </w:t>
      </w:r>
      <w:r>
        <w:lastRenderedPageBreak/>
        <w:t xml:space="preserve">pits (94 in total) are located in the Fitzroy </w:t>
      </w:r>
      <w:r w:rsidR="005A6CFA">
        <w:t xml:space="preserve">River </w:t>
      </w:r>
      <w:r>
        <w:t xml:space="preserve">(drainage) Basin, with the Isaac River </w:t>
      </w:r>
      <w:r w:rsidR="003654C9">
        <w:t>C</w:t>
      </w:r>
      <w:r>
        <w:t xml:space="preserve">atchment holding 39 pits and the MacKenzie River </w:t>
      </w:r>
      <w:r w:rsidR="003654C9">
        <w:t>C</w:t>
      </w:r>
      <w:r>
        <w:t>atchment holding 23 pits.</w:t>
      </w:r>
    </w:p>
    <w:p w14:paraId="6CF51967" w14:textId="2FCD89A9" w:rsidR="00B35374" w:rsidRDefault="00B35374" w:rsidP="00B35374">
      <w:r>
        <w:t xml:space="preserve">The high evaporation rates in most of Queensland, relative to rainfall, are such that with design features that minimise surface run-off into the void (e.g. land contouring and drainage diversions away from the void), large residual voids are likely to equilibrate to terminal sink </w:t>
      </w:r>
      <w:r w:rsidR="005A6CFA">
        <w:t xml:space="preserve">groundwater </w:t>
      </w:r>
      <w:r>
        <w:t>flow regimes with water qualities that exhibit increasing salt (and possibly acidity and metal) concentrations over time.</w:t>
      </w:r>
    </w:p>
    <w:p w14:paraId="11DC830D" w14:textId="3E0AD0F2" w:rsidR="00B35374" w:rsidRDefault="00B35374" w:rsidP="00B35374">
      <w:r>
        <w:t xml:space="preserve">A range of variables may affect the </w:t>
      </w:r>
      <w:r w:rsidR="005A6CFA">
        <w:t xml:space="preserve">groundwater </w:t>
      </w:r>
      <w:r>
        <w:t xml:space="preserve">flow regime of a residual void </w:t>
      </w:r>
      <w:r w:rsidR="00FD7EAB">
        <w:t xml:space="preserve">(i.e. </w:t>
      </w:r>
      <w:r>
        <w:t>over time and</w:t>
      </w:r>
      <w:r w:rsidR="00DB4F39">
        <w:t xml:space="preserve"> hence</w:t>
      </w:r>
      <w:r>
        <w:t xml:space="preserve"> its associated risks to the receiving environment. Such variables will require consideration on a site-by-site basis, and </w:t>
      </w:r>
      <w:r w:rsidR="00DB4F39">
        <w:t>should consider that</w:t>
      </w:r>
      <w:r>
        <w:t xml:space="preserve">: </w:t>
      </w:r>
    </w:p>
    <w:p w14:paraId="539C3C4C" w14:textId="089BF507" w:rsidR="00B35374" w:rsidRDefault="005A6CFA" w:rsidP="00AA4C36">
      <w:pPr>
        <w:pStyle w:val="BodyText"/>
        <w:numPr>
          <w:ilvl w:val="0"/>
          <w:numId w:val="34"/>
        </w:numPr>
        <w:spacing w:before="80" w:after="80"/>
        <w:ind w:left="714" w:hanging="357"/>
      </w:pPr>
      <w:r>
        <w:t>t</w:t>
      </w:r>
      <w:r w:rsidR="00B35374">
        <w:t xml:space="preserve">he residual void </w:t>
      </w:r>
      <w:r>
        <w:t xml:space="preserve">groundwater </w:t>
      </w:r>
      <w:r w:rsidR="00B35374">
        <w:t xml:space="preserve">flow regime (even at equilibrium or quasi-equilibrium conditions) will respond dynamically to changes in precipitation and evaporation rates that may occur at seasonal time scales. Longer-term climate changes may also affect the evolution of the residual void’s </w:t>
      </w:r>
      <w:r>
        <w:t xml:space="preserve">groundwater </w:t>
      </w:r>
      <w:r w:rsidR="00B35374">
        <w:t>flow regime and conditions that prevail at equilibrium</w:t>
      </w:r>
      <w:r>
        <w:t>; and</w:t>
      </w:r>
    </w:p>
    <w:p w14:paraId="2BC220C1" w14:textId="6213B10F" w:rsidR="00B35374" w:rsidRDefault="005A6CFA" w:rsidP="00AA4C36">
      <w:pPr>
        <w:pStyle w:val="BodyText"/>
        <w:numPr>
          <w:ilvl w:val="0"/>
          <w:numId w:val="34"/>
        </w:numPr>
        <w:spacing w:before="80" w:after="80"/>
        <w:ind w:left="714" w:hanging="357"/>
      </w:pPr>
      <w:r>
        <w:t>w</w:t>
      </w:r>
      <w:r w:rsidR="00B35374">
        <w:t xml:space="preserve">hile the lateral hydraulic gradient in a terminal sink </w:t>
      </w:r>
      <w:r>
        <w:t xml:space="preserve">groundwater </w:t>
      </w:r>
      <w:r w:rsidR="00B35374">
        <w:t xml:space="preserve">flow regime is expected to prevent potentially saline or contaminated </w:t>
      </w:r>
      <w:r>
        <w:t>ground</w:t>
      </w:r>
      <w:r w:rsidR="00B35374">
        <w:t>water migrating into surrounding aquifers, several factors (i.e. potential for density driven flow rever</w:t>
      </w:r>
      <w:r w:rsidR="007F538E">
        <w:t>s</w:t>
      </w:r>
      <w:r w:rsidR="00B35374">
        <w:t xml:space="preserve">ing hydraulic gradients, geological fault structures) have the potential to alter </w:t>
      </w:r>
      <w:r>
        <w:t xml:space="preserve">groundwater </w:t>
      </w:r>
      <w:r w:rsidR="00B35374">
        <w:t xml:space="preserve">flow processes at equilibrium and their potential risk in the long-term. </w:t>
      </w:r>
    </w:p>
    <w:p w14:paraId="516F4A3A" w14:textId="483345FD" w:rsidR="00B35374" w:rsidRDefault="00B35374" w:rsidP="00B35374">
      <w:r>
        <w:t>An important part in understanding potential impacts and decisions regarding rehabilitation planning and management of residual voids will be the time scale (e.g. decades, centuries or millennia) over which equilibrium or quasi-equilibrium conditions will take to be reached</w:t>
      </w:r>
      <w:r w:rsidR="005B54FE">
        <w:t>,</w:t>
      </w:r>
      <w:r>
        <w:t xml:space="preserve"> and the evolution and rate of change of the flow regime during this time. These aspects will also require consideration on a site-by-site basis</w:t>
      </w:r>
      <w:r w:rsidR="00FD7EAB">
        <w:t>, noting that</w:t>
      </w:r>
      <w:r w:rsidR="00FD7EAB" w:rsidRPr="00FD7EAB">
        <w:t xml:space="preserve"> rehabilitation requirements </w:t>
      </w:r>
      <w:r w:rsidR="00FD7EAB">
        <w:t xml:space="preserve">will change </w:t>
      </w:r>
      <w:r w:rsidR="00FD7EAB" w:rsidRPr="00FD7EAB">
        <w:t>as these features evolve towards equilibrium conditions.</w:t>
      </w:r>
    </w:p>
    <w:p w14:paraId="357F832A" w14:textId="507BE819" w:rsidR="00B35374" w:rsidRDefault="00B35374" w:rsidP="00B35374">
      <w:r>
        <w:t xml:space="preserve">Temporary flooding of residual voids (in particular, those with terminal sink </w:t>
      </w:r>
      <w:r w:rsidR="005A6CFA">
        <w:t xml:space="preserve">groundwater </w:t>
      </w:r>
      <w:r>
        <w:t xml:space="preserve">flow regimes) has the </w:t>
      </w:r>
      <w:r w:rsidRPr="009D2444">
        <w:t xml:space="preserve">potential to spill poor quality water onto surrounding land or </w:t>
      </w:r>
      <w:r w:rsidR="00DB4F39">
        <w:t xml:space="preserve">into </w:t>
      </w:r>
      <w:r w:rsidRPr="009D2444">
        <w:t xml:space="preserve">receiving groundwater and river systems. Residual voids situated within floodplain areas are considered </w:t>
      </w:r>
      <w:r w:rsidR="00DB4F39">
        <w:t xml:space="preserve">particularly </w:t>
      </w:r>
      <w:r w:rsidRPr="009D2444">
        <w:t>vulnerable to flooding events. Approximately 44% of the current open pits digitised as part of the scoping study (56 in total) are indicated to be situated in potential flood hazard areas.</w:t>
      </w:r>
      <w:r>
        <w:t xml:space="preserve"> </w:t>
      </w:r>
    </w:p>
    <w:p w14:paraId="77D7B1E7" w14:textId="287C6A09" w:rsidR="00B35374" w:rsidRDefault="00B35374" w:rsidP="00B35374">
      <w:r w:rsidRPr="000A68F3">
        <w:t>Minor streams are generally located less than 2 km from current open</w:t>
      </w:r>
      <w:r w:rsidR="005A6CFA">
        <w:t>-cut</w:t>
      </w:r>
      <w:r w:rsidRPr="000A68F3">
        <w:t xml:space="preserve"> coal pits, with 57 pits indicated to be intersected by minor streams. Major streams are distributed across a range of distances from current open</w:t>
      </w:r>
      <w:r w:rsidR="005A6CFA">
        <w:t>-cut</w:t>
      </w:r>
      <w:r w:rsidRPr="000A68F3">
        <w:t xml:space="preserve"> coal pits, from intersection to distances over 16 km. Any minor or major stream that intersects an operational open</w:t>
      </w:r>
      <w:r w:rsidR="005A6CFA">
        <w:t>-</w:t>
      </w:r>
      <w:r w:rsidRPr="000A68F3">
        <w:t xml:space="preserve">cut </w:t>
      </w:r>
      <w:r w:rsidR="005A6CFA">
        <w:t xml:space="preserve">coal pit </w:t>
      </w:r>
      <w:r w:rsidRPr="000A68F3">
        <w:t>is expected to be diverted either temporarily or permanently.</w:t>
      </w:r>
    </w:p>
    <w:p w14:paraId="28D0EE58" w14:textId="2ECB5147" w:rsidR="00B35374" w:rsidRDefault="00B35374" w:rsidP="00B35374">
      <w:r>
        <w:t>From a cumulative perspective, most of the current open</w:t>
      </w:r>
      <w:r w:rsidR="005A6CFA">
        <w:t>-cut</w:t>
      </w:r>
      <w:r>
        <w:t xml:space="preserve"> coal pits indicated to be in potential flood hazard areas occur in the Fitzroy Basin (44 pits), with the Isaac River </w:t>
      </w:r>
      <w:r w:rsidR="003654C9">
        <w:t>C</w:t>
      </w:r>
      <w:r>
        <w:t xml:space="preserve">atchment accounting for 18 pits and the MacKenzie River </w:t>
      </w:r>
      <w:r w:rsidR="003654C9">
        <w:t>C</w:t>
      </w:r>
      <w:r>
        <w:t>atchment accounting for 16 pits. These catchments also have the highest number of minor and major streams in close proximity to current open</w:t>
      </w:r>
      <w:r w:rsidR="005A6CFA">
        <w:t>-cut</w:t>
      </w:r>
      <w:r>
        <w:t xml:space="preserve"> coal pits. Ultimately, understanding the risk these features pose in the landscape from flooding events will require a consideration of the final void design, including the overland flow and flood protection design features that will remain or be engineered at mine closure.</w:t>
      </w:r>
    </w:p>
    <w:p w14:paraId="72547085" w14:textId="54F08863" w:rsidR="00B35374" w:rsidRDefault="00B35374" w:rsidP="00B35374">
      <w:r>
        <w:t xml:space="preserve">Of the case studies explored, Olive Downs, Middlemount and Jellinbah coal mines will each have multiple residual voids remaining in the landscape post-mining that were assessed by the operators to ultimately equilibrate to terminal sink </w:t>
      </w:r>
      <w:r w:rsidR="005A6CFA">
        <w:t xml:space="preserve">groundwater </w:t>
      </w:r>
      <w:r>
        <w:t xml:space="preserve">flow regimes with ‘pit lake’ levels equilibrating below overflow levels and reaching hypersaline conditions </w:t>
      </w:r>
      <w:r w:rsidR="00175937">
        <w:t xml:space="preserve">(i.e. &gt; 35,000 mg/L total dissolved solids, TDS) </w:t>
      </w:r>
      <w:r>
        <w:t xml:space="preserve">over variable timescales (i.e. 100-550 years). For these mine sites, residual voids situated in floodplain areas will incorporate design features to provide protection from flood waters up to and including a </w:t>
      </w:r>
      <w:r w:rsidRPr="001657FE">
        <w:t xml:space="preserve">Probable Maximum Flood </w:t>
      </w:r>
      <w:r>
        <w:t>(PMF) event (Olive Downs and Middlemount) or up to and including a 0.1% a</w:t>
      </w:r>
      <w:r w:rsidRPr="001657FE">
        <w:t xml:space="preserve">nnual exceedance probability </w:t>
      </w:r>
      <w:r>
        <w:t>(AEP) event (Jellinbah). The risk assessments reported for each of these case studies concluded that the residual void</w:t>
      </w:r>
      <w:r w:rsidR="00DC6D34">
        <w:t xml:space="preserve"> design</w:t>
      </w:r>
      <w:r>
        <w:t xml:space="preserve">s pose a low risk of environmental harm. </w:t>
      </w:r>
    </w:p>
    <w:p w14:paraId="2C6D9441" w14:textId="47FCB017" w:rsidR="00B35374" w:rsidRPr="0062754A" w:rsidRDefault="00B35374" w:rsidP="00B35374">
      <w:r>
        <w:lastRenderedPageBreak/>
        <w:t>The Ensham coal mine undertook a staged Residual Void Project (RVP) in accordance with the EA to evaluate three options for rehabilitation of the open-cut areas. The final (preferred) option, determined by way of a Triple Bottom Line Assessment (TBLA), was Option 2 – ‘Beneficial use’</w:t>
      </w:r>
      <w:r w:rsidR="00DC6D34">
        <w:t>,</w:t>
      </w:r>
      <w:r>
        <w:t xml:space="preserve"> which involves partial backfilling of the open-cuts to </w:t>
      </w:r>
      <w:r w:rsidR="007A07F2">
        <w:t>produce</w:t>
      </w:r>
      <w:r>
        <w:t xml:space="preserve"> rehabilitated landform</w:t>
      </w:r>
      <w:r w:rsidR="005B54FE">
        <w:t>s</w:t>
      </w:r>
      <w:r>
        <w:t>. The rehabilitated landforms that overlap the floodplain area will operate as groundwater sinks</w:t>
      </w:r>
      <w:r w:rsidR="007A07F2">
        <w:t>;</w:t>
      </w:r>
      <w:r>
        <w:t xml:space="preserve"> however</w:t>
      </w:r>
      <w:r w:rsidR="007A07F2">
        <w:t>,</w:t>
      </w:r>
      <w:r>
        <w:t xml:space="preserve"> the partial backfilling will reduce the area and volume of groundwater presenting (‘daylighting’) in the landscape. The two pits to the north of the floodplain area are designed such that the </w:t>
      </w:r>
      <w:r w:rsidR="007A07F2">
        <w:t xml:space="preserve">pit </w:t>
      </w:r>
      <w:r>
        <w:t xml:space="preserve">floor level is above stabilised groundwater levels and no groundwater will ‘daylight’. Each rehabilitated void will be isolated from the floodplain by the rehabilitated landforms providing flood immunity up to and </w:t>
      </w:r>
      <w:r w:rsidRPr="0062754A">
        <w:t>including a 0.1% AEP event. Similar to the other case studies, Ensham concluded that the rehabilitated landforms will pose a low risk of environmental harm.</w:t>
      </w:r>
    </w:p>
    <w:p w14:paraId="02DD57DC" w14:textId="609F9643" w:rsidR="00B35374" w:rsidRDefault="00B35374" w:rsidP="00B35374">
      <w:r w:rsidRPr="0062754A">
        <w:t xml:space="preserve">For each of the case studies, the characterisation of the residual void’s </w:t>
      </w:r>
      <w:r w:rsidR="007A07F2">
        <w:t xml:space="preserve">groundwater </w:t>
      </w:r>
      <w:r w:rsidRPr="0062754A">
        <w:t xml:space="preserve">flow regime and the assignment of risk relies on coupled analytical or numerical modelling that carries a range of assumptions/simplifications and a level of uncertainty (as identified by the IESC in their advice documents for the case studies). The actual </w:t>
      </w:r>
      <w:r w:rsidR="007A07F2">
        <w:t xml:space="preserve">groundwater </w:t>
      </w:r>
      <w:r w:rsidRPr="0062754A">
        <w:t>flow regime of the residual void may ultimately differ from the model predictions and pose a different level of risk to that assigned by the operator. Model updates and future validation with appropriate site-specific data will assist in overcoming some of the inherent uncertainties of modelling and the accompanying assessment of environmental risk.</w:t>
      </w:r>
    </w:p>
    <w:p w14:paraId="00804906" w14:textId="62EA49FB" w:rsidR="00B35374" w:rsidRDefault="00B35374" w:rsidP="00B35374">
      <w:r>
        <w:t>Post-relinquishment there remains a risk that the rehabilitated area or engineered structures may require management in perpetuity, or in some cases the structure may fail (e.g. due to seismic activity) and require remedial action to address or prevent potential environmental harm. Recent amendments to the Environmental Protection Act 1994 (Qld) (EP Act)</w:t>
      </w:r>
      <w:r w:rsidR="00170CC3" w:rsidRPr="00170CC3">
        <w:t xml:space="preserve"> </w:t>
      </w:r>
      <w:bookmarkStart w:id="6" w:name="_Hlk61947028"/>
      <w:r w:rsidR="00170CC3" w:rsidRPr="00170CC3">
        <w:t xml:space="preserve">have been made to minimise risks associated with project relinquishment requirements </w:t>
      </w:r>
      <w:r w:rsidR="00170CC3">
        <w:t>(</w:t>
      </w:r>
      <w:r w:rsidR="00170CC3" w:rsidRPr="00170CC3">
        <w:t>i.e. following completion of the project</w:t>
      </w:r>
      <w:r w:rsidR="00170CC3">
        <w:t>)</w:t>
      </w:r>
      <w:r w:rsidR="00170CC3" w:rsidRPr="00170CC3">
        <w:t xml:space="preserve">. Specifically, these include a residual risk framework that seeks to ensure that risks remaining on a resource site following completion of resource activities are identified, costed and managed. </w:t>
      </w:r>
      <w:r>
        <w:t xml:space="preserve"> </w:t>
      </w:r>
      <w:bookmarkEnd w:id="6"/>
    </w:p>
    <w:p w14:paraId="547E2434" w14:textId="05CFEC9F" w:rsidR="00B35374" w:rsidRDefault="00B35374" w:rsidP="00B35374">
      <w:r>
        <w:t xml:space="preserve">All </w:t>
      </w:r>
      <w:r w:rsidR="00AE308A">
        <w:t xml:space="preserve">of the </w:t>
      </w:r>
      <w:r>
        <w:t>case studies have developed their rehabilitation planning around Queensland Government policies, to achieve safe, non-polluting, stable landforms that are able to sustain a post-mining land use (PMLU), where one exists. The rehabilitation themes are consistent across the four case stud</w:t>
      </w:r>
      <w:r w:rsidR="00AE308A">
        <w:t xml:space="preserve">ies </w:t>
      </w:r>
      <w:r>
        <w:t>and includes final landform and re-shaping, safety, remediation of hazards and reducing impacts on the surrounding environment. Olive Downs (not yet operational) and Ensham have committed to rehabilitating the final voids to a PMLU. Middlemount and Jellinbah coal mines do not have a PMLU for residual voids. Both mine operators intend to leave a void water body that is safe with exclusions to some wildlife (excluding birds), cattle and humans. With no final land use for these areas, there are no objectives or completion criteria developed for sustaining a PMLU.</w:t>
      </w:r>
    </w:p>
    <w:p w14:paraId="7D68DEAE" w14:textId="43A391F8" w:rsidR="004A141B" w:rsidRDefault="00B35374" w:rsidP="004A141B">
      <w:pPr>
        <w:pStyle w:val="BodyText"/>
      </w:pPr>
      <w:r w:rsidRPr="00D24EA7">
        <w:t xml:space="preserve">On the basis of the outcomes of the case study analysis, an option to assist the IESC in understanding project specific and cumulative risks of residual coal mine voids on water resources and the receiving environment </w:t>
      </w:r>
      <w:r>
        <w:t xml:space="preserve">in Queensland </w:t>
      </w:r>
      <w:r w:rsidRPr="00D24EA7">
        <w:t>is to build on the contents of the database developed in the scoping study</w:t>
      </w:r>
      <w:r>
        <w:t xml:space="preserve"> using</w:t>
      </w:r>
      <w:r w:rsidRPr="00D24EA7">
        <w:t xml:space="preserve"> </w:t>
      </w:r>
      <w:r>
        <w:t xml:space="preserve">site-specific </w:t>
      </w:r>
      <w:r w:rsidRPr="00D24EA7">
        <w:t xml:space="preserve">State and/or </w:t>
      </w:r>
      <w:r>
        <w:t>Commonwealth</w:t>
      </w:r>
      <w:r w:rsidRPr="00D24EA7">
        <w:t xml:space="preserve"> environmental approvals documentation</w:t>
      </w:r>
      <w:r>
        <w:t xml:space="preserve">. </w:t>
      </w:r>
      <w:r w:rsidR="00D41D28">
        <w:t>The tabulated information required for each coal mine site would include:</w:t>
      </w:r>
    </w:p>
    <w:p w14:paraId="2EA03073" w14:textId="3C6AB52F" w:rsidR="00D41D28" w:rsidRDefault="007A07F2" w:rsidP="00D41D28">
      <w:pPr>
        <w:pStyle w:val="BodyText"/>
        <w:numPr>
          <w:ilvl w:val="0"/>
          <w:numId w:val="92"/>
        </w:numPr>
      </w:pPr>
      <w:r>
        <w:t>l</w:t>
      </w:r>
      <w:r w:rsidR="00D41D28">
        <w:t>ocal scale physical setting (i.e. climate, geology, hydrogeology, ecology)</w:t>
      </w:r>
      <w:r>
        <w:t>;</w:t>
      </w:r>
    </w:p>
    <w:p w14:paraId="1AC889E7" w14:textId="64B5A78F" w:rsidR="00D41D28" w:rsidRDefault="007A07F2" w:rsidP="00D41D28">
      <w:pPr>
        <w:pStyle w:val="BodyText"/>
        <w:numPr>
          <w:ilvl w:val="0"/>
          <w:numId w:val="92"/>
        </w:numPr>
      </w:pPr>
      <w:r>
        <w:t xml:space="preserve">the </w:t>
      </w:r>
      <w:r w:rsidR="00D41D28">
        <w:t>Number and dimensions of proposed residual void(s)</w:t>
      </w:r>
      <w:r>
        <w:t>;</w:t>
      </w:r>
      <w:r w:rsidR="00D41D28">
        <w:t xml:space="preserve"> </w:t>
      </w:r>
    </w:p>
    <w:p w14:paraId="68987376" w14:textId="5994AD32" w:rsidR="00D41D28" w:rsidRDefault="007A07F2" w:rsidP="00D41D28">
      <w:pPr>
        <w:pStyle w:val="BodyText"/>
        <w:numPr>
          <w:ilvl w:val="0"/>
          <w:numId w:val="92"/>
        </w:numPr>
      </w:pPr>
      <w:r>
        <w:t>the a</w:t>
      </w:r>
      <w:r w:rsidR="00D41D28">
        <w:t>pproach used by proponents to assess the residual void(s) flow regime, flood risk and potential impacts</w:t>
      </w:r>
      <w:r>
        <w:t>;</w:t>
      </w:r>
    </w:p>
    <w:p w14:paraId="150EF19E" w14:textId="22746ADB" w:rsidR="00D41D28" w:rsidRDefault="007A07F2" w:rsidP="00D41D28">
      <w:pPr>
        <w:pStyle w:val="BodyText"/>
        <w:numPr>
          <w:ilvl w:val="0"/>
          <w:numId w:val="92"/>
        </w:numPr>
      </w:pPr>
      <w:r>
        <w:t>r</w:t>
      </w:r>
      <w:r w:rsidR="00D41D28">
        <w:t>esidual void(s) rehabilitation planning approach</w:t>
      </w:r>
      <w:r>
        <w:t>;</w:t>
      </w:r>
    </w:p>
    <w:p w14:paraId="542CC9DC" w14:textId="56B8DF7E" w:rsidR="00D41D28" w:rsidRDefault="007A07F2" w:rsidP="00D41D28">
      <w:pPr>
        <w:pStyle w:val="BodyText"/>
        <w:numPr>
          <w:ilvl w:val="0"/>
          <w:numId w:val="92"/>
        </w:numPr>
      </w:pPr>
      <w:r>
        <w:t>p</w:t>
      </w:r>
      <w:r w:rsidR="00D41D28">
        <w:t>rojected flow regime of the residual void(s)</w:t>
      </w:r>
      <w:r>
        <w:t>;</w:t>
      </w:r>
    </w:p>
    <w:p w14:paraId="7D0C7614" w14:textId="249B4C25" w:rsidR="00D41D28" w:rsidRDefault="007A07F2" w:rsidP="00D41D28">
      <w:pPr>
        <w:pStyle w:val="BodyText"/>
        <w:numPr>
          <w:ilvl w:val="0"/>
          <w:numId w:val="92"/>
        </w:numPr>
      </w:pPr>
      <w:r>
        <w:t>The a</w:t>
      </w:r>
      <w:r w:rsidR="00D41D28">
        <w:t>ssessed risk potential of the residual void(s)</w:t>
      </w:r>
      <w:r>
        <w:t>; and</w:t>
      </w:r>
    </w:p>
    <w:p w14:paraId="7A975218" w14:textId="74C4DA64" w:rsidR="00D41D28" w:rsidRDefault="007A07F2" w:rsidP="008670A9">
      <w:pPr>
        <w:pStyle w:val="BodyText"/>
        <w:numPr>
          <w:ilvl w:val="0"/>
          <w:numId w:val="92"/>
        </w:numPr>
      </w:pPr>
      <w:r>
        <w:t>p</w:t>
      </w:r>
      <w:r w:rsidR="00D41D28">
        <w:t>otential impacts of residual void(s), as identified by the IESC.</w:t>
      </w:r>
    </w:p>
    <w:p w14:paraId="38135334" w14:textId="2A4AE8D1" w:rsidR="004A141B" w:rsidRDefault="004A141B" w:rsidP="004A141B">
      <w:pPr>
        <w:pStyle w:val="BodyText"/>
      </w:pPr>
      <w:r>
        <w:t xml:space="preserve">Information from this </w:t>
      </w:r>
      <w:r w:rsidR="00AE308A">
        <w:t xml:space="preserve">expanded </w:t>
      </w:r>
      <w:r>
        <w:t xml:space="preserve">database could be used to generate a comparative risk profile of approved residual coal mine voids to enable the relative risk of an individual coal mine site and the cumulative risk of multiple coal mine sites to be understood by the IESC when assessing new coal </w:t>
      </w:r>
      <w:r>
        <w:lastRenderedPageBreak/>
        <w:t>mine development proposals and amendments to existing EAs. The Queensland Emergency Risk Management Framework (QERMF) documented in the Risk Assessment Process Handbook (</w:t>
      </w:r>
      <w:r w:rsidRPr="007556D4">
        <w:t>Queensland Fire and Emergency Services</w:t>
      </w:r>
      <w:r>
        <w:t xml:space="preserve">, </w:t>
      </w:r>
      <w:r w:rsidRPr="007556D4">
        <w:t>2018</w:t>
      </w:r>
      <w:r>
        <w:t xml:space="preserve">) describes a risk assessment methodology for disaster management planning in Queensland that could be applied to generate a comparative risk profile for residual coal mine voids in the State. </w:t>
      </w:r>
    </w:p>
    <w:p w14:paraId="063FB222" w14:textId="56D122C7" w:rsidR="00B35374" w:rsidRDefault="004A141B" w:rsidP="00B35374">
      <w:r>
        <w:t xml:space="preserve">The QERMF risk assessment approach would need to be tailored to accommodate the objectives of the residual void risk assessment and the nature of the data and information that would be used in defining or assigning the various attributes in each step. The outputs of the risk assessment (being an overall level of risk for each potential hazard and corresponding exposed element) could be overlaid </w:t>
      </w:r>
      <w:r w:rsidR="00BF1AB8">
        <w:t xml:space="preserve">and inspected </w:t>
      </w:r>
      <w:r>
        <w:t xml:space="preserve">spatially. Weighted criteria could be used for each risk level in a weighted overlay process that gives a spatially explicit quantitative assessment for each residual void to guide review and assessment effort and help define appropriate management tools. By applying </w:t>
      </w:r>
      <w:r w:rsidR="00AE308A" w:rsidRPr="00AE308A">
        <w:t xml:space="preserve">Geographic Information System </w:t>
      </w:r>
      <w:r w:rsidR="00AE308A">
        <w:t>(</w:t>
      </w:r>
      <w:r>
        <w:t>GIS</w:t>
      </w:r>
      <w:r w:rsidR="00AE308A">
        <w:t>)</w:t>
      </w:r>
      <w:r>
        <w:t xml:space="preserve"> multi-component analysis to the comparative risk profile, the cumulative risk of multiple projects within a defined area (e.g. catchment) could also be represented spatially</w:t>
      </w:r>
      <w:r w:rsidR="00B35374" w:rsidRPr="004E09E2">
        <w:t>.</w:t>
      </w:r>
    </w:p>
    <w:p w14:paraId="22D80625" w14:textId="305F1C42" w:rsidR="00F27835" w:rsidRPr="00F27835" w:rsidRDefault="00F27835" w:rsidP="00537EBE">
      <w:pPr>
        <w:pStyle w:val="BodyText"/>
      </w:pPr>
    </w:p>
    <w:p w14:paraId="52D15647" w14:textId="77777777" w:rsidR="00F27835" w:rsidRPr="00F27835" w:rsidRDefault="00F27835" w:rsidP="00537EBE">
      <w:pPr>
        <w:pStyle w:val="BodyText"/>
      </w:pPr>
    </w:p>
    <w:p w14:paraId="39483DC9" w14:textId="145B12F6" w:rsidR="00A377D9" w:rsidRPr="00F27835" w:rsidRDefault="00A377D9" w:rsidP="00A377D9">
      <w:pPr>
        <w:pStyle w:val="BodyText"/>
      </w:pPr>
    </w:p>
    <w:p w14:paraId="29235335" w14:textId="0A7124FE" w:rsidR="00AA66E7" w:rsidRPr="00AF19D8" w:rsidRDefault="00AA66E7" w:rsidP="00537EBE">
      <w:pPr>
        <w:pStyle w:val="BodyText"/>
        <w:sectPr w:rsidR="00AA66E7" w:rsidRPr="00AF19D8" w:rsidSect="00644EED">
          <w:footerReference w:type="default" r:id="rId10"/>
          <w:footerReference w:type="first" r:id="rId11"/>
          <w:pgSz w:w="11907" w:h="16839" w:code="9"/>
          <w:pgMar w:top="1440" w:right="1440" w:bottom="1134" w:left="1440" w:header="340" w:footer="340" w:gutter="0"/>
          <w:pgNumType w:fmt="lowerRoman" w:start="1"/>
          <w:cols w:space="708"/>
          <w:titlePg/>
          <w:docGrid w:linePitch="360"/>
        </w:sectPr>
      </w:pPr>
    </w:p>
    <w:p w14:paraId="11B4540B" w14:textId="6B9DAEA4" w:rsidR="006D4DC4" w:rsidRDefault="00B57B50" w:rsidP="007930FB">
      <w:pPr>
        <w:pStyle w:val="Heading1"/>
        <w:shd w:val="clear" w:color="auto" w:fill="FFFFFF" w:themeFill="background1"/>
        <w:spacing w:before="0"/>
      </w:pPr>
      <w:bookmarkStart w:id="7" w:name="_Toc87278307"/>
      <w:r>
        <w:lastRenderedPageBreak/>
        <w:t>Introduction</w:t>
      </w:r>
      <w:bookmarkEnd w:id="7"/>
    </w:p>
    <w:p w14:paraId="4E08EF75" w14:textId="5199CD2E" w:rsidR="00DB7DA8" w:rsidRDefault="00972382" w:rsidP="00DB7DA8">
      <w:pPr>
        <w:pStyle w:val="Heading2"/>
      </w:pPr>
      <w:bookmarkStart w:id="8" w:name="_Toc87278308"/>
      <w:r>
        <w:t>Background</w:t>
      </w:r>
      <w:bookmarkEnd w:id="8"/>
    </w:p>
    <w:p w14:paraId="5CF76A94" w14:textId="1B1C2A2A" w:rsidR="00936AD0" w:rsidRDefault="008E062A" w:rsidP="00936AD0">
      <w:pPr>
        <w:pStyle w:val="BodyText"/>
      </w:pPr>
      <w:r>
        <w:t xml:space="preserve">The Independent Expert Scientific Committee on Coal Seam Gas and Large Coal Mining Development (IESC) provides advice to the Australian Government Environment Minister on priorities for research to improve the understanding of the impacts of coal seam gas and large coal mining developments on water resources. As part of </w:t>
      </w:r>
      <w:r w:rsidR="00764D27">
        <w:t xml:space="preserve">the </w:t>
      </w:r>
      <w:r w:rsidR="003654C9">
        <w:t>C</w:t>
      </w:r>
      <w:r w:rsidR="00764D27">
        <w:t xml:space="preserve">ommittee’s </w:t>
      </w:r>
      <w:r>
        <w:t xml:space="preserve">research priorities, the IESC is aiming to increase the understanding of </w:t>
      </w:r>
      <w:r w:rsidR="00764D27">
        <w:t>residual (</w:t>
      </w:r>
      <w:r w:rsidR="00936AD0">
        <w:t>final</w:t>
      </w:r>
      <w:r w:rsidR="00764D27">
        <w:t>)</w:t>
      </w:r>
      <w:r w:rsidR="00936AD0">
        <w:t xml:space="preserve"> </w:t>
      </w:r>
      <w:r>
        <w:t xml:space="preserve">coal mine voids in Queensland through a scoping study to identify the location and potential impacts of </w:t>
      </w:r>
      <w:r w:rsidR="00B74BC6">
        <w:t>these features</w:t>
      </w:r>
      <w:r>
        <w:t xml:space="preserve"> within the landscape.</w:t>
      </w:r>
      <w:r w:rsidR="00936AD0">
        <w:t xml:space="preserve"> </w:t>
      </w:r>
      <w:r>
        <w:t>The Office of Water Science (OWS) is assisting the IESC to undertake this scoping study</w:t>
      </w:r>
      <w:r w:rsidR="00936AD0">
        <w:t xml:space="preserve">, the outcomes of which are documented in this report. </w:t>
      </w:r>
    </w:p>
    <w:p w14:paraId="375A4670" w14:textId="40220166" w:rsidR="00972382" w:rsidRDefault="007136AE" w:rsidP="00972382">
      <w:pPr>
        <w:pStyle w:val="Heading2"/>
      </w:pPr>
      <w:bookmarkStart w:id="9" w:name="_Ref62567551"/>
      <w:bookmarkStart w:id="10" w:name="_Toc87278309"/>
      <w:r>
        <w:t>Scope of works</w:t>
      </w:r>
      <w:bookmarkEnd w:id="9"/>
      <w:bookmarkEnd w:id="10"/>
    </w:p>
    <w:p w14:paraId="5271EFC1" w14:textId="3EFB1BF3" w:rsidR="005D0E3A" w:rsidRPr="005D0E3A" w:rsidRDefault="00881FCF" w:rsidP="008C363B">
      <w:pPr>
        <w:pStyle w:val="BodyText"/>
      </w:pPr>
      <w:r w:rsidRPr="00881FCF">
        <w:t xml:space="preserve">The scope of works is broadly aligned </w:t>
      </w:r>
      <w:r w:rsidR="001A0643">
        <w:t>with</w:t>
      </w:r>
      <w:r w:rsidRPr="00881FCF">
        <w:t xml:space="preserve"> the</w:t>
      </w:r>
      <w:r>
        <w:t xml:space="preserve"> </w:t>
      </w:r>
      <w:r w:rsidR="001A0643">
        <w:t xml:space="preserve">original </w:t>
      </w:r>
      <w:r>
        <w:t>Approach to Market</w:t>
      </w:r>
      <w:r w:rsidRPr="00881FCF">
        <w:t xml:space="preserve"> </w:t>
      </w:r>
      <w:r>
        <w:t>(</w:t>
      </w:r>
      <w:r w:rsidRPr="00881FCF">
        <w:t>ATM</w:t>
      </w:r>
      <w:r>
        <w:t>)</w:t>
      </w:r>
      <w:r w:rsidRPr="00881FCF">
        <w:t xml:space="preserve"> and was further informed by project meetings on the 5th June 2020 and 25th August 2020. Two reviews and commentary provided of the draft report by the OWS (received 18 December 2020 and 18 January 2021) provided further refinement of the scope of works. The </w:t>
      </w:r>
      <w:r>
        <w:t xml:space="preserve">following is the </w:t>
      </w:r>
      <w:r w:rsidRPr="00881FCF">
        <w:t>agreed scope of works of the scoping study</w:t>
      </w:r>
      <w:r w:rsidR="00405C35">
        <w:t>.</w:t>
      </w:r>
      <w:r w:rsidRPr="00881FCF">
        <w:t xml:space="preserve"> </w:t>
      </w:r>
    </w:p>
    <w:p w14:paraId="296C1AD2" w14:textId="374B7678" w:rsidR="0061688C" w:rsidRDefault="00610B21" w:rsidP="00AA4C36">
      <w:pPr>
        <w:pStyle w:val="BodyText"/>
        <w:numPr>
          <w:ilvl w:val="0"/>
          <w:numId w:val="34"/>
        </w:numPr>
        <w:spacing w:before="80" w:after="80"/>
        <w:ind w:hanging="357"/>
      </w:pPr>
      <w:bookmarkStart w:id="11" w:name="_Hlk56587795"/>
      <w:r>
        <w:t>I</w:t>
      </w:r>
      <w:r w:rsidR="00936AD0">
        <w:t>dentif</w:t>
      </w:r>
      <w:r>
        <w:t>y</w:t>
      </w:r>
      <w:r w:rsidR="0061688C">
        <w:t xml:space="preserve"> </w:t>
      </w:r>
      <w:r w:rsidR="00764D27">
        <w:t xml:space="preserve">and </w:t>
      </w:r>
      <w:bookmarkStart w:id="12" w:name="_Hlk57277230"/>
      <w:r w:rsidR="00AC0915">
        <w:t>define</w:t>
      </w:r>
      <w:r w:rsidR="00E569C9" w:rsidRPr="00E569C9">
        <w:t xml:space="preserve"> current </w:t>
      </w:r>
      <w:r w:rsidR="0061688C">
        <w:t xml:space="preserve">and proposed </w:t>
      </w:r>
      <w:r w:rsidR="00E569C9" w:rsidRPr="00E569C9">
        <w:t>open</w:t>
      </w:r>
      <w:r w:rsidR="00405C35">
        <w:t>-cut</w:t>
      </w:r>
      <w:r w:rsidR="00E569C9" w:rsidRPr="00E569C9">
        <w:t xml:space="preserve"> coal pits</w:t>
      </w:r>
      <w:r w:rsidR="00AC0915">
        <w:t xml:space="preserve"> </w:t>
      </w:r>
      <w:r>
        <w:t>in Queensland</w:t>
      </w:r>
      <w:bookmarkEnd w:id="12"/>
      <w:r w:rsidR="0061688C">
        <w:t xml:space="preserve"> that have </w:t>
      </w:r>
      <w:r w:rsidR="00405C35">
        <w:t>Environmental Approval (</w:t>
      </w:r>
      <w:r w:rsidR="0061688C">
        <w:t>EA</w:t>
      </w:r>
      <w:r w:rsidR="00405C35">
        <w:t>)</w:t>
      </w:r>
      <w:r w:rsidR="0061688C">
        <w:t xml:space="preserve"> records</w:t>
      </w:r>
      <w:r w:rsidR="00515EAF">
        <w:t>,</w:t>
      </w:r>
      <w:r w:rsidR="00515EAF" w:rsidRPr="00515EAF">
        <w:t xml:space="preserve"> </w:t>
      </w:r>
      <w:r w:rsidR="00515EAF">
        <w:t>including rehabilitation planning conditions.</w:t>
      </w:r>
    </w:p>
    <w:p w14:paraId="773CFF6A" w14:textId="426C093A" w:rsidR="00610B21" w:rsidRDefault="00AC0915" w:rsidP="00AA4C36">
      <w:pPr>
        <w:pStyle w:val="BodyText"/>
        <w:numPr>
          <w:ilvl w:val="0"/>
          <w:numId w:val="34"/>
        </w:numPr>
        <w:spacing w:before="80" w:after="80"/>
        <w:ind w:hanging="357"/>
      </w:pPr>
      <w:r>
        <w:t xml:space="preserve">Map </w:t>
      </w:r>
      <w:r w:rsidR="0061688C">
        <w:t>current open</w:t>
      </w:r>
      <w:r w:rsidR="00405C35">
        <w:t>-cut</w:t>
      </w:r>
      <w:r w:rsidR="0061688C">
        <w:t xml:space="preserve"> coal </w:t>
      </w:r>
      <w:r w:rsidR="00405C35">
        <w:t xml:space="preserve">pit </w:t>
      </w:r>
      <w:r w:rsidR="0061688C">
        <w:t>areas for those sites with sufficient information</w:t>
      </w:r>
      <w:r>
        <w:t xml:space="preserve"> to enable digitisation</w:t>
      </w:r>
      <w:r w:rsidR="0061688C">
        <w:t xml:space="preserve">. </w:t>
      </w:r>
    </w:p>
    <w:p w14:paraId="433D07CD" w14:textId="45AAC8A4" w:rsidR="00610B21" w:rsidRDefault="00610B21" w:rsidP="00AA4C36">
      <w:pPr>
        <w:pStyle w:val="BodyText"/>
        <w:numPr>
          <w:ilvl w:val="0"/>
          <w:numId w:val="34"/>
        </w:numPr>
        <w:spacing w:before="80" w:after="80"/>
        <w:ind w:hanging="357"/>
      </w:pPr>
      <w:r>
        <w:t>D</w:t>
      </w:r>
      <w:r w:rsidRPr="00610B21">
        <w:t xml:space="preserve">efine </w:t>
      </w:r>
      <w:r>
        <w:t>landform, geological, hydrological, hydrogeological</w:t>
      </w:r>
      <w:r w:rsidR="00515EAF">
        <w:t xml:space="preserve"> and</w:t>
      </w:r>
      <w:r w:rsidR="00E242A9">
        <w:t xml:space="preserve"> </w:t>
      </w:r>
      <w:r>
        <w:t>ecological</w:t>
      </w:r>
      <w:r w:rsidR="00E242A9">
        <w:t xml:space="preserve"> </w:t>
      </w:r>
      <w:r w:rsidRPr="00610B21">
        <w:t xml:space="preserve">attributes of </w:t>
      </w:r>
      <w:r>
        <w:t xml:space="preserve">each </w:t>
      </w:r>
      <w:bookmarkStart w:id="13" w:name="_Hlk56587988"/>
      <w:r>
        <w:t xml:space="preserve">current </w:t>
      </w:r>
      <w:r w:rsidR="00AE1995">
        <w:t>open</w:t>
      </w:r>
      <w:r w:rsidR="00405C35">
        <w:t>-cut</w:t>
      </w:r>
      <w:r w:rsidR="00AE1995">
        <w:t xml:space="preserve"> </w:t>
      </w:r>
      <w:r w:rsidR="007A66BF">
        <w:t xml:space="preserve">coal </w:t>
      </w:r>
      <w:r w:rsidR="00405C35">
        <w:t xml:space="preserve">pit </w:t>
      </w:r>
      <w:r w:rsidRPr="00610B21">
        <w:t>area</w:t>
      </w:r>
      <w:r>
        <w:t>.</w:t>
      </w:r>
      <w:bookmarkEnd w:id="13"/>
    </w:p>
    <w:p w14:paraId="4B89AB72" w14:textId="49347913" w:rsidR="00764D27" w:rsidRDefault="00764D27" w:rsidP="00AA4C36">
      <w:pPr>
        <w:pStyle w:val="BodyText"/>
        <w:numPr>
          <w:ilvl w:val="0"/>
          <w:numId w:val="34"/>
        </w:numPr>
        <w:spacing w:before="80" w:after="80"/>
        <w:ind w:hanging="357"/>
      </w:pPr>
      <w:r>
        <w:t xml:space="preserve">Characterise the </w:t>
      </w:r>
      <w:r w:rsidR="00E569C9">
        <w:t>vulnerability</w:t>
      </w:r>
      <w:r>
        <w:t xml:space="preserve"> </w:t>
      </w:r>
      <w:r w:rsidR="00600D2D">
        <w:t xml:space="preserve">to potential impacts </w:t>
      </w:r>
      <w:r>
        <w:t>of existing and future residual coal mine voids in Queensland</w:t>
      </w:r>
      <w:r w:rsidR="00881FCF">
        <w:t xml:space="preserve"> (including from a cumulative perspective)</w:t>
      </w:r>
      <w:r>
        <w:t xml:space="preserve">, according to </w:t>
      </w:r>
      <w:r w:rsidR="00D75FD4">
        <w:t xml:space="preserve">their potential </w:t>
      </w:r>
      <w:r>
        <w:t>flow regime</w:t>
      </w:r>
      <w:r w:rsidR="006023B8">
        <w:t>, position in the landscape</w:t>
      </w:r>
      <w:r>
        <w:t xml:space="preserve"> and </w:t>
      </w:r>
      <w:r w:rsidR="006023B8">
        <w:t xml:space="preserve">proximity to </w:t>
      </w:r>
      <w:r>
        <w:t>receptors.</w:t>
      </w:r>
      <w:r w:rsidR="00881FCF" w:rsidRPr="00881FCF">
        <w:t xml:space="preserve"> </w:t>
      </w:r>
    </w:p>
    <w:bookmarkEnd w:id="11"/>
    <w:p w14:paraId="74AB3B8B" w14:textId="011D3022" w:rsidR="00414E72" w:rsidRDefault="00414E72" w:rsidP="00AA4C36">
      <w:pPr>
        <w:pStyle w:val="BodyText"/>
        <w:numPr>
          <w:ilvl w:val="0"/>
          <w:numId w:val="34"/>
        </w:numPr>
        <w:spacing w:before="80" w:after="80"/>
        <w:ind w:hanging="357"/>
      </w:pPr>
      <w:r>
        <w:t xml:space="preserve">For selected coal mine sites, </w:t>
      </w:r>
      <w:r w:rsidR="00FE0564">
        <w:t>characterise proposed</w:t>
      </w:r>
      <w:r w:rsidR="005E2DB7">
        <w:t xml:space="preserve"> or </w:t>
      </w:r>
      <w:r w:rsidR="00195D88">
        <w:t xml:space="preserve">existing </w:t>
      </w:r>
      <w:r w:rsidR="00FE0564">
        <w:t xml:space="preserve">residual coal mine voids according to the following </w:t>
      </w:r>
      <w:r>
        <w:t>attributes</w:t>
      </w:r>
      <w:r w:rsidR="00405C35">
        <w:t>.</w:t>
      </w:r>
    </w:p>
    <w:p w14:paraId="03AA9512" w14:textId="3B02B006" w:rsidR="00FE0564" w:rsidRDefault="00195D88" w:rsidP="00AA4C36">
      <w:pPr>
        <w:pStyle w:val="BodyText"/>
        <w:numPr>
          <w:ilvl w:val="1"/>
          <w:numId w:val="34"/>
        </w:numPr>
        <w:spacing w:before="80" w:after="80"/>
        <w:ind w:hanging="357"/>
      </w:pPr>
      <w:r>
        <w:t>Dimensions and design features</w:t>
      </w:r>
      <w:r w:rsidR="00FE0564">
        <w:t>.</w:t>
      </w:r>
    </w:p>
    <w:p w14:paraId="5533E6A2" w14:textId="2873F5D4" w:rsidR="00FE0564" w:rsidRDefault="00414E72" w:rsidP="00AA4C36">
      <w:pPr>
        <w:pStyle w:val="BodyText"/>
        <w:numPr>
          <w:ilvl w:val="1"/>
          <w:numId w:val="34"/>
        </w:numPr>
        <w:spacing w:before="80" w:after="80"/>
        <w:ind w:hanging="357"/>
      </w:pPr>
      <w:r>
        <w:t>Predicted equilibrated flow regime</w:t>
      </w:r>
      <w:r w:rsidR="00FE0564">
        <w:t>.</w:t>
      </w:r>
    </w:p>
    <w:p w14:paraId="27308A0C" w14:textId="77777777" w:rsidR="00FE0564" w:rsidRDefault="00FE0564" w:rsidP="00AA4C36">
      <w:pPr>
        <w:pStyle w:val="BodyText"/>
        <w:numPr>
          <w:ilvl w:val="1"/>
          <w:numId w:val="34"/>
        </w:numPr>
        <w:spacing w:before="80" w:after="80"/>
        <w:ind w:hanging="357"/>
      </w:pPr>
      <w:r>
        <w:t>Potential water quantity and quality impacts.</w:t>
      </w:r>
    </w:p>
    <w:p w14:paraId="6C9997BB" w14:textId="3462CA0A" w:rsidR="00FE0564" w:rsidRDefault="00FE0564" w:rsidP="00AA4C36">
      <w:pPr>
        <w:pStyle w:val="BodyText"/>
        <w:numPr>
          <w:ilvl w:val="1"/>
          <w:numId w:val="34"/>
        </w:numPr>
        <w:spacing w:before="80" w:after="80"/>
        <w:ind w:hanging="357"/>
      </w:pPr>
      <w:r>
        <w:t>Rehabilitation planning</w:t>
      </w:r>
      <w:r w:rsidR="00195D88">
        <w:t xml:space="preserve"> and successes</w:t>
      </w:r>
      <w:r>
        <w:t>.</w:t>
      </w:r>
    </w:p>
    <w:p w14:paraId="2ACD98DC" w14:textId="77777777" w:rsidR="00FE0564" w:rsidRPr="007638C7" w:rsidRDefault="00FE0564" w:rsidP="00AA4C36">
      <w:pPr>
        <w:pStyle w:val="BodyText"/>
        <w:numPr>
          <w:ilvl w:val="1"/>
          <w:numId w:val="34"/>
        </w:numPr>
        <w:spacing w:before="80" w:after="80"/>
        <w:ind w:hanging="357"/>
      </w:pPr>
      <w:r w:rsidRPr="007638C7">
        <w:t>Risk mitigation and management measures.</w:t>
      </w:r>
    </w:p>
    <w:p w14:paraId="5C5FF3E3" w14:textId="57CC31C9" w:rsidR="008E062A" w:rsidRPr="007638C7" w:rsidRDefault="007638C7" w:rsidP="00AA4C36">
      <w:pPr>
        <w:pStyle w:val="BodyText"/>
        <w:numPr>
          <w:ilvl w:val="0"/>
          <w:numId w:val="34"/>
        </w:numPr>
        <w:spacing w:before="80" w:after="80"/>
        <w:ind w:hanging="357"/>
      </w:pPr>
      <w:bookmarkStart w:id="14" w:name="_Hlk59439117"/>
      <w:r w:rsidRPr="007638C7">
        <w:t>Develop a</w:t>
      </w:r>
      <w:r w:rsidR="00663326" w:rsidRPr="007638C7">
        <w:t xml:space="preserve"> </w:t>
      </w:r>
      <w:r w:rsidRPr="007638C7">
        <w:t xml:space="preserve">high-level </w:t>
      </w:r>
      <w:r w:rsidR="00663326" w:rsidRPr="007638C7">
        <w:t xml:space="preserve">approach </w:t>
      </w:r>
      <w:r w:rsidRPr="007638C7">
        <w:t xml:space="preserve">for consideration by the IESC </w:t>
      </w:r>
      <w:r w:rsidR="006606EA">
        <w:t>for use in assessing open</w:t>
      </w:r>
      <w:r w:rsidR="00405C35">
        <w:t>-</w:t>
      </w:r>
      <w:r w:rsidR="006606EA">
        <w:t>cut coal mine development proposals</w:t>
      </w:r>
      <w:r w:rsidR="00A64945">
        <w:t xml:space="preserve"> and amendments</w:t>
      </w:r>
      <w:r w:rsidR="006606EA">
        <w:t xml:space="preserve">, with reference to </w:t>
      </w:r>
      <w:r w:rsidR="00556DD9">
        <w:t>characterising</w:t>
      </w:r>
      <w:r w:rsidRPr="007638C7">
        <w:t xml:space="preserve"> the risks of residual coal mine voids </w:t>
      </w:r>
      <w:r w:rsidR="00181DB4">
        <w:t>to</w:t>
      </w:r>
      <w:r w:rsidRPr="007638C7">
        <w:t xml:space="preserve"> water resources and the receiving environment.</w:t>
      </w:r>
    </w:p>
    <w:bookmarkEnd w:id="14"/>
    <w:p w14:paraId="6DD449E6" w14:textId="01EB40F4" w:rsidR="00F52292" w:rsidRDefault="00972382" w:rsidP="00FD0530">
      <w:pPr>
        <w:pStyle w:val="BodyText"/>
      </w:pPr>
      <w:r>
        <w:br w:type="page"/>
      </w:r>
    </w:p>
    <w:p w14:paraId="3117A416" w14:textId="6805491A" w:rsidR="00972382" w:rsidRDefault="00972382" w:rsidP="00972382">
      <w:pPr>
        <w:pStyle w:val="Heading1"/>
      </w:pPr>
      <w:bookmarkStart w:id="15" w:name="_Toc87278310"/>
      <w:r>
        <w:lastRenderedPageBreak/>
        <w:t>S</w:t>
      </w:r>
      <w:r w:rsidR="00195D88">
        <w:t>coping s</w:t>
      </w:r>
      <w:r>
        <w:t>tudy approach</w:t>
      </w:r>
      <w:bookmarkEnd w:id="15"/>
    </w:p>
    <w:p w14:paraId="57AC7FA9" w14:textId="31D9846A" w:rsidR="00195D88" w:rsidRPr="00195D88" w:rsidRDefault="00195D88" w:rsidP="00195D88">
      <w:pPr>
        <w:pStyle w:val="Heading2"/>
      </w:pPr>
      <w:bookmarkStart w:id="16" w:name="_Toc87278311"/>
      <w:r>
        <w:t>Introduction</w:t>
      </w:r>
      <w:bookmarkEnd w:id="16"/>
    </w:p>
    <w:p w14:paraId="7319470B" w14:textId="5B482E3F" w:rsidR="00195D88" w:rsidRDefault="007136AE" w:rsidP="00195D88">
      <w:pPr>
        <w:pStyle w:val="BodyText"/>
      </w:pPr>
      <w:r>
        <w:t xml:space="preserve">To address the </w:t>
      </w:r>
      <w:r w:rsidR="001A0643">
        <w:t xml:space="preserve">agreed </w:t>
      </w:r>
      <w:r>
        <w:t>scope of works</w:t>
      </w:r>
      <w:r w:rsidR="001A0643">
        <w:t xml:space="preserve"> (Section </w:t>
      </w:r>
      <w:r w:rsidR="001A0643">
        <w:fldChar w:fldCharType="begin"/>
      </w:r>
      <w:r w:rsidR="001A0643">
        <w:instrText xml:space="preserve"> REF _Ref62567551 \n \h </w:instrText>
      </w:r>
      <w:r w:rsidR="001A0643">
        <w:fldChar w:fldCharType="separate"/>
      </w:r>
      <w:r w:rsidR="00937ADD">
        <w:t>1.2</w:t>
      </w:r>
      <w:r w:rsidR="001A0643">
        <w:fldChar w:fldCharType="end"/>
      </w:r>
      <w:r w:rsidR="001A0643">
        <w:t>)</w:t>
      </w:r>
      <w:r w:rsidR="005D0E3A">
        <w:t>, th</w:t>
      </w:r>
      <w:r>
        <w:t>e scoping study consisted of the following approach</w:t>
      </w:r>
      <w:r w:rsidR="00405C35">
        <w:t>.</w:t>
      </w:r>
      <w:r w:rsidR="002C15B7">
        <w:t xml:space="preserve"> </w:t>
      </w:r>
    </w:p>
    <w:p w14:paraId="54ABDE29" w14:textId="0827B986" w:rsidR="00195D88" w:rsidRDefault="00031E2F" w:rsidP="00AA4C36">
      <w:pPr>
        <w:pStyle w:val="BodyText"/>
        <w:numPr>
          <w:ilvl w:val="0"/>
          <w:numId w:val="35"/>
        </w:numPr>
        <w:spacing w:before="80" w:after="80"/>
      </w:pPr>
      <w:r>
        <w:t>Development of a d</w:t>
      </w:r>
      <w:r w:rsidR="00195D88">
        <w:t xml:space="preserve">atabase </w:t>
      </w:r>
      <w:r w:rsidR="00E242A9">
        <w:t>of current open</w:t>
      </w:r>
      <w:r w:rsidR="00405C35">
        <w:t>-cut</w:t>
      </w:r>
      <w:r w:rsidR="00E242A9">
        <w:t xml:space="preserve"> coal </w:t>
      </w:r>
      <w:r>
        <w:t>pits</w:t>
      </w:r>
      <w:r w:rsidR="00E242A9">
        <w:t xml:space="preserve"> in Queensland and characterisation of the</w:t>
      </w:r>
      <w:r>
        <w:t xml:space="preserve"> vulnerability to potential impacts </w:t>
      </w:r>
      <w:r w:rsidR="00E242A9">
        <w:t xml:space="preserve">such features </w:t>
      </w:r>
      <w:r w:rsidR="00D75FD4">
        <w:t xml:space="preserve">may </w:t>
      </w:r>
      <w:r w:rsidR="00E242A9">
        <w:t xml:space="preserve">present in the landscape </w:t>
      </w:r>
      <w:r w:rsidR="00D75FD4">
        <w:t>in their final form</w:t>
      </w:r>
      <w:r w:rsidR="00181DB4">
        <w:t xml:space="preserve"> (as residual voids)</w:t>
      </w:r>
      <w:r>
        <w:t xml:space="preserve"> and at a cumulative scale</w:t>
      </w:r>
      <w:r w:rsidR="00D75FD4">
        <w:t xml:space="preserve"> </w:t>
      </w:r>
      <w:r w:rsidR="009E334B">
        <w:t xml:space="preserve">(Section </w:t>
      </w:r>
      <w:r w:rsidR="009E334B">
        <w:fldChar w:fldCharType="begin"/>
      </w:r>
      <w:r w:rsidR="009E334B">
        <w:instrText xml:space="preserve"> REF _Ref56584525 \n \h </w:instrText>
      </w:r>
      <w:r w:rsidR="009E334B">
        <w:fldChar w:fldCharType="separate"/>
      </w:r>
      <w:r w:rsidR="00937ADD">
        <w:t>2.2</w:t>
      </w:r>
      <w:r w:rsidR="009E334B">
        <w:fldChar w:fldCharType="end"/>
      </w:r>
      <w:r w:rsidR="009E334B">
        <w:t>)</w:t>
      </w:r>
      <w:r w:rsidR="00E242A9">
        <w:t xml:space="preserve">. </w:t>
      </w:r>
    </w:p>
    <w:p w14:paraId="5F51E681" w14:textId="14AD4200" w:rsidR="00195D88" w:rsidRDefault="00195D88" w:rsidP="00AA4C36">
      <w:pPr>
        <w:pStyle w:val="BodyText"/>
        <w:numPr>
          <w:ilvl w:val="0"/>
          <w:numId w:val="35"/>
        </w:numPr>
        <w:spacing w:before="80" w:after="80"/>
      </w:pPr>
      <w:r>
        <w:t>Case study analysis</w:t>
      </w:r>
      <w:r w:rsidR="009E334B">
        <w:t xml:space="preserve"> </w:t>
      </w:r>
      <w:r w:rsidR="00E242A9">
        <w:t xml:space="preserve">of residual coal mine voids for four selected mine sites </w:t>
      </w:r>
      <w:r w:rsidR="009E334B">
        <w:t>(Section</w:t>
      </w:r>
      <w:r w:rsidR="006F5479">
        <w:t xml:space="preserve"> </w:t>
      </w:r>
      <w:r w:rsidR="006F5479">
        <w:fldChar w:fldCharType="begin"/>
      </w:r>
      <w:r w:rsidR="006F5479">
        <w:instrText xml:space="preserve"> REF _Ref57296147 \n \h </w:instrText>
      </w:r>
      <w:r w:rsidR="006F5479">
        <w:fldChar w:fldCharType="separate"/>
      </w:r>
      <w:r w:rsidR="00937ADD">
        <w:t>2.3</w:t>
      </w:r>
      <w:r w:rsidR="006F5479">
        <w:fldChar w:fldCharType="end"/>
      </w:r>
      <w:r w:rsidR="009E334B">
        <w:t>).</w:t>
      </w:r>
    </w:p>
    <w:p w14:paraId="1A74A90F" w14:textId="36C5DF56" w:rsidR="00195D88" w:rsidRPr="007638C7" w:rsidRDefault="00031E2F" w:rsidP="00AA4C36">
      <w:pPr>
        <w:pStyle w:val="BodyText"/>
        <w:numPr>
          <w:ilvl w:val="0"/>
          <w:numId w:val="35"/>
        </w:numPr>
        <w:spacing w:before="80" w:after="80"/>
      </w:pPr>
      <w:r w:rsidRPr="007638C7">
        <w:t>Development of a r</w:t>
      </w:r>
      <w:r w:rsidR="00195D88" w:rsidRPr="007638C7">
        <w:t>isk assessment approach</w:t>
      </w:r>
      <w:r w:rsidR="00181DB4">
        <w:t xml:space="preserve"> to assess the risks of residual coal mine voids to </w:t>
      </w:r>
      <w:r w:rsidR="00181DB4" w:rsidRPr="007638C7">
        <w:t>water resources and the receiving environment</w:t>
      </w:r>
      <w:r w:rsidR="00195D88" w:rsidRPr="007638C7">
        <w:t xml:space="preserve"> </w:t>
      </w:r>
      <w:r w:rsidR="009E334B" w:rsidRPr="007638C7">
        <w:t xml:space="preserve">(Section </w:t>
      </w:r>
      <w:r w:rsidR="009E334B" w:rsidRPr="007638C7">
        <w:fldChar w:fldCharType="begin"/>
      </w:r>
      <w:r w:rsidR="009E334B" w:rsidRPr="007638C7">
        <w:instrText xml:space="preserve"> REF _Ref56584535 \n \h </w:instrText>
      </w:r>
      <w:r w:rsidRPr="007638C7">
        <w:instrText xml:space="preserve"> \* MERGEFORMAT </w:instrText>
      </w:r>
      <w:r w:rsidR="009E334B" w:rsidRPr="007638C7">
        <w:fldChar w:fldCharType="separate"/>
      </w:r>
      <w:r w:rsidR="00937ADD">
        <w:t>2.4</w:t>
      </w:r>
      <w:r w:rsidR="009E334B" w:rsidRPr="007638C7">
        <w:fldChar w:fldCharType="end"/>
      </w:r>
      <w:r w:rsidR="009E334B" w:rsidRPr="007638C7">
        <w:t>).</w:t>
      </w:r>
    </w:p>
    <w:p w14:paraId="51420703" w14:textId="3B828DCE" w:rsidR="00195D88" w:rsidRPr="00195D88" w:rsidRDefault="009A47EE" w:rsidP="00195D88">
      <w:pPr>
        <w:pStyle w:val="BodyText"/>
      </w:pPr>
      <w:r>
        <w:t xml:space="preserve">As an introduction to the key technical concepts of the scoping study, water flow processes and regimes for different types of </w:t>
      </w:r>
      <w:r w:rsidR="00D75FD4">
        <w:t>residual</w:t>
      </w:r>
      <w:r w:rsidR="002C15B7">
        <w:t xml:space="preserve"> coal mine voids</w:t>
      </w:r>
      <w:r>
        <w:t xml:space="preserve"> are described in Section </w:t>
      </w:r>
      <w:r>
        <w:fldChar w:fldCharType="begin"/>
      </w:r>
      <w:r>
        <w:instrText xml:space="preserve"> REF _Ref56586189 \n \h </w:instrText>
      </w:r>
      <w:r>
        <w:fldChar w:fldCharType="separate"/>
      </w:r>
      <w:r w:rsidR="00937ADD">
        <w:t>3</w:t>
      </w:r>
      <w:r>
        <w:fldChar w:fldCharType="end"/>
      </w:r>
      <w:r>
        <w:t xml:space="preserve">. </w:t>
      </w:r>
    </w:p>
    <w:p w14:paraId="088F84D1" w14:textId="70EDF682" w:rsidR="00195D88" w:rsidRDefault="00195D88" w:rsidP="00195D88">
      <w:pPr>
        <w:pStyle w:val="Heading2"/>
      </w:pPr>
      <w:bookmarkStart w:id="17" w:name="_Ref56584525"/>
      <w:bookmarkStart w:id="18" w:name="_Toc87278312"/>
      <w:r>
        <w:t>Database development</w:t>
      </w:r>
      <w:bookmarkEnd w:id="17"/>
      <w:bookmarkEnd w:id="18"/>
    </w:p>
    <w:p w14:paraId="27DD8AFB" w14:textId="48C159DB" w:rsidR="00F315EC" w:rsidRDefault="00F315EC" w:rsidP="00F315EC">
      <w:pPr>
        <w:pStyle w:val="BodyText"/>
      </w:pPr>
      <w:bookmarkStart w:id="19" w:name="_Hlk56589266"/>
      <w:r>
        <w:t xml:space="preserve">The approach to developing </w:t>
      </w:r>
      <w:r w:rsidR="004419BE">
        <w:t>the</w:t>
      </w:r>
      <w:r>
        <w:t xml:space="preserve"> database of current open</w:t>
      </w:r>
      <w:r w:rsidR="009C44AA">
        <w:t>-cut</w:t>
      </w:r>
      <w:r>
        <w:t xml:space="preserve"> </w:t>
      </w:r>
      <w:r w:rsidR="004419BE">
        <w:t xml:space="preserve">coal </w:t>
      </w:r>
      <w:r>
        <w:t>pit</w:t>
      </w:r>
      <w:r w:rsidR="004419BE">
        <w:t>s</w:t>
      </w:r>
      <w:r>
        <w:t xml:space="preserve"> in Queensland consisted of:</w:t>
      </w:r>
    </w:p>
    <w:bookmarkEnd w:id="19"/>
    <w:p w14:paraId="3A7710E4" w14:textId="0CCABCE0" w:rsidR="00F315EC" w:rsidRDefault="009C44AA" w:rsidP="00AA4C36">
      <w:pPr>
        <w:pStyle w:val="BodyText"/>
        <w:numPr>
          <w:ilvl w:val="0"/>
          <w:numId w:val="38"/>
        </w:numPr>
        <w:spacing w:before="80" w:after="80"/>
      </w:pPr>
      <w:r>
        <w:t>c</w:t>
      </w:r>
      <w:r w:rsidR="00F315EC">
        <w:t xml:space="preserve">ollating Mining Lease (ML) numbers from </w:t>
      </w:r>
      <w:r w:rsidR="00693E1C" w:rsidRPr="00693E1C">
        <w:t>Environmental</w:t>
      </w:r>
      <w:r w:rsidR="00693E1C">
        <w:t xml:space="preserve"> A</w:t>
      </w:r>
      <w:r w:rsidR="00693E1C" w:rsidRPr="00693E1C">
        <w:t xml:space="preserve">uthority </w:t>
      </w:r>
      <w:r w:rsidR="00693E1C">
        <w:t>(</w:t>
      </w:r>
      <w:r w:rsidR="00F315EC">
        <w:t>EA</w:t>
      </w:r>
      <w:r w:rsidR="00693E1C">
        <w:t>)</w:t>
      </w:r>
      <w:r w:rsidR="00F315EC">
        <w:t xml:space="preserve"> records of coal mine</w:t>
      </w:r>
      <w:r w:rsidR="004419BE">
        <w:t>s</w:t>
      </w:r>
      <w:r w:rsidR="00F315EC">
        <w:t xml:space="preserve">, supplied by </w:t>
      </w:r>
      <w:r w:rsidR="00693E1C">
        <w:t>the Department of Environment and Science (</w:t>
      </w:r>
      <w:r w:rsidR="00F315EC">
        <w:t>DES</w:t>
      </w:r>
      <w:r w:rsidR="00693E1C">
        <w:t>)</w:t>
      </w:r>
      <w:r>
        <w:t>;</w:t>
      </w:r>
    </w:p>
    <w:p w14:paraId="04CFDBDD" w14:textId="550AECFF" w:rsidR="00F315EC" w:rsidRDefault="009C44AA" w:rsidP="00AA4C36">
      <w:pPr>
        <w:pStyle w:val="BodyText"/>
        <w:numPr>
          <w:ilvl w:val="0"/>
          <w:numId w:val="38"/>
        </w:numPr>
        <w:spacing w:before="80" w:after="80"/>
      </w:pPr>
      <w:r>
        <w:t>d</w:t>
      </w:r>
      <w:r w:rsidR="00F315EC">
        <w:t>igitis</w:t>
      </w:r>
      <w:r w:rsidR="00693E1C">
        <w:t xml:space="preserve">ing </w:t>
      </w:r>
      <w:r w:rsidR="00F315EC" w:rsidRPr="00F315EC">
        <w:t xml:space="preserve">current open </w:t>
      </w:r>
      <w:r w:rsidR="004419BE">
        <w:t xml:space="preserve">coal </w:t>
      </w:r>
      <w:r w:rsidR="00F315EC" w:rsidRPr="00F315EC">
        <w:t>pit area</w:t>
      </w:r>
      <w:r w:rsidR="00F315EC">
        <w:t>s using high-resolution imagery</w:t>
      </w:r>
      <w:r>
        <w:t>;</w:t>
      </w:r>
    </w:p>
    <w:p w14:paraId="1E0B5A75" w14:textId="7B680FA7" w:rsidR="00F315EC" w:rsidRDefault="009C44AA" w:rsidP="00AA4C36">
      <w:pPr>
        <w:pStyle w:val="BodyText"/>
        <w:numPr>
          <w:ilvl w:val="0"/>
          <w:numId w:val="38"/>
        </w:numPr>
        <w:spacing w:before="80" w:after="80"/>
      </w:pPr>
      <w:r>
        <w:t>i</w:t>
      </w:r>
      <w:r w:rsidR="00F315EC">
        <w:t xml:space="preserve">nterrogating and extracting relevant and publicly available datasets/GIS layers for each </w:t>
      </w:r>
      <w:r w:rsidR="00A529C7">
        <w:t xml:space="preserve">current </w:t>
      </w:r>
      <w:r w:rsidR="00F315EC">
        <w:t xml:space="preserve">coal </w:t>
      </w:r>
      <w:r w:rsidR="004419BE">
        <w:t xml:space="preserve">pit </w:t>
      </w:r>
      <w:r w:rsidR="00F315EC">
        <w:t xml:space="preserve">area </w:t>
      </w:r>
      <w:r w:rsidR="00A529C7">
        <w:t xml:space="preserve">that was digitised </w:t>
      </w:r>
      <w:r w:rsidR="00F315EC">
        <w:t>including: D</w:t>
      </w:r>
      <w:r w:rsidR="00693E1C">
        <w:t>igital elevation model (D</w:t>
      </w:r>
      <w:r w:rsidR="00F315EC">
        <w:t>EM</w:t>
      </w:r>
      <w:r w:rsidR="00693E1C">
        <w:t>)</w:t>
      </w:r>
      <w:r w:rsidR="00F315EC">
        <w:t>/</w:t>
      </w:r>
      <w:r w:rsidR="00693E1C">
        <w:t xml:space="preserve"> Digital Terrain Model (</w:t>
      </w:r>
      <w:r w:rsidR="00F315EC">
        <w:t>DTM</w:t>
      </w:r>
      <w:r w:rsidR="00693E1C">
        <w:t>)</w:t>
      </w:r>
      <w:r w:rsidR="00F315EC">
        <w:t>, landform, geology, hydrology, hydrogeology and ecology/bioregion</w:t>
      </w:r>
      <w:r>
        <w:t>;</w:t>
      </w:r>
    </w:p>
    <w:p w14:paraId="38C1AF36" w14:textId="622D6F4E" w:rsidR="00F315EC" w:rsidRDefault="00693E1C" w:rsidP="00AA4C36">
      <w:pPr>
        <w:pStyle w:val="BodyText"/>
        <w:numPr>
          <w:ilvl w:val="0"/>
          <w:numId w:val="38"/>
        </w:numPr>
        <w:spacing w:before="80" w:after="80"/>
      </w:pPr>
      <w:r w:rsidRPr="00693E1C">
        <w:t xml:space="preserve">Geographic Information System </w:t>
      </w:r>
      <w:r>
        <w:t>(G</w:t>
      </w:r>
      <w:r w:rsidR="00F315EC">
        <w:t>IS</w:t>
      </w:r>
      <w:r>
        <w:t>)</w:t>
      </w:r>
      <w:r w:rsidR="00F315EC">
        <w:t xml:space="preserve"> analysis to define relevant attributes of the </w:t>
      </w:r>
      <w:r>
        <w:t xml:space="preserve">open </w:t>
      </w:r>
      <w:r w:rsidR="00A529C7">
        <w:t xml:space="preserve">cut </w:t>
      </w:r>
      <w:r w:rsidR="004419BE">
        <w:t>coal</w:t>
      </w:r>
      <w:r w:rsidR="00A529C7">
        <w:t xml:space="preserve"> mine</w:t>
      </w:r>
      <w:r w:rsidR="00F315EC">
        <w:t xml:space="preserve"> areas.</w:t>
      </w:r>
      <w:r w:rsidR="00CC21C7">
        <w:t xml:space="preserve"> A 10 km radius has been selected to capture those attributes that occur in proximity to the open cut coal mine areas</w:t>
      </w:r>
      <w:r w:rsidR="009C44AA">
        <w:t>;</w:t>
      </w:r>
    </w:p>
    <w:p w14:paraId="1BE481AD" w14:textId="0A214D20" w:rsidR="00F315EC" w:rsidRDefault="009C44AA" w:rsidP="00AA4C36">
      <w:pPr>
        <w:pStyle w:val="BodyText"/>
        <w:numPr>
          <w:ilvl w:val="0"/>
          <w:numId w:val="38"/>
        </w:numPr>
        <w:spacing w:before="80" w:after="80"/>
      </w:pPr>
      <w:r>
        <w:t>i</w:t>
      </w:r>
      <w:r w:rsidR="00F315EC">
        <w:t xml:space="preserve">nterrogating publicly available EA records and documenting rehabilitation planning details for each </w:t>
      </w:r>
      <w:r w:rsidR="00693E1C">
        <w:t>open pit coal mine area</w:t>
      </w:r>
      <w:r w:rsidR="00A529C7">
        <w:t xml:space="preserve"> with an EA record</w:t>
      </w:r>
      <w:r w:rsidR="00693E1C">
        <w:t>, as it relates to residual voids</w:t>
      </w:r>
      <w:r>
        <w:t>; and</w:t>
      </w:r>
    </w:p>
    <w:p w14:paraId="4450EC1A" w14:textId="3A987C26" w:rsidR="00F315EC" w:rsidRDefault="009C44AA" w:rsidP="00AA4C36">
      <w:pPr>
        <w:pStyle w:val="BodyText"/>
        <w:numPr>
          <w:ilvl w:val="0"/>
          <w:numId w:val="38"/>
        </w:numPr>
        <w:spacing w:before="80" w:after="80"/>
      </w:pPr>
      <w:r>
        <w:t>d</w:t>
      </w:r>
      <w:r w:rsidR="00F315EC">
        <w:t>eveloping a project database and accompanying spatial datasets.</w:t>
      </w:r>
    </w:p>
    <w:p w14:paraId="01269374" w14:textId="00118DF9" w:rsidR="002E44DF" w:rsidRDefault="00F315EC" w:rsidP="002E44DF">
      <w:pPr>
        <w:pStyle w:val="BodyText"/>
      </w:pPr>
      <w:r>
        <w:t xml:space="preserve">The attributes of the database and their source of information and extraction method is listed in </w:t>
      </w:r>
      <w:r>
        <w:fldChar w:fldCharType="begin"/>
      </w:r>
      <w:r>
        <w:instrText xml:space="preserve"> REF _Ref54870801 \h </w:instrText>
      </w:r>
      <w:r>
        <w:fldChar w:fldCharType="separate"/>
      </w:r>
      <w:r w:rsidR="00937ADD">
        <w:t xml:space="preserve">Table </w:t>
      </w:r>
      <w:r w:rsidR="00937ADD">
        <w:rPr>
          <w:noProof/>
        </w:rPr>
        <w:t>2</w:t>
      </w:r>
      <w:r w:rsidR="00937ADD">
        <w:noBreakHyphen/>
      </w:r>
      <w:r w:rsidR="00937ADD">
        <w:rPr>
          <w:noProof/>
        </w:rPr>
        <w:t>1</w:t>
      </w:r>
      <w:r>
        <w:fldChar w:fldCharType="end"/>
      </w:r>
      <w:r>
        <w:t>.</w:t>
      </w:r>
      <w:r w:rsidR="002E44DF" w:rsidRPr="002E44DF">
        <w:t xml:space="preserve"> </w:t>
      </w:r>
    </w:p>
    <w:p w14:paraId="7D4DC150" w14:textId="54D7E195" w:rsidR="00F315EC" w:rsidRDefault="00F315EC" w:rsidP="00F315EC">
      <w:pPr>
        <w:suppressAutoHyphens/>
      </w:pPr>
      <w:bookmarkStart w:id="20" w:name="_Ref54870801"/>
      <w:bookmarkStart w:id="21" w:name="_Toc65140577"/>
      <w:r>
        <w:t xml:space="preserve">Table </w:t>
      </w:r>
      <w:fldSimple w:instr=" STYLEREF 1 \s ">
        <w:r w:rsidR="00937ADD">
          <w:rPr>
            <w:noProof/>
          </w:rPr>
          <w:t>2</w:t>
        </w:r>
      </w:fldSimple>
      <w:r w:rsidR="002714CC">
        <w:noBreakHyphen/>
      </w:r>
      <w:fldSimple w:instr=" SEQ Table \* ARABIC \s 1 ">
        <w:r w:rsidR="00937ADD">
          <w:rPr>
            <w:noProof/>
          </w:rPr>
          <w:t>1</w:t>
        </w:r>
      </w:fldSimple>
      <w:bookmarkEnd w:id="20"/>
      <w:r>
        <w:t xml:space="preserve"> Database attributes and information sources</w:t>
      </w:r>
      <w:bookmarkEnd w:id="21"/>
    </w:p>
    <w:tbl>
      <w:tblPr>
        <w:tblStyle w:val="ListTable3-Accent3"/>
        <w:tblW w:w="921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998"/>
        <w:gridCol w:w="3100"/>
        <w:gridCol w:w="2308"/>
        <w:gridCol w:w="1810"/>
      </w:tblGrid>
      <w:tr w:rsidR="00F315EC" w:rsidRPr="00377B1C" w14:paraId="02BE9989" w14:textId="77777777" w:rsidTr="00693E1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98" w:type="dxa"/>
            <w:tcBorders>
              <w:bottom w:val="none" w:sz="0" w:space="0" w:color="auto"/>
              <w:right w:val="none" w:sz="0" w:space="0" w:color="auto"/>
            </w:tcBorders>
            <w:vAlign w:val="center"/>
          </w:tcPr>
          <w:p w14:paraId="2AFE2235" w14:textId="77777777" w:rsidR="00F315EC" w:rsidRPr="00377B1C" w:rsidRDefault="00F315EC" w:rsidP="00F315EC">
            <w:pPr>
              <w:suppressAutoHyphens/>
              <w:spacing w:before="60" w:after="60" w:line="300" w:lineRule="auto"/>
              <w:jc w:val="center"/>
              <w:rPr>
                <w:rFonts w:cstheme="minorHAnsi"/>
                <w:sz w:val="18"/>
                <w:szCs w:val="18"/>
              </w:rPr>
            </w:pPr>
            <w:r w:rsidRPr="00377B1C">
              <w:rPr>
                <w:rFonts w:cstheme="minorHAnsi"/>
                <w:sz w:val="18"/>
                <w:szCs w:val="18"/>
              </w:rPr>
              <w:t>Parameter</w:t>
            </w:r>
          </w:p>
        </w:tc>
        <w:tc>
          <w:tcPr>
            <w:tcW w:w="3100" w:type="dxa"/>
            <w:vAlign w:val="center"/>
          </w:tcPr>
          <w:p w14:paraId="727326BD" w14:textId="77777777" w:rsidR="00F315EC" w:rsidRPr="00377B1C" w:rsidRDefault="00F315EC" w:rsidP="00F315EC">
            <w:pPr>
              <w:suppressAutoHyphens/>
              <w:spacing w:before="60" w:after="60" w:line="30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Attribute</w:t>
            </w:r>
          </w:p>
        </w:tc>
        <w:tc>
          <w:tcPr>
            <w:tcW w:w="2308" w:type="dxa"/>
            <w:vAlign w:val="center"/>
          </w:tcPr>
          <w:p w14:paraId="46A2188C" w14:textId="77777777" w:rsidR="00F315EC" w:rsidRPr="00377B1C" w:rsidRDefault="00F315EC" w:rsidP="00F315EC">
            <w:pPr>
              <w:suppressAutoHyphens/>
              <w:spacing w:before="60" w:after="60" w:line="30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Source</w:t>
            </w:r>
          </w:p>
        </w:tc>
        <w:tc>
          <w:tcPr>
            <w:tcW w:w="1810" w:type="dxa"/>
            <w:vAlign w:val="center"/>
          </w:tcPr>
          <w:p w14:paraId="53947E50" w14:textId="77777777" w:rsidR="00F315EC" w:rsidRPr="00377B1C" w:rsidRDefault="00F315EC" w:rsidP="00F315EC">
            <w:pPr>
              <w:suppressAutoHyphens/>
              <w:spacing w:before="60" w:after="60" w:line="30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Extraction method</w:t>
            </w:r>
          </w:p>
        </w:tc>
      </w:tr>
      <w:tr w:rsidR="0069145A" w:rsidRPr="00377B1C" w14:paraId="33861481" w14:textId="77777777" w:rsidTr="006F54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val="restart"/>
            <w:tcBorders>
              <w:top w:val="none" w:sz="0" w:space="0" w:color="auto"/>
              <w:bottom w:val="none" w:sz="0" w:space="0" w:color="auto"/>
              <w:right w:val="none" w:sz="0" w:space="0" w:color="auto"/>
            </w:tcBorders>
            <w:vAlign w:val="center"/>
          </w:tcPr>
          <w:p w14:paraId="6514C168" w14:textId="02277C84" w:rsidR="0069145A" w:rsidRPr="00377B1C" w:rsidRDefault="0069145A" w:rsidP="00F315EC">
            <w:pPr>
              <w:suppressAutoHyphens/>
              <w:spacing w:before="60" w:after="60" w:line="300" w:lineRule="auto"/>
              <w:jc w:val="center"/>
              <w:rPr>
                <w:rFonts w:cstheme="minorHAnsi"/>
                <w:sz w:val="18"/>
                <w:szCs w:val="18"/>
              </w:rPr>
            </w:pPr>
            <w:r>
              <w:rPr>
                <w:rFonts w:cstheme="minorHAnsi"/>
                <w:sz w:val="18"/>
                <w:szCs w:val="18"/>
              </w:rPr>
              <w:t>Open</w:t>
            </w:r>
            <w:r w:rsidR="009C44AA">
              <w:rPr>
                <w:rFonts w:cstheme="minorHAnsi"/>
                <w:sz w:val="18"/>
                <w:szCs w:val="18"/>
              </w:rPr>
              <w:t>-cut</w:t>
            </w:r>
            <w:r>
              <w:rPr>
                <w:rFonts w:cstheme="minorHAnsi"/>
                <w:sz w:val="18"/>
                <w:szCs w:val="18"/>
              </w:rPr>
              <w:t xml:space="preserve"> coal mine pit </w:t>
            </w:r>
            <w:r w:rsidRPr="00377B1C">
              <w:rPr>
                <w:rFonts w:cstheme="minorHAnsi"/>
                <w:sz w:val="18"/>
                <w:szCs w:val="18"/>
              </w:rPr>
              <w:t>location, permit and operational details</w:t>
            </w:r>
          </w:p>
        </w:tc>
        <w:tc>
          <w:tcPr>
            <w:tcW w:w="3100" w:type="dxa"/>
            <w:tcBorders>
              <w:top w:val="none" w:sz="0" w:space="0" w:color="auto"/>
              <w:bottom w:val="none" w:sz="0" w:space="0" w:color="auto"/>
            </w:tcBorders>
            <w:vAlign w:val="center"/>
          </w:tcPr>
          <w:p w14:paraId="684CAC2A"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Mine name</w:t>
            </w:r>
          </w:p>
        </w:tc>
        <w:tc>
          <w:tcPr>
            <w:tcW w:w="2308" w:type="dxa"/>
            <w:tcBorders>
              <w:top w:val="none" w:sz="0" w:space="0" w:color="auto"/>
              <w:bottom w:val="none" w:sz="0" w:space="0" w:color="auto"/>
            </w:tcBorders>
            <w:vAlign w:val="center"/>
          </w:tcPr>
          <w:p w14:paraId="6075C1FD"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DES register</w:t>
            </w:r>
          </w:p>
        </w:tc>
        <w:tc>
          <w:tcPr>
            <w:tcW w:w="1810" w:type="dxa"/>
            <w:tcBorders>
              <w:top w:val="none" w:sz="0" w:space="0" w:color="auto"/>
              <w:bottom w:val="none" w:sz="0" w:space="0" w:color="auto"/>
            </w:tcBorders>
            <w:vAlign w:val="center"/>
          </w:tcPr>
          <w:p w14:paraId="209FF4FB"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Supplied</w:t>
            </w:r>
          </w:p>
        </w:tc>
      </w:tr>
      <w:tr w:rsidR="0069145A" w:rsidRPr="00377B1C" w14:paraId="55AEA4B3" w14:textId="77777777" w:rsidTr="006F5479">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39CD721B" w14:textId="77777777" w:rsidR="0069145A" w:rsidRPr="00377B1C" w:rsidRDefault="0069145A" w:rsidP="00F315EC">
            <w:pPr>
              <w:suppressAutoHyphens/>
              <w:spacing w:before="60" w:after="60" w:line="300" w:lineRule="auto"/>
              <w:jc w:val="center"/>
              <w:rPr>
                <w:rFonts w:cstheme="minorHAnsi"/>
                <w:sz w:val="18"/>
                <w:szCs w:val="18"/>
              </w:rPr>
            </w:pPr>
          </w:p>
        </w:tc>
        <w:tc>
          <w:tcPr>
            <w:tcW w:w="3100" w:type="dxa"/>
            <w:vAlign w:val="center"/>
          </w:tcPr>
          <w:p w14:paraId="199F361A" w14:textId="6BA75F7D"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M</w:t>
            </w:r>
            <w:r>
              <w:rPr>
                <w:rFonts w:cstheme="minorHAnsi"/>
                <w:sz w:val="18"/>
                <w:szCs w:val="18"/>
              </w:rPr>
              <w:t>L</w:t>
            </w:r>
            <w:r w:rsidRPr="00377B1C">
              <w:rPr>
                <w:rFonts w:cstheme="minorHAnsi"/>
                <w:sz w:val="18"/>
                <w:szCs w:val="18"/>
              </w:rPr>
              <w:t xml:space="preserve"> number</w:t>
            </w:r>
          </w:p>
        </w:tc>
        <w:tc>
          <w:tcPr>
            <w:tcW w:w="2308" w:type="dxa"/>
            <w:vAlign w:val="center"/>
          </w:tcPr>
          <w:p w14:paraId="0BEB3115" w14:textId="77777777"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vAlign w:val="center"/>
          </w:tcPr>
          <w:p w14:paraId="58C6977E" w14:textId="77777777"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69145A" w:rsidRPr="00377B1C" w14:paraId="4D67D2C3" w14:textId="77777777" w:rsidTr="006F54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27F13E65" w14:textId="77777777" w:rsidR="0069145A" w:rsidRPr="00377B1C" w:rsidRDefault="0069145A"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6CF37A96" w14:textId="2C63CC0E"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EA number</w:t>
            </w:r>
          </w:p>
        </w:tc>
        <w:tc>
          <w:tcPr>
            <w:tcW w:w="2308" w:type="dxa"/>
            <w:tcBorders>
              <w:top w:val="none" w:sz="0" w:space="0" w:color="auto"/>
              <w:bottom w:val="none" w:sz="0" w:space="0" w:color="auto"/>
            </w:tcBorders>
            <w:vAlign w:val="center"/>
          </w:tcPr>
          <w:p w14:paraId="53B2BAC9"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DES register</w:t>
            </w:r>
          </w:p>
        </w:tc>
        <w:tc>
          <w:tcPr>
            <w:tcW w:w="1810" w:type="dxa"/>
            <w:tcBorders>
              <w:top w:val="none" w:sz="0" w:space="0" w:color="auto"/>
              <w:bottom w:val="none" w:sz="0" w:space="0" w:color="auto"/>
            </w:tcBorders>
            <w:vAlign w:val="center"/>
          </w:tcPr>
          <w:p w14:paraId="0AB49940"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Supplied</w:t>
            </w:r>
          </w:p>
        </w:tc>
      </w:tr>
      <w:tr w:rsidR="0069145A" w:rsidRPr="00377B1C" w14:paraId="2C237563" w14:textId="77777777" w:rsidTr="006F5479">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230D6A9E" w14:textId="77777777" w:rsidR="0069145A" w:rsidRPr="00377B1C" w:rsidRDefault="0069145A" w:rsidP="00F315EC">
            <w:pPr>
              <w:suppressAutoHyphens/>
              <w:spacing w:before="60" w:after="60" w:line="300" w:lineRule="auto"/>
              <w:jc w:val="center"/>
              <w:rPr>
                <w:rFonts w:cstheme="minorHAnsi"/>
                <w:sz w:val="18"/>
                <w:szCs w:val="18"/>
              </w:rPr>
            </w:pPr>
          </w:p>
        </w:tc>
        <w:tc>
          <w:tcPr>
            <w:tcW w:w="3100" w:type="dxa"/>
            <w:vAlign w:val="center"/>
          </w:tcPr>
          <w:p w14:paraId="54BFF8D4" w14:textId="77777777"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Operational status</w:t>
            </w:r>
          </w:p>
        </w:tc>
        <w:tc>
          <w:tcPr>
            <w:tcW w:w="2308" w:type="dxa"/>
            <w:vAlign w:val="center"/>
          </w:tcPr>
          <w:p w14:paraId="63B9B727" w14:textId="77777777"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DES register</w:t>
            </w:r>
          </w:p>
        </w:tc>
        <w:tc>
          <w:tcPr>
            <w:tcW w:w="1810" w:type="dxa"/>
            <w:vAlign w:val="center"/>
          </w:tcPr>
          <w:p w14:paraId="66B440B6" w14:textId="77777777"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Supplied</w:t>
            </w:r>
          </w:p>
        </w:tc>
      </w:tr>
      <w:tr w:rsidR="0069145A" w:rsidRPr="00377B1C" w14:paraId="04587611" w14:textId="77777777" w:rsidTr="006F54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675B26B0" w14:textId="77777777" w:rsidR="0069145A" w:rsidRPr="00377B1C" w:rsidRDefault="0069145A"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2EE811F8"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Mine type</w:t>
            </w:r>
          </w:p>
        </w:tc>
        <w:tc>
          <w:tcPr>
            <w:tcW w:w="2308" w:type="dxa"/>
            <w:tcBorders>
              <w:top w:val="none" w:sz="0" w:space="0" w:color="auto"/>
              <w:bottom w:val="none" w:sz="0" w:space="0" w:color="auto"/>
            </w:tcBorders>
            <w:vAlign w:val="center"/>
          </w:tcPr>
          <w:p w14:paraId="18061D61"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DES register</w:t>
            </w:r>
          </w:p>
        </w:tc>
        <w:tc>
          <w:tcPr>
            <w:tcW w:w="1810" w:type="dxa"/>
            <w:tcBorders>
              <w:top w:val="none" w:sz="0" w:space="0" w:color="auto"/>
              <w:bottom w:val="none" w:sz="0" w:space="0" w:color="auto"/>
            </w:tcBorders>
            <w:vAlign w:val="center"/>
          </w:tcPr>
          <w:p w14:paraId="3DA1D440"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Supplied</w:t>
            </w:r>
          </w:p>
        </w:tc>
      </w:tr>
      <w:tr w:rsidR="0069145A" w:rsidRPr="00377B1C" w14:paraId="731384F3" w14:textId="77777777" w:rsidTr="006F5479">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50B62358" w14:textId="77777777" w:rsidR="0069145A" w:rsidRPr="00377B1C" w:rsidRDefault="0069145A" w:rsidP="00F315EC">
            <w:pPr>
              <w:suppressAutoHyphens/>
              <w:spacing w:before="60" w:after="60" w:line="300" w:lineRule="auto"/>
              <w:jc w:val="center"/>
              <w:rPr>
                <w:rFonts w:cstheme="minorHAnsi"/>
                <w:sz w:val="18"/>
                <w:szCs w:val="18"/>
              </w:rPr>
            </w:pPr>
          </w:p>
        </w:tc>
        <w:tc>
          <w:tcPr>
            <w:tcW w:w="3100" w:type="dxa"/>
            <w:vAlign w:val="center"/>
          </w:tcPr>
          <w:p w14:paraId="7676D782" w14:textId="0651C345"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 xml:space="preserve">EA conditions </w:t>
            </w:r>
            <w:r>
              <w:rPr>
                <w:rFonts w:cstheme="minorHAnsi"/>
                <w:sz w:val="18"/>
                <w:szCs w:val="18"/>
              </w:rPr>
              <w:t>relating to v</w:t>
            </w:r>
            <w:r w:rsidRPr="00377B1C">
              <w:rPr>
                <w:rFonts w:cstheme="minorHAnsi"/>
                <w:sz w:val="18"/>
                <w:szCs w:val="18"/>
              </w:rPr>
              <w:t>oids</w:t>
            </w:r>
          </w:p>
        </w:tc>
        <w:tc>
          <w:tcPr>
            <w:tcW w:w="2308" w:type="dxa"/>
            <w:vAlign w:val="center"/>
          </w:tcPr>
          <w:p w14:paraId="48368FAF" w14:textId="77777777"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DES register</w:t>
            </w:r>
          </w:p>
        </w:tc>
        <w:tc>
          <w:tcPr>
            <w:tcW w:w="1810" w:type="dxa"/>
            <w:vAlign w:val="center"/>
          </w:tcPr>
          <w:p w14:paraId="70331758" w14:textId="77777777" w:rsidR="0069145A" w:rsidRPr="00377B1C"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Supplied</w:t>
            </w:r>
          </w:p>
        </w:tc>
      </w:tr>
      <w:tr w:rsidR="0069145A" w:rsidRPr="00377B1C" w14:paraId="0EB4BBB6" w14:textId="77777777" w:rsidTr="006F54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4EE05364" w14:textId="77777777" w:rsidR="0069145A" w:rsidRPr="00377B1C" w:rsidRDefault="0069145A"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0EEBF993" w14:textId="5FBDC006"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 xml:space="preserve">Does the EA have </w:t>
            </w:r>
            <w:r>
              <w:rPr>
                <w:rFonts w:cstheme="minorHAnsi"/>
                <w:sz w:val="18"/>
                <w:szCs w:val="18"/>
              </w:rPr>
              <w:t xml:space="preserve">a </w:t>
            </w:r>
            <w:r w:rsidRPr="00377B1C">
              <w:rPr>
                <w:rFonts w:cstheme="minorHAnsi"/>
                <w:sz w:val="18"/>
                <w:szCs w:val="18"/>
              </w:rPr>
              <w:t>condition about residual voids/environmental harm?</w:t>
            </w:r>
          </w:p>
        </w:tc>
        <w:tc>
          <w:tcPr>
            <w:tcW w:w="2308" w:type="dxa"/>
            <w:tcBorders>
              <w:top w:val="none" w:sz="0" w:space="0" w:color="auto"/>
              <w:bottom w:val="none" w:sz="0" w:space="0" w:color="auto"/>
            </w:tcBorders>
            <w:vAlign w:val="center"/>
          </w:tcPr>
          <w:p w14:paraId="0DD23281"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DES register</w:t>
            </w:r>
          </w:p>
        </w:tc>
        <w:tc>
          <w:tcPr>
            <w:tcW w:w="1810" w:type="dxa"/>
            <w:tcBorders>
              <w:top w:val="none" w:sz="0" w:space="0" w:color="auto"/>
              <w:bottom w:val="none" w:sz="0" w:space="0" w:color="auto"/>
            </w:tcBorders>
            <w:vAlign w:val="center"/>
          </w:tcPr>
          <w:p w14:paraId="53E837E2" w14:textId="77777777" w:rsidR="0069145A" w:rsidRPr="00377B1C" w:rsidRDefault="0069145A"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Supplied</w:t>
            </w:r>
          </w:p>
        </w:tc>
      </w:tr>
      <w:tr w:rsidR="00F315EC" w:rsidRPr="00377B1C" w14:paraId="55829960"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val="restart"/>
            <w:tcBorders>
              <w:right w:val="none" w:sz="0" w:space="0" w:color="auto"/>
            </w:tcBorders>
            <w:vAlign w:val="center"/>
          </w:tcPr>
          <w:p w14:paraId="2086ED4E" w14:textId="2716DE2C" w:rsidR="00F315EC" w:rsidRPr="00377B1C" w:rsidRDefault="00693E1C" w:rsidP="00F315EC">
            <w:pPr>
              <w:suppressAutoHyphens/>
              <w:spacing w:before="60" w:after="60" w:line="300" w:lineRule="auto"/>
              <w:jc w:val="center"/>
              <w:rPr>
                <w:rFonts w:cstheme="minorHAnsi"/>
                <w:sz w:val="18"/>
                <w:szCs w:val="18"/>
              </w:rPr>
            </w:pPr>
            <w:r>
              <w:rPr>
                <w:rFonts w:cstheme="minorHAnsi"/>
                <w:sz w:val="18"/>
                <w:szCs w:val="18"/>
              </w:rPr>
              <w:lastRenderedPageBreak/>
              <w:t>Open coal mine pit</w:t>
            </w:r>
            <w:r w:rsidR="00F315EC" w:rsidRPr="00377B1C">
              <w:rPr>
                <w:rFonts w:cstheme="minorHAnsi"/>
                <w:sz w:val="18"/>
                <w:szCs w:val="18"/>
              </w:rPr>
              <w:t xml:space="preserve"> elevation</w:t>
            </w:r>
            <w:r w:rsidR="00F315EC">
              <w:rPr>
                <w:rFonts w:cstheme="minorHAnsi"/>
                <w:sz w:val="18"/>
                <w:szCs w:val="18"/>
              </w:rPr>
              <w:t>,</w:t>
            </w:r>
            <w:r w:rsidR="00F315EC" w:rsidRPr="00377B1C">
              <w:rPr>
                <w:rFonts w:cstheme="minorHAnsi"/>
                <w:sz w:val="18"/>
                <w:szCs w:val="18"/>
              </w:rPr>
              <w:t xml:space="preserve"> area</w:t>
            </w:r>
            <w:r w:rsidR="00F315EC">
              <w:rPr>
                <w:rFonts w:cstheme="minorHAnsi"/>
                <w:sz w:val="18"/>
                <w:szCs w:val="18"/>
              </w:rPr>
              <w:t xml:space="preserve"> and slope</w:t>
            </w:r>
          </w:p>
        </w:tc>
        <w:tc>
          <w:tcPr>
            <w:tcW w:w="3100" w:type="dxa"/>
            <w:vAlign w:val="center"/>
          </w:tcPr>
          <w:p w14:paraId="734A93A9" w14:textId="77994614" w:rsidR="00F315EC" w:rsidRPr="00377B1C" w:rsidRDefault="00693E1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Open coa</w:t>
            </w:r>
            <w:r w:rsidR="004419BE">
              <w:rPr>
                <w:rFonts w:cstheme="minorHAnsi"/>
                <w:sz w:val="18"/>
                <w:szCs w:val="18"/>
              </w:rPr>
              <w:t>l</w:t>
            </w:r>
            <w:r>
              <w:rPr>
                <w:rFonts w:cstheme="minorHAnsi"/>
                <w:sz w:val="18"/>
                <w:szCs w:val="18"/>
              </w:rPr>
              <w:t xml:space="preserve"> pit </w:t>
            </w:r>
            <w:r w:rsidR="00C92B46">
              <w:rPr>
                <w:rFonts w:cstheme="minorHAnsi"/>
                <w:sz w:val="18"/>
                <w:szCs w:val="18"/>
              </w:rPr>
              <w:t>identification number (</w:t>
            </w:r>
            <w:r w:rsidR="00F315EC">
              <w:rPr>
                <w:rFonts w:cstheme="minorHAnsi"/>
                <w:sz w:val="18"/>
                <w:szCs w:val="18"/>
              </w:rPr>
              <w:t>ID</w:t>
            </w:r>
            <w:r w:rsidR="00C92B46">
              <w:rPr>
                <w:rFonts w:cstheme="minorHAnsi"/>
                <w:sz w:val="18"/>
                <w:szCs w:val="18"/>
              </w:rPr>
              <w:t>)</w:t>
            </w:r>
          </w:p>
        </w:tc>
        <w:tc>
          <w:tcPr>
            <w:tcW w:w="2308" w:type="dxa"/>
            <w:vAlign w:val="center"/>
          </w:tcPr>
          <w:p w14:paraId="0F0FC1CB"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Coffey</w:t>
            </w:r>
          </w:p>
        </w:tc>
        <w:tc>
          <w:tcPr>
            <w:tcW w:w="1810" w:type="dxa"/>
            <w:vAlign w:val="center"/>
          </w:tcPr>
          <w:p w14:paraId="6A8A44E9"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Unique ID assigned</w:t>
            </w:r>
          </w:p>
        </w:tc>
      </w:tr>
      <w:tr w:rsidR="00F315EC" w:rsidRPr="00377B1C" w14:paraId="5F454BBA" w14:textId="77777777" w:rsidTr="0069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0E42E5F3"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377C483C" w14:textId="40C0AE86" w:rsidR="00F315EC" w:rsidRPr="00377B1C" w:rsidRDefault="00693E1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Open coal pit </w:t>
            </w:r>
            <w:r w:rsidR="00F315EC">
              <w:rPr>
                <w:rFonts w:cstheme="minorHAnsi"/>
                <w:sz w:val="18"/>
                <w:szCs w:val="18"/>
              </w:rPr>
              <w:t>shapes (polygons)</w:t>
            </w:r>
          </w:p>
        </w:tc>
        <w:tc>
          <w:tcPr>
            <w:tcW w:w="2308" w:type="dxa"/>
            <w:tcBorders>
              <w:top w:val="none" w:sz="0" w:space="0" w:color="auto"/>
              <w:bottom w:val="none" w:sz="0" w:space="0" w:color="auto"/>
            </w:tcBorders>
            <w:vAlign w:val="center"/>
          </w:tcPr>
          <w:p w14:paraId="35EBFF0A"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Queensland Globe and Esri high-resolution satellite imagery of varying capture dates</w:t>
            </w:r>
          </w:p>
        </w:tc>
        <w:tc>
          <w:tcPr>
            <w:tcW w:w="1810" w:type="dxa"/>
            <w:tcBorders>
              <w:top w:val="none" w:sz="0" w:space="0" w:color="auto"/>
              <w:bottom w:val="none" w:sz="0" w:space="0" w:color="auto"/>
            </w:tcBorders>
            <w:vAlign w:val="center"/>
          </w:tcPr>
          <w:p w14:paraId="39A3E2EC"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Digitisation</w:t>
            </w:r>
          </w:p>
        </w:tc>
      </w:tr>
      <w:tr w:rsidR="00F315EC" w:rsidRPr="00377B1C" w14:paraId="2FECB78D"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0077102A"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72B3DCD1" w14:textId="3271842B"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Digitis</w:t>
            </w:r>
            <w:r>
              <w:rPr>
                <w:rFonts w:cstheme="minorHAnsi"/>
                <w:sz w:val="18"/>
                <w:szCs w:val="18"/>
              </w:rPr>
              <w:t>ation</w:t>
            </w:r>
            <w:r w:rsidRPr="00377B1C">
              <w:rPr>
                <w:rFonts w:cstheme="minorHAnsi"/>
                <w:sz w:val="18"/>
                <w:szCs w:val="18"/>
              </w:rPr>
              <w:t xml:space="preserve"> status of </w:t>
            </w:r>
            <w:r w:rsidR="00693E1C">
              <w:rPr>
                <w:rFonts w:cstheme="minorHAnsi"/>
                <w:sz w:val="18"/>
                <w:szCs w:val="18"/>
              </w:rPr>
              <w:t>open coal pit</w:t>
            </w:r>
          </w:p>
        </w:tc>
        <w:tc>
          <w:tcPr>
            <w:tcW w:w="2308" w:type="dxa"/>
            <w:vAlign w:val="center"/>
          </w:tcPr>
          <w:p w14:paraId="792B3BA7" w14:textId="77777777" w:rsidR="00F315E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Coffey</w:t>
            </w:r>
          </w:p>
        </w:tc>
        <w:tc>
          <w:tcPr>
            <w:tcW w:w="1810" w:type="dxa"/>
            <w:vAlign w:val="center"/>
          </w:tcPr>
          <w:p w14:paraId="0A9C7978"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GIS analysis</w:t>
            </w:r>
          </w:p>
        </w:tc>
      </w:tr>
      <w:tr w:rsidR="00F315EC" w:rsidRPr="00377B1C" w14:paraId="22050558" w14:textId="77777777" w:rsidTr="0069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274A7697"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6EB43494" w14:textId="3F583993"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Number of digitised</w:t>
            </w:r>
            <w:r w:rsidR="00693E1C">
              <w:rPr>
                <w:rFonts w:cstheme="minorHAnsi"/>
                <w:sz w:val="18"/>
                <w:szCs w:val="18"/>
              </w:rPr>
              <w:t xml:space="preserve"> open coal pit</w:t>
            </w:r>
            <w:r w:rsidR="004419BE">
              <w:rPr>
                <w:rFonts w:cstheme="minorHAnsi"/>
                <w:sz w:val="18"/>
                <w:szCs w:val="18"/>
              </w:rPr>
              <w:t>(</w:t>
            </w:r>
            <w:r w:rsidR="00693E1C">
              <w:rPr>
                <w:rFonts w:cstheme="minorHAnsi"/>
                <w:sz w:val="18"/>
                <w:szCs w:val="18"/>
              </w:rPr>
              <w:t>s</w:t>
            </w:r>
            <w:r w:rsidR="004419BE">
              <w:rPr>
                <w:rFonts w:cstheme="minorHAnsi"/>
                <w:sz w:val="18"/>
                <w:szCs w:val="18"/>
              </w:rPr>
              <w:t>)</w:t>
            </w:r>
            <w:r>
              <w:rPr>
                <w:rFonts w:cstheme="minorHAnsi"/>
                <w:sz w:val="18"/>
                <w:szCs w:val="18"/>
              </w:rPr>
              <w:t xml:space="preserve"> for each mine</w:t>
            </w:r>
          </w:p>
        </w:tc>
        <w:tc>
          <w:tcPr>
            <w:tcW w:w="2308" w:type="dxa"/>
            <w:tcBorders>
              <w:top w:val="none" w:sz="0" w:space="0" w:color="auto"/>
              <w:bottom w:val="none" w:sz="0" w:space="0" w:color="auto"/>
            </w:tcBorders>
            <w:vAlign w:val="center"/>
          </w:tcPr>
          <w:p w14:paraId="1251F4AD"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Coffey</w:t>
            </w:r>
          </w:p>
        </w:tc>
        <w:tc>
          <w:tcPr>
            <w:tcW w:w="1810" w:type="dxa"/>
            <w:tcBorders>
              <w:top w:val="none" w:sz="0" w:space="0" w:color="auto"/>
              <w:bottom w:val="none" w:sz="0" w:space="0" w:color="auto"/>
            </w:tcBorders>
            <w:vAlign w:val="center"/>
          </w:tcPr>
          <w:p w14:paraId="6D243B54"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GIS analysis</w:t>
            </w:r>
          </w:p>
        </w:tc>
      </w:tr>
      <w:tr w:rsidR="00F315EC" w:rsidRPr="00377B1C" w14:paraId="4A8AA06D"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35AAD650"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75EC90A1" w14:textId="33D5233F" w:rsidR="00F315EC" w:rsidRPr="00DC2D74"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C2D74">
              <w:rPr>
                <w:rFonts w:cstheme="minorHAnsi"/>
                <w:sz w:val="18"/>
                <w:szCs w:val="18"/>
              </w:rPr>
              <w:t>Elevation (and accuracy) including minimum, maximum and mean of elevation and slope</w:t>
            </w:r>
            <w:r w:rsidR="004419BE">
              <w:rPr>
                <w:rFonts w:cstheme="minorHAnsi"/>
                <w:sz w:val="18"/>
                <w:szCs w:val="18"/>
              </w:rPr>
              <w:t xml:space="preserve"> of the open coal pit</w:t>
            </w:r>
          </w:p>
        </w:tc>
        <w:tc>
          <w:tcPr>
            <w:tcW w:w="2308" w:type="dxa"/>
            <w:vAlign w:val="center"/>
          </w:tcPr>
          <w:p w14:paraId="0F755AF7" w14:textId="5A967687" w:rsidR="00F315EC" w:rsidRPr="00DC2D74"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C2D74">
              <w:rPr>
                <w:rFonts w:cstheme="minorHAnsi"/>
                <w:sz w:val="18"/>
                <w:szCs w:val="18"/>
              </w:rPr>
              <w:t>G</w:t>
            </w:r>
            <w:r w:rsidR="00693E1C">
              <w:rPr>
                <w:rFonts w:cstheme="minorHAnsi"/>
                <w:sz w:val="18"/>
                <w:szCs w:val="18"/>
              </w:rPr>
              <w:t xml:space="preserve">eoscience </w:t>
            </w:r>
            <w:r w:rsidRPr="00DC2D74">
              <w:rPr>
                <w:rFonts w:cstheme="minorHAnsi"/>
                <w:sz w:val="18"/>
                <w:szCs w:val="18"/>
              </w:rPr>
              <w:t>A</w:t>
            </w:r>
            <w:r w:rsidR="00693E1C">
              <w:rPr>
                <w:rFonts w:cstheme="minorHAnsi"/>
                <w:sz w:val="18"/>
                <w:szCs w:val="18"/>
              </w:rPr>
              <w:t>ustralia (GA)</w:t>
            </w:r>
            <w:r w:rsidRPr="00DC2D74">
              <w:rPr>
                <w:rFonts w:cstheme="minorHAnsi"/>
                <w:sz w:val="18"/>
                <w:szCs w:val="18"/>
              </w:rPr>
              <w:t xml:space="preserve"> DEM 1-Sec (~ 30 m). Derived from </w:t>
            </w:r>
            <w:r w:rsidR="00693E1C" w:rsidRPr="00693E1C">
              <w:rPr>
                <w:rFonts w:cstheme="minorHAnsi"/>
                <w:sz w:val="18"/>
                <w:szCs w:val="18"/>
              </w:rPr>
              <w:t xml:space="preserve">Shuttle Radar Topography Mission </w:t>
            </w:r>
            <w:r w:rsidR="00693E1C">
              <w:rPr>
                <w:rFonts w:cstheme="minorHAnsi"/>
                <w:sz w:val="18"/>
                <w:szCs w:val="18"/>
              </w:rPr>
              <w:t>(</w:t>
            </w:r>
            <w:r w:rsidRPr="00DC2D74">
              <w:rPr>
                <w:rFonts w:cstheme="minorHAnsi"/>
                <w:sz w:val="18"/>
                <w:szCs w:val="18"/>
              </w:rPr>
              <w:t>SRTM</w:t>
            </w:r>
            <w:r w:rsidR="00693E1C">
              <w:rPr>
                <w:rFonts w:cstheme="minorHAnsi"/>
                <w:sz w:val="18"/>
                <w:szCs w:val="18"/>
              </w:rPr>
              <w:t>)</w:t>
            </w:r>
            <w:r w:rsidRPr="00DC2D74">
              <w:rPr>
                <w:rFonts w:cstheme="minorHAnsi"/>
                <w:sz w:val="18"/>
                <w:szCs w:val="18"/>
              </w:rPr>
              <w:t xml:space="preserve"> data acquired by </w:t>
            </w:r>
            <w:r w:rsidR="00693E1C" w:rsidRPr="00693E1C">
              <w:rPr>
                <w:rFonts w:cstheme="minorHAnsi"/>
                <w:sz w:val="18"/>
                <w:szCs w:val="18"/>
              </w:rPr>
              <w:t xml:space="preserve">National Aeronautics and Space Administration </w:t>
            </w:r>
            <w:r w:rsidR="00693E1C">
              <w:rPr>
                <w:rFonts w:cstheme="minorHAnsi"/>
                <w:sz w:val="18"/>
                <w:szCs w:val="18"/>
              </w:rPr>
              <w:t>(</w:t>
            </w:r>
            <w:r w:rsidRPr="00DC2D74">
              <w:rPr>
                <w:rFonts w:cstheme="minorHAnsi"/>
                <w:sz w:val="18"/>
                <w:szCs w:val="18"/>
              </w:rPr>
              <w:t>NASA</w:t>
            </w:r>
            <w:r w:rsidR="00693E1C">
              <w:rPr>
                <w:rFonts w:cstheme="minorHAnsi"/>
                <w:sz w:val="18"/>
                <w:szCs w:val="18"/>
              </w:rPr>
              <w:t>)</w:t>
            </w:r>
            <w:r w:rsidRPr="00DC2D74">
              <w:rPr>
                <w:rFonts w:cstheme="minorHAnsi"/>
                <w:sz w:val="18"/>
                <w:szCs w:val="18"/>
              </w:rPr>
              <w:t xml:space="preserve"> in </w:t>
            </w:r>
            <w:r w:rsidRPr="00BB57E6">
              <w:rPr>
                <w:rFonts w:cstheme="minorHAnsi"/>
                <w:sz w:val="18"/>
                <w:szCs w:val="18"/>
              </w:rPr>
              <w:t>February 2000</w:t>
            </w:r>
            <w:r w:rsidRPr="00DC2D74">
              <w:rPr>
                <w:rFonts w:cstheme="minorHAnsi"/>
                <w:sz w:val="18"/>
                <w:szCs w:val="18"/>
              </w:rPr>
              <w:t>.</w:t>
            </w:r>
          </w:p>
        </w:tc>
        <w:tc>
          <w:tcPr>
            <w:tcW w:w="1810" w:type="dxa"/>
            <w:vAlign w:val="center"/>
          </w:tcPr>
          <w:p w14:paraId="242F6D8E" w14:textId="77777777" w:rsidR="00F315EC" w:rsidRPr="00DC2D74"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C2D74">
              <w:rPr>
                <w:rFonts w:cstheme="minorHAnsi"/>
                <w:sz w:val="18"/>
                <w:szCs w:val="18"/>
              </w:rPr>
              <w:t>GIS analysis</w:t>
            </w:r>
          </w:p>
        </w:tc>
      </w:tr>
      <w:tr w:rsidR="00F315EC" w:rsidRPr="00377B1C" w14:paraId="012BE762" w14:textId="77777777" w:rsidTr="0069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43394625"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0744DD66" w14:textId="7E8B25AD"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 xml:space="preserve">Total </w:t>
            </w:r>
            <w:r w:rsidR="00693E1C">
              <w:rPr>
                <w:rFonts w:cstheme="minorHAnsi"/>
                <w:sz w:val="18"/>
                <w:szCs w:val="18"/>
              </w:rPr>
              <w:t>open coal pit</w:t>
            </w:r>
            <w:r w:rsidRPr="00377B1C">
              <w:rPr>
                <w:rFonts w:cstheme="minorHAnsi"/>
                <w:sz w:val="18"/>
                <w:szCs w:val="18"/>
              </w:rPr>
              <w:t xml:space="preserve"> area (</w:t>
            </w:r>
            <w:r w:rsidR="004419BE">
              <w:rPr>
                <w:rFonts w:cstheme="minorHAnsi"/>
                <w:sz w:val="18"/>
                <w:szCs w:val="18"/>
              </w:rPr>
              <w:t>h</w:t>
            </w:r>
            <w:r w:rsidRPr="00377B1C">
              <w:rPr>
                <w:rFonts w:cstheme="minorHAnsi"/>
                <w:sz w:val="18"/>
                <w:szCs w:val="18"/>
              </w:rPr>
              <w:t>a)</w:t>
            </w:r>
            <w:r>
              <w:rPr>
                <w:rFonts w:cstheme="minorHAnsi"/>
                <w:sz w:val="18"/>
                <w:szCs w:val="18"/>
              </w:rPr>
              <w:t xml:space="preserve"> including planimetric area and surface area</w:t>
            </w:r>
          </w:p>
        </w:tc>
        <w:tc>
          <w:tcPr>
            <w:tcW w:w="2308" w:type="dxa"/>
            <w:tcBorders>
              <w:top w:val="none" w:sz="0" w:space="0" w:color="auto"/>
              <w:bottom w:val="none" w:sz="0" w:space="0" w:color="auto"/>
            </w:tcBorders>
            <w:vAlign w:val="center"/>
          </w:tcPr>
          <w:p w14:paraId="77EE515E"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Coffey</w:t>
            </w:r>
          </w:p>
        </w:tc>
        <w:tc>
          <w:tcPr>
            <w:tcW w:w="1810" w:type="dxa"/>
            <w:tcBorders>
              <w:top w:val="none" w:sz="0" w:space="0" w:color="auto"/>
              <w:bottom w:val="none" w:sz="0" w:space="0" w:color="auto"/>
            </w:tcBorders>
            <w:vAlign w:val="center"/>
          </w:tcPr>
          <w:p w14:paraId="0CB46FA6"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 xml:space="preserve">GIS </w:t>
            </w:r>
            <w:r>
              <w:rPr>
                <w:rFonts w:cstheme="minorHAnsi"/>
                <w:sz w:val="18"/>
                <w:szCs w:val="18"/>
              </w:rPr>
              <w:t>calculation</w:t>
            </w:r>
          </w:p>
        </w:tc>
      </w:tr>
      <w:tr w:rsidR="00F315EC" w:rsidRPr="00377B1C" w14:paraId="36D611AB"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val="restart"/>
            <w:tcBorders>
              <w:right w:val="none" w:sz="0" w:space="0" w:color="auto"/>
            </w:tcBorders>
            <w:vAlign w:val="center"/>
          </w:tcPr>
          <w:p w14:paraId="0C58574C" w14:textId="5E96C102" w:rsidR="00F315EC" w:rsidRPr="00377B1C" w:rsidRDefault="00F315EC" w:rsidP="00F315EC">
            <w:pPr>
              <w:suppressAutoHyphens/>
              <w:spacing w:before="60" w:after="60" w:line="300" w:lineRule="auto"/>
              <w:jc w:val="center"/>
              <w:rPr>
                <w:rFonts w:cstheme="minorHAnsi"/>
                <w:sz w:val="18"/>
                <w:szCs w:val="18"/>
              </w:rPr>
            </w:pPr>
            <w:bookmarkStart w:id="22" w:name="_Hlk54873600"/>
            <w:r w:rsidRPr="00377B1C">
              <w:rPr>
                <w:rFonts w:cstheme="minorHAnsi"/>
                <w:sz w:val="18"/>
                <w:szCs w:val="18"/>
              </w:rPr>
              <w:t>Landform, geology, hydrology and hydrogeology</w:t>
            </w:r>
            <w:r w:rsidR="00C92B46">
              <w:rPr>
                <w:rFonts w:cstheme="minorHAnsi"/>
                <w:sz w:val="18"/>
                <w:szCs w:val="18"/>
              </w:rPr>
              <w:t xml:space="preserve"> in proximity to the open coal mine pit area</w:t>
            </w:r>
          </w:p>
        </w:tc>
        <w:tc>
          <w:tcPr>
            <w:tcW w:w="3100" w:type="dxa"/>
            <w:vAlign w:val="center"/>
          </w:tcPr>
          <w:p w14:paraId="3419B708" w14:textId="77AF3AE1"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Dominant l</w:t>
            </w:r>
            <w:r w:rsidRPr="00377B1C">
              <w:rPr>
                <w:rFonts w:cstheme="minorHAnsi"/>
                <w:sz w:val="18"/>
                <w:szCs w:val="18"/>
              </w:rPr>
              <w:t>and systems mapping</w:t>
            </w:r>
          </w:p>
        </w:tc>
        <w:tc>
          <w:tcPr>
            <w:tcW w:w="2308" w:type="dxa"/>
            <w:vAlign w:val="center"/>
          </w:tcPr>
          <w:p w14:paraId="598F8AA1" w14:textId="71AE4B25"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Queensland Globe</w:t>
            </w:r>
            <w:r>
              <w:rPr>
                <w:rFonts w:cstheme="minorHAnsi"/>
                <w:sz w:val="18"/>
                <w:szCs w:val="18"/>
              </w:rPr>
              <w:t xml:space="preserve"> </w:t>
            </w:r>
          </w:p>
        </w:tc>
        <w:tc>
          <w:tcPr>
            <w:tcW w:w="1810" w:type="dxa"/>
            <w:vAlign w:val="center"/>
          </w:tcPr>
          <w:p w14:paraId="72C62714"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bookmarkEnd w:id="22"/>
      <w:tr w:rsidR="00F315EC" w:rsidRPr="00377B1C" w14:paraId="222BC3F0" w14:textId="77777777" w:rsidTr="0069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4D709A12"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73D39348" w14:textId="7B51CB7C"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Dominant s</w:t>
            </w:r>
            <w:r w:rsidRPr="00377B1C">
              <w:rPr>
                <w:rFonts w:cstheme="minorHAnsi"/>
                <w:sz w:val="18"/>
                <w:szCs w:val="18"/>
              </w:rPr>
              <w:t>urface</w:t>
            </w:r>
            <w:r>
              <w:rPr>
                <w:rFonts w:cstheme="minorHAnsi"/>
                <w:sz w:val="18"/>
                <w:szCs w:val="18"/>
              </w:rPr>
              <w:t xml:space="preserve"> and solid</w:t>
            </w:r>
            <w:r w:rsidRPr="00377B1C">
              <w:rPr>
                <w:rFonts w:cstheme="minorHAnsi"/>
                <w:sz w:val="18"/>
                <w:szCs w:val="18"/>
              </w:rPr>
              <w:t xml:space="preserve"> geology classification </w:t>
            </w:r>
          </w:p>
        </w:tc>
        <w:tc>
          <w:tcPr>
            <w:tcW w:w="2308" w:type="dxa"/>
            <w:tcBorders>
              <w:top w:val="none" w:sz="0" w:space="0" w:color="auto"/>
              <w:bottom w:val="none" w:sz="0" w:space="0" w:color="auto"/>
            </w:tcBorders>
            <w:vAlign w:val="center"/>
          </w:tcPr>
          <w:p w14:paraId="16C61CD5"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tcBorders>
              <w:top w:val="none" w:sz="0" w:space="0" w:color="auto"/>
              <w:bottom w:val="none" w:sz="0" w:space="0" w:color="auto"/>
            </w:tcBorders>
            <w:vAlign w:val="center"/>
          </w:tcPr>
          <w:p w14:paraId="494CCB9B"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6FBB492D"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0408A4BC"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5AA46BE7" w14:textId="7B8EE7A9"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 xml:space="preserve">Structural </w:t>
            </w:r>
            <w:r w:rsidR="00C92B46">
              <w:rPr>
                <w:rFonts w:cstheme="minorHAnsi"/>
                <w:sz w:val="18"/>
                <w:szCs w:val="18"/>
              </w:rPr>
              <w:t xml:space="preserve">geological </w:t>
            </w:r>
            <w:r w:rsidRPr="00377B1C">
              <w:rPr>
                <w:rFonts w:cstheme="minorHAnsi"/>
                <w:sz w:val="18"/>
                <w:szCs w:val="18"/>
              </w:rPr>
              <w:t>framework</w:t>
            </w:r>
          </w:p>
        </w:tc>
        <w:tc>
          <w:tcPr>
            <w:tcW w:w="2308" w:type="dxa"/>
            <w:vAlign w:val="center"/>
          </w:tcPr>
          <w:p w14:paraId="70CC722E"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vAlign w:val="center"/>
          </w:tcPr>
          <w:p w14:paraId="6E4532D0"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6515F4A3" w14:textId="77777777" w:rsidTr="00693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7EF327AC"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5145FA14" w14:textId="31BFBE97" w:rsidR="00F315EC" w:rsidRPr="002377B2"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377B2">
              <w:rPr>
                <w:rFonts w:cstheme="minorHAnsi"/>
                <w:sz w:val="18"/>
                <w:szCs w:val="18"/>
              </w:rPr>
              <w:t xml:space="preserve">Intersectional proximity to different major and minor streams (including their name, perennial and nearest distance) </w:t>
            </w:r>
          </w:p>
        </w:tc>
        <w:tc>
          <w:tcPr>
            <w:tcW w:w="2308" w:type="dxa"/>
            <w:tcBorders>
              <w:top w:val="none" w:sz="0" w:space="0" w:color="auto"/>
              <w:bottom w:val="none" w:sz="0" w:space="0" w:color="auto"/>
            </w:tcBorders>
            <w:vAlign w:val="center"/>
          </w:tcPr>
          <w:p w14:paraId="0497B034" w14:textId="77777777" w:rsidR="00F315EC" w:rsidRPr="002377B2"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377B2">
              <w:rPr>
                <w:rFonts w:cstheme="minorHAnsi"/>
                <w:sz w:val="18"/>
                <w:szCs w:val="18"/>
              </w:rPr>
              <w:t>BoM Hydrological Geospatial Fabric</w:t>
            </w:r>
          </w:p>
        </w:tc>
        <w:tc>
          <w:tcPr>
            <w:tcW w:w="1810" w:type="dxa"/>
            <w:tcBorders>
              <w:top w:val="none" w:sz="0" w:space="0" w:color="auto"/>
              <w:bottom w:val="none" w:sz="0" w:space="0" w:color="auto"/>
            </w:tcBorders>
            <w:vAlign w:val="center"/>
          </w:tcPr>
          <w:p w14:paraId="4A4F73B0" w14:textId="77777777" w:rsidR="00F315EC" w:rsidRPr="007D1146"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highlight w:val="yellow"/>
              </w:rPr>
            </w:pPr>
            <w:r w:rsidRPr="00377B1C">
              <w:rPr>
                <w:rFonts w:cstheme="minorHAnsi"/>
                <w:sz w:val="18"/>
                <w:szCs w:val="18"/>
              </w:rPr>
              <w:t>Download</w:t>
            </w:r>
            <w:r>
              <w:rPr>
                <w:rFonts w:cstheme="minorHAnsi"/>
                <w:sz w:val="18"/>
                <w:szCs w:val="18"/>
              </w:rPr>
              <w:t xml:space="preserve"> and GIS analysis</w:t>
            </w:r>
          </w:p>
        </w:tc>
      </w:tr>
      <w:tr w:rsidR="00503FA1" w:rsidRPr="00377B1C" w14:paraId="12292705" w14:textId="77777777" w:rsidTr="001957D5">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2D3B5B6F" w14:textId="77777777" w:rsidR="00503FA1" w:rsidRPr="00377B1C" w:rsidRDefault="00503FA1" w:rsidP="00F315EC">
            <w:pPr>
              <w:suppressAutoHyphens/>
              <w:spacing w:before="60" w:after="60" w:line="300" w:lineRule="auto"/>
              <w:jc w:val="center"/>
              <w:rPr>
                <w:rFonts w:cstheme="minorHAnsi"/>
                <w:sz w:val="18"/>
                <w:szCs w:val="18"/>
              </w:rPr>
            </w:pPr>
          </w:p>
        </w:tc>
        <w:tc>
          <w:tcPr>
            <w:tcW w:w="3100" w:type="dxa"/>
            <w:vAlign w:val="center"/>
          </w:tcPr>
          <w:p w14:paraId="592F7AC1" w14:textId="6F3ADA5B" w:rsidR="00503FA1" w:rsidRPr="0069145A"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9145A">
              <w:rPr>
                <w:rFonts w:cstheme="minorHAnsi"/>
                <w:sz w:val="18"/>
                <w:szCs w:val="18"/>
              </w:rPr>
              <w:t>Is the open coal pit in a f</w:t>
            </w:r>
            <w:r w:rsidR="00503FA1" w:rsidRPr="0069145A">
              <w:rPr>
                <w:rFonts w:cstheme="minorHAnsi"/>
                <w:sz w:val="18"/>
                <w:szCs w:val="18"/>
              </w:rPr>
              <w:t>loodplain</w:t>
            </w:r>
            <w:r w:rsidRPr="0069145A">
              <w:rPr>
                <w:rFonts w:cstheme="minorHAnsi"/>
                <w:sz w:val="18"/>
                <w:szCs w:val="18"/>
              </w:rPr>
              <w:t xml:space="preserve"> hazard area (if so, floodplain sub-basin name)</w:t>
            </w:r>
          </w:p>
        </w:tc>
        <w:tc>
          <w:tcPr>
            <w:tcW w:w="2308" w:type="dxa"/>
            <w:vAlign w:val="center"/>
          </w:tcPr>
          <w:p w14:paraId="0D851841" w14:textId="626F0FF1" w:rsidR="00503FA1" w:rsidRPr="0069145A" w:rsidRDefault="0069145A"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9145A">
              <w:rPr>
                <w:rFonts w:cstheme="minorHAnsi"/>
                <w:sz w:val="18"/>
                <w:szCs w:val="18"/>
              </w:rPr>
              <w:t>Department of Natural Resources, Mines and Energy</w:t>
            </w:r>
            <w:r>
              <w:rPr>
                <w:rFonts w:cstheme="minorHAnsi"/>
                <w:sz w:val="18"/>
                <w:szCs w:val="18"/>
              </w:rPr>
              <w:t xml:space="preserve"> (DNRME) </w:t>
            </w:r>
            <w:r w:rsidRPr="0069145A">
              <w:rPr>
                <w:rFonts w:cstheme="minorHAnsi"/>
                <w:sz w:val="18"/>
                <w:szCs w:val="18"/>
              </w:rPr>
              <w:t>Queensland Floodplain Assessment Overlay (QFAO)</w:t>
            </w:r>
            <w:r w:rsidR="005D27D1">
              <w:rPr>
                <w:rFonts w:cstheme="minorHAnsi"/>
                <w:sz w:val="18"/>
                <w:szCs w:val="18"/>
              </w:rPr>
              <w:t xml:space="preserve"> </w:t>
            </w:r>
            <w:r w:rsidR="005D27D1" w:rsidRPr="005D27D1">
              <w:rPr>
                <w:rFonts w:cstheme="minorHAnsi"/>
                <w:sz w:val="18"/>
                <w:szCs w:val="18"/>
                <w:vertAlign w:val="superscript"/>
              </w:rPr>
              <w:t>(1)</w:t>
            </w:r>
          </w:p>
        </w:tc>
        <w:tc>
          <w:tcPr>
            <w:tcW w:w="1810" w:type="dxa"/>
            <w:vAlign w:val="center"/>
          </w:tcPr>
          <w:p w14:paraId="46003CCC" w14:textId="4DF66B2F" w:rsidR="00503FA1" w:rsidRPr="00503FA1" w:rsidRDefault="00517D23"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highlight w:val="yellow"/>
              </w:rPr>
            </w:pPr>
            <w:r w:rsidRPr="00517D23">
              <w:rPr>
                <w:rFonts w:cstheme="minorHAnsi"/>
                <w:sz w:val="18"/>
                <w:szCs w:val="18"/>
              </w:rPr>
              <w:t>Download and GIS analysis</w:t>
            </w:r>
          </w:p>
        </w:tc>
      </w:tr>
      <w:tr w:rsidR="00F315EC" w:rsidRPr="00377B1C" w14:paraId="58D87A64"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1656F8EB"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219811D6" w14:textId="60FBFEF9" w:rsidR="00F315EC" w:rsidRPr="00C92B46" w:rsidRDefault="00517D23"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highlight w:val="yellow"/>
              </w:rPr>
            </w:pPr>
            <w:r w:rsidRPr="00517D23">
              <w:rPr>
                <w:rFonts w:cstheme="minorHAnsi"/>
                <w:sz w:val="18"/>
                <w:szCs w:val="18"/>
              </w:rPr>
              <w:t xml:space="preserve">ID, name and distance of </w:t>
            </w:r>
            <w:r w:rsidR="00F315EC" w:rsidRPr="00517D23">
              <w:rPr>
                <w:rFonts w:cstheme="minorHAnsi"/>
                <w:sz w:val="18"/>
                <w:szCs w:val="18"/>
              </w:rPr>
              <w:t>surface water gauging systems within 10 km</w:t>
            </w:r>
          </w:p>
        </w:tc>
        <w:tc>
          <w:tcPr>
            <w:tcW w:w="2308" w:type="dxa"/>
            <w:tcBorders>
              <w:top w:val="none" w:sz="0" w:space="0" w:color="auto"/>
              <w:bottom w:val="none" w:sz="0" w:space="0" w:color="auto"/>
            </w:tcBorders>
            <w:vAlign w:val="center"/>
          </w:tcPr>
          <w:p w14:paraId="61F0F6A3"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F7FF0">
              <w:rPr>
                <w:rFonts w:cstheme="minorHAnsi"/>
                <w:sz w:val="18"/>
                <w:szCs w:val="18"/>
              </w:rPr>
              <w:t>BoM Hydrological Geospatial Fabric</w:t>
            </w:r>
          </w:p>
        </w:tc>
        <w:tc>
          <w:tcPr>
            <w:tcW w:w="1810" w:type="dxa"/>
            <w:tcBorders>
              <w:top w:val="none" w:sz="0" w:space="0" w:color="auto"/>
              <w:bottom w:val="none" w:sz="0" w:space="0" w:color="auto"/>
            </w:tcBorders>
            <w:vAlign w:val="center"/>
          </w:tcPr>
          <w:p w14:paraId="7432B862"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1E102E77"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03DC32A9"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31903930" w14:textId="78ABF628" w:rsidR="00F315EC" w:rsidRPr="00C92B46" w:rsidRDefault="00517D23" w:rsidP="00517D23">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highlight w:val="yellow"/>
              </w:rPr>
            </w:pPr>
            <w:r>
              <w:rPr>
                <w:rFonts w:cstheme="minorHAnsi"/>
                <w:sz w:val="18"/>
                <w:szCs w:val="18"/>
              </w:rPr>
              <w:t xml:space="preserve">Registered </w:t>
            </w:r>
            <w:r w:rsidRPr="00517D23">
              <w:rPr>
                <w:rFonts w:cstheme="minorHAnsi"/>
                <w:sz w:val="18"/>
                <w:szCs w:val="18"/>
              </w:rPr>
              <w:t>ID</w:t>
            </w:r>
            <w:r>
              <w:rPr>
                <w:rFonts w:cstheme="minorHAnsi"/>
                <w:sz w:val="18"/>
                <w:szCs w:val="18"/>
              </w:rPr>
              <w:t xml:space="preserve"> </w:t>
            </w:r>
            <w:r w:rsidRPr="00517D23">
              <w:rPr>
                <w:rFonts w:cstheme="minorHAnsi"/>
                <w:sz w:val="18"/>
                <w:szCs w:val="18"/>
              </w:rPr>
              <w:t xml:space="preserve">and distance of </w:t>
            </w:r>
            <w:r>
              <w:rPr>
                <w:rFonts w:cstheme="minorHAnsi"/>
                <w:sz w:val="18"/>
                <w:szCs w:val="18"/>
              </w:rPr>
              <w:t>registered groundwater bores</w:t>
            </w:r>
            <w:r w:rsidRPr="00517D23">
              <w:rPr>
                <w:rFonts w:cstheme="minorHAnsi"/>
                <w:sz w:val="18"/>
                <w:szCs w:val="18"/>
              </w:rPr>
              <w:t xml:space="preserve"> within 10 km</w:t>
            </w:r>
          </w:p>
        </w:tc>
        <w:tc>
          <w:tcPr>
            <w:tcW w:w="2308" w:type="dxa"/>
            <w:vAlign w:val="center"/>
          </w:tcPr>
          <w:p w14:paraId="04EEBE55"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vAlign w:val="center"/>
          </w:tcPr>
          <w:p w14:paraId="560878D4"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400AB61F"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val="restart"/>
            <w:tcBorders>
              <w:top w:val="none" w:sz="0" w:space="0" w:color="auto"/>
              <w:bottom w:val="none" w:sz="0" w:space="0" w:color="auto"/>
              <w:right w:val="none" w:sz="0" w:space="0" w:color="auto"/>
            </w:tcBorders>
            <w:vAlign w:val="center"/>
          </w:tcPr>
          <w:p w14:paraId="6DD34FB6" w14:textId="7529E559" w:rsidR="00F315EC" w:rsidRPr="00377B1C" w:rsidRDefault="00F315EC" w:rsidP="00F315EC">
            <w:pPr>
              <w:suppressAutoHyphens/>
              <w:spacing w:before="60" w:after="60" w:line="300" w:lineRule="auto"/>
              <w:jc w:val="center"/>
              <w:rPr>
                <w:rFonts w:cstheme="minorHAnsi"/>
                <w:sz w:val="18"/>
                <w:szCs w:val="18"/>
              </w:rPr>
            </w:pPr>
            <w:r w:rsidRPr="00377B1C">
              <w:rPr>
                <w:rFonts w:cstheme="minorHAnsi"/>
                <w:sz w:val="18"/>
                <w:szCs w:val="18"/>
              </w:rPr>
              <w:t>Ecology/Biodiversity</w:t>
            </w:r>
            <w:r w:rsidR="001957D5">
              <w:rPr>
                <w:rFonts w:cstheme="minorHAnsi"/>
                <w:sz w:val="18"/>
                <w:szCs w:val="18"/>
              </w:rPr>
              <w:t xml:space="preserve"> in proximity to the </w:t>
            </w:r>
            <w:r w:rsidR="001957D5">
              <w:rPr>
                <w:rFonts w:cstheme="minorHAnsi"/>
                <w:sz w:val="18"/>
                <w:szCs w:val="18"/>
              </w:rPr>
              <w:lastRenderedPageBreak/>
              <w:t>open coal mine pit area</w:t>
            </w:r>
          </w:p>
        </w:tc>
        <w:tc>
          <w:tcPr>
            <w:tcW w:w="3100" w:type="dxa"/>
            <w:tcBorders>
              <w:top w:val="none" w:sz="0" w:space="0" w:color="auto"/>
              <w:bottom w:val="none" w:sz="0" w:space="0" w:color="auto"/>
            </w:tcBorders>
            <w:vAlign w:val="center"/>
          </w:tcPr>
          <w:p w14:paraId="5EA5FA11" w14:textId="76457FCF"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17D23">
              <w:rPr>
                <w:rFonts w:cstheme="minorHAnsi"/>
                <w:sz w:val="18"/>
                <w:szCs w:val="18"/>
              </w:rPr>
              <w:lastRenderedPageBreak/>
              <w:t xml:space="preserve">Does the </w:t>
            </w:r>
            <w:r w:rsidR="004419BE">
              <w:rPr>
                <w:rFonts w:cstheme="minorHAnsi"/>
                <w:sz w:val="18"/>
                <w:szCs w:val="18"/>
              </w:rPr>
              <w:t xml:space="preserve">open coal pit </w:t>
            </w:r>
            <w:r w:rsidRPr="00517D23">
              <w:rPr>
                <w:rFonts w:cstheme="minorHAnsi"/>
                <w:sz w:val="18"/>
                <w:szCs w:val="18"/>
              </w:rPr>
              <w:t xml:space="preserve">overlap or within 10 km of any areas </w:t>
            </w:r>
            <w:r w:rsidRPr="00517D23">
              <w:rPr>
                <w:rFonts w:cstheme="minorHAnsi"/>
                <w:sz w:val="18"/>
                <w:szCs w:val="18"/>
              </w:rPr>
              <w:lastRenderedPageBreak/>
              <w:t xml:space="preserve">designated as </w:t>
            </w:r>
            <w:r w:rsidR="00EC3A5B">
              <w:rPr>
                <w:rFonts w:cstheme="minorHAnsi"/>
                <w:sz w:val="18"/>
                <w:szCs w:val="18"/>
              </w:rPr>
              <w:t>Matters of State Environmental Significance (</w:t>
            </w:r>
            <w:r w:rsidRPr="00517D23">
              <w:rPr>
                <w:rFonts w:cstheme="minorHAnsi"/>
                <w:sz w:val="18"/>
                <w:szCs w:val="18"/>
              </w:rPr>
              <w:t>MSES</w:t>
            </w:r>
            <w:r w:rsidR="00EC3A5B">
              <w:rPr>
                <w:rFonts w:cstheme="minorHAnsi"/>
                <w:sz w:val="18"/>
                <w:szCs w:val="18"/>
              </w:rPr>
              <w:t>)</w:t>
            </w:r>
            <w:r w:rsidRPr="00517D23">
              <w:rPr>
                <w:rFonts w:cstheme="minorHAnsi"/>
                <w:sz w:val="18"/>
                <w:szCs w:val="18"/>
              </w:rPr>
              <w:t>?</w:t>
            </w:r>
          </w:p>
        </w:tc>
        <w:tc>
          <w:tcPr>
            <w:tcW w:w="2308" w:type="dxa"/>
            <w:tcBorders>
              <w:top w:val="none" w:sz="0" w:space="0" w:color="auto"/>
              <w:bottom w:val="none" w:sz="0" w:space="0" w:color="auto"/>
            </w:tcBorders>
            <w:vAlign w:val="center"/>
          </w:tcPr>
          <w:p w14:paraId="20774F3F"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lastRenderedPageBreak/>
              <w:t>Queensland Globe</w:t>
            </w:r>
          </w:p>
        </w:tc>
        <w:tc>
          <w:tcPr>
            <w:tcW w:w="1810" w:type="dxa"/>
            <w:tcBorders>
              <w:top w:val="none" w:sz="0" w:space="0" w:color="auto"/>
              <w:bottom w:val="none" w:sz="0" w:space="0" w:color="auto"/>
            </w:tcBorders>
            <w:vAlign w:val="center"/>
          </w:tcPr>
          <w:p w14:paraId="1C27DB09"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4742E8CA"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75F99288"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0277725B"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Biogeographic region</w:t>
            </w:r>
          </w:p>
        </w:tc>
        <w:tc>
          <w:tcPr>
            <w:tcW w:w="2308" w:type="dxa"/>
            <w:vAlign w:val="center"/>
          </w:tcPr>
          <w:p w14:paraId="3B6AC5C8"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vAlign w:val="center"/>
          </w:tcPr>
          <w:p w14:paraId="0A325065"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3987C48A"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6CE96CC4"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51FE7DCF"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Biogeographic sub-region</w:t>
            </w:r>
          </w:p>
        </w:tc>
        <w:tc>
          <w:tcPr>
            <w:tcW w:w="2308" w:type="dxa"/>
            <w:tcBorders>
              <w:top w:val="none" w:sz="0" w:space="0" w:color="auto"/>
              <w:bottom w:val="none" w:sz="0" w:space="0" w:color="auto"/>
            </w:tcBorders>
            <w:vAlign w:val="center"/>
          </w:tcPr>
          <w:p w14:paraId="2B2D498A"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tcBorders>
              <w:top w:val="none" w:sz="0" w:space="0" w:color="auto"/>
              <w:bottom w:val="none" w:sz="0" w:space="0" w:color="auto"/>
            </w:tcBorders>
            <w:vAlign w:val="center"/>
          </w:tcPr>
          <w:p w14:paraId="036AF6B9"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5A1BAEB0"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288BB7DA"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1318F83F"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Dominant r</w:t>
            </w:r>
            <w:r w:rsidRPr="00377B1C">
              <w:rPr>
                <w:rFonts w:cstheme="minorHAnsi"/>
                <w:sz w:val="18"/>
                <w:szCs w:val="18"/>
              </w:rPr>
              <w:t>egional ecosystem mapping</w:t>
            </w:r>
          </w:p>
        </w:tc>
        <w:tc>
          <w:tcPr>
            <w:tcW w:w="2308" w:type="dxa"/>
            <w:vAlign w:val="center"/>
          </w:tcPr>
          <w:p w14:paraId="3FF83864"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vAlign w:val="center"/>
          </w:tcPr>
          <w:p w14:paraId="30983450"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19BBDAE5"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730976AB"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4D1A6B11" w14:textId="3D0007BD"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 xml:space="preserve">Biodiversity status – remnant, including code and condition </w:t>
            </w:r>
            <w:r w:rsidR="00C92B46">
              <w:rPr>
                <w:rFonts w:cstheme="minorHAnsi"/>
                <w:sz w:val="18"/>
                <w:szCs w:val="18"/>
              </w:rPr>
              <w:t>wi</w:t>
            </w:r>
            <w:r w:rsidRPr="00377B1C">
              <w:rPr>
                <w:rFonts w:cstheme="minorHAnsi"/>
                <w:sz w:val="18"/>
                <w:szCs w:val="18"/>
              </w:rPr>
              <w:t>thin 10 km</w:t>
            </w:r>
          </w:p>
        </w:tc>
        <w:tc>
          <w:tcPr>
            <w:tcW w:w="2308" w:type="dxa"/>
            <w:tcBorders>
              <w:top w:val="none" w:sz="0" w:space="0" w:color="auto"/>
              <w:bottom w:val="none" w:sz="0" w:space="0" w:color="auto"/>
            </w:tcBorders>
            <w:vAlign w:val="center"/>
          </w:tcPr>
          <w:p w14:paraId="098A4937"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tcBorders>
              <w:top w:val="none" w:sz="0" w:space="0" w:color="auto"/>
              <w:bottom w:val="none" w:sz="0" w:space="0" w:color="auto"/>
            </w:tcBorders>
            <w:vAlign w:val="center"/>
          </w:tcPr>
          <w:p w14:paraId="192774E3"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5F01FD6C"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56C94008"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01AA5FA2" w14:textId="28E2B338"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Dominant s</w:t>
            </w:r>
            <w:r w:rsidRPr="00377B1C">
              <w:rPr>
                <w:rFonts w:cstheme="minorHAnsi"/>
                <w:sz w:val="18"/>
                <w:szCs w:val="18"/>
              </w:rPr>
              <w:t xml:space="preserve">urface expression </w:t>
            </w:r>
            <w:r w:rsidR="00C92B46">
              <w:rPr>
                <w:rFonts w:cstheme="minorHAnsi"/>
                <w:sz w:val="18"/>
                <w:szCs w:val="18"/>
              </w:rPr>
              <w:t>Groundwater Dependent Ecosystems (</w:t>
            </w:r>
            <w:r w:rsidRPr="00377B1C">
              <w:rPr>
                <w:rFonts w:cstheme="minorHAnsi"/>
                <w:sz w:val="18"/>
                <w:szCs w:val="18"/>
              </w:rPr>
              <w:t>GDEs</w:t>
            </w:r>
            <w:r w:rsidR="00C92B46">
              <w:rPr>
                <w:rFonts w:cstheme="minorHAnsi"/>
                <w:sz w:val="18"/>
                <w:szCs w:val="18"/>
              </w:rPr>
              <w:t>)</w:t>
            </w:r>
            <w:r w:rsidRPr="00377B1C">
              <w:rPr>
                <w:rFonts w:cstheme="minorHAnsi"/>
                <w:sz w:val="18"/>
                <w:szCs w:val="18"/>
              </w:rPr>
              <w:t xml:space="preserve"> within 10 km (ID and confidence interval)</w:t>
            </w:r>
          </w:p>
        </w:tc>
        <w:tc>
          <w:tcPr>
            <w:tcW w:w="2308" w:type="dxa"/>
            <w:vAlign w:val="center"/>
          </w:tcPr>
          <w:p w14:paraId="00236C79"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vAlign w:val="center"/>
          </w:tcPr>
          <w:p w14:paraId="6A050E49"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685C55E0"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6A64124A"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1C1E9CF7"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Dominant t</w:t>
            </w:r>
            <w:r w:rsidRPr="00377B1C">
              <w:rPr>
                <w:rFonts w:cstheme="minorHAnsi"/>
                <w:sz w:val="18"/>
                <w:szCs w:val="18"/>
              </w:rPr>
              <w:t>errestrial GDEs within 10 km (ID and confidence interval)</w:t>
            </w:r>
          </w:p>
        </w:tc>
        <w:tc>
          <w:tcPr>
            <w:tcW w:w="2308" w:type="dxa"/>
            <w:tcBorders>
              <w:top w:val="none" w:sz="0" w:space="0" w:color="auto"/>
              <w:bottom w:val="none" w:sz="0" w:space="0" w:color="auto"/>
            </w:tcBorders>
            <w:vAlign w:val="center"/>
          </w:tcPr>
          <w:p w14:paraId="5D7881C7"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tcBorders>
              <w:top w:val="none" w:sz="0" w:space="0" w:color="auto"/>
              <w:bottom w:val="none" w:sz="0" w:space="0" w:color="auto"/>
            </w:tcBorders>
            <w:vAlign w:val="center"/>
          </w:tcPr>
          <w:p w14:paraId="73178528"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6A8A1BC0"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39576671"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6901BE63"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Dominant s</w:t>
            </w:r>
            <w:r w:rsidRPr="00377B1C">
              <w:rPr>
                <w:rFonts w:cstheme="minorHAnsi"/>
                <w:sz w:val="18"/>
                <w:szCs w:val="18"/>
              </w:rPr>
              <w:t>ubterranean GDEs within 10 km (ID and confidence interval)</w:t>
            </w:r>
          </w:p>
        </w:tc>
        <w:tc>
          <w:tcPr>
            <w:tcW w:w="2308" w:type="dxa"/>
            <w:vAlign w:val="center"/>
          </w:tcPr>
          <w:p w14:paraId="02F1C4CB"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vAlign w:val="center"/>
          </w:tcPr>
          <w:p w14:paraId="101757A5"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2B000835"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4F57782E"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69AA57F9" w14:textId="21A717D1"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Dominant w</w:t>
            </w:r>
            <w:r w:rsidRPr="00377B1C">
              <w:rPr>
                <w:rFonts w:cstheme="minorHAnsi"/>
                <w:sz w:val="18"/>
                <w:szCs w:val="18"/>
              </w:rPr>
              <w:t xml:space="preserve">etland areas within 10 km (including available information, </w:t>
            </w:r>
            <w:r w:rsidR="00C92B46">
              <w:rPr>
                <w:rFonts w:cstheme="minorHAnsi"/>
                <w:sz w:val="18"/>
                <w:szCs w:val="18"/>
              </w:rPr>
              <w:t>i.e.</w:t>
            </w:r>
            <w:r w:rsidRPr="00377B1C">
              <w:rPr>
                <w:rFonts w:cstheme="minorHAnsi"/>
                <w:sz w:val="18"/>
                <w:szCs w:val="18"/>
              </w:rPr>
              <w:t xml:space="preserve"> system type, ID)</w:t>
            </w:r>
          </w:p>
        </w:tc>
        <w:tc>
          <w:tcPr>
            <w:tcW w:w="2308" w:type="dxa"/>
            <w:tcBorders>
              <w:top w:val="none" w:sz="0" w:space="0" w:color="auto"/>
              <w:bottom w:val="none" w:sz="0" w:space="0" w:color="auto"/>
            </w:tcBorders>
            <w:vAlign w:val="center"/>
          </w:tcPr>
          <w:p w14:paraId="46FDCE70"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tcBorders>
              <w:top w:val="none" w:sz="0" w:space="0" w:color="auto"/>
              <w:bottom w:val="none" w:sz="0" w:space="0" w:color="auto"/>
            </w:tcBorders>
            <w:vAlign w:val="center"/>
          </w:tcPr>
          <w:p w14:paraId="11E57682"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141C3943"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3B47AED3"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480A98C3" w14:textId="4889DE4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Dominant s</w:t>
            </w:r>
            <w:r w:rsidRPr="00377B1C">
              <w:rPr>
                <w:rFonts w:cstheme="minorHAnsi"/>
                <w:sz w:val="18"/>
                <w:szCs w:val="18"/>
              </w:rPr>
              <w:t xml:space="preserve">prings and GAB spring net sites within 10 km (including available information, </w:t>
            </w:r>
            <w:r w:rsidR="00C92B46">
              <w:rPr>
                <w:rFonts w:cstheme="minorHAnsi"/>
                <w:sz w:val="18"/>
                <w:szCs w:val="18"/>
              </w:rPr>
              <w:t>i.e.</w:t>
            </w:r>
            <w:r w:rsidRPr="00377B1C">
              <w:rPr>
                <w:rFonts w:cstheme="minorHAnsi"/>
                <w:sz w:val="18"/>
                <w:szCs w:val="18"/>
              </w:rPr>
              <w:t xml:space="preserve"> number, name, complex)</w:t>
            </w:r>
          </w:p>
        </w:tc>
        <w:tc>
          <w:tcPr>
            <w:tcW w:w="2308" w:type="dxa"/>
            <w:vAlign w:val="center"/>
          </w:tcPr>
          <w:p w14:paraId="59934EF3"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Queensland Globe</w:t>
            </w:r>
          </w:p>
        </w:tc>
        <w:tc>
          <w:tcPr>
            <w:tcW w:w="1810" w:type="dxa"/>
            <w:vAlign w:val="center"/>
          </w:tcPr>
          <w:p w14:paraId="03489F84"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Download</w:t>
            </w:r>
            <w:r>
              <w:rPr>
                <w:rFonts w:cstheme="minorHAnsi"/>
                <w:sz w:val="18"/>
                <w:szCs w:val="18"/>
              </w:rPr>
              <w:t xml:space="preserve"> and GIS analysis</w:t>
            </w:r>
          </w:p>
        </w:tc>
      </w:tr>
      <w:tr w:rsidR="00F315EC" w:rsidRPr="00377B1C" w14:paraId="07186E4A"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val="restart"/>
            <w:tcBorders>
              <w:top w:val="none" w:sz="0" w:space="0" w:color="auto"/>
              <w:bottom w:val="none" w:sz="0" w:space="0" w:color="auto"/>
              <w:right w:val="none" w:sz="0" w:space="0" w:color="auto"/>
            </w:tcBorders>
            <w:vAlign w:val="center"/>
          </w:tcPr>
          <w:p w14:paraId="19CD7C90" w14:textId="6F2805BF" w:rsidR="00F315EC" w:rsidRPr="00377B1C" w:rsidRDefault="00F315EC" w:rsidP="00F315EC">
            <w:pPr>
              <w:suppressAutoHyphens/>
              <w:spacing w:before="60" w:after="60" w:line="300" w:lineRule="auto"/>
              <w:jc w:val="center"/>
              <w:rPr>
                <w:rFonts w:cstheme="minorHAnsi"/>
                <w:sz w:val="18"/>
                <w:szCs w:val="18"/>
              </w:rPr>
            </w:pPr>
            <w:r w:rsidRPr="00377B1C">
              <w:rPr>
                <w:rFonts w:cstheme="minorHAnsi"/>
                <w:sz w:val="18"/>
                <w:szCs w:val="18"/>
              </w:rPr>
              <w:t>Rehabilitation planning</w:t>
            </w:r>
            <w:r w:rsidR="00C92B46">
              <w:rPr>
                <w:rFonts w:cstheme="minorHAnsi"/>
                <w:sz w:val="18"/>
                <w:szCs w:val="18"/>
              </w:rPr>
              <w:t xml:space="preserve"> associated with existing or proposed residual coal mine voids</w:t>
            </w:r>
          </w:p>
        </w:tc>
        <w:tc>
          <w:tcPr>
            <w:tcW w:w="3100" w:type="dxa"/>
            <w:tcBorders>
              <w:top w:val="none" w:sz="0" w:space="0" w:color="auto"/>
              <w:bottom w:val="none" w:sz="0" w:space="0" w:color="auto"/>
            </w:tcBorders>
            <w:vAlign w:val="center"/>
          </w:tcPr>
          <w:p w14:paraId="7B3053C9" w14:textId="1039716B"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 xml:space="preserve">Rehabilitation </w:t>
            </w:r>
            <w:r w:rsidR="00C92B46">
              <w:rPr>
                <w:rFonts w:cstheme="minorHAnsi"/>
                <w:sz w:val="18"/>
                <w:szCs w:val="18"/>
              </w:rPr>
              <w:t>m</w:t>
            </w:r>
            <w:r w:rsidRPr="00377B1C">
              <w:rPr>
                <w:rFonts w:cstheme="minorHAnsi"/>
                <w:sz w:val="18"/>
                <w:szCs w:val="18"/>
              </w:rPr>
              <w:t xml:space="preserve">anagement </w:t>
            </w:r>
            <w:r w:rsidR="00C92B46">
              <w:rPr>
                <w:rFonts w:cstheme="minorHAnsi"/>
                <w:sz w:val="18"/>
                <w:szCs w:val="18"/>
              </w:rPr>
              <w:t>p</w:t>
            </w:r>
            <w:r w:rsidRPr="00377B1C">
              <w:rPr>
                <w:rFonts w:cstheme="minorHAnsi"/>
                <w:sz w:val="18"/>
                <w:szCs w:val="18"/>
              </w:rPr>
              <w:t>lan required in EA?</w:t>
            </w:r>
          </w:p>
        </w:tc>
        <w:tc>
          <w:tcPr>
            <w:tcW w:w="2308" w:type="dxa"/>
            <w:tcBorders>
              <w:top w:val="none" w:sz="0" w:space="0" w:color="auto"/>
              <w:bottom w:val="none" w:sz="0" w:space="0" w:color="auto"/>
            </w:tcBorders>
            <w:vAlign w:val="center"/>
          </w:tcPr>
          <w:p w14:paraId="080B3E0F"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tcBorders>
              <w:top w:val="none" w:sz="0" w:space="0" w:color="auto"/>
              <w:bottom w:val="none" w:sz="0" w:space="0" w:color="auto"/>
            </w:tcBorders>
            <w:vAlign w:val="center"/>
          </w:tcPr>
          <w:p w14:paraId="325878A0"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3B8566C6"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4F4BD065"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2A867F6B" w14:textId="62F934E8"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 xml:space="preserve">Rehabilitation </w:t>
            </w:r>
            <w:r w:rsidR="00C92B46">
              <w:rPr>
                <w:rFonts w:cstheme="minorHAnsi"/>
                <w:sz w:val="18"/>
                <w:szCs w:val="18"/>
              </w:rPr>
              <w:t>m</w:t>
            </w:r>
            <w:r w:rsidRPr="00377B1C">
              <w:rPr>
                <w:rFonts w:cstheme="minorHAnsi"/>
                <w:sz w:val="18"/>
                <w:szCs w:val="18"/>
              </w:rPr>
              <w:t xml:space="preserve">onitoring </w:t>
            </w:r>
            <w:r w:rsidR="00C92B46">
              <w:rPr>
                <w:rFonts w:cstheme="minorHAnsi"/>
                <w:sz w:val="18"/>
                <w:szCs w:val="18"/>
              </w:rPr>
              <w:t>p</w:t>
            </w:r>
            <w:r w:rsidRPr="00377B1C">
              <w:rPr>
                <w:rFonts w:cstheme="minorHAnsi"/>
                <w:sz w:val="18"/>
                <w:szCs w:val="18"/>
              </w:rPr>
              <w:t>rogram required to be implemented?</w:t>
            </w:r>
          </w:p>
        </w:tc>
        <w:tc>
          <w:tcPr>
            <w:tcW w:w="2308" w:type="dxa"/>
            <w:vAlign w:val="center"/>
          </w:tcPr>
          <w:p w14:paraId="04D305B7"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vAlign w:val="center"/>
          </w:tcPr>
          <w:p w14:paraId="2E8EE8CA"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5F02CF55"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07C48829"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19A83249"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Rehabilitation monitoring frequency</w:t>
            </w:r>
          </w:p>
        </w:tc>
        <w:tc>
          <w:tcPr>
            <w:tcW w:w="2308" w:type="dxa"/>
            <w:tcBorders>
              <w:top w:val="none" w:sz="0" w:space="0" w:color="auto"/>
              <w:bottom w:val="none" w:sz="0" w:space="0" w:color="auto"/>
            </w:tcBorders>
            <w:vAlign w:val="center"/>
          </w:tcPr>
          <w:p w14:paraId="649DE67F"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tcBorders>
              <w:top w:val="none" w:sz="0" w:space="0" w:color="auto"/>
              <w:bottom w:val="none" w:sz="0" w:space="0" w:color="auto"/>
            </w:tcBorders>
            <w:vAlign w:val="center"/>
          </w:tcPr>
          <w:p w14:paraId="18A07706"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04F9A62F"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09D8EBE4"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61DE2E8B" w14:textId="270ADD0D"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Post-mining land use</w:t>
            </w:r>
          </w:p>
        </w:tc>
        <w:tc>
          <w:tcPr>
            <w:tcW w:w="2308" w:type="dxa"/>
            <w:vAlign w:val="center"/>
          </w:tcPr>
          <w:p w14:paraId="23AC647D"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vAlign w:val="center"/>
          </w:tcPr>
          <w:p w14:paraId="2797C8A8"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6F739611"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786901AF"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6F7281A5" w14:textId="3760089E"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 xml:space="preserve">Groundcover </w:t>
            </w:r>
            <w:r w:rsidR="00C92B46">
              <w:rPr>
                <w:rFonts w:cstheme="minorHAnsi"/>
                <w:sz w:val="18"/>
                <w:szCs w:val="18"/>
              </w:rPr>
              <w:t>Key Performance Indicator (</w:t>
            </w:r>
            <w:r w:rsidRPr="00377B1C">
              <w:rPr>
                <w:rFonts w:cstheme="minorHAnsi"/>
                <w:sz w:val="18"/>
                <w:szCs w:val="18"/>
              </w:rPr>
              <w:t>KPI</w:t>
            </w:r>
            <w:r w:rsidR="00C92B46">
              <w:rPr>
                <w:rFonts w:cstheme="minorHAnsi"/>
                <w:sz w:val="18"/>
                <w:szCs w:val="18"/>
              </w:rPr>
              <w:t>)</w:t>
            </w:r>
          </w:p>
        </w:tc>
        <w:tc>
          <w:tcPr>
            <w:tcW w:w="2308" w:type="dxa"/>
            <w:tcBorders>
              <w:top w:val="none" w:sz="0" w:space="0" w:color="auto"/>
              <w:bottom w:val="none" w:sz="0" w:space="0" w:color="auto"/>
            </w:tcBorders>
            <w:vAlign w:val="center"/>
          </w:tcPr>
          <w:p w14:paraId="16E48683"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tcBorders>
              <w:top w:val="none" w:sz="0" w:space="0" w:color="auto"/>
              <w:bottom w:val="none" w:sz="0" w:space="0" w:color="auto"/>
            </w:tcBorders>
            <w:vAlign w:val="center"/>
          </w:tcPr>
          <w:p w14:paraId="580914E6"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2BA3D99D"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4050F433"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7CB52343"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Slope KPI</w:t>
            </w:r>
          </w:p>
        </w:tc>
        <w:tc>
          <w:tcPr>
            <w:tcW w:w="2308" w:type="dxa"/>
            <w:vAlign w:val="center"/>
          </w:tcPr>
          <w:p w14:paraId="4C16C045"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vAlign w:val="center"/>
          </w:tcPr>
          <w:p w14:paraId="1FDAE585"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2029D74C"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47E01BA6"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7B91914F" w14:textId="0A9B67D4"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 xml:space="preserve">Water </w:t>
            </w:r>
            <w:r w:rsidR="00C92B46">
              <w:rPr>
                <w:rFonts w:cstheme="minorHAnsi"/>
                <w:sz w:val="18"/>
                <w:szCs w:val="18"/>
              </w:rPr>
              <w:t>q</w:t>
            </w:r>
            <w:r w:rsidRPr="00377B1C">
              <w:rPr>
                <w:rFonts w:cstheme="minorHAnsi"/>
                <w:sz w:val="18"/>
                <w:szCs w:val="18"/>
              </w:rPr>
              <w:t>uality KPI</w:t>
            </w:r>
          </w:p>
        </w:tc>
        <w:tc>
          <w:tcPr>
            <w:tcW w:w="2308" w:type="dxa"/>
            <w:tcBorders>
              <w:top w:val="none" w:sz="0" w:space="0" w:color="auto"/>
              <w:bottom w:val="none" w:sz="0" w:space="0" w:color="auto"/>
            </w:tcBorders>
            <w:vAlign w:val="center"/>
          </w:tcPr>
          <w:p w14:paraId="1A807405"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tcBorders>
              <w:top w:val="none" w:sz="0" w:space="0" w:color="auto"/>
              <w:bottom w:val="none" w:sz="0" w:space="0" w:color="auto"/>
            </w:tcBorders>
            <w:vAlign w:val="center"/>
          </w:tcPr>
          <w:p w14:paraId="4CEFA215"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75F00407"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00354605"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16CBE544"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Species richness KPI</w:t>
            </w:r>
          </w:p>
        </w:tc>
        <w:tc>
          <w:tcPr>
            <w:tcW w:w="2308" w:type="dxa"/>
            <w:vAlign w:val="center"/>
          </w:tcPr>
          <w:p w14:paraId="27272511"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vAlign w:val="center"/>
          </w:tcPr>
          <w:p w14:paraId="23C5CA56"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43DA1E6C" w14:textId="77777777" w:rsidTr="001957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vMerge/>
            <w:tcBorders>
              <w:top w:val="none" w:sz="0" w:space="0" w:color="auto"/>
              <w:bottom w:val="none" w:sz="0" w:space="0" w:color="auto"/>
              <w:right w:val="none" w:sz="0" w:space="0" w:color="auto"/>
            </w:tcBorders>
            <w:vAlign w:val="center"/>
          </w:tcPr>
          <w:p w14:paraId="13D788FE"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tcBorders>
              <w:top w:val="none" w:sz="0" w:space="0" w:color="auto"/>
              <w:bottom w:val="none" w:sz="0" w:space="0" w:color="auto"/>
            </w:tcBorders>
            <w:vAlign w:val="center"/>
          </w:tcPr>
          <w:p w14:paraId="4EAF22E8" w14:textId="15FFDC00"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 xml:space="preserve">Canopy </w:t>
            </w:r>
            <w:r w:rsidR="00C92B46">
              <w:rPr>
                <w:rFonts w:cstheme="minorHAnsi"/>
                <w:sz w:val="18"/>
                <w:szCs w:val="18"/>
              </w:rPr>
              <w:t>c</w:t>
            </w:r>
            <w:r w:rsidRPr="00377B1C">
              <w:rPr>
                <w:rFonts w:cstheme="minorHAnsi"/>
                <w:sz w:val="18"/>
                <w:szCs w:val="18"/>
              </w:rPr>
              <w:t>over KPI</w:t>
            </w:r>
          </w:p>
        </w:tc>
        <w:tc>
          <w:tcPr>
            <w:tcW w:w="2308" w:type="dxa"/>
            <w:tcBorders>
              <w:top w:val="none" w:sz="0" w:space="0" w:color="auto"/>
              <w:bottom w:val="none" w:sz="0" w:space="0" w:color="auto"/>
            </w:tcBorders>
            <w:vAlign w:val="center"/>
          </w:tcPr>
          <w:p w14:paraId="2FDB05AF"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tcBorders>
              <w:top w:val="none" w:sz="0" w:space="0" w:color="auto"/>
              <w:bottom w:val="none" w:sz="0" w:space="0" w:color="auto"/>
            </w:tcBorders>
            <w:vAlign w:val="center"/>
          </w:tcPr>
          <w:p w14:paraId="0075D788" w14:textId="77777777" w:rsidR="00F315EC" w:rsidRPr="00377B1C" w:rsidRDefault="00F315EC" w:rsidP="00F315EC">
            <w:pPr>
              <w:suppressAutoHyphens/>
              <w:spacing w:before="60" w:after="60" w:line="30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7B1C">
              <w:rPr>
                <w:rFonts w:cstheme="minorHAnsi"/>
                <w:sz w:val="18"/>
                <w:szCs w:val="18"/>
              </w:rPr>
              <w:t>Interrogation</w:t>
            </w:r>
          </w:p>
        </w:tc>
      </w:tr>
      <w:tr w:rsidR="00F315EC" w:rsidRPr="00377B1C" w14:paraId="6AA94B0D" w14:textId="77777777" w:rsidTr="00693E1C">
        <w:tc>
          <w:tcPr>
            <w:cnfStyle w:val="001000000000" w:firstRow="0" w:lastRow="0" w:firstColumn="1" w:lastColumn="0" w:oddVBand="0" w:evenVBand="0" w:oddHBand="0" w:evenHBand="0" w:firstRowFirstColumn="0" w:firstRowLastColumn="0" w:lastRowFirstColumn="0" w:lastRowLastColumn="0"/>
            <w:tcW w:w="1998" w:type="dxa"/>
            <w:vMerge/>
            <w:tcBorders>
              <w:right w:val="none" w:sz="0" w:space="0" w:color="auto"/>
            </w:tcBorders>
            <w:vAlign w:val="center"/>
          </w:tcPr>
          <w:p w14:paraId="21CE00E9" w14:textId="77777777" w:rsidR="00F315EC" w:rsidRPr="00377B1C" w:rsidRDefault="00F315EC" w:rsidP="00F315EC">
            <w:pPr>
              <w:suppressAutoHyphens/>
              <w:spacing w:before="60" w:after="60" w:line="300" w:lineRule="auto"/>
              <w:jc w:val="center"/>
              <w:rPr>
                <w:rFonts w:cstheme="minorHAnsi"/>
                <w:sz w:val="18"/>
                <w:szCs w:val="18"/>
              </w:rPr>
            </w:pPr>
          </w:p>
        </w:tc>
        <w:tc>
          <w:tcPr>
            <w:tcW w:w="3100" w:type="dxa"/>
            <w:vAlign w:val="center"/>
          </w:tcPr>
          <w:p w14:paraId="7705AA41" w14:textId="5C53A2D9"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Any specific rehabilitation requirements?</w:t>
            </w:r>
          </w:p>
        </w:tc>
        <w:tc>
          <w:tcPr>
            <w:tcW w:w="2308" w:type="dxa"/>
            <w:vAlign w:val="center"/>
          </w:tcPr>
          <w:p w14:paraId="2F6187FC"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Relevant EA report</w:t>
            </w:r>
          </w:p>
        </w:tc>
        <w:tc>
          <w:tcPr>
            <w:tcW w:w="1810" w:type="dxa"/>
            <w:vAlign w:val="center"/>
          </w:tcPr>
          <w:p w14:paraId="4BAA9880" w14:textId="77777777" w:rsidR="00F315EC" w:rsidRPr="00377B1C" w:rsidRDefault="00F315EC" w:rsidP="00F315EC">
            <w:pPr>
              <w:suppressAutoHyphens/>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7B1C">
              <w:rPr>
                <w:rFonts w:cstheme="minorHAnsi"/>
                <w:sz w:val="18"/>
                <w:szCs w:val="18"/>
              </w:rPr>
              <w:t>Interrogation</w:t>
            </w:r>
          </w:p>
        </w:tc>
      </w:tr>
    </w:tbl>
    <w:p w14:paraId="720457E6" w14:textId="696F15F3" w:rsidR="005D27D1" w:rsidRPr="005D27D1" w:rsidRDefault="005D27D1" w:rsidP="005D27D1">
      <w:pPr>
        <w:pStyle w:val="BodyText"/>
        <w:spacing w:before="0" w:after="0"/>
        <w:rPr>
          <w:b/>
          <w:bCs/>
          <w:i/>
          <w:iCs/>
          <w:sz w:val="18"/>
          <w:szCs w:val="18"/>
        </w:rPr>
      </w:pPr>
      <w:bookmarkStart w:id="23" w:name="_Ref56584531"/>
      <w:r w:rsidRPr="005D27D1">
        <w:rPr>
          <w:b/>
          <w:bCs/>
          <w:i/>
          <w:iCs/>
          <w:sz w:val="18"/>
          <w:szCs w:val="18"/>
        </w:rPr>
        <w:lastRenderedPageBreak/>
        <w:t>Note</w:t>
      </w:r>
      <w:r w:rsidR="00E47780">
        <w:rPr>
          <w:b/>
          <w:bCs/>
          <w:i/>
          <w:iCs/>
          <w:sz w:val="18"/>
          <w:szCs w:val="18"/>
        </w:rPr>
        <w:t>s</w:t>
      </w:r>
      <w:r w:rsidRPr="005D27D1">
        <w:rPr>
          <w:b/>
          <w:bCs/>
          <w:i/>
          <w:iCs/>
          <w:sz w:val="18"/>
          <w:szCs w:val="18"/>
        </w:rPr>
        <w:t>:</w:t>
      </w:r>
    </w:p>
    <w:p w14:paraId="740436E7" w14:textId="3964D2D5" w:rsidR="005D27D1" w:rsidRDefault="005D27D1" w:rsidP="005D27D1">
      <w:pPr>
        <w:pStyle w:val="BodyText"/>
        <w:spacing w:before="0" w:after="0"/>
        <w:rPr>
          <w:i/>
          <w:iCs/>
          <w:sz w:val="18"/>
          <w:szCs w:val="18"/>
        </w:rPr>
      </w:pPr>
      <w:r w:rsidRPr="005D27D1">
        <w:rPr>
          <w:i/>
          <w:iCs/>
          <w:sz w:val="18"/>
          <w:szCs w:val="18"/>
        </w:rPr>
        <w:t>(1</w:t>
      </w:r>
      <w:r>
        <w:rPr>
          <w:i/>
          <w:iCs/>
          <w:sz w:val="18"/>
          <w:szCs w:val="18"/>
        </w:rPr>
        <w:t xml:space="preserve">) </w:t>
      </w:r>
      <w:r w:rsidRPr="005D27D1">
        <w:rPr>
          <w:i/>
          <w:iCs/>
          <w:sz w:val="18"/>
          <w:szCs w:val="18"/>
        </w:rPr>
        <w:t>The QFAO represents a floodplain area within drainage sub-basins in Queensland</w:t>
      </w:r>
      <w:r>
        <w:rPr>
          <w:i/>
          <w:iCs/>
          <w:sz w:val="18"/>
          <w:szCs w:val="18"/>
        </w:rPr>
        <w:t xml:space="preserve"> that </w:t>
      </w:r>
      <w:r w:rsidRPr="005D27D1">
        <w:rPr>
          <w:i/>
          <w:iCs/>
          <w:sz w:val="18"/>
          <w:szCs w:val="18"/>
        </w:rPr>
        <w:t>has been developed for use by local governments as a potential flood hazard area. It represents an estimate of areas potentially at threat of inundation by flooding. The data has been developed through a process of drainage sub-basin analysis utilising data sources including 10 m contours, historical flood records, vegetation and soils mapping and satellite imagery.</w:t>
      </w:r>
    </w:p>
    <w:p w14:paraId="6BF90853" w14:textId="7D4CCC77" w:rsidR="00AC1522" w:rsidRPr="008C363B" w:rsidRDefault="00AC1522" w:rsidP="005D27D1">
      <w:pPr>
        <w:pStyle w:val="BodyText"/>
        <w:spacing w:before="0" w:after="0"/>
        <w:rPr>
          <w:i/>
          <w:iCs/>
          <w:sz w:val="18"/>
          <w:szCs w:val="18"/>
        </w:rPr>
      </w:pPr>
      <w:r w:rsidRPr="008C363B">
        <w:rPr>
          <w:i/>
          <w:iCs/>
          <w:sz w:val="18"/>
          <w:szCs w:val="18"/>
        </w:rPr>
        <w:t>(2) Database field</w:t>
      </w:r>
      <w:r w:rsidR="007136AE">
        <w:rPr>
          <w:i/>
          <w:iCs/>
          <w:sz w:val="18"/>
          <w:szCs w:val="18"/>
        </w:rPr>
        <w:t>s</w:t>
      </w:r>
      <w:r w:rsidRPr="008C363B">
        <w:rPr>
          <w:i/>
          <w:iCs/>
          <w:sz w:val="18"/>
          <w:szCs w:val="18"/>
        </w:rPr>
        <w:t xml:space="preserve"> attributed with “N/A</w:t>
      </w:r>
      <w:r w:rsidR="00432827">
        <w:rPr>
          <w:i/>
          <w:iCs/>
          <w:sz w:val="18"/>
          <w:szCs w:val="18"/>
        </w:rPr>
        <w:t>”</w:t>
      </w:r>
      <w:r w:rsidRPr="008C363B">
        <w:rPr>
          <w:i/>
          <w:iCs/>
          <w:sz w:val="18"/>
          <w:szCs w:val="18"/>
        </w:rPr>
        <w:t xml:space="preserve"> indicate an absence of data or information.</w:t>
      </w:r>
    </w:p>
    <w:p w14:paraId="49B06FC8" w14:textId="090F7B3D" w:rsidR="00AC1522" w:rsidRPr="008C363B" w:rsidRDefault="00AC1522" w:rsidP="005D27D1">
      <w:pPr>
        <w:pStyle w:val="BodyText"/>
        <w:spacing w:before="0" w:after="0"/>
        <w:rPr>
          <w:i/>
          <w:iCs/>
          <w:sz w:val="18"/>
          <w:szCs w:val="18"/>
        </w:rPr>
      </w:pPr>
      <w:r w:rsidRPr="008C363B">
        <w:rPr>
          <w:i/>
          <w:iCs/>
          <w:sz w:val="18"/>
          <w:szCs w:val="18"/>
        </w:rPr>
        <w:t>(3) Database field</w:t>
      </w:r>
      <w:r w:rsidR="007136AE">
        <w:rPr>
          <w:i/>
          <w:iCs/>
          <w:sz w:val="18"/>
          <w:szCs w:val="18"/>
        </w:rPr>
        <w:t>s</w:t>
      </w:r>
      <w:r w:rsidRPr="008C363B">
        <w:rPr>
          <w:i/>
          <w:iCs/>
          <w:sz w:val="18"/>
          <w:szCs w:val="18"/>
        </w:rPr>
        <w:t xml:space="preserve"> attributed with “-“ indicate that the nominated feature did not occur within the set distance criteria.</w:t>
      </w:r>
    </w:p>
    <w:p w14:paraId="4999D07A" w14:textId="07773FF6" w:rsidR="001B0110" w:rsidRDefault="001B0110" w:rsidP="003E62FC">
      <w:pPr>
        <w:pStyle w:val="BodyText"/>
      </w:pPr>
      <w:r w:rsidRPr="001B0110">
        <w:t xml:space="preserve">Key elements of the </w:t>
      </w:r>
      <w:r>
        <w:t xml:space="preserve">open pit coal mine </w:t>
      </w:r>
      <w:r w:rsidRPr="001B0110">
        <w:t xml:space="preserve">database </w:t>
      </w:r>
      <w:r>
        <w:t xml:space="preserve">for Queensland </w:t>
      </w:r>
      <w:r w:rsidRPr="001B0110">
        <w:t>are described</w:t>
      </w:r>
      <w:r>
        <w:t xml:space="preserve"> in Section </w:t>
      </w:r>
      <w:r>
        <w:fldChar w:fldCharType="begin"/>
      </w:r>
      <w:r>
        <w:instrText xml:space="preserve"> REF _Ref56588340 \n \h </w:instrText>
      </w:r>
      <w:r>
        <w:fldChar w:fldCharType="separate"/>
      </w:r>
      <w:r w:rsidR="00937ADD">
        <w:t>4</w:t>
      </w:r>
      <w:r>
        <w:fldChar w:fldCharType="end"/>
      </w:r>
      <w:r>
        <w:t>, including:</w:t>
      </w:r>
    </w:p>
    <w:p w14:paraId="5C1F74D1" w14:textId="410D9BFB" w:rsidR="001B0110" w:rsidRDefault="001B0110" w:rsidP="00AA4C36">
      <w:pPr>
        <w:pStyle w:val="BodyText"/>
        <w:numPr>
          <w:ilvl w:val="0"/>
          <w:numId w:val="40"/>
        </w:numPr>
        <w:spacing w:before="80" w:after="80"/>
        <w:ind w:left="714" w:hanging="357"/>
      </w:pPr>
      <w:r>
        <w:t xml:space="preserve">Current status (Section </w:t>
      </w:r>
      <w:r w:rsidR="00104566">
        <w:fldChar w:fldCharType="begin"/>
      </w:r>
      <w:r w:rsidR="00104566">
        <w:instrText xml:space="preserve"> REF _Ref57294444 \n \h </w:instrText>
      </w:r>
      <w:r w:rsidR="00104566">
        <w:fldChar w:fldCharType="separate"/>
      </w:r>
      <w:r w:rsidR="00937ADD">
        <w:t>4.2</w:t>
      </w:r>
      <w:r w:rsidR="00104566">
        <w:fldChar w:fldCharType="end"/>
      </w:r>
      <w:r>
        <w:t>).</w:t>
      </w:r>
    </w:p>
    <w:p w14:paraId="371F3E17" w14:textId="40A30966" w:rsidR="001B0110" w:rsidRDefault="001B0110" w:rsidP="00AA4C36">
      <w:pPr>
        <w:pStyle w:val="BodyText"/>
        <w:numPr>
          <w:ilvl w:val="0"/>
          <w:numId w:val="40"/>
        </w:numPr>
        <w:spacing w:before="80" w:after="80"/>
        <w:ind w:left="714" w:hanging="357"/>
      </w:pPr>
      <w:r>
        <w:t>Location and area (</w:t>
      </w:r>
      <w:r w:rsidR="00104566">
        <w:t>Section</w:t>
      </w:r>
      <w:r>
        <w:t xml:space="preserve"> </w:t>
      </w:r>
      <w:r w:rsidR="00104566">
        <w:fldChar w:fldCharType="begin"/>
      </w:r>
      <w:r w:rsidR="00104566">
        <w:instrText xml:space="preserve"> REF _Ref57294449 \n \h </w:instrText>
      </w:r>
      <w:r w:rsidR="00104566">
        <w:fldChar w:fldCharType="separate"/>
      </w:r>
      <w:r w:rsidR="00937ADD">
        <w:t>4.3</w:t>
      </w:r>
      <w:r w:rsidR="00104566">
        <w:fldChar w:fldCharType="end"/>
      </w:r>
      <w:r>
        <w:t>).</w:t>
      </w:r>
    </w:p>
    <w:p w14:paraId="02C0AA01" w14:textId="7825B653" w:rsidR="00EE44E6" w:rsidRDefault="00EE44E6" w:rsidP="00AA4C36">
      <w:pPr>
        <w:pStyle w:val="BodyText"/>
        <w:numPr>
          <w:ilvl w:val="0"/>
          <w:numId w:val="40"/>
        </w:numPr>
        <w:spacing w:before="80" w:after="80"/>
        <w:ind w:left="714" w:hanging="357"/>
      </w:pPr>
      <w:r>
        <w:t xml:space="preserve">Floodplain mapping (Section </w:t>
      </w:r>
      <w:r w:rsidR="00432827">
        <w:fldChar w:fldCharType="begin"/>
      </w:r>
      <w:r w:rsidR="00432827">
        <w:instrText xml:space="preserve"> REF _Ref62568022 \n \h </w:instrText>
      </w:r>
      <w:r w:rsidR="00432827">
        <w:fldChar w:fldCharType="separate"/>
      </w:r>
      <w:r w:rsidR="00937ADD">
        <w:t>4.4</w:t>
      </w:r>
      <w:r w:rsidR="00432827">
        <w:fldChar w:fldCharType="end"/>
      </w:r>
      <w:r>
        <w:t>).</w:t>
      </w:r>
    </w:p>
    <w:p w14:paraId="1A998DF5" w14:textId="2DB6300D" w:rsidR="001B0110" w:rsidRDefault="001B0110" w:rsidP="00AA4C36">
      <w:pPr>
        <w:pStyle w:val="BodyText"/>
        <w:numPr>
          <w:ilvl w:val="0"/>
          <w:numId w:val="40"/>
        </w:numPr>
        <w:spacing w:before="80" w:after="80"/>
        <w:ind w:left="714" w:hanging="357"/>
      </w:pPr>
      <w:r>
        <w:t>Proximity to surface waters (</w:t>
      </w:r>
      <w:r w:rsidR="00104566">
        <w:t>Section</w:t>
      </w:r>
      <w:r w:rsidR="00EE44E6">
        <w:t xml:space="preserve"> </w:t>
      </w:r>
      <w:r w:rsidR="00EE44E6">
        <w:fldChar w:fldCharType="begin"/>
      </w:r>
      <w:r w:rsidR="00EE44E6">
        <w:instrText xml:space="preserve"> REF _Ref57471963 \n \h </w:instrText>
      </w:r>
      <w:r w:rsidR="00EE44E6">
        <w:fldChar w:fldCharType="separate"/>
      </w:r>
      <w:r w:rsidR="00937ADD">
        <w:t>4.5</w:t>
      </w:r>
      <w:r w:rsidR="00EE44E6">
        <w:fldChar w:fldCharType="end"/>
      </w:r>
      <w:r>
        <w:t>).</w:t>
      </w:r>
    </w:p>
    <w:p w14:paraId="352BE3D0" w14:textId="57E44ADF" w:rsidR="005B66E0" w:rsidRDefault="005B66E0" w:rsidP="00AA4C36">
      <w:pPr>
        <w:pStyle w:val="BodyText"/>
        <w:numPr>
          <w:ilvl w:val="0"/>
          <w:numId w:val="40"/>
        </w:numPr>
        <w:spacing w:before="80" w:after="80"/>
        <w:ind w:left="714" w:hanging="357"/>
      </w:pPr>
      <w:r>
        <w:t xml:space="preserve">Rehabilitation (Section </w:t>
      </w:r>
      <w:r>
        <w:fldChar w:fldCharType="begin"/>
      </w:r>
      <w:r>
        <w:instrText xml:space="preserve"> REF _Ref57393172 \n \h </w:instrText>
      </w:r>
      <w:r>
        <w:fldChar w:fldCharType="separate"/>
      </w:r>
      <w:r w:rsidR="00937ADD">
        <w:t>4.6</w:t>
      </w:r>
      <w:r>
        <w:fldChar w:fldCharType="end"/>
      </w:r>
      <w:r>
        <w:t>).</w:t>
      </w:r>
    </w:p>
    <w:p w14:paraId="1734D616" w14:textId="1C6A2591" w:rsidR="001B0110" w:rsidRPr="001B0110" w:rsidRDefault="00104566" w:rsidP="003E62FC">
      <w:pPr>
        <w:pStyle w:val="BodyText"/>
      </w:pPr>
      <w:bookmarkStart w:id="24" w:name="_Hlk57464699"/>
      <w:r>
        <w:t xml:space="preserve">On the basis of the outputs of the database, a </w:t>
      </w:r>
      <w:bookmarkStart w:id="25" w:name="_Hlk57447287"/>
      <w:r>
        <w:t>preliminary characterisation</w:t>
      </w:r>
      <w:r w:rsidR="00066486">
        <w:t xml:space="preserve"> of</w:t>
      </w:r>
      <w:r w:rsidR="00066486" w:rsidRPr="00066486">
        <w:t xml:space="preserve"> the vulnerability to potential impacts </w:t>
      </w:r>
      <w:r w:rsidR="00066486">
        <w:t xml:space="preserve">residual voids </w:t>
      </w:r>
      <w:r w:rsidR="00066486" w:rsidRPr="00066486">
        <w:t>may present in the landscape in their final form</w:t>
      </w:r>
      <w:r w:rsidR="00066486">
        <w:t>,</w:t>
      </w:r>
      <w:r w:rsidR="00066486" w:rsidRPr="00066486">
        <w:t xml:space="preserve"> and at a cumulative scale</w:t>
      </w:r>
      <w:r w:rsidR="00066486">
        <w:t>,</w:t>
      </w:r>
      <w:r w:rsidR="00066486" w:rsidRPr="00066486">
        <w:t xml:space="preserve"> </w:t>
      </w:r>
      <w:r w:rsidR="00066486">
        <w:t>is presented</w:t>
      </w:r>
      <w:r w:rsidR="001B0110" w:rsidRPr="001B0110">
        <w:t xml:space="preserve"> in Sect</w:t>
      </w:r>
      <w:r>
        <w:t>ion</w:t>
      </w:r>
      <w:r w:rsidR="005B66E0">
        <w:t xml:space="preserve"> </w:t>
      </w:r>
      <w:bookmarkEnd w:id="25"/>
      <w:r w:rsidR="005B66E0">
        <w:fldChar w:fldCharType="begin"/>
      </w:r>
      <w:r w:rsidR="005B66E0">
        <w:instrText xml:space="preserve"> REF _Ref57393194 \n \h </w:instrText>
      </w:r>
      <w:r w:rsidR="005B66E0">
        <w:fldChar w:fldCharType="separate"/>
      </w:r>
      <w:r w:rsidR="00937ADD">
        <w:t>4.7</w:t>
      </w:r>
      <w:r w:rsidR="005B66E0">
        <w:fldChar w:fldCharType="end"/>
      </w:r>
      <w:r>
        <w:t>.</w:t>
      </w:r>
    </w:p>
    <w:p w14:paraId="1850CDE1" w14:textId="1592B848" w:rsidR="00195D88" w:rsidRDefault="00195D88" w:rsidP="00195D88">
      <w:pPr>
        <w:pStyle w:val="Heading2"/>
      </w:pPr>
      <w:bookmarkStart w:id="26" w:name="_Ref57296147"/>
      <w:bookmarkStart w:id="27" w:name="_Toc87278313"/>
      <w:bookmarkEnd w:id="24"/>
      <w:r>
        <w:t>Case study analysis</w:t>
      </w:r>
      <w:bookmarkEnd w:id="23"/>
      <w:bookmarkEnd w:id="26"/>
      <w:bookmarkEnd w:id="27"/>
    </w:p>
    <w:p w14:paraId="3DEE347B" w14:textId="6C63B164" w:rsidR="001F6976" w:rsidRDefault="001F6976" w:rsidP="00972382">
      <w:pPr>
        <w:pStyle w:val="BodyText"/>
      </w:pPr>
      <w:r w:rsidRPr="007638C7">
        <w:t xml:space="preserve">Four coal mine sites were selected as case studies to examine </w:t>
      </w:r>
      <w:r w:rsidR="00750B16" w:rsidRPr="007638C7">
        <w:t xml:space="preserve">a range of characteristics of </w:t>
      </w:r>
      <w:r w:rsidR="00DB2338" w:rsidRPr="007638C7">
        <w:t>residual</w:t>
      </w:r>
      <w:r w:rsidRPr="007638C7">
        <w:t xml:space="preserve"> voids</w:t>
      </w:r>
      <w:r w:rsidR="00750B16" w:rsidRPr="007638C7">
        <w:t xml:space="preserve"> and to assist in developing a risk assessment approach (Section </w:t>
      </w:r>
      <w:r w:rsidR="00750B16" w:rsidRPr="007638C7">
        <w:fldChar w:fldCharType="begin"/>
      </w:r>
      <w:r w:rsidR="00750B16" w:rsidRPr="007638C7">
        <w:instrText xml:space="preserve"> REF _Ref56584535 \n \h </w:instrText>
      </w:r>
      <w:r w:rsidR="00066486" w:rsidRPr="007638C7">
        <w:instrText xml:space="preserve"> \* MERGEFORMAT </w:instrText>
      </w:r>
      <w:r w:rsidR="00750B16" w:rsidRPr="007638C7">
        <w:fldChar w:fldCharType="separate"/>
      </w:r>
      <w:r w:rsidR="00937ADD">
        <w:t>2.4</w:t>
      </w:r>
      <w:r w:rsidR="00750B16" w:rsidRPr="007638C7">
        <w:fldChar w:fldCharType="end"/>
      </w:r>
      <w:r w:rsidR="00750B16" w:rsidRPr="007638C7">
        <w:t xml:space="preserve">) for </w:t>
      </w:r>
      <w:r w:rsidR="007638C7">
        <w:t>consideration by the IESC</w:t>
      </w:r>
      <w:r w:rsidR="00750B16" w:rsidRPr="007638C7">
        <w:t>.</w:t>
      </w:r>
    </w:p>
    <w:p w14:paraId="785A8895" w14:textId="77777777" w:rsidR="00750B16" w:rsidRDefault="00750B16" w:rsidP="00972382">
      <w:pPr>
        <w:pStyle w:val="BodyText"/>
      </w:pPr>
      <w:r>
        <w:t>The four case studies, selected to represent a range of hydrological settings, operational histories and data availability, are:</w:t>
      </w:r>
    </w:p>
    <w:p w14:paraId="5AF6E078" w14:textId="2874F6A7" w:rsidR="00750B16" w:rsidRDefault="00750B16" w:rsidP="00AA4C36">
      <w:pPr>
        <w:pStyle w:val="BodyText"/>
        <w:numPr>
          <w:ilvl w:val="0"/>
          <w:numId w:val="36"/>
        </w:numPr>
        <w:spacing w:before="80" w:after="80"/>
        <w:ind w:left="714" w:hanging="357"/>
      </w:pPr>
      <w:r>
        <w:t>Olive Downs coking coal project.</w:t>
      </w:r>
    </w:p>
    <w:p w14:paraId="5B6B3A78" w14:textId="0CA8A495" w:rsidR="00750B16" w:rsidRDefault="00750B16" w:rsidP="00AA4C36">
      <w:pPr>
        <w:pStyle w:val="BodyText"/>
        <w:numPr>
          <w:ilvl w:val="0"/>
          <w:numId w:val="36"/>
        </w:numPr>
        <w:spacing w:before="80" w:after="80"/>
        <w:ind w:left="714" w:hanging="357"/>
      </w:pPr>
      <w:r>
        <w:t>Middlemount coal mine.</w:t>
      </w:r>
    </w:p>
    <w:p w14:paraId="470DDFAA" w14:textId="1A8B8C30" w:rsidR="00750B16" w:rsidRDefault="00750B16" w:rsidP="00AA4C36">
      <w:pPr>
        <w:pStyle w:val="BodyText"/>
        <w:numPr>
          <w:ilvl w:val="0"/>
          <w:numId w:val="36"/>
        </w:numPr>
        <w:spacing w:before="80" w:after="80"/>
        <w:ind w:left="714" w:hanging="357"/>
      </w:pPr>
      <w:r>
        <w:t>Jellinbah coal mine.</w:t>
      </w:r>
    </w:p>
    <w:p w14:paraId="4A2C7021" w14:textId="698B7D3B" w:rsidR="00750B16" w:rsidRDefault="00750B16" w:rsidP="00AA4C36">
      <w:pPr>
        <w:pStyle w:val="BodyText"/>
        <w:numPr>
          <w:ilvl w:val="0"/>
          <w:numId w:val="36"/>
        </w:numPr>
        <w:spacing w:before="80" w:after="80"/>
        <w:ind w:left="714" w:hanging="357"/>
      </w:pPr>
      <w:r>
        <w:t xml:space="preserve">Ensham coal mine. </w:t>
      </w:r>
    </w:p>
    <w:p w14:paraId="098226F3" w14:textId="786C24AC" w:rsidR="00D32A2E" w:rsidRDefault="00D32A2E" w:rsidP="004C6C46">
      <w:pPr>
        <w:pStyle w:val="BodyText"/>
      </w:pPr>
      <w:r>
        <w:t xml:space="preserve">Case studies were chosen in consultation with </w:t>
      </w:r>
      <w:r w:rsidR="00710D1F">
        <w:t>DES</w:t>
      </w:r>
      <w:r>
        <w:t xml:space="preserve"> and with consideration of IESC advice that specifically identified final voids as a potential risk. </w:t>
      </w:r>
      <w:r w:rsidR="001C3C5D">
        <w:t>Critically, this selection of case studies highlight</w:t>
      </w:r>
      <w:r>
        <w:t xml:space="preserve"> Queensland climatic conditions and coal basin hydrogeology (and resulting mine design considerations) </w:t>
      </w:r>
      <w:r w:rsidR="001C3C5D">
        <w:t xml:space="preserve">that </w:t>
      </w:r>
      <w:r>
        <w:t xml:space="preserve">favour the development of terminal sink </w:t>
      </w:r>
      <w:r w:rsidR="004C52BE">
        <w:t xml:space="preserve">groundwater </w:t>
      </w:r>
      <w:r>
        <w:t xml:space="preserve">flow regimes for final voids (see Section </w:t>
      </w:r>
      <w:r>
        <w:fldChar w:fldCharType="begin"/>
      </w:r>
      <w:r>
        <w:instrText xml:space="preserve"> REF _Ref59024739 \w \h </w:instrText>
      </w:r>
      <w:r>
        <w:fldChar w:fldCharType="separate"/>
      </w:r>
      <w:r w:rsidR="00937ADD">
        <w:t>4.7</w:t>
      </w:r>
      <w:r>
        <w:fldChar w:fldCharType="end"/>
      </w:r>
      <w:r>
        <w:t>)</w:t>
      </w:r>
      <w:r w:rsidR="004C52BE">
        <w:t>.</w:t>
      </w:r>
      <w:r>
        <w:t xml:space="preserve"> Only one </w:t>
      </w:r>
      <w:r w:rsidR="00710D1F">
        <w:t xml:space="preserve">case study </w:t>
      </w:r>
      <w:r>
        <w:t xml:space="preserve">(Ensham) includes proposed final voids that will not be terminal </w:t>
      </w:r>
      <w:r w:rsidR="00710D1F">
        <w:t xml:space="preserve">‘pit </w:t>
      </w:r>
      <w:r>
        <w:t>lakes</w:t>
      </w:r>
      <w:r w:rsidR="00710D1F">
        <w:t>’</w:t>
      </w:r>
      <w:r>
        <w:t xml:space="preserve">, though terminal sinks will be </w:t>
      </w:r>
      <w:r w:rsidR="001C3C5D">
        <w:t xml:space="preserve">also </w:t>
      </w:r>
      <w:r>
        <w:t xml:space="preserve">included in </w:t>
      </w:r>
      <w:r w:rsidR="001C3C5D">
        <w:t>its</w:t>
      </w:r>
      <w:r>
        <w:t xml:space="preserve"> final rehabilitation design (Section </w:t>
      </w:r>
      <w:r>
        <w:fldChar w:fldCharType="begin"/>
      </w:r>
      <w:r>
        <w:instrText xml:space="preserve"> REF _Ref58925637 \w \h </w:instrText>
      </w:r>
      <w:r>
        <w:fldChar w:fldCharType="separate"/>
      </w:r>
      <w:r w:rsidR="00937ADD">
        <w:t>5.4.3</w:t>
      </w:r>
      <w:r>
        <w:fldChar w:fldCharType="end"/>
      </w:r>
      <w:r>
        <w:t xml:space="preserve">). </w:t>
      </w:r>
    </w:p>
    <w:p w14:paraId="47F813EA" w14:textId="1BB3FAEB" w:rsidR="00160D24" w:rsidRDefault="00160D24" w:rsidP="004C6C46">
      <w:pPr>
        <w:pStyle w:val="BodyText"/>
      </w:pPr>
      <w:r>
        <w:t xml:space="preserve">A critical vulnerability </w:t>
      </w:r>
      <w:r w:rsidR="001C3C5D">
        <w:t xml:space="preserve">in Queensland </w:t>
      </w:r>
      <w:r>
        <w:t xml:space="preserve">is related to coal mines located on floodplains and </w:t>
      </w:r>
      <w:r w:rsidR="001C3C5D">
        <w:t>all</w:t>
      </w:r>
      <w:r>
        <w:t xml:space="preserve"> chosen case studies will leave final voids on a major floodplain. </w:t>
      </w:r>
    </w:p>
    <w:p w14:paraId="1FF014A6" w14:textId="2579C21B" w:rsidR="00160D24" w:rsidRDefault="00160D24" w:rsidP="004C6C46">
      <w:pPr>
        <w:pStyle w:val="BodyText"/>
      </w:pPr>
      <w:r>
        <w:t xml:space="preserve">Selection also considered </w:t>
      </w:r>
      <w:r w:rsidR="004C52BE">
        <w:t xml:space="preserve">the </w:t>
      </w:r>
      <w:r>
        <w:t xml:space="preserve">current status and relevance to Queensland approvals’ timing to help provide some guidance on current and pending mines with potentially critical final voids. The Ensham case study, </w:t>
      </w:r>
      <w:r w:rsidR="0098330A">
        <w:t>therefore,</w:t>
      </w:r>
      <w:r>
        <w:t xml:space="preserve"> was included as important and relevant despite not having received IESC advice at the time of reporting. Further, the Ensham </w:t>
      </w:r>
      <w:r w:rsidR="00710D1F">
        <w:t>m</w:t>
      </w:r>
      <w:r>
        <w:t xml:space="preserve">ine is the only case study that includes a </w:t>
      </w:r>
      <w:r w:rsidR="001C3C5D">
        <w:t>conditioned</w:t>
      </w:r>
      <w:r>
        <w:t xml:space="preserve"> Residual Void Project</w:t>
      </w:r>
      <w:r w:rsidR="00710D1F">
        <w:t xml:space="preserve"> (RVP)</w:t>
      </w:r>
      <w:r>
        <w:t>, which may guide future approval conditions for new mines and modifications of existing ones.</w:t>
      </w:r>
    </w:p>
    <w:p w14:paraId="652B1A1B" w14:textId="6889DBFB" w:rsidR="00544F49" w:rsidRDefault="00160D24" w:rsidP="004C6C46">
      <w:pPr>
        <w:pStyle w:val="BodyText"/>
      </w:pPr>
      <w:r>
        <w:t xml:space="preserve">It is acknowledged that an incomplete cross-section of possible void types and void issues have been addressed and future iterations of this study might consider additional case studies to consider other materially significant issues. </w:t>
      </w:r>
      <w:r w:rsidR="001C3C5D">
        <w:t xml:space="preserve">Coal mines in NSW and WA, for example, would highlight </w:t>
      </w:r>
      <w:r w:rsidR="00710D1F">
        <w:t xml:space="preserve">potential </w:t>
      </w:r>
      <w:r w:rsidR="001C3C5D">
        <w:t>response</w:t>
      </w:r>
      <w:r w:rsidR="00710D1F">
        <w:t>s</w:t>
      </w:r>
      <w:r w:rsidR="001C3C5D">
        <w:t xml:space="preserve"> under differing climatic and hydrological regimes.</w:t>
      </w:r>
      <w:r>
        <w:t xml:space="preserve"> </w:t>
      </w:r>
    </w:p>
    <w:p w14:paraId="1D867C6F" w14:textId="0082CF10" w:rsidR="004C6C46" w:rsidRDefault="00710D1F" w:rsidP="004C6C46">
      <w:pPr>
        <w:pStyle w:val="BodyText"/>
      </w:pPr>
      <w:r>
        <w:lastRenderedPageBreak/>
        <w:t>For the four selected case studies, p</w:t>
      </w:r>
      <w:r w:rsidR="00750B16">
        <w:t>ublicly available information (e.</w:t>
      </w:r>
      <w:r w:rsidR="0082107E">
        <w:t>g. environmental impact statement (EIS), impact assessment report (IAR),</w:t>
      </w:r>
      <w:r w:rsidR="00750B16">
        <w:t xml:space="preserve"> </w:t>
      </w:r>
      <w:r w:rsidR="0082107E">
        <w:t>EA</w:t>
      </w:r>
      <w:r w:rsidR="00432827">
        <w:t>, IESC advice</w:t>
      </w:r>
      <w:r w:rsidR="00750B16">
        <w:t>) and information made available by DES (</w:t>
      </w:r>
      <w:r w:rsidR="00B641BB">
        <w:t xml:space="preserve">i.e. </w:t>
      </w:r>
      <w:r w:rsidR="0082107E">
        <w:t xml:space="preserve">rehabilitation management </w:t>
      </w:r>
      <w:r w:rsidR="00B641BB">
        <w:t>plans</w:t>
      </w:r>
      <w:r w:rsidR="00750B16">
        <w:t xml:space="preserve">) was collated and interrogated for the purposes of </w:t>
      </w:r>
      <w:r w:rsidR="004C6C46">
        <w:t>characteris</w:t>
      </w:r>
      <w:r w:rsidR="00750B16">
        <w:t>ing</w:t>
      </w:r>
      <w:r w:rsidR="004C6C46">
        <w:t xml:space="preserve"> proposed or existing residual voids according to the following attributes</w:t>
      </w:r>
      <w:r w:rsidR="004C52BE">
        <w:t>.</w:t>
      </w:r>
    </w:p>
    <w:p w14:paraId="58856BFF" w14:textId="77777777" w:rsidR="00750B16" w:rsidRDefault="004C6C46" w:rsidP="00AA4C36">
      <w:pPr>
        <w:pStyle w:val="BodyText"/>
        <w:numPr>
          <w:ilvl w:val="0"/>
          <w:numId w:val="37"/>
        </w:numPr>
        <w:spacing w:before="80" w:after="80"/>
        <w:ind w:left="714" w:hanging="357"/>
      </w:pPr>
      <w:r>
        <w:t>Dimensions and design features.</w:t>
      </w:r>
    </w:p>
    <w:p w14:paraId="324D90C5" w14:textId="77777777" w:rsidR="00750B16" w:rsidRDefault="004C6C46" w:rsidP="00AA4C36">
      <w:pPr>
        <w:pStyle w:val="BodyText"/>
        <w:numPr>
          <w:ilvl w:val="0"/>
          <w:numId w:val="37"/>
        </w:numPr>
        <w:spacing w:before="80" w:after="80"/>
        <w:ind w:left="714" w:hanging="357"/>
      </w:pPr>
      <w:r>
        <w:t>Predicted equilibrated flow regime.</w:t>
      </w:r>
    </w:p>
    <w:p w14:paraId="363B1ECC" w14:textId="77777777" w:rsidR="00750B16" w:rsidRDefault="004C6C46" w:rsidP="00AA4C36">
      <w:pPr>
        <w:pStyle w:val="BodyText"/>
        <w:numPr>
          <w:ilvl w:val="0"/>
          <w:numId w:val="37"/>
        </w:numPr>
        <w:spacing w:before="80" w:after="80"/>
        <w:ind w:left="714" w:hanging="357"/>
      </w:pPr>
      <w:r>
        <w:t>Potential water quantity and quality impacts.</w:t>
      </w:r>
    </w:p>
    <w:p w14:paraId="755E3E0F" w14:textId="77777777" w:rsidR="00750B16" w:rsidRDefault="004C6C46" w:rsidP="00AA4C36">
      <w:pPr>
        <w:pStyle w:val="BodyText"/>
        <w:numPr>
          <w:ilvl w:val="0"/>
          <w:numId w:val="37"/>
        </w:numPr>
        <w:spacing w:before="80" w:after="80"/>
        <w:ind w:left="714" w:hanging="357"/>
      </w:pPr>
      <w:r>
        <w:t>Rehabilitation planning and successes.</w:t>
      </w:r>
    </w:p>
    <w:p w14:paraId="6A034671" w14:textId="2883C689" w:rsidR="00195D88" w:rsidRDefault="004C6C46" w:rsidP="00AA4C36">
      <w:pPr>
        <w:pStyle w:val="BodyText"/>
        <w:numPr>
          <w:ilvl w:val="0"/>
          <w:numId w:val="37"/>
        </w:numPr>
        <w:spacing w:before="80" w:after="80"/>
        <w:ind w:left="714" w:hanging="357"/>
      </w:pPr>
      <w:r>
        <w:t>Risk mitigation and management measures.</w:t>
      </w:r>
    </w:p>
    <w:p w14:paraId="62643083" w14:textId="78234EDC" w:rsidR="00750B16" w:rsidRDefault="00750B16" w:rsidP="00750B16">
      <w:pPr>
        <w:pStyle w:val="BodyText"/>
      </w:pPr>
      <w:r>
        <w:t xml:space="preserve">The outputs of the case study analysis are summarised in Section </w:t>
      </w:r>
      <w:r>
        <w:fldChar w:fldCharType="begin"/>
      </w:r>
      <w:r>
        <w:instrText xml:space="preserve"> REF _Ref56587130 \n \h </w:instrText>
      </w:r>
      <w:r>
        <w:fldChar w:fldCharType="separate"/>
      </w:r>
      <w:r w:rsidR="00937ADD">
        <w:t>5</w:t>
      </w:r>
      <w:r>
        <w:fldChar w:fldCharType="end"/>
      </w:r>
      <w:r>
        <w:t>.</w:t>
      </w:r>
    </w:p>
    <w:p w14:paraId="0176C8D2" w14:textId="532BEF95" w:rsidR="00195D88" w:rsidRDefault="00195D88" w:rsidP="00195D88">
      <w:pPr>
        <w:pStyle w:val="Heading2"/>
      </w:pPr>
      <w:bookmarkStart w:id="28" w:name="_Ref56584535"/>
      <w:bookmarkStart w:id="29" w:name="_Toc87278314"/>
      <w:r>
        <w:t>Risk assessment approach development</w:t>
      </w:r>
      <w:bookmarkEnd w:id="28"/>
      <w:bookmarkEnd w:id="29"/>
    </w:p>
    <w:p w14:paraId="579314F9" w14:textId="4B69A0BC" w:rsidR="007403CF" w:rsidRPr="007403CF" w:rsidRDefault="007403CF" w:rsidP="007403CF">
      <w:pPr>
        <w:pStyle w:val="BodyText"/>
      </w:pPr>
      <w:r w:rsidRPr="007403CF">
        <w:t xml:space="preserve">On the basis of the outcomes of the case study analysis (Section </w:t>
      </w:r>
      <w:r w:rsidR="002518A7">
        <w:fldChar w:fldCharType="begin"/>
      </w:r>
      <w:r w:rsidR="002518A7">
        <w:instrText xml:space="preserve"> REF _Ref57296147 \n \h </w:instrText>
      </w:r>
      <w:r w:rsidR="002518A7">
        <w:fldChar w:fldCharType="separate"/>
      </w:r>
      <w:r w:rsidR="00937ADD">
        <w:t>2.3</w:t>
      </w:r>
      <w:r w:rsidR="002518A7">
        <w:fldChar w:fldCharType="end"/>
      </w:r>
      <w:r w:rsidRPr="007403CF">
        <w:t xml:space="preserve">), an option to assist the IESC in understanding project specific and cumulative risks of residual coal mine voids on water resources and the receiving environment </w:t>
      </w:r>
      <w:r w:rsidR="002518A7">
        <w:t xml:space="preserve">has been scoped and documented in Section </w:t>
      </w:r>
      <w:r w:rsidR="002518A7">
        <w:fldChar w:fldCharType="begin"/>
      </w:r>
      <w:r w:rsidR="002518A7">
        <w:instrText xml:space="preserve"> REF _Ref59458810 \n \h </w:instrText>
      </w:r>
      <w:r w:rsidR="002518A7">
        <w:fldChar w:fldCharType="separate"/>
      </w:r>
      <w:r w:rsidR="00937ADD">
        <w:t>6</w:t>
      </w:r>
      <w:r w:rsidR="002518A7">
        <w:fldChar w:fldCharType="end"/>
      </w:r>
      <w:r w:rsidR="002518A7">
        <w:t>.</w:t>
      </w:r>
    </w:p>
    <w:p w14:paraId="21044858" w14:textId="14BA968A" w:rsidR="00B411B8" w:rsidRDefault="00B411B8">
      <w:pPr>
        <w:rPr>
          <w:szCs w:val="22"/>
        </w:rPr>
      </w:pPr>
      <w:r>
        <w:br w:type="page"/>
      </w:r>
    </w:p>
    <w:p w14:paraId="73A00770" w14:textId="68AA9D2F" w:rsidR="00972382" w:rsidRDefault="008266E5" w:rsidP="00972382">
      <w:pPr>
        <w:pStyle w:val="Heading1"/>
      </w:pPr>
      <w:bookmarkStart w:id="30" w:name="_Ref56586189"/>
      <w:bookmarkStart w:id="31" w:name="_Toc87278315"/>
      <w:r>
        <w:lastRenderedPageBreak/>
        <w:t>Residual v</w:t>
      </w:r>
      <w:r w:rsidR="00972382">
        <w:t>oid flow regimes</w:t>
      </w:r>
      <w:bookmarkEnd w:id="30"/>
      <w:bookmarkEnd w:id="31"/>
    </w:p>
    <w:p w14:paraId="0BC4E3E8" w14:textId="047B2138" w:rsidR="00CB4051" w:rsidRDefault="001536A4" w:rsidP="004410A7">
      <w:pPr>
        <w:pStyle w:val="Heading2"/>
      </w:pPr>
      <w:bookmarkStart w:id="32" w:name="_Toc87278316"/>
      <w:r>
        <w:t>Concepts</w:t>
      </w:r>
      <w:bookmarkEnd w:id="32"/>
    </w:p>
    <w:p w14:paraId="4BCFD233" w14:textId="2E872027" w:rsidR="00E77B63" w:rsidRPr="00E77B63" w:rsidRDefault="00E77B63" w:rsidP="00E77B63">
      <w:pPr>
        <w:pStyle w:val="BodyText"/>
      </w:pPr>
      <w:r>
        <w:t>The following section provides an overview of the different types of equilibrated</w:t>
      </w:r>
      <w:r w:rsidR="00110388" w:rsidRPr="00110388">
        <w:t xml:space="preserve"> </w:t>
      </w:r>
      <w:r w:rsidR="00110388">
        <w:t>flow regimes possible within an open residual void</w:t>
      </w:r>
      <w:r w:rsidR="00ED5DCD">
        <w:t xml:space="preserve">, including </w:t>
      </w:r>
      <w:r>
        <w:t xml:space="preserve">their potential impacts to the receiving environment. Should further detail be required, the reader is referred to </w:t>
      </w:r>
      <w:r w:rsidR="00ED5DCD">
        <w:t xml:space="preserve">the following references: </w:t>
      </w:r>
      <w:r w:rsidR="00ED5DCD" w:rsidRPr="00DB0925">
        <w:t>Johnson</w:t>
      </w:r>
      <w:r w:rsidR="00ED5DCD">
        <w:t xml:space="preserve"> &amp;</w:t>
      </w:r>
      <w:r w:rsidR="00ED5DCD" w:rsidRPr="00DB0925">
        <w:t xml:space="preserve"> Wright</w:t>
      </w:r>
      <w:r w:rsidR="00ED5DCD">
        <w:t xml:space="preserve"> (</w:t>
      </w:r>
      <w:r w:rsidR="00ED5DCD" w:rsidRPr="00DB0925">
        <w:t>2003</w:t>
      </w:r>
      <w:r w:rsidR="00ED5DCD">
        <w:t xml:space="preserve">); </w:t>
      </w:r>
      <w:r w:rsidR="00ED5DCD" w:rsidRPr="00026EFE">
        <w:t>Doupé</w:t>
      </w:r>
      <w:r w:rsidR="00ED5DCD">
        <w:t xml:space="preserve"> &amp; </w:t>
      </w:r>
      <w:r w:rsidR="00ED5DCD" w:rsidRPr="00026EFE">
        <w:t>Lymbery</w:t>
      </w:r>
      <w:r w:rsidR="00ED5DCD">
        <w:t xml:space="preserve"> (</w:t>
      </w:r>
      <w:r w:rsidR="00ED5DCD" w:rsidRPr="00026EFE">
        <w:t>2005</w:t>
      </w:r>
      <w:r w:rsidR="00ED5DCD">
        <w:t>);</w:t>
      </w:r>
      <w:r w:rsidR="009A57C5">
        <w:t xml:space="preserve"> </w:t>
      </w:r>
      <w:r>
        <w:t>McCullough et al. (2013);</w:t>
      </w:r>
      <w:r w:rsidRPr="00E77B63">
        <w:t xml:space="preserve"> </w:t>
      </w:r>
      <w:r w:rsidRPr="002D239A">
        <w:t>McCullough</w:t>
      </w:r>
      <w:r>
        <w:t xml:space="preserve"> &amp; </w:t>
      </w:r>
      <w:r w:rsidRPr="002D239A">
        <w:t>Schult</w:t>
      </w:r>
      <w:r w:rsidR="00325E4E">
        <w:t>z</w:t>
      </w:r>
      <w:r w:rsidRPr="002D239A">
        <w:t>e</w:t>
      </w:r>
      <w:r>
        <w:t xml:space="preserve"> (</w:t>
      </w:r>
      <w:r w:rsidRPr="002D239A">
        <w:t>2015</w:t>
      </w:r>
      <w:r>
        <w:t>)</w:t>
      </w:r>
      <w:r w:rsidR="00ED5DCD">
        <w:t xml:space="preserve"> and</w:t>
      </w:r>
      <w:r w:rsidR="005D665A" w:rsidRPr="005D665A">
        <w:t xml:space="preserve"> Vandenberg &amp; McCullough</w:t>
      </w:r>
      <w:r w:rsidR="00ED5DCD">
        <w:t xml:space="preserve"> (</w:t>
      </w:r>
      <w:r w:rsidR="005D665A" w:rsidRPr="005D665A">
        <w:t>2017).</w:t>
      </w:r>
    </w:p>
    <w:p w14:paraId="3C95E8F7" w14:textId="67050A3A" w:rsidR="0066083B" w:rsidRDefault="0066083B" w:rsidP="0066083B">
      <w:pPr>
        <w:pStyle w:val="Heading3"/>
      </w:pPr>
      <w:bookmarkStart w:id="33" w:name="_Toc87278317"/>
      <w:r>
        <w:t>Water flow</w:t>
      </w:r>
      <w:bookmarkEnd w:id="33"/>
    </w:p>
    <w:p w14:paraId="514EBB3E" w14:textId="15F45A07" w:rsidR="004410A7" w:rsidRDefault="004410A7" w:rsidP="00B90571">
      <w:pPr>
        <w:pStyle w:val="BodyText"/>
      </w:pPr>
      <w:r>
        <w:t>Open</w:t>
      </w:r>
      <w:r w:rsidR="004C52BE">
        <w:t>-</w:t>
      </w:r>
      <w:r>
        <w:t xml:space="preserve">cut coal mining </w:t>
      </w:r>
      <w:r w:rsidR="00D90D1F">
        <w:t xml:space="preserve">can </w:t>
      </w:r>
      <w:r>
        <w:t xml:space="preserve">result in residual voids that extend below the </w:t>
      </w:r>
      <w:r w:rsidR="00DB65C0">
        <w:t xml:space="preserve">pre-mining </w:t>
      </w:r>
      <w:r>
        <w:t xml:space="preserve">watertable. </w:t>
      </w:r>
      <w:r w:rsidR="00D90D1F">
        <w:t>G</w:t>
      </w:r>
      <w:r>
        <w:t xml:space="preserve">roundwater abstraction (dewatering) from sumps or in-pit/perimeter dewatering bores is </w:t>
      </w:r>
      <w:r w:rsidR="00DB65C0">
        <w:t xml:space="preserve">then </w:t>
      </w:r>
      <w:r>
        <w:t xml:space="preserve">required </w:t>
      </w:r>
      <w:r w:rsidR="00D90D1F">
        <w:t>during open</w:t>
      </w:r>
      <w:r w:rsidR="004C52BE">
        <w:t>-</w:t>
      </w:r>
      <w:r w:rsidR="00D90D1F">
        <w:t xml:space="preserve">cut </w:t>
      </w:r>
      <w:r w:rsidR="002B19B4">
        <w:t xml:space="preserve">coal </w:t>
      </w:r>
      <w:r w:rsidR="00D90D1F">
        <w:t xml:space="preserve">mining below the watertable </w:t>
      </w:r>
      <w:r>
        <w:t>to facilitate dry-floor mining</w:t>
      </w:r>
      <w:r w:rsidR="00307603">
        <w:t xml:space="preserve"> </w:t>
      </w:r>
      <w:r>
        <w:t xml:space="preserve">practices. On </w:t>
      </w:r>
      <w:r w:rsidR="00307603">
        <w:t xml:space="preserve">completion of mining, dewatering ceases and groundwater levels begin to </w:t>
      </w:r>
      <w:r>
        <w:t xml:space="preserve">recover, </w:t>
      </w:r>
      <w:r w:rsidR="00DB65C0">
        <w:t xml:space="preserve">potentially </w:t>
      </w:r>
      <w:r w:rsidR="004C52BE">
        <w:t>resulting in</w:t>
      </w:r>
      <w:r>
        <w:t xml:space="preserve"> a ‘pit lake’ within the void</w:t>
      </w:r>
      <w:r w:rsidR="00DB65C0">
        <w:t>,</w:t>
      </w:r>
      <w:r w:rsidR="00D50942">
        <w:t xml:space="preserve"> which may be supplemented </w:t>
      </w:r>
      <w:r w:rsidR="00D50942" w:rsidRPr="00D50942">
        <w:t xml:space="preserve">by varying quantities of surface </w:t>
      </w:r>
      <w:r w:rsidR="00D50942">
        <w:t xml:space="preserve">water </w:t>
      </w:r>
      <w:r w:rsidR="00D50942" w:rsidRPr="00D50942">
        <w:t>inputs</w:t>
      </w:r>
      <w:r w:rsidR="00DB65C0">
        <w:t xml:space="preserve"> and moderated by varying evaporative or discharge processes</w:t>
      </w:r>
      <w:r w:rsidR="00D50942">
        <w:t xml:space="preserve">. </w:t>
      </w:r>
      <w:r w:rsidR="002B19B4">
        <w:t>Hydrological and g</w:t>
      </w:r>
      <w:r>
        <w:t>eochemical processes</w:t>
      </w:r>
      <w:r w:rsidR="00307603">
        <w:t xml:space="preserve"> </w:t>
      </w:r>
      <w:r w:rsidR="00D50942">
        <w:t xml:space="preserve">within the </w:t>
      </w:r>
      <w:r w:rsidR="00D90D1F">
        <w:t>‘</w:t>
      </w:r>
      <w:r w:rsidR="00D50942">
        <w:t>pit lake</w:t>
      </w:r>
      <w:r w:rsidR="00D90D1F">
        <w:t>’</w:t>
      </w:r>
      <w:r w:rsidR="00D50942">
        <w:t xml:space="preserve"> </w:t>
      </w:r>
      <w:r>
        <w:t>evolve with time</w:t>
      </w:r>
      <w:r w:rsidR="00D50942">
        <w:t xml:space="preserve"> and may </w:t>
      </w:r>
      <w:r w:rsidR="008661BB">
        <w:t xml:space="preserve">take </w:t>
      </w:r>
      <w:r w:rsidR="00D50942">
        <w:t xml:space="preserve">decades or </w:t>
      </w:r>
      <w:r w:rsidR="00307603">
        <w:t xml:space="preserve">centuries to reach </w:t>
      </w:r>
      <w:r w:rsidR="008661BB">
        <w:t xml:space="preserve">near </w:t>
      </w:r>
      <w:r w:rsidR="00307603">
        <w:t>equilibrium</w:t>
      </w:r>
      <w:r w:rsidR="008661BB">
        <w:t xml:space="preserve"> conditions</w:t>
      </w:r>
      <w:r w:rsidR="00D50942">
        <w:t>.</w:t>
      </w:r>
    </w:p>
    <w:p w14:paraId="2935B5BB" w14:textId="5237C170" w:rsidR="00756205" w:rsidRDefault="00DE04DA" w:rsidP="00DE04DA">
      <w:pPr>
        <w:pStyle w:val="BodyText"/>
      </w:pPr>
      <w:r>
        <w:t xml:space="preserve">The </w:t>
      </w:r>
      <w:r w:rsidR="008661BB">
        <w:t>equilibrated ‘</w:t>
      </w:r>
      <w:r>
        <w:t>pit lake</w:t>
      </w:r>
      <w:r w:rsidR="008661BB">
        <w:t xml:space="preserve">’ </w:t>
      </w:r>
      <w:r>
        <w:t xml:space="preserve">water balance and final </w:t>
      </w:r>
      <w:r w:rsidR="00D90D1F">
        <w:t xml:space="preserve">‘pit lake’ </w:t>
      </w:r>
      <w:r>
        <w:t>depth is defined by the net effect of all its hydrologic components</w:t>
      </w:r>
      <w:r w:rsidR="00756205">
        <w:t xml:space="preserve"> (McCullough et al., 2013)</w:t>
      </w:r>
      <w:r w:rsidR="008266E5">
        <w:t xml:space="preserve"> as follows</w:t>
      </w:r>
      <w:r w:rsidR="00756205">
        <w:t>:</w:t>
      </w:r>
    </w:p>
    <w:p w14:paraId="2827C54C" w14:textId="5A2E76A0" w:rsidR="00756205" w:rsidRDefault="00756205" w:rsidP="00AA4C36">
      <w:pPr>
        <w:pStyle w:val="BodyText"/>
        <w:numPr>
          <w:ilvl w:val="0"/>
          <w:numId w:val="20"/>
        </w:numPr>
        <w:spacing w:before="80" w:after="80"/>
        <w:ind w:left="714" w:hanging="357"/>
      </w:pPr>
      <w:r w:rsidRPr="00D90D1F">
        <w:rPr>
          <w:u w:val="single"/>
        </w:rPr>
        <w:t>Inflows</w:t>
      </w:r>
      <w:r>
        <w:t xml:space="preserve">: </w:t>
      </w:r>
      <w:r w:rsidR="00DE04DA">
        <w:t xml:space="preserve">groundwater inflow and seepage from overburden, </w:t>
      </w:r>
      <w:r>
        <w:t xml:space="preserve">direct </w:t>
      </w:r>
      <w:r w:rsidR="00FE11D3">
        <w:t>precipitation</w:t>
      </w:r>
      <w:r>
        <w:t xml:space="preserve">, </w:t>
      </w:r>
      <w:r w:rsidR="00DE04DA">
        <w:t xml:space="preserve">catchment </w:t>
      </w:r>
      <w:r>
        <w:t xml:space="preserve">run-off </w:t>
      </w:r>
      <w:r w:rsidR="00DE04DA">
        <w:t xml:space="preserve">and </w:t>
      </w:r>
      <w:r>
        <w:t>surface water diversions</w:t>
      </w:r>
      <w:r w:rsidR="004C52BE">
        <w:t>; and</w:t>
      </w:r>
    </w:p>
    <w:p w14:paraId="64E9B0D3" w14:textId="7C7C22E5" w:rsidR="00756205" w:rsidRDefault="00756205" w:rsidP="00AA4C36">
      <w:pPr>
        <w:pStyle w:val="BodyText"/>
        <w:numPr>
          <w:ilvl w:val="0"/>
          <w:numId w:val="20"/>
        </w:numPr>
        <w:spacing w:before="80" w:after="80"/>
        <w:ind w:left="714" w:hanging="357"/>
      </w:pPr>
      <w:r w:rsidRPr="00D90D1F">
        <w:rPr>
          <w:u w:val="single"/>
        </w:rPr>
        <w:t>Outflows</w:t>
      </w:r>
      <w:r>
        <w:t xml:space="preserve">: </w:t>
      </w:r>
      <w:r w:rsidR="00135BD7">
        <w:t xml:space="preserve">evaporative losses, </w:t>
      </w:r>
      <w:r>
        <w:t>groundwater and surface water outflow</w:t>
      </w:r>
      <w:r w:rsidR="00D90D1F">
        <w:t>s</w:t>
      </w:r>
      <w:r w:rsidR="00DE04DA">
        <w:t>.</w:t>
      </w:r>
    </w:p>
    <w:p w14:paraId="402DB8FC" w14:textId="71D05471" w:rsidR="005D2E00" w:rsidRDefault="008D5537" w:rsidP="002B19B4">
      <w:pPr>
        <w:pStyle w:val="BodyText"/>
      </w:pPr>
      <w:r>
        <w:t>The dynamics of these water flows are gover</w:t>
      </w:r>
      <w:r w:rsidR="00D90D1F">
        <w:t>n</w:t>
      </w:r>
      <w:r>
        <w:t xml:space="preserve">ed by </w:t>
      </w:r>
      <w:r w:rsidR="00D90D1F">
        <w:t xml:space="preserve">the </w:t>
      </w:r>
      <w:r>
        <w:t xml:space="preserve">final </w:t>
      </w:r>
      <w:r w:rsidR="002B19B4">
        <w:t xml:space="preserve">void </w:t>
      </w:r>
      <w:r>
        <w:t>design and site</w:t>
      </w:r>
      <w:r w:rsidR="00D90D1F">
        <w:t>-</w:t>
      </w:r>
      <w:r>
        <w:t>specific processes that may change as the void fills.</w:t>
      </w:r>
      <w:r w:rsidR="002B19B4">
        <w:t xml:space="preserve"> At equilibrium</w:t>
      </w:r>
      <w:r w:rsidR="00135BD7">
        <w:t>,</w:t>
      </w:r>
      <w:r w:rsidR="002B19B4">
        <w:t xml:space="preserve"> a range of flow regimes are possible within an open </w:t>
      </w:r>
      <w:r w:rsidR="008266E5">
        <w:t xml:space="preserve">residual </w:t>
      </w:r>
      <w:r w:rsidR="002B19B4">
        <w:t>void (Section</w:t>
      </w:r>
      <w:r w:rsidR="00135BD7">
        <w:t xml:space="preserve"> </w:t>
      </w:r>
      <w:r w:rsidR="002B19B4">
        <w:fldChar w:fldCharType="begin"/>
      </w:r>
      <w:r w:rsidR="002B19B4">
        <w:instrText xml:space="preserve"> REF _Ref55982230 \n \h </w:instrText>
      </w:r>
      <w:r w:rsidR="002B19B4">
        <w:fldChar w:fldCharType="separate"/>
      </w:r>
      <w:r w:rsidR="00937ADD">
        <w:t>3.2.1</w:t>
      </w:r>
      <w:r w:rsidR="002B19B4">
        <w:fldChar w:fldCharType="end"/>
      </w:r>
      <w:r w:rsidR="002B19B4">
        <w:t xml:space="preserve">, </w:t>
      </w:r>
      <w:r w:rsidR="002B19B4">
        <w:fldChar w:fldCharType="begin"/>
      </w:r>
      <w:r w:rsidR="002B19B4">
        <w:instrText xml:space="preserve"> REF _Ref55987929 \n \h </w:instrText>
      </w:r>
      <w:r w:rsidR="002B19B4">
        <w:fldChar w:fldCharType="separate"/>
      </w:r>
      <w:r w:rsidR="00937ADD">
        <w:t>3.2.2</w:t>
      </w:r>
      <w:r w:rsidR="002B19B4">
        <w:fldChar w:fldCharType="end"/>
      </w:r>
      <w:r w:rsidR="002B19B4">
        <w:t xml:space="preserve"> and </w:t>
      </w:r>
      <w:r w:rsidR="002B19B4">
        <w:fldChar w:fldCharType="begin"/>
      </w:r>
      <w:r w:rsidR="002B19B4">
        <w:instrText xml:space="preserve"> REF _Ref55987931 \n \h </w:instrText>
      </w:r>
      <w:r w:rsidR="002B19B4">
        <w:fldChar w:fldCharType="separate"/>
      </w:r>
      <w:r w:rsidR="00937ADD">
        <w:t>3.2.3</w:t>
      </w:r>
      <w:r w:rsidR="002B19B4">
        <w:fldChar w:fldCharType="end"/>
      </w:r>
      <w:r w:rsidR="002B19B4">
        <w:t xml:space="preserve">). </w:t>
      </w:r>
      <w:r w:rsidR="005D2E00" w:rsidRPr="005D2E00">
        <w:t>The time scale to reach equilibrated water level conditions in the ‘pit lake’ is dependent on a range of factors including the area and depth of the void and the rate of groundwater infiltration, evaporation and precipitation.</w:t>
      </w:r>
      <w:r w:rsidR="00B35751" w:rsidRPr="00B35751">
        <w:t xml:space="preserve"> </w:t>
      </w:r>
      <w:r w:rsidR="00B35751">
        <w:t xml:space="preserve">Importantly, even at equilibrium, </w:t>
      </w:r>
      <w:r w:rsidR="00B35751" w:rsidRPr="00B35751">
        <w:t>the ‘pit lake’</w:t>
      </w:r>
      <w:r w:rsidR="00B35751">
        <w:t xml:space="preserve">, and its flow regime, </w:t>
      </w:r>
      <w:r w:rsidR="00B35751" w:rsidRPr="00B35751">
        <w:t>will respond dynamically to changes in precipitation and evaporation rates</w:t>
      </w:r>
      <w:r w:rsidR="00B35751">
        <w:t xml:space="preserve"> that may occur seasonal</w:t>
      </w:r>
      <w:r w:rsidR="00DB65C0">
        <w:t>ly or at much shorter</w:t>
      </w:r>
      <w:r w:rsidR="00B35751">
        <w:t xml:space="preserve"> time scales</w:t>
      </w:r>
      <w:r w:rsidR="00DB65C0">
        <w:t xml:space="preserve"> (e.g. impacts from cyclonic events)</w:t>
      </w:r>
      <w:r w:rsidR="00B35751">
        <w:t>.</w:t>
      </w:r>
    </w:p>
    <w:p w14:paraId="6A5B02A5" w14:textId="38D95E63" w:rsidR="002B19B4" w:rsidRPr="00135BD7" w:rsidRDefault="00135BD7" w:rsidP="002B19B4">
      <w:pPr>
        <w:pStyle w:val="BodyText"/>
      </w:pPr>
      <w:r>
        <w:t>Residual</w:t>
      </w:r>
      <w:r w:rsidR="002B19B4">
        <w:t xml:space="preserve"> voids situated in floodplain areas are also susceptible to flooding (Section </w:t>
      </w:r>
      <w:r w:rsidR="002B19B4">
        <w:fldChar w:fldCharType="begin"/>
      </w:r>
      <w:r w:rsidR="002B19B4">
        <w:instrText xml:space="preserve"> REF _Ref55987918 \n \h </w:instrText>
      </w:r>
      <w:r w:rsidR="002B19B4">
        <w:fldChar w:fldCharType="separate"/>
      </w:r>
      <w:r w:rsidR="00937ADD">
        <w:t>3.2.4</w:t>
      </w:r>
      <w:r w:rsidR="002B19B4">
        <w:fldChar w:fldCharType="end"/>
      </w:r>
      <w:r w:rsidR="002B19B4">
        <w:t>) which may, albeit temporarily, alter the flow regime and contribute to water quality impacts within the</w:t>
      </w:r>
      <w:r w:rsidR="00DB65C0">
        <w:t xml:space="preserve"> broader</w:t>
      </w:r>
      <w:r w:rsidR="002B19B4">
        <w:t xml:space="preserve"> catchment area.</w:t>
      </w:r>
      <w:r w:rsidR="002B19B4" w:rsidRPr="002B19B4">
        <w:t xml:space="preserve"> </w:t>
      </w:r>
      <w:r w:rsidR="002B19B4">
        <w:t>On a longer</w:t>
      </w:r>
      <w:r w:rsidR="00DB65C0">
        <w:t xml:space="preserve"> time</w:t>
      </w:r>
      <w:r w:rsidR="002B19B4">
        <w:t xml:space="preserve">scale, climate changes may also have the potential to affect the flow regime of </w:t>
      </w:r>
      <w:r w:rsidRPr="00135BD7">
        <w:t>residual</w:t>
      </w:r>
      <w:r w:rsidR="002B19B4" w:rsidRPr="00135BD7">
        <w:t xml:space="preserve"> voids (Section </w:t>
      </w:r>
      <w:r w:rsidR="002B19B4" w:rsidRPr="00135BD7">
        <w:fldChar w:fldCharType="begin"/>
      </w:r>
      <w:r w:rsidR="002B19B4" w:rsidRPr="00135BD7">
        <w:instrText xml:space="preserve"> REF _Ref55988051 \n \h </w:instrText>
      </w:r>
      <w:r>
        <w:instrText xml:space="preserve"> \* MERGEFORMAT </w:instrText>
      </w:r>
      <w:r w:rsidR="002B19B4" w:rsidRPr="00135BD7">
        <w:fldChar w:fldCharType="separate"/>
      </w:r>
      <w:r w:rsidR="00937ADD">
        <w:t>3.2.5</w:t>
      </w:r>
      <w:r w:rsidR="002B19B4" w:rsidRPr="00135BD7">
        <w:fldChar w:fldCharType="end"/>
      </w:r>
      <w:r w:rsidR="002B19B4" w:rsidRPr="00135BD7">
        <w:t xml:space="preserve">). </w:t>
      </w:r>
    </w:p>
    <w:p w14:paraId="14D27225" w14:textId="6EB8D496" w:rsidR="00DE04DA" w:rsidRDefault="00BD5AFE" w:rsidP="00BD5AFE">
      <w:pPr>
        <w:pStyle w:val="BodyText"/>
      </w:pPr>
      <w:r w:rsidRPr="00135BD7">
        <w:t xml:space="preserve">Remediation of the </w:t>
      </w:r>
      <w:r w:rsidR="00135BD7" w:rsidRPr="00135BD7">
        <w:t>open</w:t>
      </w:r>
      <w:r w:rsidR="004C52BE">
        <w:t>-cut</w:t>
      </w:r>
      <w:r w:rsidR="00135BD7" w:rsidRPr="00135BD7">
        <w:t xml:space="preserve"> </w:t>
      </w:r>
      <w:r w:rsidR="001B49A8" w:rsidRPr="00135BD7">
        <w:t xml:space="preserve">coal </w:t>
      </w:r>
      <w:r w:rsidR="00135BD7" w:rsidRPr="00135BD7">
        <w:t>pits</w:t>
      </w:r>
      <w:r w:rsidR="001B49A8" w:rsidRPr="00135BD7">
        <w:t>, by p</w:t>
      </w:r>
      <w:r w:rsidR="00D90D1F" w:rsidRPr="00135BD7">
        <w:t>artial (</w:t>
      </w:r>
      <w:r w:rsidRPr="00135BD7">
        <w:t xml:space="preserve">Section </w:t>
      </w:r>
      <w:r w:rsidRPr="00135BD7">
        <w:fldChar w:fldCharType="begin"/>
      </w:r>
      <w:r w:rsidRPr="00135BD7">
        <w:instrText xml:space="preserve"> REF _Ref55988119 \n \h </w:instrText>
      </w:r>
      <w:r w:rsidR="00135BD7">
        <w:instrText xml:space="preserve"> \* MERGEFORMAT </w:instrText>
      </w:r>
      <w:r w:rsidRPr="00135BD7">
        <w:fldChar w:fldCharType="separate"/>
      </w:r>
      <w:r w:rsidR="00937ADD">
        <w:t>3.3</w:t>
      </w:r>
      <w:r w:rsidRPr="00135BD7">
        <w:fldChar w:fldCharType="end"/>
      </w:r>
      <w:r w:rsidR="00D90D1F" w:rsidRPr="00135BD7">
        <w:t>) or complete (</w:t>
      </w:r>
      <w:r w:rsidRPr="00135BD7">
        <w:t xml:space="preserve">Section </w:t>
      </w:r>
      <w:r w:rsidRPr="00135BD7">
        <w:fldChar w:fldCharType="begin"/>
      </w:r>
      <w:r w:rsidRPr="00135BD7">
        <w:instrText xml:space="preserve"> REF _Ref55988124 \n \h </w:instrText>
      </w:r>
      <w:r w:rsidR="00135BD7">
        <w:instrText xml:space="preserve"> \* MERGEFORMAT </w:instrText>
      </w:r>
      <w:r w:rsidRPr="00135BD7">
        <w:fldChar w:fldCharType="separate"/>
      </w:r>
      <w:r w:rsidR="00937ADD">
        <w:t>3.4</w:t>
      </w:r>
      <w:r w:rsidRPr="00135BD7">
        <w:fldChar w:fldCharType="end"/>
      </w:r>
      <w:r w:rsidR="00D90D1F" w:rsidRPr="00135BD7">
        <w:t>)</w:t>
      </w:r>
      <w:r w:rsidR="00D90D1F">
        <w:t xml:space="preserve"> </w:t>
      </w:r>
      <w:r w:rsidR="00DB65C0" w:rsidRPr="00135BD7">
        <w:t>backfilling</w:t>
      </w:r>
      <w:r w:rsidR="00DB65C0">
        <w:t>,</w:t>
      </w:r>
      <w:r w:rsidR="00DB65C0" w:rsidRPr="00135BD7">
        <w:t xml:space="preserve"> </w:t>
      </w:r>
      <w:r w:rsidR="00D90D1F">
        <w:t xml:space="preserve">will </w:t>
      </w:r>
      <w:r w:rsidR="00135BD7">
        <w:t>alter</w:t>
      </w:r>
      <w:r w:rsidR="00D90D1F">
        <w:t xml:space="preserve"> the flow regime, and ultimately the risk such features pose in the landscape.</w:t>
      </w:r>
    </w:p>
    <w:p w14:paraId="027E3552" w14:textId="5261B272" w:rsidR="00DE04DA" w:rsidRDefault="0066083B" w:rsidP="0066083B">
      <w:pPr>
        <w:pStyle w:val="Heading3"/>
      </w:pPr>
      <w:bookmarkStart w:id="34" w:name="_Ref55992059"/>
      <w:bookmarkStart w:id="35" w:name="_Toc87278318"/>
      <w:r>
        <w:t>Water quality</w:t>
      </w:r>
      <w:bookmarkEnd w:id="34"/>
      <w:bookmarkEnd w:id="35"/>
    </w:p>
    <w:p w14:paraId="1EEB618F" w14:textId="6E0225C2" w:rsidR="00520668" w:rsidRDefault="00307603" w:rsidP="00E605C5">
      <w:pPr>
        <w:pStyle w:val="BodyText"/>
      </w:pPr>
      <w:r>
        <w:t xml:space="preserve">Understanding the evolution of water quality in </w:t>
      </w:r>
      <w:r w:rsidR="002D239A">
        <w:t>‘</w:t>
      </w:r>
      <w:r>
        <w:t>pit lakes</w:t>
      </w:r>
      <w:r w:rsidR="002D239A">
        <w:t>’</w:t>
      </w:r>
      <w:r>
        <w:t xml:space="preserve"> is complex</w:t>
      </w:r>
      <w:r w:rsidR="00DB65C0">
        <w:t>,</w:t>
      </w:r>
      <w:r>
        <w:t xml:space="preserve"> as the hydrological and chemical inputs are qualitatively different from those of natural lakes. </w:t>
      </w:r>
      <w:r w:rsidR="002D239A">
        <w:t>The water quality i</w:t>
      </w:r>
      <w:r>
        <w:t xml:space="preserve">n </w:t>
      </w:r>
      <w:r w:rsidR="00985E4D">
        <w:t xml:space="preserve">a </w:t>
      </w:r>
      <w:r w:rsidR="00E605C5">
        <w:t>‘</w:t>
      </w:r>
      <w:r>
        <w:t>pit lake</w:t>
      </w:r>
      <w:r w:rsidR="00E605C5">
        <w:t>’</w:t>
      </w:r>
      <w:r w:rsidR="00985E4D">
        <w:t xml:space="preserve">, and </w:t>
      </w:r>
      <w:r w:rsidR="002D239A">
        <w:t>its</w:t>
      </w:r>
      <w:r w:rsidR="00985E4D">
        <w:t xml:space="preserve"> evolution over time,</w:t>
      </w:r>
      <w:r w:rsidR="00056F9F">
        <w:t xml:space="preserve"> </w:t>
      </w:r>
      <w:r w:rsidR="00985E4D">
        <w:t>are</w:t>
      </w:r>
      <w:r>
        <w:t xml:space="preserve"> dependent on a host of factors including</w:t>
      </w:r>
      <w:r w:rsidR="00985E4D">
        <w:t xml:space="preserve"> (but not limited to)</w:t>
      </w:r>
      <w:r w:rsidR="002D239A">
        <w:t xml:space="preserve"> </w:t>
      </w:r>
      <w:bookmarkStart w:id="36" w:name="_Hlk56000898"/>
      <w:r w:rsidR="002D239A">
        <w:t>(</w:t>
      </w:r>
      <w:r w:rsidR="002D239A" w:rsidRPr="00DB0925">
        <w:t>Johnson</w:t>
      </w:r>
      <w:r w:rsidR="002D239A">
        <w:t xml:space="preserve"> &amp;</w:t>
      </w:r>
      <w:r w:rsidR="002D239A" w:rsidRPr="00DB0925">
        <w:t xml:space="preserve"> Wright, 2003</w:t>
      </w:r>
      <w:r w:rsidR="002D239A">
        <w:t>)</w:t>
      </w:r>
      <w:r w:rsidR="00520668">
        <w:t>:</w:t>
      </w:r>
    </w:p>
    <w:bookmarkEnd w:id="36"/>
    <w:p w14:paraId="1894517F" w14:textId="231C323C" w:rsidR="00985E4D" w:rsidRDefault="004C52BE" w:rsidP="00AA4C36">
      <w:pPr>
        <w:pStyle w:val="BodyText"/>
        <w:numPr>
          <w:ilvl w:val="0"/>
          <w:numId w:val="21"/>
        </w:numPr>
        <w:spacing w:before="80" w:after="80"/>
        <w:ind w:left="714" w:hanging="357"/>
      </w:pPr>
      <w:r>
        <w:t>f</w:t>
      </w:r>
      <w:r w:rsidR="00985E4D">
        <w:t>inal void design</w:t>
      </w:r>
      <w:r>
        <w:t>;</w:t>
      </w:r>
    </w:p>
    <w:p w14:paraId="6DE141F7" w14:textId="5D681A47" w:rsidR="00985E4D" w:rsidRDefault="004C52BE" w:rsidP="00AA4C36">
      <w:pPr>
        <w:pStyle w:val="BodyText"/>
        <w:numPr>
          <w:ilvl w:val="0"/>
          <w:numId w:val="21"/>
        </w:numPr>
        <w:spacing w:before="80" w:after="80"/>
        <w:ind w:left="714" w:hanging="357"/>
      </w:pPr>
      <w:r>
        <w:t>f</w:t>
      </w:r>
      <w:r w:rsidR="00056F9F">
        <w:t>low regime</w:t>
      </w:r>
      <w:r>
        <w:t>;</w:t>
      </w:r>
    </w:p>
    <w:p w14:paraId="3E9C7098" w14:textId="087FFC23" w:rsidR="00985E4D" w:rsidRDefault="004C52BE" w:rsidP="00AA4C36">
      <w:pPr>
        <w:pStyle w:val="BodyText"/>
        <w:numPr>
          <w:ilvl w:val="0"/>
          <w:numId w:val="21"/>
        </w:numPr>
        <w:spacing w:before="80" w:after="80"/>
        <w:ind w:left="714" w:hanging="357"/>
      </w:pPr>
      <w:r>
        <w:t>q</w:t>
      </w:r>
      <w:r w:rsidR="005B35C7">
        <w:t>uality of groundwater and surface water inputs</w:t>
      </w:r>
      <w:r>
        <w:t>;</w:t>
      </w:r>
    </w:p>
    <w:p w14:paraId="7714BFC6" w14:textId="493EA1C4" w:rsidR="00985E4D" w:rsidRDefault="004C52BE" w:rsidP="00AA4C36">
      <w:pPr>
        <w:pStyle w:val="BodyText"/>
        <w:numPr>
          <w:ilvl w:val="0"/>
          <w:numId w:val="21"/>
        </w:numPr>
        <w:spacing w:before="80" w:after="80"/>
        <w:ind w:left="714" w:hanging="357"/>
      </w:pPr>
      <w:r>
        <w:t>d</w:t>
      </w:r>
      <w:r w:rsidR="005B35C7">
        <w:t xml:space="preserve">ynamics of </w:t>
      </w:r>
      <w:r w:rsidR="00DB65C0">
        <w:t xml:space="preserve">temperature, </w:t>
      </w:r>
      <w:r w:rsidR="005B35C7">
        <w:t>evaporation and precipitation</w:t>
      </w:r>
      <w:r>
        <w:t>;</w:t>
      </w:r>
    </w:p>
    <w:p w14:paraId="004A1779" w14:textId="199A300E" w:rsidR="00985E4D" w:rsidRDefault="004C52BE" w:rsidP="00AA4C36">
      <w:pPr>
        <w:pStyle w:val="BodyText"/>
        <w:numPr>
          <w:ilvl w:val="0"/>
          <w:numId w:val="21"/>
        </w:numPr>
        <w:spacing w:before="80" w:after="80"/>
        <w:ind w:left="714" w:hanging="357"/>
      </w:pPr>
      <w:r>
        <w:t>c</w:t>
      </w:r>
      <w:r w:rsidR="00307603">
        <w:t>omposition</w:t>
      </w:r>
      <w:r w:rsidR="008D5537">
        <w:t xml:space="preserve">, </w:t>
      </w:r>
      <w:r w:rsidR="00056F9F">
        <w:t>exposure</w:t>
      </w:r>
      <w:r w:rsidR="00307603">
        <w:t xml:space="preserve"> </w:t>
      </w:r>
      <w:r w:rsidR="008D5537">
        <w:t xml:space="preserve">and fragmentation </w:t>
      </w:r>
      <w:r w:rsidR="00307603">
        <w:t>of wall rock</w:t>
      </w:r>
      <w:r w:rsidR="00056F9F">
        <w:t xml:space="preserve"> and overburden</w:t>
      </w:r>
      <w:r>
        <w:t>;</w:t>
      </w:r>
    </w:p>
    <w:p w14:paraId="04A70287" w14:textId="60BA8F74" w:rsidR="00E605C5" w:rsidRDefault="004C52BE" w:rsidP="00AA4C36">
      <w:pPr>
        <w:pStyle w:val="BodyText"/>
        <w:numPr>
          <w:ilvl w:val="0"/>
          <w:numId w:val="21"/>
        </w:numPr>
        <w:spacing w:before="80" w:after="80"/>
        <w:ind w:left="714" w:hanging="357"/>
      </w:pPr>
      <w:r>
        <w:lastRenderedPageBreak/>
        <w:t>b</w:t>
      </w:r>
      <w:r w:rsidR="00307603">
        <w:t>iological activity</w:t>
      </w:r>
      <w:r>
        <w:t>; and/or</w:t>
      </w:r>
      <w:r w:rsidR="00307603">
        <w:t xml:space="preserve"> </w:t>
      </w:r>
    </w:p>
    <w:p w14:paraId="02B9D2F3" w14:textId="701E33B3" w:rsidR="00DB65C0" w:rsidRDefault="004C52BE" w:rsidP="00AA4C36">
      <w:pPr>
        <w:pStyle w:val="BodyText"/>
        <w:numPr>
          <w:ilvl w:val="0"/>
          <w:numId w:val="21"/>
        </w:numPr>
        <w:spacing w:before="80" w:after="80"/>
        <w:ind w:left="714" w:hanging="357"/>
      </w:pPr>
      <w:r>
        <w:t>h</w:t>
      </w:r>
      <w:r w:rsidR="00DB65C0">
        <w:t>uman intervention.</w:t>
      </w:r>
    </w:p>
    <w:p w14:paraId="316BE812" w14:textId="02A3F78E" w:rsidR="00491E2D" w:rsidRDefault="00026EFE" w:rsidP="003A51E5">
      <w:pPr>
        <w:pStyle w:val="BodyText"/>
      </w:pPr>
      <w:r>
        <w:t>W</w:t>
      </w:r>
      <w:r w:rsidRPr="00026EFE">
        <w:t xml:space="preserve">ater quality </w:t>
      </w:r>
      <w:r>
        <w:t>issues</w:t>
      </w:r>
      <w:r w:rsidRPr="00026EFE">
        <w:t xml:space="preserve"> often associated with </w:t>
      </w:r>
      <w:r>
        <w:t xml:space="preserve">‘pit lakes’ in coal </w:t>
      </w:r>
      <w:r w:rsidR="00C62779">
        <w:t xml:space="preserve">mine </w:t>
      </w:r>
      <w:r>
        <w:t>voids</w:t>
      </w:r>
      <w:r w:rsidRPr="00026EFE">
        <w:t xml:space="preserve"> </w:t>
      </w:r>
      <w:r w:rsidR="0099281C">
        <w:t>include</w:t>
      </w:r>
      <w:r w:rsidR="0099281C" w:rsidRPr="00026EFE">
        <w:t xml:space="preserve"> </w:t>
      </w:r>
      <w:r w:rsidRPr="00026EFE">
        <w:t>salinisation and ac</w:t>
      </w:r>
      <w:r w:rsidR="0061678A">
        <w:t>id and metalliferous drainage</w:t>
      </w:r>
      <w:r>
        <w:t xml:space="preserve"> </w:t>
      </w:r>
      <w:r w:rsidR="0061678A">
        <w:t xml:space="preserve">(AMD) </w:t>
      </w:r>
      <w:r>
        <w:t>(</w:t>
      </w:r>
      <w:r w:rsidRPr="00026EFE">
        <w:t>Doupé</w:t>
      </w:r>
      <w:r>
        <w:t xml:space="preserve"> &amp; </w:t>
      </w:r>
      <w:r w:rsidRPr="00026EFE">
        <w:t>Lymbery,</w:t>
      </w:r>
      <w:r>
        <w:t xml:space="preserve"> </w:t>
      </w:r>
      <w:r w:rsidRPr="00026EFE">
        <w:t>2005</w:t>
      </w:r>
      <w:r>
        <w:t>)</w:t>
      </w:r>
      <w:r w:rsidRPr="00026EFE">
        <w:t xml:space="preserve">. </w:t>
      </w:r>
      <w:r w:rsidR="003A51E5">
        <w:t>In the case of salinisation, the flow regime of the void will</w:t>
      </w:r>
      <w:r w:rsidR="003A51E5" w:rsidRPr="002D239A">
        <w:t xml:space="preserve"> largely determine whether </w:t>
      </w:r>
      <w:r w:rsidR="003A51E5">
        <w:t xml:space="preserve">the ‘pit </w:t>
      </w:r>
      <w:r w:rsidR="003A51E5" w:rsidRPr="002D239A">
        <w:t>lake</w:t>
      </w:r>
      <w:r w:rsidR="003A51E5">
        <w:t>’</w:t>
      </w:r>
      <w:r w:rsidR="003A51E5" w:rsidRPr="002D239A">
        <w:t xml:space="preserve"> water quality reach</w:t>
      </w:r>
      <w:r w:rsidR="003A51E5">
        <w:t>es</w:t>
      </w:r>
      <w:r w:rsidR="003A51E5" w:rsidRPr="002D239A">
        <w:t xml:space="preserve"> equilibrium or continues to evolve over time. A </w:t>
      </w:r>
      <w:r w:rsidR="003A51E5">
        <w:t xml:space="preserve">void flow regime </w:t>
      </w:r>
      <w:r w:rsidR="003A51E5" w:rsidRPr="002D239A">
        <w:t xml:space="preserve">with evaporation as the primary water loss </w:t>
      </w:r>
      <w:r w:rsidR="003A51E5">
        <w:t>process</w:t>
      </w:r>
      <w:r w:rsidR="003A51E5" w:rsidRPr="002D239A">
        <w:t xml:space="preserve"> </w:t>
      </w:r>
      <w:r w:rsidR="005A75D9">
        <w:t xml:space="preserve">(Section </w:t>
      </w:r>
      <w:r w:rsidR="005A75D9">
        <w:fldChar w:fldCharType="begin"/>
      </w:r>
      <w:r w:rsidR="005A75D9">
        <w:instrText xml:space="preserve"> REF _Ref55982230 \n \h </w:instrText>
      </w:r>
      <w:r w:rsidR="005A75D9">
        <w:fldChar w:fldCharType="separate"/>
      </w:r>
      <w:r w:rsidR="00937ADD">
        <w:t>3.2.1</w:t>
      </w:r>
      <w:r w:rsidR="005A75D9">
        <w:fldChar w:fldCharType="end"/>
      </w:r>
      <w:r w:rsidR="005A75D9">
        <w:t xml:space="preserve">) </w:t>
      </w:r>
      <w:r w:rsidR="003A51E5" w:rsidRPr="002D239A">
        <w:t>will typical</w:t>
      </w:r>
      <w:r w:rsidR="003A51E5">
        <w:t>l</w:t>
      </w:r>
      <w:r w:rsidR="003A51E5" w:rsidRPr="002D239A">
        <w:t xml:space="preserve">y lead to increases in solute concentrations compared to a flow-through system </w:t>
      </w:r>
      <w:r w:rsidR="005A75D9">
        <w:t xml:space="preserve">(Section </w:t>
      </w:r>
      <w:r w:rsidR="005A75D9">
        <w:fldChar w:fldCharType="begin"/>
      </w:r>
      <w:r w:rsidR="005A75D9">
        <w:instrText xml:space="preserve"> REF _Ref55987931 \n \h </w:instrText>
      </w:r>
      <w:r w:rsidR="005A75D9">
        <w:fldChar w:fldCharType="separate"/>
      </w:r>
      <w:r w:rsidR="00937ADD">
        <w:t>3.2.3</w:t>
      </w:r>
      <w:r w:rsidR="005A75D9">
        <w:fldChar w:fldCharType="end"/>
      </w:r>
      <w:r w:rsidR="005A75D9">
        <w:t xml:space="preserve">) </w:t>
      </w:r>
      <w:r w:rsidR="003A51E5" w:rsidRPr="002D239A">
        <w:t>where i</w:t>
      </w:r>
      <w:r w:rsidR="003A51E5">
        <w:t>nflowing</w:t>
      </w:r>
      <w:r w:rsidR="003A51E5" w:rsidRPr="002D239A">
        <w:t xml:space="preserve"> water can continue to replenish and dilute solute concentration effects that are occurring</w:t>
      </w:r>
      <w:r w:rsidR="003A51E5">
        <w:t xml:space="preserve"> or </w:t>
      </w:r>
      <w:r w:rsidR="003A51E5" w:rsidRPr="002D239A">
        <w:t>have occurred in previous dryer seasons (Niccoli, 2009</w:t>
      </w:r>
      <w:r w:rsidR="003A51E5">
        <w:t xml:space="preserve"> as cited in </w:t>
      </w:r>
      <w:bookmarkStart w:id="37" w:name="_Hlk59524569"/>
      <w:r w:rsidR="003A51E5" w:rsidRPr="002D239A">
        <w:t>McCullough</w:t>
      </w:r>
      <w:r w:rsidR="003A51E5">
        <w:t xml:space="preserve"> &amp; </w:t>
      </w:r>
      <w:r w:rsidR="003A51E5" w:rsidRPr="002D239A">
        <w:t>Schult</w:t>
      </w:r>
      <w:r w:rsidR="00325E4E">
        <w:t>z</w:t>
      </w:r>
      <w:r w:rsidR="003A51E5" w:rsidRPr="002D239A">
        <w:t>e</w:t>
      </w:r>
      <w:r w:rsidR="003A51E5">
        <w:t xml:space="preserve">, </w:t>
      </w:r>
      <w:r w:rsidR="003A51E5" w:rsidRPr="002D239A">
        <w:t>2015</w:t>
      </w:r>
      <w:r w:rsidR="003A51E5">
        <w:t xml:space="preserve">). </w:t>
      </w:r>
      <w:bookmarkEnd w:id="37"/>
      <w:r>
        <w:t>A</w:t>
      </w:r>
      <w:r w:rsidR="0061678A">
        <w:t>MD</w:t>
      </w:r>
      <w:r w:rsidRPr="00026EFE">
        <w:t xml:space="preserve"> </w:t>
      </w:r>
      <w:r w:rsidR="0061678A">
        <w:t>has the potential to be generated i</w:t>
      </w:r>
      <w:r w:rsidR="003A51E5">
        <w:t>n open</w:t>
      </w:r>
      <w:r w:rsidR="004C52BE">
        <w:t>-cut</w:t>
      </w:r>
      <w:r w:rsidR="003A51E5">
        <w:t xml:space="preserve"> coal mine voids i</w:t>
      </w:r>
      <w:r w:rsidR="0061678A">
        <w:t>f the wall rock</w:t>
      </w:r>
      <w:r w:rsidRPr="00026EFE">
        <w:t xml:space="preserve"> or surrounding </w:t>
      </w:r>
      <w:r>
        <w:t>overburden</w:t>
      </w:r>
      <w:r w:rsidRPr="00026EFE">
        <w:t xml:space="preserve"> contains </w:t>
      </w:r>
      <w:r w:rsidR="0061678A">
        <w:t xml:space="preserve">potentially acid forming (PAF) materials that </w:t>
      </w:r>
      <w:r w:rsidR="00985E4D">
        <w:t>are</w:t>
      </w:r>
      <w:r w:rsidR="0061678A">
        <w:t xml:space="preserve"> exposed to the atmosphere.</w:t>
      </w:r>
    </w:p>
    <w:p w14:paraId="569FAD5D" w14:textId="77777777" w:rsidR="005A6378" w:rsidRDefault="00307603" w:rsidP="00E43360">
      <w:pPr>
        <w:pStyle w:val="BodyText"/>
      </w:pPr>
      <w:r>
        <w:t xml:space="preserve">The circulation pattern within </w:t>
      </w:r>
      <w:r w:rsidR="00E605C5">
        <w:t>‘</w:t>
      </w:r>
      <w:r>
        <w:t>pit lakes</w:t>
      </w:r>
      <w:r w:rsidR="00E605C5">
        <w:t>’</w:t>
      </w:r>
      <w:r>
        <w:t xml:space="preserve"> is </w:t>
      </w:r>
      <w:r w:rsidR="00056F9F">
        <w:t xml:space="preserve">also </w:t>
      </w:r>
      <w:r w:rsidR="003A51E5">
        <w:t xml:space="preserve">an </w:t>
      </w:r>
      <w:r>
        <w:t xml:space="preserve">important </w:t>
      </w:r>
      <w:r w:rsidR="005A6378">
        <w:t xml:space="preserve">environmental </w:t>
      </w:r>
      <w:r w:rsidR="003A51E5">
        <w:t xml:space="preserve">factor </w:t>
      </w:r>
      <w:r w:rsidR="00056F9F">
        <w:t xml:space="preserve">due to </w:t>
      </w:r>
      <w:r>
        <w:t>the central role of oxygen in chemical reactions affecting water quality.</w:t>
      </w:r>
      <w:r w:rsidR="00E605C5">
        <w:t xml:space="preserve"> </w:t>
      </w:r>
      <w:r w:rsidR="00DB0925">
        <w:t>I</w:t>
      </w:r>
      <w:r w:rsidR="00E605C5">
        <w:t>n comparison to natural lakes, ‘pit lakes’ are more prone to becom</w:t>
      </w:r>
      <w:r w:rsidR="005A75D9">
        <w:t>ing</w:t>
      </w:r>
      <w:r w:rsidR="00E605C5">
        <w:t xml:space="preserve"> meromictic (</w:t>
      </w:r>
      <w:r w:rsidR="00E67E0E">
        <w:t xml:space="preserve">i.e. </w:t>
      </w:r>
      <w:r w:rsidR="00E605C5">
        <w:t xml:space="preserve">lower layers non-mixing) owing to their comparatively smaller surface areas, steeper sides, greater depths, and higher salinities (Gammons </w:t>
      </w:r>
      <w:r w:rsidR="00DB0925">
        <w:t xml:space="preserve">&amp; </w:t>
      </w:r>
      <w:r w:rsidR="00E605C5">
        <w:t>Duaine</w:t>
      </w:r>
      <w:r w:rsidR="00DB0925">
        <w:t>,</w:t>
      </w:r>
      <w:r w:rsidR="00E605C5">
        <w:t xml:space="preserve"> 2006</w:t>
      </w:r>
      <w:r w:rsidR="00DB0925">
        <w:t>, as cited in</w:t>
      </w:r>
      <w:r w:rsidR="000E6AFA" w:rsidRPr="000E6AFA">
        <w:t xml:space="preserve"> </w:t>
      </w:r>
      <w:r w:rsidR="000E6AFA" w:rsidRPr="00DB0925">
        <w:t>Vandenberg</w:t>
      </w:r>
      <w:r w:rsidR="000E6AFA">
        <w:t xml:space="preserve"> &amp;</w:t>
      </w:r>
      <w:r w:rsidR="000E6AFA" w:rsidRPr="00DB0925">
        <w:t xml:space="preserve"> McCullough</w:t>
      </w:r>
      <w:r w:rsidR="000E6AFA">
        <w:t>, 2017</w:t>
      </w:r>
      <w:r w:rsidR="00E605C5">
        <w:t xml:space="preserve">). Vertical mixing in lakes is primarily driven by wind currents across the lake surface, and the smaller fetch of </w:t>
      </w:r>
      <w:r w:rsidR="00985E4D">
        <w:t>‘</w:t>
      </w:r>
      <w:r w:rsidR="00E605C5">
        <w:t>pit lakes</w:t>
      </w:r>
      <w:r w:rsidR="00985E4D">
        <w:t>’</w:t>
      </w:r>
      <w:r w:rsidR="00E605C5">
        <w:t xml:space="preserve"> provides less opportunity to translate wind energy into water currents that are necessary for lake turnover.</w:t>
      </w:r>
      <w:r w:rsidR="00E43360" w:rsidRPr="00E43360">
        <w:t xml:space="preserve"> </w:t>
      </w:r>
    </w:p>
    <w:p w14:paraId="17C84BCF" w14:textId="3AE6A967" w:rsidR="00307603" w:rsidRDefault="00E43360" w:rsidP="00E43360">
      <w:pPr>
        <w:pStyle w:val="BodyText"/>
      </w:pPr>
      <w:r>
        <w:t>The nature of vertical mixing will control the level of oxygen transported to the lower portion of the ‘pit lake’, which in turn affects biological and chemical reactions. Total dissolved solids concentrations and electrolytic conductivity tend to increase with depth with values near the bottom often several times those at the surface. The hypolimnion (lower stratum) of a stratified lake has the tendency to contain low dissolved oxygen concentrations, if oxygen demand (chemical and/or biological) is high enough. The existence of a sub-oxic or anoxic (no oxygen) layer in a pit lake can have significant effects on the lake’s chemical and biological characteristics and thus on its potential for remediation.</w:t>
      </w:r>
    </w:p>
    <w:p w14:paraId="046F086D" w14:textId="67AAD90D" w:rsidR="00D50942" w:rsidRDefault="00985E4D" w:rsidP="00D50942">
      <w:pPr>
        <w:pStyle w:val="BodyText"/>
      </w:pPr>
      <w:r>
        <w:t xml:space="preserve">Ultimately, the flow regime of </w:t>
      </w:r>
      <w:r w:rsidR="00C94579">
        <w:t xml:space="preserve">an open </w:t>
      </w:r>
      <w:r w:rsidR="00CE6D62">
        <w:t xml:space="preserve">residual </w:t>
      </w:r>
      <w:r>
        <w:t xml:space="preserve">void </w:t>
      </w:r>
      <w:r w:rsidR="003A51E5">
        <w:t xml:space="preserve">(Section </w:t>
      </w:r>
      <w:r w:rsidR="003A51E5">
        <w:fldChar w:fldCharType="begin"/>
      </w:r>
      <w:r w:rsidR="003A51E5">
        <w:instrText xml:space="preserve"> REF _Ref55987814 \n \h </w:instrText>
      </w:r>
      <w:r w:rsidR="003A51E5">
        <w:fldChar w:fldCharType="separate"/>
      </w:r>
      <w:r w:rsidR="00937ADD">
        <w:t>3.2</w:t>
      </w:r>
      <w:r w:rsidR="003A51E5">
        <w:fldChar w:fldCharType="end"/>
      </w:r>
      <w:r w:rsidR="003A51E5">
        <w:t xml:space="preserve">) </w:t>
      </w:r>
      <w:r>
        <w:t>will govern</w:t>
      </w:r>
      <w:r w:rsidR="001F05EC">
        <w:t xml:space="preserve"> the nature and level of risk </w:t>
      </w:r>
      <w:r>
        <w:t>impacted</w:t>
      </w:r>
      <w:r w:rsidR="00D50942">
        <w:t xml:space="preserve"> </w:t>
      </w:r>
      <w:r>
        <w:t>‘</w:t>
      </w:r>
      <w:r w:rsidR="00D50942">
        <w:t>pit lake</w:t>
      </w:r>
      <w:r>
        <w:t>’</w:t>
      </w:r>
      <w:r w:rsidR="00D50942">
        <w:t xml:space="preserve"> waters present</w:t>
      </w:r>
      <w:r>
        <w:t xml:space="preserve"> to surrounding and connected receptors. </w:t>
      </w:r>
      <w:r w:rsidR="00DB6B73">
        <w:t xml:space="preserve">In general, early in lake evolution, physical (temperature, rainfall, evaporation) and chemical (rock type, solutes, oxidation and pH state) drivers will be dominant. As </w:t>
      </w:r>
      <w:r w:rsidR="00C94579">
        <w:t xml:space="preserve">the ‘pit </w:t>
      </w:r>
      <w:r w:rsidR="00DB6B73">
        <w:t>lake</w:t>
      </w:r>
      <w:r w:rsidR="00C94579">
        <w:t>’</w:t>
      </w:r>
      <w:r w:rsidR="00DB6B73">
        <w:t xml:space="preserve"> reach</w:t>
      </w:r>
      <w:r w:rsidR="00C94579">
        <w:t>es</w:t>
      </w:r>
      <w:r w:rsidR="00DB6B73">
        <w:t xml:space="preserve"> equilibrium, biological factors may become more critical in determining the final pit water quality </w:t>
      </w:r>
      <w:r w:rsidR="00325E4E">
        <w:t>(</w:t>
      </w:r>
      <w:r w:rsidR="00325E4E" w:rsidRPr="002D239A">
        <w:t>McCullough</w:t>
      </w:r>
      <w:r w:rsidR="00325E4E">
        <w:t xml:space="preserve"> &amp; </w:t>
      </w:r>
      <w:r w:rsidR="00325E4E" w:rsidRPr="002D239A">
        <w:t>Schult</w:t>
      </w:r>
      <w:r w:rsidR="00325E4E">
        <w:t>z</w:t>
      </w:r>
      <w:r w:rsidR="00325E4E" w:rsidRPr="002D239A">
        <w:t>e</w:t>
      </w:r>
      <w:r w:rsidR="00325E4E">
        <w:t xml:space="preserve">, </w:t>
      </w:r>
      <w:r w:rsidR="00325E4E" w:rsidRPr="002D239A">
        <w:t>2015</w:t>
      </w:r>
      <w:r w:rsidR="00325E4E">
        <w:t>)</w:t>
      </w:r>
      <w:r w:rsidR="00DB6B73">
        <w:t>.</w:t>
      </w:r>
      <w:r w:rsidR="00D50942">
        <w:t xml:space="preserve"> </w:t>
      </w:r>
    </w:p>
    <w:p w14:paraId="2D2B4074" w14:textId="24BA6790" w:rsidR="00574979" w:rsidRDefault="00574979" w:rsidP="00574979">
      <w:pPr>
        <w:pStyle w:val="Heading3"/>
      </w:pPr>
      <w:bookmarkStart w:id="38" w:name="_Toc87278319"/>
      <w:r>
        <w:t>Assessment approaches</w:t>
      </w:r>
      <w:bookmarkEnd w:id="38"/>
    </w:p>
    <w:p w14:paraId="1FAE566A" w14:textId="0EEC7873" w:rsidR="008243EC" w:rsidRDefault="009177FB">
      <w:pPr>
        <w:pStyle w:val="BodyText"/>
      </w:pPr>
      <w:r>
        <w:t>The prediction of final water quality and quantity</w:t>
      </w:r>
      <w:r w:rsidR="008243EC">
        <w:t>/levels</w:t>
      </w:r>
      <w:r>
        <w:t xml:space="preserve"> in </w:t>
      </w:r>
      <w:r w:rsidR="00605909">
        <w:t>residual</w:t>
      </w:r>
      <w:r>
        <w:t xml:space="preserve"> voids is</w:t>
      </w:r>
      <w:r w:rsidR="00110388">
        <w:t xml:space="preserve"> required to assist in decisions concerning </w:t>
      </w:r>
      <w:r>
        <w:t>mine</w:t>
      </w:r>
      <w:r w:rsidR="009A57C5">
        <w:t xml:space="preserve"> </w:t>
      </w:r>
      <w:r>
        <w:t>site rehabilitation</w:t>
      </w:r>
      <w:r w:rsidR="008243EC">
        <w:t xml:space="preserve">. </w:t>
      </w:r>
      <w:r w:rsidR="009A57C5">
        <w:t>While e</w:t>
      </w:r>
      <w:r>
        <w:t>xisting modelling techniques, such as</w:t>
      </w:r>
      <w:r w:rsidR="008243EC">
        <w:t xml:space="preserve"> </w:t>
      </w:r>
      <w:r>
        <w:t>stochastic water-balance modelling, are capable of</w:t>
      </w:r>
      <w:r w:rsidR="008243EC">
        <w:t xml:space="preserve"> </w:t>
      </w:r>
      <w:r>
        <w:t>providing predictions of water</w:t>
      </w:r>
      <w:r w:rsidR="008243EC">
        <w:t xml:space="preserve"> </w:t>
      </w:r>
      <w:r>
        <w:t>levels in the</w:t>
      </w:r>
      <w:r w:rsidR="008243EC">
        <w:t xml:space="preserve"> </w:t>
      </w:r>
      <w:r>
        <w:t xml:space="preserve">final </w:t>
      </w:r>
      <w:r w:rsidR="008243EC">
        <w:t>‘</w:t>
      </w:r>
      <w:r>
        <w:t>pit lake</w:t>
      </w:r>
      <w:r w:rsidR="008243EC">
        <w:t>’ (</w:t>
      </w:r>
      <w:r w:rsidR="008243EC" w:rsidRPr="008243EC">
        <w:t>Johnson &amp; Wright, 2003)</w:t>
      </w:r>
      <w:r w:rsidR="009A57C5">
        <w:t>, c</w:t>
      </w:r>
      <w:r w:rsidR="008243EC">
        <w:t xml:space="preserve">hallenges </w:t>
      </w:r>
      <w:r w:rsidR="00605909">
        <w:t>can be</w:t>
      </w:r>
      <w:r w:rsidR="008243EC">
        <w:t xml:space="preserve"> experienced in the prediction of long-term quality of ‘pit lake’ water. The prediction of water-quality evolution in </w:t>
      </w:r>
      <w:r w:rsidR="00337096">
        <w:t>residual</w:t>
      </w:r>
      <w:r w:rsidR="008243EC">
        <w:t xml:space="preserve"> voids requires an understanding of the hydrogeological, limnological and biological/ biochemical processes that control solute fate and transport quality. Typically, predictions are made by coupled modelling using a mass balance model </w:t>
      </w:r>
      <w:r w:rsidR="00110388">
        <w:t xml:space="preserve">and </w:t>
      </w:r>
      <w:r w:rsidR="008243EC">
        <w:t>chemical equilibrium model.</w:t>
      </w:r>
      <w:r w:rsidR="0074565F">
        <w:rPr>
          <w:rStyle w:val="FootnoteReference"/>
        </w:rPr>
        <w:footnoteReference w:id="2"/>
      </w:r>
      <w:r w:rsidR="008243EC">
        <w:t xml:space="preserve"> As most ‘pit lakes’ are still relatively young (relative to the timeframes to reach equilibrium), there is often insufficient data available to support the testing and validation of model predictions (</w:t>
      </w:r>
      <w:r w:rsidR="008243EC" w:rsidRPr="008243EC">
        <w:t>Johnson &amp; Wright, 2003).</w:t>
      </w:r>
      <w:r w:rsidR="00052858">
        <w:t xml:space="preserve"> Effective rehabilitation management of ‘pit lakes’ will need to consider this predictive uncertainty and the changing rehabilitation requirements as these features evolve towards equilibrium conditions.</w:t>
      </w:r>
      <w:r w:rsidR="00263EB0" w:rsidRPr="00263EB0">
        <w:t xml:space="preserve">  </w:t>
      </w:r>
    </w:p>
    <w:p w14:paraId="64E06E66" w14:textId="222FDA8B" w:rsidR="00DE64D8" w:rsidRDefault="00E908E7" w:rsidP="00E908E7">
      <w:pPr>
        <w:pStyle w:val="Heading2"/>
      </w:pPr>
      <w:bookmarkStart w:id="39" w:name="_Ref55987814"/>
      <w:bookmarkStart w:id="40" w:name="_Toc87278320"/>
      <w:r>
        <w:lastRenderedPageBreak/>
        <w:t xml:space="preserve">Open </w:t>
      </w:r>
      <w:r w:rsidR="008D2513">
        <w:t xml:space="preserve">residual </w:t>
      </w:r>
      <w:r>
        <w:t>void</w:t>
      </w:r>
      <w:bookmarkEnd w:id="39"/>
      <w:bookmarkEnd w:id="40"/>
    </w:p>
    <w:p w14:paraId="2E192804" w14:textId="67A42D78" w:rsidR="002B19B4" w:rsidRDefault="005D2E00" w:rsidP="005D2E00">
      <w:pPr>
        <w:pStyle w:val="BodyText"/>
      </w:pPr>
      <w:r>
        <w:t xml:space="preserve">Broadly, the following </w:t>
      </w:r>
      <w:r w:rsidR="00DB6B73">
        <w:t xml:space="preserve">end-member </w:t>
      </w:r>
      <w:r>
        <w:t xml:space="preserve">flow regimes of </w:t>
      </w:r>
      <w:r w:rsidR="008D2513">
        <w:t>residual</w:t>
      </w:r>
      <w:r w:rsidR="00D705CA">
        <w:t xml:space="preserve"> </w:t>
      </w:r>
      <w:r>
        <w:t>voids a</w:t>
      </w:r>
      <w:r w:rsidR="002B19B4">
        <w:t xml:space="preserve">re possible once </w:t>
      </w:r>
      <w:r w:rsidR="005A2314">
        <w:t>quasi-</w:t>
      </w:r>
      <w:r w:rsidR="002B19B4">
        <w:t>equilibrium has been reached (</w:t>
      </w:r>
      <w:r w:rsidRPr="002D239A">
        <w:t>McCullough</w:t>
      </w:r>
      <w:r>
        <w:t xml:space="preserve"> &amp; </w:t>
      </w:r>
      <w:r w:rsidRPr="002D239A">
        <w:t>Schult</w:t>
      </w:r>
      <w:r w:rsidR="00325E4E">
        <w:t>z</w:t>
      </w:r>
      <w:r w:rsidRPr="002D239A">
        <w:t>e</w:t>
      </w:r>
      <w:r>
        <w:t xml:space="preserve">, </w:t>
      </w:r>
      <w:r w:rsidRPr="002D239A">
        <w:t>2015</w:t>
      </w:r>
      <w:r>
        <w:t>)</w:t>
      </w:r>
      <w:r w:rsidR="009505B5">
        <w:t xml:space="preserve"> </w:t>
      </w:r>
      <w:r w:rsidR="00E47780">
        <w:t>(</w:t>
      </w:r>
      <w:r w:rsidR="00E47780">
        <w:fldChar w:fldCharType="begin"/>
      </w:r>
      <w:r w:rsidR="00E47780">
        <w:instrText xml:space="preserve"> REF _Ref62208237 \h </w:instrText>
      </w:r>
      <w:r w:rsidR="00E47780">
        <w:fldChar w:fldCharType="separate"/>
      </w:r>
      <w:r w:rsidR="00937ADD">
        <w:t xml:space="preserve">Figure </w:t>
      </w:r>
      <w:r w:rsidR="00937ADD">
        <w:rPr>
          <w:noProof/>
        </w:rPr>
        <w:t>3</w:t>
      </w:r>
      <w:r w:rsidR="00937ADD">
        <w:noBreakHyphen/>
      </w:r>
      <w:r w:rsidR="00937ADD">
        <w:rPr>
          <w:noProof/>
        </w:rPr>
        <w:t>1</w:t>
      </w:r>
      <w:r w:rsidR="00E47780">
        <w:fldChar w:fldCharType="end"/>
      </w:r>
      <w:r w:rsidR="00E47780">
        <w:t>)</w:t>
      </w:r>
      <w:r>
        <w:t>:</w:t>
      </w:r>
    </w:p>
    <w:p w14:paraId="66CBDCFB" w14:textId="34D21EAC" w:rsidR="005D2E00" w:rsidRDefault="002B19B4">
      <w:pPr>
        <w:pStyle w:val="BodyText"/>
        <w:numPr>
          <w:ilvl w:val="0"/>
          <w:numId w:val="24"/>
        </w:numPr>
        <w:spacing w:before="80" w:after="80"/>
        <w:ind w:left="714" w:hanging="357"/>
      </w:pPr>
      <w:r>
        <w:t>Terminal</w:t>
      </w:r>
      <w:r w:rsidR="005A2314">
        <w:t xml:space="preserve"> –</w:t>
      </w:r>
      <w:r>
        <w:t xml:space="preserve"> as an evaporative sink (</w:t>
      </w:r>
      <w:r w:rsidR="005D2E00">
        <w:t xml:space="preserve">Section </w:t>
      </w:r>
      <w:r w:rsidR="005D2E00">
        <w:fldChar w:fldCharType="begin"/>
      </w:r>
      <w:r w:rsidR="005D2E00">
        <w:instrText xml:space="preserve"> REF _Ref55982230 \n \h </w:instrText>
      </w:r>
      <w:r w:rsidR="005D2E00">
        <w:fldChar w:fldCharType="separate"/>
      </w:r>
      <w:r w:rsidR="00937ADD">
        <w:t>3.2.1</w:t>
      </w:r>
      <w:r w:rsidR="005D2E00">
        <w:fldChar w:fldCharType="end"/>
      </w:r>
      <w:r>
        <w:t>).</w:t>
      </w:r>
    </w:p>
    <w:p w14:paraId="66212FF2" w14:textId="2F03CFB2" w:rsidR="005D2E00" w:rsidRDefault="002B19B4" w:rsidP="00AA4C36">
      <w:pPr>
        <w:pStyle w:val="BodyText"/>
        <w:numPr>
          <w:ilvl w:val="0"/>
          <w:numId w:val="24"/>
        </w:numPr>
        <w:spacing w:before="80" w:after="80"/>
        <w:ind w:left="714" w:hanging="357"/>
      </w:pPr>
      <w:r>
        <w:t>Source</w:t>
      </w:r>
      <w:r w:rsidR="005A2314">
        <w:t xml:space="preserve"> –</w:t>
      </w:r>
      <w:r>
        <w:t xml:space="preserve"> perched above local groundwater levels (</w:t>
      </w:r>
      <w:r w:rsidR="005D2E00">
        <w:t xml:space="preserve">Section </w:t>
      </w:r>
      <w:r w:rsidR="005D2E00">
        <w:fldChar w:fldCharType="begin"/>
      </w:r>
      <w:r w:rsidR="005D2E00">
        <w:instrText xml:space="preserve"> REF _Ref55987929 \n \h </w:instrText>
      </w:r>
      <w:r w:rsidR="005D2E00">
        <w:fldChar w:fldCharType="separate"/>
      </w:r>
      <w:r w:rsidR="00937ADD">
        <w:t>3.2.2</w:t>
      </w:r>
      <w:r w:rsidR="005D2E00">
        <w:fldChar w:fldCharType="end"/>
      </w:r>
      <w:r>
        <w:t>).</w:t>
      </w:r>
    </w:p>
    <w:p w14:paraId="440B8A79" w14:textId="0083E34D" w:rsidR="002B19B4" w:rsidRDefault="002B19B4" w:rsidP="008C363B">
      <w:pPr>
        <w:pStyle w:val="BodyText"/>
        <w:numPr>
          <w:ilvl w:val="0"/>
          <w:numId w:val="24"/>
        </w:numPr>
        <w:spacing w:before="80"/>
        <w:ind w:left="714" w:hanging="357"/>
      </w:pPr>
      <w:r>
        <w:t xml:space="preserve">Flow-through </w:t>
      </w:r>
      <w:r w:rsidR="005A2314">
        <w:t xml:space="preserve">– </w:t>
      </w:r>
      <w:r w:rsidR="002231C7">
        <w:t xml:space="preserve">dominantly </w:t>
      </w:r>
      <w:r>
        <w:t xml:space="preserve">to groundwater </w:t>
      </w:r>
      <w:r w:rsidR="001E3565">
        <w:t>or</w:t>
      </w:r>
      <w:r>
        <w:t xml:space="preserve"> surface waters (</w:t>
      </w:r>
      <w:r w:rsidR="005D2E00">
        <w:t xml:space="preserve">Section </w:t>
      </w:r>
      <w:r w:rsidR="005D2E00">
        <w:fldChar w:fldCharType="begin"/>
      </w:r>
      <w:r w:rsidR="005D2E00">
        <w:instrText xml:space="preserve"> REF _Ref55987931 \n \h </w:instrText>
      </w:r>
      <w:r w:rsidR="005D2E00">
        <w:fldChar w:fldCharType="separate"/>
      </w:r>
      <w:r w:rsidR="00937ADD">
        <w:t>3.2.3</w:t>
      </w:r>
      <w:r w:rsidR="005D2E00">
        <w:fldChar w:fldCharType="end"/>
      </w:r>
      <w:r>
        <w:t>).</w:t>
      </w:r>
    </w:p>
    <w:p w14:paraId="22EF1904" w14:textId="04069FBE" w:rsidR="00722B06" w:rsidRDefault="00EA7E42" w:rsidP="008C363B">
      <w:pPr>
        <w:pStyle w:val="BodyText"/>
      </w:pPr>
      <w:r>
        <w:t>The conceptual end member hydraulic regimes will have distinct</w:t>
      </w:r>
      <w:r w:rsidR="007B57BE">
        <w:t xml:space="preserve"> and direct</w:t>
      </w:r>
      <w:r>
        <w:t xml:space="preserve"> influence on the water quality aspects of final voids </w:t>
      </w:r>
      <w:r w:rsidR="007B57BE">
        <w:t>dependent on the host rock, geochemistry of the coal seams and climate</w:t>
      </w:r>
      <w:r w:rsidR="002706A0">
        <w:t>.</w:t>
      </w:r>
      <w:r w:rsidR="00DB6B73">
        <w:t xml:space="preserve"> Temporal changes in weather patterns and climate mean that pure end members rarely exist</w:t>
      </w:r>
      <w:r w:rsidR="00BC25D0">
        <w:t>,</w:t>
      </w:r>
      <w:r w:rsidR="00DB6B73">
        <w:t xml:space="preserve"> and regimes may alternate between sink and source and will be contingent on the geology of each site requiring a site</w:t>
      </w:r>
      <w:r w:rsidR="007B57BE">
        <w:t>-</w:t>
      </w:r>
      <w:r w:rsidR="00DB6B73">
        <w:t>by</w:t>
      </w:r>
      <w:r w:rsidR="007B57BE">
        <w:t>-</w:t>
      </w:r>
      <w:r w:rsidR="00DB6B73">
        <w:t xml:space="preserve">site appraisal.  </w:t>
      </w:r>
    </w:p>
    <w:p w14:paraId="737D9830" w14:textId="77777777" w:rsidR="002231C7" w:rsidRDefault="00722B06" w:rsidP="008C363B">
      <w:pPr>
        <w:pStyle w:val="BodyText"/>
        <w:keepNext/>
        <w:spacing w:before="80" w:after="80"/>
      </w:pPr>
      <w:r>
        <w:rPr>
          <w:noProof/>
        </w:rPr>
        <w:drawing>
          <wp:inline distT="0" distB="0" distL="0" distR="0" wp14:anchorId="1862A32D" wp14:editId="7EC164EF">
            <wp:extent cx="5648325" cy="307592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78" t="2345" r="1234" b="15255"/>
                    <a:stretch/>
                  </pic:blipFill>
                  <pic:spPr bwMode="auto">
                    <a:xfrm>
                      <a:off x="0" y="0"/>
                      <a:ext cx="5660304" cy="3082452"/>
                    </a:xfrm>
                    <a:prstGeom prst="rect">
                      <a:avLst/>
                    </a:prstGeom>
                    <a:ln>
                      <a:noFill/>
                    </a:ln>
                    <a:extLst>
                      <a:ext uri="{53640926-AAD7-44D8-BBD7-CCE9431645EC}">
                        <a14:shadowObscured xmlns:a14="http://schemas.microsoft.com/office/drawing/2010/main"/>
                      </a:ext>
                    </a:extLst>
                  </pic:spPr>
                </pic:pic>
              </a:graphicData>
            </a:graphic>
          </wp:inline>
        </w:drawing>
      </w:r>
    </w:p>
    <w:p w14:paraId="700B01F2" w14:textId="07DE4565" w:rsidR="00722B06" w:rsidRDefault="002231C7" w:rsidP="002231C7">
      <w:pPr>
        <w:pStyle w:val="Caption"/>
      </w:pPr>
      <w:bookmarkStart w:id="41" w:name="_Ref62208237"/>
      <w:bookmarkStart w:id="42" w:name="_Toc65140597"/>
      <w:r>
        <w:t xml:space="preserve">Figure </w:t>
      </w:r>
      <w:fldSimple w:instr=" STYLEREF 1 \s ">
        <w:r w:rsidR="00937ADD">
          <w:rPr>
            <w:noProof/>
          </w:rPr>
          <w:t>3</w:t>
        </w:r>
      </w:fldSimple>
      <w:r w:rsidR="002706A0">
        <w:noBreakHyphen/>
      </w:r>
      <w:fldSimple w:instr=" SEQ Figure \* ARABIC \s 1 ">
        <w:r w:rsidR="00937ADD">
          <w:rPr>
            <w:noProof/>
          </w:rPr>
          <w:t>1</w:t>
        </w:r>
      </w:fldSimple>
      <w:bookmarkEnd w:id="41"/>
      <w:r>
        <w:t xml:space="preserve"> Simplified conceptual hydraulics of residual mine voids (</w:t>
      </w:r>
      <w:r>
        <w:rPr>
          <w:i/>
        </w:rPr>
        <w:t xml:space="preserve">after </w:t>
      </w:r>
      <w:r>
        <w:t>Commander, et al., 1994)</w:t>
      </w:r>
      <w:bookmarkEnd w:id="42"/>
    </w:p>
    <w:p w14:paraId="6E36FF45" w14:textId="23A9854E" w:rsidR="00E908E7" w:rsidRDefault="00E908E7" w:rsidP="00E908E7">
      <w:pPr>
        <w:pStyle w:val="Heading3"/>
      </w:pPr>
      <w:bookmarkStart w:id="43" w:name="_Ref55982230"/>
      <w:bookmarkStart w:id="44" w:name="_Toc87278321"/>
      <w:r>
        <w:t>Terminal</w:t>
      </w:r>
      <w:r w:rsidR="00BA497A">
        <w:t xml:space="preserve"> sink</w:t>
      </w:r>
      <w:bookmarkEnd w:id="43"/>
      <w:r w:rsidR="00FD0D72">
        <w:t xml:space="preserve"> void</w:t>
      </w:r>
      <w:bookmarkEnd w:id="44"/>
    </w:p>
    <w:p w14:paraId="028A5D88" w14:textId="66729805" w:rsidR="00180494" w:rsidRDefault="00180494" w:rsidP="00180494">
      <w:pPr>
        <w:pStyle w:val="BodyText"/>
      </w:pPr>
      <w:r w:rsidRPr="000A282C">
        <w:rPr>
          <w:i/>
          <w:iCs/>
        </w:rPr>
        <w:t>Terminal sink</w:t>
      </w:r>
      <w:r w:rsidR="000A282C" w:rsidRPr="000A282C">
        <w:rPr>
          <w:i/>
          <w:iCs/>
        </w:rPr>
        <w:t xml:space="preserve"> flow regimes</w:t>
      </w:r>
      <w:r w:rsidRPr="00180494">
        <w:t xml:space="preserve"> </w:t>
      </w:r>
      <w:r w:rsidR="00D565FD">
        <w:t>(</w:t>
      </w:r>
      <w:r w:rsidR="00D565FD">
        <w:fldChar w:fldCharType="begin"/>
      </w:r>
      <w:r w:rsidR="00D565FD">
        <w:instrText xml:space="preserve"> REF _Ref55994737 \h </w:instrText>
      </w:r>
      <w:r w:rsidR="00D565FD">
        <w:fldChar w:fldCharType="separate"/>
      </w:r>
      <w:r w:rsidR="00937ADD">
        <w:t xml:space="preserve">Figure </w:t>
      </w:r>
      <w:r w:rsidR="00937ADD">
        <w:rPr>
          <w:noProof/>
        </w:rPr>
        <w:t>3</w:t>
      </w:r>
      <w:r w:rsidR="00937ADD">
        <w:noBreakHyphen/>
      </w:r>
      <w:r w:rsidR="00937ADD">
        <w:rPr>
          <w:noProof/>
        </w:rPr>
        <w:t>2</w:t>
      </w:r>
      <w:r w:rsidR="00D565FD">
        <w:fldChar w:fldCharType="end"/>
      </w:r>
      <w:r w:rsidR="00D565FD">
        <w:t xml:space="preserve">) </w:t>
      </w:r>
      <w:r>
        <w:t xml:space="preserve">typically </w:t>
      </w:r>
      <w:r w:rsidRPr="00180494">
        <w:t xml:space="preserve">occur in arid climates where evaporation potential is higher than average </w:t>
      </w:r>
      <w:r w:rsidRPr="001E3565">
        <w:t>rainfall runoff (Niccoli, 2009</w:t>
      </w:r>
      <w:r w:rsidR="001E3565" w:rsidRPr="001E3565">
        <w:t>, as cited</w:t>
      </w:r>
      <w:r w:rsidR="001E3565">
        <w:t xml:space="preserve"> in </w:t>
      </w:r>
      <w:r w:rsidR="001E3565" w:rsidRPr="002D239A">
        <w:t>McCullough</w:t>
      </w:r>
      <w:r w:rsidR="001E3565">
        <w:t xml:space="preserve"> &amp; </w:t>
      </w:r>
      <w:r w:rsidR="001E3565" w:rsidRPr="002D239A">
        <w:t>Schult</w:t>
      </w:r>
      <w:r w:rsidR="00325E4E">
        <w:t>z</w:t>
      </w:r>
      <w:r w:rsidR="001E3565" w:rsidRPr="002D239A">
        <w:t>e</w:t>
      </w:r>
      <w:r w:rsidR="001E3565">
        <w:t xml:space="preserve">, </w:t>
      </w:r>
      <w:r w:rsidR="001E3565" w:rsidRPr="002D239A">
        <w:t>2015</w:t>
      </w:r>
      <w:r w:rsidR="001E3565">
        <w:t>)</w:t>
      </w:r>
      <w:r w:rsidRPr="00180494">
        <w:t>. During groundwater level rebound at mining</w:t>
      </w:r>
      <w:r w:rsidR="000A282C">
        <w:t xml:space="preserve"> cessation</w:t>
      </w:r>
      <w:r w:rsidRPr="00180494">
        <w:t xml:space="preserve">, the </w:t>
      </w:r>
      <w:r w:rsidR="000A282C">
        <w:t>‘</w:t>
      </w:r>
      <w:r w:rsidRPr="00180494">
        <w:t>pit lake</w:t>
      </w:r>
      <w:r w:rsidR="000A282C">
        <w:t>’</w:t>
      </w:r>
      <w:r w:rsidRPr="00180494">
        <w:t xml:space="preserve"> water level rises to a level where inflows (</w:t>
      </w:r>
      <w:r w:rsidR="000A282C">
        <w:t xml:space="preserve">i.e. </w:t>
      </w:r>
      <w:r w:rsidRPr="00180494">
        <w:t>direct rainfall, catchment and pit wall runoff, and groundwater inflow) are in equilibrium with evaporation losses.</w:t>
      </w:r>
      <w:r w:rsidR="00BA497A">
        <w:t xml:space="preserve"> </w:t>
      </w:r>
      <w:bookmarkStart w:id="45" w:name="_Hlk57470106"/>
      <w:r w:rsidR="00BA497A">
        <w:t xml:space="preserve">In a </w:t>
      </w:r>
      <w:r w:rsidR="00BA497A" w:rsidRPr="000A282C">
        <w:rPr>
          <w:i/>
          <w:iCs/>
        </w:rPr>
        <w:t>terminal sink flow regime</w:t>
      </w:r>
      <w:r w:rsidR="00BA497A">
        <w:t>,</w:t>
      </w:r>
      <w:r w:rsidRPr="00180494">
        <w:t xml:space="preserve"> </w:t>
      </w:r>
      <w:r w:rsidR="00BA497A">
        <w:t xml:space="preserve">the </w:t>
      </w:r>
      <w:r w:rsidR="000A282C">
        <w:t>‘</w:t>
      </w:r>
      <w:r w:rsidRPr="00180494">
        <w:t>pit lake</w:t>
      </w:r>
      <w:r w:rsidR="000A282C">
        <w:t>’</w:t>
      </w:r>
      <w:r w:rsidRPr="00180494">
        <w:t xml:space="preserve"> water level rise</w:t>
      </w:r>
      <w:r w:rsidR="008A49E7">
        <w:t>s</w:t>
      </w:r>
      <w:r w:rsidRPr="00180494">
        <w:t xml:space="preserve"> to levels </w:t>
      </w:r>
      <w:r w:rsidR="008A49E7">
        <w:t>lower</w:t>
      </w:r>
      <w:r w:rsidRPr="00180494">
        <w:t xml:space="preserve"> than adjacent groundwater levels</w:t>
      </w:r>
      <w:r w:rsidR="008A49E7">
        <w:t>,</w:t>
      </w:r>
      <w:r w:rsidRPr="00180494">
        <w:t xml:space="preserve"> and </w:t>
      </w:r>
      <w:r w:rsidR="008A49E7">
        <w:t xml:space="preserve">due to the </w:t>
      </w:r>
      <w:r w:rsidR="005A2314">
        <w:t xml:space="preserve">generated </w:t>
      </w:r>
      <w:r w:rsidR="008A49E7">
        <w:t>lateral hydraulic gradient</w:t>
      </w:r>
      <w:r w:rsidR="005A2314">
        <w:t xml:space="preserve"> towards the pit</w:t>
      </w:r>
      <w:r w:rsidR="008A49E7">
        <w:t xml:space="preserve">, </w:t>
      </w:r>
      <w:r w:rsidR="000A282C">
        <w:t xml:space="preserve">the ‘pit lake’ </w:t>
      </w:r>
      <w:bookmarkStart w:id="46" w:name="_Hlk57449407"/>
      <w:r w:rsidRPr="00180494">
        <w:t xml:space="preserve">water does not seep into the </w:t>
      </w:r>
      <w:r w:rsidR="000A282C">
        <w:t xml:space="preserve">surrounding </w:t>
      </w:r>
      <w:r w:rsidRPr="00180494">
        <w:t>groundwater system</w:t>
      </w:r>
      <w:bookmarkEnd w:id="45"/>
      <w:r w:rsidRPr="00180494">
        <w:t xml:space="preserve">. </w:t>
      </w:r>
    </w:p>
    <w:bookmarkEnd w:id="46"/>
    <w:p w14:paraId="4F0DDF47" w14:textId="748E763E" w:rsidR="00BA497A" w:rsidRDefault="00BA497A" w:rsidP="00180494">
      <w:pPr>
        <w:pStyle w:val="BodyText"/>
      </w:pPr>
      <w:r>
        <w:t xml:space="preserve">The evolution to a </w:t>
      </w:r>
      <w:r w:rsidRPr="000A282C">
        <w:rPr>
          <w:i/>
          <w:iCs/>
        </w:rPr>
        <w:t xml:space="preserve">terminal sink flow </w:t>
      </w:r>
      <w:r w:rsidR="000A282C">
        <w:rPr>
          <w:i/>
          <w:iCs/>
        </w:rPr>
        <w:t>regime</w:t>
      </w:r>
      <w:r w:rsidR="000A282C" w:rsidRPr="000A282C">
        <w:t>,</w:t>
      </w:r>
      <w:r>
        <w:t xml:space="preserve"> </w:t>
      </w:r>
      <w:r w:rsidR="00DE5D2B">
        <w:t xml:space="preserve">which may take decades or centuries to achieve, </w:t>
      </w:r>
      <w:r>
        <w:t>can be described as follows</w:t>
      </w:r>
      <w:r w:rsidR="00DE5D2B">
        <w:t xml:space="preserve"> (</w:t>
      </w:r>
      <w:r w:rsidR="001E3565" w:rsidRPr="001E3565">
        <w:t>McCullough</w:t>
      </w:r>
      <w:r w:rsidR="001E3565">
        <w:t xml:space="preserve"> et al., </w:t>
      </w:r>
      <w:r w:rsidR="001E3565" w:rsidRPr="001E3565">
        <w:t>2013</w:t>
      </w:r>
      <w:r w:rsidR="00DE5D2B">
        <w:t>)</w:t>
      </w:r>
      <w:r w:rsidR="004C52BE">
        <w:t>.</w:t>
      </w:r>
    </w:p>
    <w:p w14:paraId="411D438B" w14:textId="3A66A740" w:rsidR="00BA497A" w:rsidRDefault="00180494" w:rsidP="00AA4C36">
      <w:pPr>
        <w:pStyle w:val="BodyText"/>
        <w:numPr>
          <w:ilvl w:val="0"/>
          <w:numId w:val="22"/>
        </w:numPr>
        <w:spacing w:before="80" w:after="80"/>
        <w:ind w:left="714" w:hanging="357"/>
      </w:pPr>
      <w:r>
        <w:t xml:space="preserve">Once mining </w:t>
      </w:r>
      <w:r w:rsidR="00BA497A">
        <w:t xml:space="preserve">and dewatering </w:t>
      </w:r>
      <w:r>
        <w:t xml:space="preserve">ceases, water will begin to accumulate in the </w:t>
      </w:r>
      <w:r w:rsidR="008A49E7">
        <w:t xml:space="preserve">residual </w:t>
      </w:r>
      <w:r>
        <w:t xml:space="preserve">void from precipitation, seepage through backfill and groundwater inflows </w:t>
      </w:r>
      <w:r w:rsidR="008A49E7">
        <w:t>(</w:t>
      </w:r>
      <w:r w:rsidR="007162D1">
        <w:t>assuming</w:t>
      </w:r>
      <w:r w:rsidR="00BA497A">
        <w:t xml:space="preserve"> </w:t>
      </w:r>
      <w:r w:rsidR="004036CD">
        <w:t>voids</w:t>
      </w:r>
      <w:r>
        <w:t xml:space="preserve"> are deeper than pre-mining groundwater levels</w:t>
      </w:r>
      <w:r w:rsidR="008A49E7">
        <w:t>)</w:t>
      </w:r>
      <w:r>
        <w:t>.</w:t>
      </w:r>
    </w:p>
    <w:p w14:paraId="512FF67F" w14:textId="1CA80867" w:rsidR="00BA497A" w:rsidRDefault="00180494" w:rsidP="00AA4C36">
      <w:pPr>
        <w:pStyle w:val="BodyText"/>
        <w:numPr>
          <w:ilvl w:val="0"/>
          <w:numId w:val="22"/>
        </w:numPr>
        <w:spacing w:before="80" w:after="80"/>
        <w:ind w:left="714" w:hanging="357"/>
      </w:pPr>
      <w:r>
        <w:t xml:space="preserve">As the </w:t>
      </w:r>
      <w:r w:rsidR="008A49E7">
        <w:t xml:space="preserve">residual </w:t>
      </w:r>
      <w:r>
        <w:t xml:space="preserve">void typically has sloping sides, its </w:t>
      </w:r>
      <w:r w:rsidR="004036CD">
        <w:t xml:space="preserve">‘pit </w:t>
      </w:r>
      <w:r>
        <w:t>lake</w:t>
      </w:r>
      <w:r w:rsidR="004036CD">
        <w:t>’</w:t>
      </w:r>
      <w:r>
        <w:t xml:space="preserve"> will initially have a relatively small surface area</w:t>
      </w:r>
      <w:r w:rsidR="008A49E7">
        <w:t xml:space="preserve">, and accordingly, </w:t>
      </w:r>
      <w:r w:rsidR="00BA497A">
        <w:t>groundwater inf</w:t>
      </w:r>
      <w:r>
        <w:t>lows will exceed evaporative losses.</w:t>
      </w:r>
    </w:p>
    <w:p w14:paraId="557333AA" w14:textId="7438F0AE" w:rsidR="00BA497A" w:rsidRDefault="00180494" w:rsidP="00AA4C36">
      <w:pPr>
        <w:pStyle w:val="BodyText"/>
        <w:numPr>
          <w:ilvl w:val="0"/>
          <w:numId w:val="22"/>
        </w:numPr>
        <w:spacing w:before="80" w:after="80"/>
        <w:ind w:left="714" w:hanging="357"/>
      </w:pPr>
      <w:r>
        <w:lastRenderedPageBreak/>
        <w:t xml:space="preserve">As the </w:t>
      </w:r>
      <w:r w:rsidR="008A49E7">
        <w:t xml:space="preserve">residual </w:t>
      </w:r>
      <w:r>
        <w:t>void fills</w:t>
      </w:r>
      <w:r w:rsidR="00BA497A">
        <w:t xml:space="preserve">, </w:t>
      </w:r>
      <w:r>
        <w:t xml:space="preserve">its </w:t>
      </w:r>
      <w:r w:rsidR="004036CD">
        <w:t>‘</w:t>
      </w:r>
      <w:r w:rsidR="00BA497A">
        <w:t>pit lake</w:t>
      </w:r>
      <w:r w:rsidR="004036CD">
        <w:t>’</w:t>
      </w:r>
      <w:r w:rsidR="00BA497A">
        <w:t xml:space="preserve"> </w:t>
      </w:r>
      <w:r>
        <w:t>surface area will</w:t>
      </w:r>
      <w:r w:rsidR="00BA497A">
        <w:t xml:space="preserve"> expand</w:t>
      </w:r>
      <w:r>
        <w:t>, resulting in greater evaporation</w:t>
      </w:r>
      <w:r w:rsidR="00BA497A">
        <w:t xml:space="preserve">, slowing the rise of the </w:t>
      </w:r>
      <w:r w:rsidR="008A49E7">
        <w:t xml:space="preserve">‘pit lake’ </w:t>
      </w:r>
      <w:r w:rsidR="00BA497A">
        <w:t>water level.</w:t>
      </w:r>
      <w:r>
        <w:t xml:space="preserve"> Groundwater inflows will </w:t>
      </w:r>
      <w:r w:rsidR="007162D1">
        <w:t xml:space="preserve">also </w:t>
      </w:r>
      <w:r>
        <w:t xml:space="preserve">decrease non-linearly as the </w:t>
      </w:r>
      <w:r w:rsidR="008A49E7">
        <w:t xml:space="preserve">‘pit lake’ </w:t>
      </w:r>
      <w:r>
        <w:t>water level r</w:t>
      </w:r>
      <w:r w:rsidR="008A49E7">
        <w:t>ises towards</w:t>
      </w:r>
      <w:r>
        <w:t xml:space="preserve"> pre-mining levels</w:t>
      </w:r>
      <w:r w:rsidR="00DE5D2B">
        <w:t xml:space="preserve"> and lateral hydraulic gradients decline</w:t>
      </w:r>
      <w:r>
        <w:t xml:space="preserve">. Percolation through backfill </w:t>
      </w:r>
      <w:r w:rsidR="00DE5D2B">
        <w:t>material may</w:t>
      </w:r>
      <w:r>
        <w:t xml:space="preserve"> continue.</w:t>
      </w:r>
    </w:p>
    <w:p w14:paraId="2A3A1A0F" w14:textId="4D295EA6" w:rsidR="00180494" w:rsidRDefault="00180494" w:rsidP="00AA4C36">
      <w:pPr>
        <w:pStyle w:val="BodyText"/>
        <w:numPr>
          <w:ilvl w:val="0"/>
          <w:numId w:val="22"/>
        </w:numPr>
        <w:spacing w:before="80" w:after="80"/>
        <w:ind w:left="714" w:hanging="357"/>
      </w:pPr>
      <w:r>
        <w:t xml:space="preserve">Eventually the </w:t>
      </w:r>
      <w:r w:rsidR="004036CD">
        <w:t xml:space="preserve">‘pit lake’ </w:t>
      </w:r>
      <w:r>
        <w:t>surface area will increase to a point where an equilibrium is achieved: evaporative losses balance all inflows. Typically, this will occur below the pre-mining groundwater level</w:t>
      </w:r>
      <w:r w:rsidR="007162D1">
        <w:t xml:space="preserve"> due to volumetric considerations (i.e. movement from a porous material to an open body of water), </w:t>
      </w:r>
      <w:r>
        <w:t>so groundwater will continue to flow towards the void, resulting in a permanent local groundwater sink.</w:t>
      </w:r>
      <w:r w:rsidR="00DE5D2B">
        <w:t xml:space="preserve"> The water level in the </w:t>
      </w:r>
      <w:r w:rsidR="004036CD">
        <w:t>‘</w:t>
      </w:r>
      <w:r w:rsidR="00DE5D2B">
        <w:t>pit lake</w:t>
      </w:r>
      <w:r w:rsidR="004036CD">
        <w:t>’</w:t>
      </w:r>
      <w:r w:rsidR="00DE5D2B">
        <w:t>, while equilibrated</w:t>
      </w:r>
      <w:r w:rsidR="007162D1">
        <w:t>,</w:t>
      </w:r>
      <w:r w:rsidR="00DE5D2B">
        <w:t xml:space="preserve"> will respond</w:t>
      </w:r>
      <w:r w:rsidR="00DE5D2B" w:rsidRPr="00DE5D2B">
        <w:t xml:space="preserve"> dynamically to changes in seasonal precipitation and evaporation rates</w:t>
      </w:r>
      <w:r w:rsidR="00DE5D2B">
        <w:t>.</w:t>
      </w:r>
    </w:p>
    <w:p w14:paraId="3915FB1A" w14:textId="79FB63DB" w:rsidR="006641D4" w:rsidRDefault="00DE5D2B" w:rsidP="00491E2D">
      <w:pPr>
        <w:pStyle w:val="BodyText"/>
      </w:pPr>
      <w:r w:rsidRPr="00DE5D2B">
        <w:t xml:space="preserve">The water quality of terminal sink </w:t>
      </w:r>
      <w:r w:rsidR="004036CD">
        <w:t xml:space="preserve">‘pit </w:t>
      </w:r>
      <w:r w:rsidRPr="00DE5D2B">
        <w:t>lakes</w:t>
      </w:r>
      <w:r w:rsidR="004036CD">
        <w:t>’</w:t>
      </w:r>
      <w:r w:rsidRPr="00DE5D2B">
        <w:t xml:space="preserve"> is expected </w:t>
      </w:r>
      <w:bookmarkStart w:id="47" w:name="_Hlk57469981"/>
      <w:r w:rsidRPr="00DE5D2B">
        <w:t xml:space="preserve">to </w:t>
      </w:r>
      <w:r w:rsidR="004036CD">
        <w:t>exhibit</w:t>
      </w:r>
      <w:r w:rsidRPr="00DE5D2B">
        <w:t xml:space="preserve"> increased acidity</w:t>
      </w:r>
      <w:r w:rsidR="007162D1">
        <w:t xml:space="preserve"> and</w:t>
      </w:r>
      <w:r w:rsidRPr="00DE5D2B">
        <w:t xml:space="preserve"> metals and salt concentrations over time as solutes introduced through groundwater inflow and pit wall runoff </w:t>
      </w:r>
      <w:r w:rsidR="00940120">
        <w:t>are</w:t>
      </w:r>
      <w:r w:rsidRPr="00DE5D2B">
        <w:t xml:space="preserve"> concentrated by evaporation.</w:t>
      </w:r>
      <w:r w:rsidR="00583D26">
        <w:t xml:space="preserve"> </w:t>
      </w:r>
    </w:p>
    <w:p w14:paraId="0277DDDF" w14:textId="63AE27E7" w:rsidR="00DE5D2B" w:rsidRDefault="0083335F" w:rsidP="00491E2D">
      <w:pPr>
        <w:pStyle w:val="BodyText"/>
      </w:pPr>
      <w:bookmarkStart w:id="48" w:name="_Hlk57470620"/>
      <w:bookmarkEnd w:id="47"/>
      <w:r>
        <w:t>A</w:t>
      </w:r>
      <w:r w:rsidR="00583D26">
        <w:t xml:space="preserve"> long-term risk of increasing </w:t>
      </w:r>
      <w:r>
        <w:t xml:space="preserve">‘pit lake’ </w:t>
      </w:r>
      <w:r w:rsidR="00583D26">
        <w:t xml:space="preserve">salinity </w:t>
      </w:r>
      <w:r>
        <w:t xml:space="preserve">is </w:t>
      </w:r>
      <w:r w:rsidR="00583D26">
        <w:t>the potential for density-driven flow to reverse hydraulic gradients</w:t>
      </w:r>
      <w:r>
        <w:t xml:space="preserve">, </w:t>
      </w:r>
      <w:r w:rsidR="00583D26">
        <w:t>promot</w:t>
      </w:r>
      <w:r>
        <w:t xml:space="preserve">ing </w:t>
      </w:r>
      <w:r w:rsidR="00583D26">
        <w:t>seepage into t</w:t>
      </w:r>
      <w:r w:rsidR="00583D26" w:rsidRPr="00583D26">
        <w:t>he surrounding groundwater syste</w:t>
      </w:r>
      <w:r w:rsidR="00583D26">
        <w:t>m</w:t>
      </w:r>
      <w:r>
        <w:t xml:space="preserve">. </w:t>
      </w:r>
      <w:r w:rsidR="00583D26">
        <w:t>Fault structures (and associated fracture systems) that intersect or occur in proximity t</w:t>
      </w:r>
      <w:r w:rsidR="006641D4">
        <w:t>o</w:t>
      </w:r>
      <w:r w:rsidR="00583D26">
        <w:t xml:space="preserve"> residual void</w:t>
      </w:r>
      <w:r w:rsidR="006641D4">
        <w:t xml:space="preserve">s may </w:t>
      </w:r>
      <w:r>
        <w:t xml:space="preserve">also </w:t>
      </w:r>
      <w:r w:rsidR="006641D4">
        <w:t>have the potential to affect long-term equilibrium conditions and associated risks</w:t>
      </w:r>
      <w:r>
        <w:t xml:space="preserve">. These risks will require evaluation on a </w:t>
      </w:r>
      <w:r w:rsidR="002C6982">
        <w:t xml:space="preserve">site-by-site </w:t>
      </w:r>
      <w:r>
        <w:t xml:space="preserve">basis. </w:t>
      </w:r>
    </w:p>
    <w:p w14:paraId="1761C745" w14:textId="6D61F8D6" w:rsidR="00E908E7" w:rsidRDefault="00DE5D2B" w:rsidP="00491E2D">
      <w:pPr>
        <w:pStyle w:val="BodyText"/>
      </w:pPr>
      <w:r>
        <w:t>L</w:t>
      </w:r>
      <w:r w:rsidR="00043D4D">
        <w:t xml:space="preserve">ocal aquifers will be permanently depressurised </w:t>
      </w:r>
      <w:r w:rsidR="008A49E7">
        <w:t xml:space="preserve">surrounding </w:t>
      </w:r>
      <w:r w:rsidR="00043D4D">
        <w:t>the</w:t>
      </w:r>
      <w:r w:rsidR="004036CD">
        <w:t xml:space="preserve"> terminal sink feature</w:t>
      </w:r>
      <w:r w:rsidR="008A49E7">
        <w:t xml:space="preserve">. The extent and magnitude of the groundwater level drawdown will </w:t>
      </w:r>
      <w:r w:rsidR="00043D4D">
        <w:t xml:space="preserve">depend upon local hydrological conditions and the degree to which the </w:t>
      </w:r>
      <w:r w:rsidR="004036CD">
        <w:t xml:space="preserve">equilibrated ‘pit lake’ </w:t>
      </w:r>
      <w:r w:rsidR="00043D4D">
        <w:t>water level approaches pre-mining groundwater levels.</w:t>
      </w:r>
      <w:r>
        <w:t xml:space="preserve"> </w:t>
      </w:r>
      <w:r w:rsidR="00043D4D">
        <w:t xml:space="preserve">In the case of </w:t>
      </w:r>
      <w:r w:rsidR="004036CD">
        <w:t>terminal sink features that</w:t>
      </w:r>
      <w:r w:rsidR="00043D4D">
        <w:t xml:space="preserve"> intersect with productive alluvial aquifers, the long-term impacts of groundwater drawdown caused by terminal sink voids </w:t>
      </w:r>
      <w:r w:rsidR="004036CD">
        <w:t>may</w:t>
      </w:r>
      <w:r w:rsidR="00043D4D">
        <w:t xml:space="preserve"> be considerable. </w:t>
      </w:r>
      <w:r w:rsidR="004036CD">
        <w:t>Conversely, w</w:t>
      </w:r>
      <w:r w:rsidR="00043D4D">
        <w:t xml:space="preserve">here </w:t>
      </w:r>
      <w:r w:rsidR="004036CD">
        <w:t xml:space="preserve">such features </w:t>
      </w:r>
      <w:r w:rsidR="00043D4D">
        <w:t xml:space="preserve">are distant from productive alluvial aquifers, and local rock is considered relatively impermeable, </w:t>
      </w:r>
      <w:r w:rsidR="004036CD">
        <w:t xml:space="preserve">groundwater level </w:t>
      </w:r>
      <w:r w:rsidR="00043D4D">
        <w:t xml:space="preserve">impacts </w:t>
      </w:r>
      <w:r w:rsidR="004036CD">
        <w:t>may</w:t>
      </w:r>
      <w:r w:rsidR="00043D4D">
        <w:t xml:space="preserve"> be localised and minimal</w:t>
      </w:r>
      <w:r w:rsidR="000A282C">
        <w:t>.</w:t>
      </w:r>
    </w:p>
    <w:p w14:paraId="3D322CFE" w14:textId="2D808423" w:rsidR="001E3565" w:rsidRDefault="001E3565" w:rsidP="001E3565">
      <w:pPr>
        <w:pStyle w:val="BodyText"/>
      </w:pPr>
      <w:bookmarkStart w:id="49" w:name="_Hlk57459131"/>
      <w:bookmarkEnd w:id="48"/>
      <w:r w:rsidRPr="005D2E00">
        <w:t xml:space="preserve">The generally arid or semi-arid climate of </w:t>
      </w:r>
      <w:r w:rsidR="00E536B4">
        <w:t xml:space="preserve">much of </w:t>
      </w:r>
      <w:r w:rsidR="00FD0D72">
        <w:t xml:space="preserve">inland </w:t>
      </w:r>
      <w:r w:rsidRPr="005D2E00">
        <w:t xml:space="preserve">Australia is such that most large open </w:t>
      </w:r>
      <w:r w:rsidR="008A49E7">
        <w:t xml:space="preserve">residual </w:t>
      </w:r>
      <w:r w:rsidRPr="005D2E00">
        <w:t xml:space="preserve">voids </w:t>
      </w:r>
      <w:r w:rsidR="00FD0D72">
        <w:t xml:space="preserve">in Queensland </w:t>
      </w:r>
      <w:r w:rsidRPr="005D2E00">
        <w:t xml:space="preserve">ultimately become terminal sinks due to high evaporation rates. Design features including land contouring and the construction of swales and drainage ditches to divert runoff water, minimise surface water infiltration into the void, further contributing to </w:t>
      </w:r>
      <w:r w:rsidR="005C2EAA">
        <w:t xml:space="preserve">the formation of </w:t>
      </w:r>
      <w:r w:rsidR="004036CD">
        <w:t xml:space="preserve">equilibrated </w:t>
      </w:r>
      <w:r w:rsidRPr="005C2EAA">
        <w:rPr>
          <w:i/>
          <w:iCs/>
        </w:rPr>
        <w:t xml:space="preserve">terminal </w:t>
      </w:r>
      <w:r w:rsidR="005C2EAA" w:rsidRPr="005C2EAA">
        <w:rPr>
          <w:i/>
          <w:iCs/>
        </w:rPr>
        <w:t xml:space="preserve">sink </w:t>
      </w:r>
      <w:r w:rsidRPr="005C2EAA">
        <w:rPr>
          <w:i/>
          <w:iCs/>
        </w:rPr>
        <w:t>flow regimes</w:t>
      </w:r>
      <w:r w:rsidR="004036CD">
        <w:t>.</w:t>
      </w:r>
    </w:p>
    <w:p w14:paraId="041FBAEA" w14:textId="60DE1599" w:rsidR="001E3565" w:rsidRDefault="00855207" w:rsidP="0033743E">
      <w:pPr>
        <w:pStyle w:val="Caption"/>
      </w:pPr>
      <w:bookmarkStart w:id="50" w:name="_Ref55994737"/>
      <w:bookmarkStart w:id="51" w:name="_Hlk57280668"/>
      <w:bookmarkStart w:id="52" w:name="_Toc65140598"/>
      <w:bookmarkEnd w:id="49"/>
      <w:r>
        <w:t xml:space="preserve">Figure </w:t>
      </w:r>
      <w:fldSimple w:instr=" STYLEREF 1 \s ">
        <w:r w:rsidR="00937ADD">
          <w:rPr>
            <w:noProof/>
          </w:rPr>
          <w:t>3</w:t>
        </w:r>
      </w:fldSimple>
      <w:r w:rsidR="002706A0">
        <w:noBreakHyphen/>
      </w:r>
      <w:fldSimple w:instr=" SEQ Figure \* ARABIC \s 1 ">
        <w:r w:rsidR="00937ADD">
          <w:rPr>
            <w:noProof/>
          </w:rPr>
          <w:t>2</w:t>
        </w:r>
      </w:fldSimple>
      <w:bookmarkEnd w:id="50"/>
      <w:r>
        <w:t xml:space="preserve"> Conceptual</w:t>
      </w:r>
      <w:r w:rsidR="00D565FD">
        <w:t>ised equilibrium condition</w:t>
      </w:r>
      <w:r w:rsidR="00926DBF">
        <w:t xml:space="preserve"> of residual void</w:t>
      </w:r>
      <w:r w:rsidR="00D565FD">
        <w:t xml:space="preserve"> – Terminal sink flow regime</w:t>
      </w:r>
      <w:bookmarkEnd w:id="51"/>
      <w:r w:rsidR="004D7C10">
        <w:t xml:space="preserve"> (adapted from Mackie, 2009)</w:t>
      </w:r>
      <w:bookmarkEnd w:id="52"/>
    </w:p>
    <w:p w14:paraId="4543A25E" w14:textId="2E287E09" w:rsidR="00AD2DEB" w:rsidRPr="00AD2DEB" w:rsidRDefault="00AD2DEB" w:rsidP="00AD2DEB">
      <w:pPr>
        <w:pStyle w:val="BodyText"/>
      </w:pPr>
      <w:r>
        <w:rPr>
          <w:noProof/>
        </w:rPr>
        <w:drawing>
          <wp:inline distT="0" distB="0" distL="0" distR="0" wp14:anchorId="6277FCDB" wp14:editId="0242CBB9">
            <wp:extent cx="5760000" cy="2847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00" cy="2847600"/>
                    </a:xfrm>
                    <a:prstGeom prst="rect">
                      <a:avLst/>
                    </a:prstGeom>
                  </pic:spPr>
                </pic:pic>
              </a:graphicData>
            </a:graphic>
          </wp:inline>
        </w:drawing>
      </w:r>
    </w:p>
    <w:p w14:paraId="64B72B48" w14:textId="6BDA212E" w:rsidR="00E908E7" w:rsidRDefault="00E908E7" w:rsidP="00E908E7">
      <w:pPr>
        <w:pStyle w:val="Heading3"/>
      </w:pPr>
      <w:bookmarkStart w:id="53" w:name="_Ref55987929"/>
      <w:bookmarkStart w:id="54" w:name="_Toc87278322"/>
      <w:r>
        <w:lastRenderedPageBreak/>
        <w:t>Source</w:t>
      </w:r>
      <w:bookmarkEnd w:id="53"/>
      <w:r w:rsidR="00FD0D72">
        <w:t xml:space="preserve"> void</w:t>
      </w:r>
      <w:bookmarkEnd w:id="54"/>
    </w:p>
    <w:p w14:paraId="134D4108" w14:textId="66B30A0B" w:rsidR="007E7A3F" w:rsidRDefault="0059639A" w:rsidP="0059639A">
      <w:pPr>
        <w:pStyle w:val="BodyText"/>
      </w:pPr>
      <w:r>
        <w:t xml:space="preserve">In net </w:t>
      </w:r>
      <w:r w:rsidR="00EB6F41">
        <w:t xml:space="preserve">positive </w:t>
      </w:r>
      <w:r w:rsidR="00FD0D72">
        <w:t xml:space="preserve">water balance </w:t>
      </w:r>
      <w:r>
        <w:t>areas</w:t>
      </w:r>
      <w:r w:rsidR="00FD0D72">
        <w:t xml:space="preserve"> (e.g. where rainfall significantly exceeds evaporative loss</w:t>
      </w:r>
      <w:r>
        <w:t>, or</w:t>
      </w:r>
      <w:r w:rsidR="009D02B6">
        <w:t xml:space="preserve"> in cases</w:t>
      </w:r>
      <w:r>
        <w:t xml:space="preserve"> where surface water </w:t>
      </w:r>
      <w:r w:rsidR="00AC1522">
        <w:t xml:space="preserve">run-off </w:t>
      </w:r>
      <w:r>
        <w:t xml:space="preserve">is diverted into the </w:t>
      </w:r>
      <w:r w:rsidR="00731273">
        <w:t xml:space="preserve">residual </w:t>
      </w:r>
      <w:r>
        <w:t>void once mining has ceased</w:t>
      </w:r>
      <w:r w:rsidR="00FD0D72">
        <w:t>)</w:t>
      </w:r>
      <w:r>
        <w:t xml:space="preserve">, the final void may operate as a </w:t>
      </w:r>
      <w:r w:rsidRPr="00A97F8D">
        <w:rPr>
          <w:i/>
          <w:iCs/>
        </w:rPr>
        <w:t>source flow regime</w:t>
      </w:r>
      <w:r w:rsidR="00D565FD">
        <w:rPr>
          <w:i/>
          <w:iCs/>
        </w:rPr>
        <w:t xml:space="preserve"> </w:t>
      </w:r>
      <w:r w:rsidR="00D565FD" w:rsidRPr="00D565FD">
        <w:t>(</w:t>
      </w:r>
      <w:r w:rsidR="00A86D31">
        <w:fldChar w:fldCharType="begin"/>
      </w:r>
      <w:r w:rsidR="00A86D31">
        <w:instrText xml:space="preserve"> REF _Ref62548514 \h </w:instrText>
      </w:r>
      <w:r w:rsidR="00A86D31">
        <w:fldChar w:fldCharType="separate"/>
      </w:r>
      <w:r w:rsidR="00937ADD">
        <w:t xml:space="preserve">Figure </w:t>
      </w:r>
      <w:r w:rsidR="00937ADD">
        <w:rPr>
          <w:noProof/>
        </w:rPr>
        <w:t>3</w:t>
      </w:r>
      <w:r w:rsidR="00937ADD">
        <w:noBreakHyphen/>
      </w:r>
      <w:r w:rsidR="00937ADD">
        <w:rPr>
          <w:noProof/>
        </w:rPr>
        <w:t>3</w:t>
      </w:r>
      <w:r w:rsidR="00A86D31">
        <w:fldChar w:fldCharType="end"/>
      </w:r>
      <w:r w:rsidR="00D565FD" w:rsidRPr="00D565FD">
        <w:t>)</w:t>
      </w:r>
      <w:r w:rsidRPr="00D565FD">
        <w:t xml:space="preserve">, </w:t>
      </w:r>
      <w:r>
        <w:t xml:space="preserve">perched above the </w:t>
      </w:r>
      <w:r w:rsidR="00A97F8D">
        <w:t xml:space="preserve">surrounding </w:t>
      </w:r>
      <w:r>
        <w:t>watertable.</w:t>
      </w:r>
      <w:r w:rsidRPr="0059639A">
        <w:t xml:space="preserve"> The </w:t>
      </w:r>
      <w:r w:rsidR="00731273">
        <w:t xml:space="preserve">residual </w:t>
      </w:r>
      <w:r w:rsidRPr="0059639A">
        <w:t xml:space="preserve">void </w:t>
      </w:r>
      <w:r>
        <w:t>becomes a</w:t>
      </w:r>
      <w:r w:rsidRPr="0059639A">
        <w:t xml:space="preserve"> recharge </w:t>
      </w:r>
      <w:r>
        <w:t xml:space="preserve">zone </w:t>
      </w:r>
      <w:r w:rsidRPr="0059639A">
        <w:t>for the local aquifer and may overflow during periods of excessive rainfall</w:t>
      </w:r>
      <w:r w:rsidR="00A97F8D">
        <w:t xml:space="preserve">, </w:t>
      </w:r>
      <w:r w:rsidR="007E7A3F">
        <w:t>if the void spill height is exceeded</w:t>
      </w:r>
      <w:r w:rsidRPr="0059639A">
        <w:t>.</w:t>
      </w:r>
      <w:r>
        <w:t xml:space="preserve"> </w:t>
      </w:r>
    </w:p>
    <w:p w14:paraId="167ABCA9" w14:textId="02EDB9BA" w:rsidR="0059639A" w:rsidRDefault="007E7A3F" w:rsidP="0059639A">
      <w:pPr>
        <w:pStyle w:val="BodyText"/>
      </w:pPr>
      <w:r>
        <w:t xml:space="preserve">In the case of a </w:t>
      </w:r>
      <w:r w:rsidRPr="00A97F8D">
        <w:rPr>
          <w:i/>
          <w:iCs/>
        </w:rPr>
        <w:t>source flow regime</w:t>
      </w:r>
      <w:r>
        <w:t xml:space="preserve">, groundwater levels </w:t>
      </w:r>
      <w:r w:rsidR="0059639A">
        <w:t xml:space="preserve">surrounding the </w:t>
      </w:r>
      <w:r w:rsidR="00731273">
        <w:t xml:space="preserve">residual </w:t>
      </w:r>
      <w:r w:rsidR="0059639A">
        <w:t xml:space="preserve">void will be </w:t>
      </w:r>
      <w:r>
        <w:t>elevated</w:t>
      </w:r>
      <w:r w:rsidR="0059639A">
        <w:t xml:space="preserve"> above </w:t>
      </w:r>
      <w:r>
        <w:t xml:space="preserve">pre-mining levels. While the salinity of the </w:t>
      </w:r>
      <w:r w:rsidR="00A97F8D">
        <w:t>‘</w:t>
      </w:r>
      <w:r>
        <w:t>pit lake</w:t>
      </w:r>
      <w:r w:rsidR="00A97F8D">
        <w:t>’</w:t>
      </w:r>
      <w:r>
        <w:t xml:space="preserve"> water is likely to be low (relative to the surrounding groundwater), the risk of seepage </w:t>
      </w:r>
      <w:r w:rsidR="00FD0D72">
        <w:t xml:space="preserve">of AMD </w:t>
      </w:r>
      <w:r>
        <w:t xml:space="preserve">to the surrounding groundwater system will need to be evaluated </w:t>
      </w:r>
      <w:r w:rsidR="00A97F8D">
        <w:t>on a site</w:t>
      </w:r>
      <w:r w:rsidR="002C6982">
        <w:t>-</w:t>
      </w:r>
      <w:r w:rsidR="00A97F8D">
        <w:t>by</w:t>
      </w:r>
      <w:r w:rsidR="002C6982">
        <w:t>-</w:t>
      </w:r>
      <w:r w:rsidR="00A97F8D">
        <w:t>site basis</w:t>
      </w:r>
      <w:r>
        <w:t xml:space="preserve">. </w:t>
      </w:r>
    </w:p>
    <w:p w14:paraId="33CE3820" w14:textId="52CA8788" w:rsidR="00AD2DEB" w:rsidRDefault="00AD2DEB" w:rsidP="00AD2DEB">
      <w:pPr>
        <w:pStyle w:val="Caption"/>
      </w:pPr>
      <w:bookmarkStart w:id="55" w:name="_Ref62548514"/>
      <w:bookmarkStart w:id="56" w:name="_Toc65140599"/>
      <w:r>
        <w:t xml:space="preserve">Figure </w:t>
      </w:r>
      <w:fldSimple w:instr=" STYLEREF 1 \s ">
        <w:r w:rsidR="00937ADD">
          <w:rPr>
            <w:noProof/>
          </w:rPr>
          <w:t>3</w:t>
        </w:r>
      </w:fldSimple>
      <w:r>
        <w:noBreakHyphen/>
      </w:r>
      <w:fldSimple w:instr=" SEQ Figure \* ARABIC \s 1 ">
        <w:r w:rsidR="00937ADD">
          <w:rPr>
            <w:noProof/>
          </w:rPr>
          <w:t>3</w:t>
        </w:r>
      </w:fldSimple>
      <w:bookmarkEnd w:id="55"/>
      <w:r>
        <w:t xml:space="preserve"> Conceptualised equilibrium condition of residual void – Source flow regime (adapted from Mackie, 2009)</w:t>
      </w:r>
      <w:bookmarkEnd w:id="56"/>
    </w:p>
    <w:p w14:paraId="1360DEE6" w14:textId="5180E787" w:rsidR="00AD2DEB" w:rsidRPr="00AD2DEB" w:rsidRDefault="00AD2DEB" w:rsidP="00AD2DEB">
      <w:pPr>
        <w:pStyle w:val="BodyText"/>
      </w:pPr>
      <w:r>
        <w:rPr>
          <w:noProof/>
        </w:rPr>
        <w:drawing>
          <wp:inline distT="0" distB="0" distL="0" distR="0" wp14:anchorId="593F1802" wp14:editId="1658AB6F">
            <wp:extent cx="5760000" cy="284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000" cy="2840400"/>
                    </a:xfrm>
                    <a:prstGeom prst="rect">
                      <a:avLst/>
                    </a:prstGeom>
                  </pic:spPr>
                </pic:pic>
              </a:graphicData>
            </a:graphic>
          </wp:inline>
        </w:drawing>
      </w:r>
    </w:p>
    <w:p w14:paraId="173277B0" w14:textId="46E89AA3" w:rsidR="00E908E7" w:rsidRDefault="00E908E7" w:rsidP="00E908E7">
      <w:pPr>
        <w:pStyle w:val="Heading3"/>
      </w:pPr>
      <w:bookmarkStart w:id="57" w:name="_Ref55987931"/>
      <w:bookmarkStart w:id="58" w:name="_Toc87278323"/>
      <w:r>
        <w:t>Flow</w:t>
      </w:r>
      <w:r w:rsidR="002231C7">
        <w:t>-</w:t>
      </w:r>
      <w:r>
        <w:t>through</w:t>
      </w:r>
      <w:bookmarkEnd w:id="57"/>
      <w:r w:rsidR="00FD0D72">
        <w:t xml:space="preserve"> void</w:t>
      </w:r>
      <w:bookmarkEnd w:id="58"/>
    </w:p>
    <w:p w14:paraId="36DBE35F" w14:textId="65C8D0F4" w:rsidR="00EA7E42" w:rsidRPr="00EA7E42" w:rsidRDefault="00EA7E42" w:rsidP="002706A0">
      <w:pPr>
        <w:pStyle w:val="BodyText"/>
      </w:pPr>
      <w:r>
        <w:t xml:space="preserve">Where hydraulic gradients result in greater lateral flux compared to vertical flux of water, that is, where a distinct hydraulic asymmetry occurs across a void, then a flow-through regime may be initiated. This can occur where asymmetric groundwater tables develop, or where directional surface waters cross the void area. Generally, a combination of these two end member types occurs and the proportion of each process may change with season. These regimes develop following progression through a </w:t>
      </w:r>
      <w:r w:rsidRPr="00940120">
        <w:rPr>
          <w:i/>
          <w:iCs/>
        </w:rPr>
        <w:t>terminal sink or source regime</w:t>
      </w:r>
      <w:r>
        <w:t xml:space="preserve"> and tend to characterise mature voids in open landscapes, such as floodplains.</w:t>
      </w:r>
    </w:p>
    <w:p w14:paraId="10E0DDB7" w14:textId="569382B4" w:rsidR="0059639A" w:rsidRDefault="0059639A" w:rsidP="0059639A">
      <w:pPr>
        <w:pStyle w:val="Heading4"/>
      </w:pPr>
      <w:r>
        <w:t>Groundwater flow</w:t>
      </w:r>
      <w:r w:rsidR="002231C7">
        <w:t>-</w:t>
      </w:r>
      <w:r>
        <w:t>through</w:t>
      </w:r>
    </w:p>
    <w:p w14:paraId="50D4E22D" w14:textId="6E5DCA20" w:rsidR="009D02B6" w:rsidRDefault="002C6982" w:rsidP="003B76E2">
      <w:pPr>
        <w:pStyle w:val="BodyText"/>
      </w:pPr>
      <w:r>
        <w:t>A</w:t>
      </w:r>
      <w:r w:rsidR="00B90B83">
        <w:t xml:space="preserve"> </w:t>
      </w:r>
      <w:r w:rsidR="00B90B83" w:rsidRPr="00FA7118">
        <w:rPr>
          <w:i/>
          <w:iCs/>
        </w:rPr>
        <w:t xml:space="preserve">terminal sink flow </w:t>
      </w:r>
      <w:r w:rsidR="00FA7118">
        <w:rPr>
          <w:i/>
          <w:iCs/>
        </w:rPr>
        <w:t>regime</w:t>
      </w:r>
      <w:r w:rsidR="00B90B83">
        <w:t xml:space="preserve"> </w:t>
      </w:r>
      <w:r w:rsidR="00FA7118">
        <w:t xml:space="preserve">(Section </w:t>
      </w:r>
      <w:r w:rsidR="00FA7118">
        <w:fldChar w:fldCharType="begin"/>
      </w:r>
      <w:r w:rsidR="00FA7118">
        <w:instrText xml:space="preserve"> REF _Ref55982230 \n \h </w:instrText>
      </w:r>
      <w:r w:rsidR="00FA7118">
        <w:fldChar w:fldCharType="separate"/>
      </w:r>
      <w:r w:rsidR="00937ADD">
        <w:t>3.2.1</w:t>
      </w:r>
      <w:r w:rsidR="00FA7118">
        <w:fldChar w:fldCharType="end"/>
      </w:r>
      <w:r w:rsidR="00FA7118">
        <w:t xml:space="preserve">) </w:t>
      </w:r>
      <w:r w:rsidR="00B90B83">
        <w:t xml:space="preserve">may ultimately evolve into a </w:t>
      </w:r>
      <w:r w:rsidR="00B90B83" w:rsidRPr="00FA7118">
        <w:rPr>
          <w:i/>
          <w:iCs/>
        </w:rPr>
        <w:t xml:space="preserve">groundwater throughflow </w:t>
      </w:r>
      <w:r w:rsidR="00FA7118">
        <w:rPr>
          <w:i/>
          <w:iCs/>
        </w:rPr>
        <w:t>regime</w:t>
      </w:r>
      <w:r w:rsidR="00D565FD">
        <w:t xml:space="preserve"> (</w:t>
      </w:r>
      <w:r w:rsidR="00A86D31">
        <w:fldChar w:fldCharType="begin"/>
      </w:r>
      <w:r w:rsidR="00A86D31">
        <w:instrText xml:space="preserve"> REF _Ref62548516 \h </w:instrText>
      </w:r>
      <w:r w:rsidR="00A86D31">
        <w:fldChar w:fldCharType="separate"/>
      </w:r>
      <w:r w:rsidR="00937ADD">
        <w:t xml:space="preserve">Figure </w:t>
      </w:r>
      <w:r w:rsidR="00937ADD">
        <w:rPr>
          <w:noProof/>
        </w:rPr>
        <w:t>3</w:t>
      </w:r>
      <w:r w:rsidR="00937ADD">
        <w:noBreakHyphen/>
      </w:r>
      <w:r w:rsidR="00937ADD">
        <w:rPr>
          <w:noProof/>
        </w:rPr>
        <w:t>4</w:t>
      </w:r>
      <w:r w:rsidR="00A86D31">
        <w:fldChar w:fldCharType="end"/>
      </w:r>
      <w:r w:rsidR="00D565FD">
        <w:t>)</w:t>
      </w:r>
      <w:r w:rsidR="00B90B83">
        <w:t xml:space="preserve"> in settings with comparatively lower evaporative potential</w:t>
      </w:r>
      <w:r w:rsidR="009D02B6">
        <w:t xml:space="preserve"> relative to groundwater inflow</w:t>
      </w:r>
      <w:r w:rsidR="00B90B83">
        <w:t>.</w:t>
      </w:r>
      <w:r w:rsidR="00FA7118" w:rsidRPr="00FA7118">
        <w:t xml:space="preserve"> </w:t>
      </w:r>
      <w:r w:rsidR="00FA7118">
        <w:t>T</w:t>
      </w:r>
      <w:r w:rsidR="0059639A" w:rsidRPr="0059639A">
        <w:t xml:space="preserve">he final </w:t>
      </w:r>
      <w:r w:rsidR="0059639A">
        <w:t>‘</w:t>
      </w:r>
      <w:r w:rsidR="0059639A" w:rsidRPr="0059639A">
        <w:t>pit lake</w:t>
      </w:r>
      <w:r w:rsidR="0059639A">
        <w:t>’ water level</w:t>
      </w:r>
      <w:r w:rsidR="00B90B83">
        <w:t xml:space="preserve"> will</w:t>
      </w:r>
      <w:r w:rsidR="0059639A">
        <w:t xml:space="preserve"> r</w:t>
      </w:r>
      <w:r w:rsidR="0059639A" w:rsidRPr="0059639A">
        <w:t>each the surrounding pre-mining groundwater level</w:t>
      </w:r>
      <w:r w:rsidR="00B90B83">
        <w:t xml:space="preserve"> and a g</w:t>
      </w:r>
      <w:r w:rsidR="009D02B6">
        <w:t>round</w:t>
      </w:r>
      <w:r w:rsidR="00B90B83">
        <w:t>w</w:t>
      </w:r>
      <w:r w:rsidR="009D02B6">
        <w:t>ater</w:t>
      </w:r>
      <w:r w:rsidR="0059639A" w:rsidRPr="0059639A">
        <w:t xml:space="preserve"> throughflow system</w:t>
      </w:r>
      <w:r w:rsidR="00B90B83">
        <w:t xml:space="preserve"> will occur</w:t>
      </w:r>
      <w:r w:rsidR="009D02B6">
        <w:t xml:space="preserve"> at equilibrium</w:t>
      </w:r>
      <w:r w:rsidR="00B90B83">
        <w:t xml:space="preserve">. </w:t>
      </w:r>
      <w:r w:rsidR="00FA7118" w:rsidRPr="00FA7118">
        <w:t xml:space="preserve">This type of </w:t>
      </w:r>
      <w:r w:rsidR="004C52BE">
        <w:t xml:space="preserve">groundwater </w:t>
      </w:r>
      <w:r w:rsidR="00FA7118" w:rsidRPr="00FA7118">
        <w:t xml:space="preserve">flow regime is primarily associated with </w:t>
      </w:r>
      <w:r w:rsidR="004470A2">
        <w:t xml:space="preserve">residual </w:t>
      </w:r>
      <w:r w:rsidR="00FA7118" w:rsidRPr="00FA7118">
        <w:t>voids in high-permeability ore bodies surrounded by lower permeability rocks (</w:t>
      </w:r>
      <w:r w:rsidR="00A14954" w:rsidRPr="00A14954">
        <w:t>Johnson &amp; Wright, 2003)</w:t>
      </w:r>
      <w:r w:rsidR="004470A2">
        <w:t>.</w:t>
      </w:r>
    </w:p>
    <w:p w14:paraId="736B9E53" w14:textId="326AEC83" w:rsidR="009D02B6" w:rsidRDefault="009D02B6" w:rsidP="003B76E2">
      <w:pPr>
        <w:pStyle w:val="BodyText"/>
      </w:pPr>
      <w:r>
        <w:t>The ‘pit lake’ water, subject to evaporation, will slowly increase in salinity</w:t>
      </w:r>
      <w:r w:rsidR="00FA7118">
        <w:t xml:space="preserve"> (and potentially other constituents)</w:t>
      </w:r>
      <w:r>
        <w:t>, with the potential to migrate</w:t>
      </w:r>
      <w:r w:rsidR="00465262">
        <w:t xml:space="preserve"> via groundwater seepage,</w:t>
      </w:r>
      <w:r>
        <w:t xml:space="preserve"> as </w:t>
      </w:r>
      <w:r w:rsidR="00465262">
        <w:t xml:space="preserve">a saline plume </w:t>
      </w:r>
      <w:r>
        <w:t xml:space="preserve">downgradient of the void. </w:t>
      </w:r>
      <w:r w:rsidR="00465262" w:rsidRPr="00465262">
        <w:t xml:space="preserve">The </w:t>
      </w:r>
      <w:r w:rsidR="00FA7118">
        <w:t xml:space="preserve">salinisation of </w:t>
      </w:r>
      <w:r w:rsidR="00465262">
        <w:t>the plume</w:t>
      </w:r>
      <w:r w:rsidR="00FA7118">
        <w:t>,</w:t>
      </w:r>
      <w:r w:rsidR="00465262">
        <w:t xml:space="preserve"> </w:t>
      </w:r>
      <w:r w:rsidR="00465262" w:rsidRPr="00465262">
        <w:t>and resultant impact on the surrounding aquifer</w:t>
      </w:r>
      <w:r w:rsidR="00FA7118">
        <w:t>,</w:t>
      </w:r>
      <w:r w:rsidR="00465262" w:rsidRPr="00465262">
        <w:t xml:space="preserve"> </w:t>
      </w:r>
      <w:r w:rsidR="00465262">
        <w:t>is</w:t>
      </w:r>
      <w:r w:rsidR="00465262" w:rsidRPr="00465262">
        <w:t xml:space="preserve"> largely </w:t>
      </w:r>
      <w:r w:rsidR="00465262">
        <w:t xml:space="preserve">dependent </w:t>
      </w:r>
      <w:r w:rsidR="00465262" w:rsidRPr="00465262">
        <w:t xml:space="preserve">on the rate of </w:t>
      </w:r>
      <w:r w:rsidR="00465262">
        <w:t>groundwater throughflow</w:t>
      </w:r>
      <w:r w:rsidR="00A14954">
        <w:t xml:space="preserve"> through the void.</w:t>
      </w:r>
    </w:p>
    <w:p w14:paraId="4B00255F" w14:textId="311D893E" w:rsidR="00C8019C" w:rsidRDefault="00C8019C" w:rsidP="003B76E2">
      <w:pPr>
        <w:pStyle w:val="BodyText"/>
      </w:pPr>
      <w:r>
        <w:lastRenderedPageBreak/>
        <w:t>The potential risks associated with density</w:t>
      </w:r>
      <w:r w:rsidR="004C52BE">
        <w:t>-</w:t>
      </w:r>
      <w:r>
        <w:t xml:space="preserve">driven groundwater flow and/or the occurrence of fault structures, as described for a </w:t>
      </w:r>
      <w:r w:rsidRPr="00C8019C">
        <w:rPr>
          <w:i/>
          <w:iCs/>
        </w:rPr>
        <w:t>terminal sink flow regime</w:t>
      </w:r>
      <w:r>
        <w:t xml:space="preserve"> (Section </w:t>
      </w:r>
      <w:r>
        <w:fldChar w:fldCharType="begin"/>
      </w:r>
      <w:r>
        <w:instrText xml:space="preserve"> REF _Ref55982230 \n \h </w:instrText>
      </w:r>
      <w:r>
        <w:fldChar w:fldCharType="separate"/>
      </w:r>
      <w:r w:rsidR="00937ADD">
        <w:t>3.2.1</w:t>
      </w:r>
      <w:r>
        <w:fldChar w:fldCharType="end"/>
      </w:r>
      <w:r>
        <w:t xml:space="preserve">) may also apply to a </w:t>
      </w:r>
      <w:r w:rsidRPr="00C8019C">
        <w:rPr>
          <w:i/>
          <w:iCs/>
        </w:rPr>
        <w:t>groundwater throughflow regime</w:t>
      </w:r>
      <w:r>
        <w:t xml:space="preserve">.       </w:t>
      </w:r>
    </w:p>
    <w:p w14:paraId="098974C1" w14:textId="652E0005" w:rsidR="00AD2DEB" w:rsidRDefault="00AD2DEB" w:rsidP="00AD2DEB">
      <w:pPr>
        <w:pStyle w:val="Caption"/>
      </w:pPr>
      <w:bookmarkStart w:id="59" w:name="_Ref62548516"/>
      <w:bookmarkStart w:id="60" w:name="_Toc65140600"/>
      <w:r>
        <w:t xml:space="preserve">Figure </w:t>
      </w:r>
      <w:fldSimple w:instr=" STYLEREF 1 \s ">
        <w:r w:rsidR="00937ADD">
          <w:rPr>
            <w:noProof/>
          </w:rPr>
          <w:t>3</w:t>
        </w:r>
      </w:fldSimple>
      <w:r>
        <w:noBreakHyphen/>
      </w:r>
      <w:fldSimple w:instr=" SEQ Figure \* ARABIC \s 1 ">
        <w:r w:rsidR="00937ADD">
          <w:rPr>
            <w:noProof/>
          </w:rPr>
          <w:t>4</w:t>
        </w:r>
      </w:fldSimple>
      <w:bookmarkEnd w:id="59"/>
      <w:r>
        <w:t xml:space="preserve"> Conceptualised equilibrium condition of residual void – Groundwater throughflow regime (adapted from Mackie, 2009)</w:t>
      </w:r>
      <w:bookmarkEnd w:id="60"/>
    </w:p>
    <w:p w14:paraId="5B9E6DA5" w14:textId="5A4C7E35" w:rsidR="00AD2DEB" w:rsidRPr="00AD2DEB" w:rsidRDefault="00AD2DEB" w:rsidP="00AD2DEB">
      <w:pPr>
        <w:pStyle w:val="BodyText"/>
      </w:pPr>
      <w:r>
        <w:rPr>
          <w:noProof/>
        </w:rPr>
        <w:drawing>
          <wp:inline distT="0" distB="0" distL="0" distR="0" wp14:anchorId="43929A4F" wp14:editId="1134FFDB">
            <wp:extent cx="5760000" cy="286920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000" cy="2869200"/>
                    </a:xfrm>
                    <a:prstGeom prst="rect">
                      <a:avLst/>
                    </a:prstGeom>
                  </pic:spPr>
                </pic:pic>
              </a:graphicData>
            </a:graphic>
          </wp:inline>
        </w:drawing>
      </w:r>
    </w:p>
    <w:p w14:paraId="7F51E622" w14:textId="4746F1F8" w:rsidR="00D47655" w:rsidRDefault="00D47655" w:rsidP="00D47655">
      <w:pPr>
        <w:pStyle w:val="Heading4"/>
      </w:pPr>
      <w:r>
        <w:t>Surface water flow</w:t>
      </w:r>
      <w:r w:rsidR="002231C7">
        <w:t>-</w:t>
      </w:r>
      <w:r>
        <w:t>through</w:t>
      </w:r>
    </w:p>
    <w:p w14:paraId="43BAB430" w14:textId="3EC93829" w:rsidR="00D47655" w:rsidRDefault="00D47655" w:rsidP="00D47655">
      <w:pPr>
        <w:pStyle w:val="BodyText"/>
      </w:pPr>
      <w:r>
        <w:t xml:space="preserve">A </w:t>
      </w:r>
      <w:r w:rsidRPr="00FC63A9">
        <w:rPr>
          <w:i/>
          <w:iCs/>
        </w:rPr>
        <w:t>surface water flow</w:t>
      </w:r>
      <w:r w:rsidR="002231C7">
        <w:rPr>
          <w:i/>
          <w:iCs/>
        </w:rPr>
        <w:t>-</w:t>
      </w:r>
      <w:r w:rsidRPr="00FC63A9">
        <w:rPr>
          <w:i/>
          <w:iCs/>
        </w:rPr>
        <w:t>through</w:t>
      </w:r>
      <w:r>
        <w:t xml:space="preserve"> </w:t>
      </w:r>
      <w:r w:rsidR="00FC63A9" w:rsidRPr="00FC63A9">
        <w:rPr>
          <w:i/>
          <w:iCs/>
        </w:rPr>
        <w:t>regime</w:t>
      </w:r>
      <w:r w:rsidR="00FC63A9">
        <w:t xml:space="preserve"> </w:t>
      </w:r>
      <w:r>
        <w:t>(or riverine flow</w:t>
      </w:r>
      <w:r w:rsidR="002231C7">
        <w:t>-</w:t>
      </w:r>
      <w:r>
        <w:t>through)</w:t>
      </w:r>
      <w:r w:rsidR="00D565FD">
        <w:t xml:space="preserve"> (</w:t>
      </w:r>
      <w:r w:rsidR="00A86D31">
        <w:fldChar w:fldCharType="begin"/>
      </w:r>
      <w:r w:rsidR="00A86D31">
        <w:instrText xml:space="preserve"> REF _Ref62548599 \h </w:instrText>
      </w:r>
      <w:r w:rsidR="00A86D31">
        <w:fldChar w:fldCharType="separate"/>
      </w:r>
      <w:r w:rsidR="00937ADD" w:rsidRPr="00D80266">
        <w:t xml:space="preserve">Figure </w:t>
      </w:r>
      <w:r w:rsidR="00937ADD">
        <w:rPr>
          <w:noProof/>
        </w:rPr>
        <w:t>3</w:t>
      </w:r>
      <w:r w:rsidR="00937ADD" w:rsidRPr="00D80266">
        <w:noBreakHyphen/>
      </w:r>
      <w:r w:rsidR="00937ADD">
        <w:rPr>
          <w:noProof/>
        </w:rPr>
        <w:t>5</w:t>
      </w:r>
      <w:r w:rsidR="00A86D31">
        <w:fldChar w:fldCharType="end"/>
      </w:r>
      <w:r w:rsidR="00D565FD">
        <w:t>)</w:t>
      </w:r>
      <w:r>
        <w:t xml:space="preserve"> is one that is </w:t>
      </w:r>
      <w:r w:rsidR="00EA7E42">
        <w:t xml:space="preserve">generally </w:t>
      </w:r>
      <w:r>
        <w:t>engineered for the purposes of maintaining or improving ‘pit lake’ water quality, by permanent</w:t>
      </w:r>
      <w:r w:rsidR="00FC63A9">
        <w:t>ly</w:t>
      </w:r>
      <w:r>
        <w:t xml:space="preserve"> dive</w:t>
      </w:r>
      <w:r w:rsidR="00FC63A9">
        <w:t>rting</w:t>
      </w:r>
      <w:r>
        <w:t xml:space="preserve"> </w:t>
      </w:r>
      <w:r w:rsidR="00FC63A9">
        <w:t xml:space="preserve">a </w:t>
      </w:r>
      <w:r>
        <w:t xml:space="preserve">river or other surface water into the </w:t>
      </w:r>
      <w:r w:rsidR="005569BF">
        <w:t xml:space="preserve">residual </w:t>
      </w:r>
      <w:r w:rsidR="00FC63A9">
        <w:t>void</w:t>
      </w:r>
      <w:r>
        <w:t xml:space="preserve">, with discharge into a natural waterway downstream. </w:t>
      </w:r>
      <w:r w:rsidR="00FC63A9">
        <w:t>The rationale for engineering such systems may include (</w:t>
      </w:r>
      <w:r w:rsidR="00B45AF5" w:rsidRPr="00B45AF5">
        <w:t>McCullough</w:t>
      </w:r>
      <w:r w:rsidR="00B45AF5">
        <w:t xml:space="preserve"> &amp; </w:t>
      </w:r>
      <w:r w:rsidR="00B45AF5" w:rsidRPr="00B45AF5">
        <w:t>Schultze,</w:t>
      </w:r>
      <w:r w:rsidR="00B45AF5">
        <w:t xml:space="preserve"> </w:t>
      </w:r>
      <w:r w:rsidR="00B45AF5" w:rsidRPr="00B45AF5">
        <w:t>2015)</w:t>
      </w:r>
      <w:r w:rsidR="00B45AF5">
        <w:t>:</w:t>
      </w:r>
    </w:p>
    <w:p w14:paraId="3A5AFA1A" w14:textId="2E2DAC81" w:rsidR="00FC63A9" w:rsidRDefault="004C52BE" w:rsidP="00AA4C36">
      <w:pPr>
        <w:pStyle w:val="BodyText"/>
        <w:numPr>
          <w:ilvl w:val="0"/>
          <w:numId w:val="23"/>
        </w:numPr>
        <w:spacing w:before="80" w:after="80"/>
        <w:ind w:left="714" w:hanging="357"/>
      </w:pPr>
      <w:r>
        <w:t>a</w:t>
      </w:r>
      <w:r w:rsidR="00FC63A9">
        <w:t xml:space="preserve"> surface drainage system </w:t>
      </w:r>
      <w:r>
        <w:t xml:space="preserve">that </w:t>
      </w:r>
      <w:r w:rsidR="00FC63A9">
        <w:t xml:space="preserve">was originally diverted around the </w:t>
      </w:r>
      <w:r w:rsidR="005569BF">
        <w:t xml:space="preserve">open </w:t>
      </w:r>
      <w:r w:rsidR="00FC63A9">
        <w:t>pit and it is desirable that the system is diverted back into its natural</w:t>
      </w:r>
      <w:r w:rsidR="00FC63A9">
        <w:rPr>
          <w:rFonts w:ascii="Arial" w:eastAsia="Arial" w:hAnsi="Arial" w:cs="Arial"/>
        </w:rPr>
        <w:t xml:space="preserve"> </w:t>
      </w:r>
      <w:r w:rsidR="00FC63A9">
        <w:t xml:space="preserve">channel </w:t>
      </w:r>
      <w:r w:rsidR="005569BF">
        <w:t>at</w:t>
      </w:r>
      <w:r w:rsidR="00FC63A9">
        <w:t xml:space="preserve"> mine closure for cultural or </w:t>
      </w:r>
      <w:r w:rsidR="002C6982">
        <w:t>other purposes</w:t>
      </w:r>
      <w:r>
        <w:t>;</w:t>
      </w:r>
    </w:p>
    <w:p w14:paraId="4CEB9041" w14:textId="097C18F7" w:rsidR="00FC63A9" w:rsidRDefault="004C52BE" w:rsidP="00AA4C36">
      <w:pPr>
        <w:pStyle w:val="BodyText"/>
        <w:numPr>
          <w:ilvl w:val="0"/>
          <w:numId w:val="23"/>
        </w:numPr>
        <w:spacing w:before="80" w:after="80"/>
        <w:ind w:left="714" w:hanging="357"/>
      </w:pPr>
      <w:r>
        <w:t xml:space="preserve">that a </w:t>
      </w:r>
      <w:r w:rsidR="00A14954">
        <w:t>‘</w:t>
      </w:r>
      <w:r w:rsidR="00FC63A9">
        <w:t>pit lake</w:t>
      </w:r>
      <w:r w:rsidR="00A14954">
        <w:t>’</w:t>
      </w:r>
      <w:r w:rsidR="00FC63A9">
        <w:t xml:space="preserve"> is proposed as a water reservoir, or for retaining and buffering high flows as flood protection for downstream</w:t>
      </w:r>
      <w:r>
        <w:t>;</w:t>
      </w:r>
    </w:p>
    <w:p w14:paraId="12312943" w14:textId="19AFB1B5" w:rsidR="00FC63A9" w:rsidRDefault="004C52BE" w:rsidP="00AA4C36">
      <w:pPr>
        <w:pStyle w:val="BodyText"/>
        <w:numPr>
          <w:ilvl w:val="0"/>
          <w:numId w:val="23"/>
        </w:numPr>
        <w:spacing w:before="80" w:after="80"/>
        <w:ind w:left="714" w:hanging="357"/>
      </w:pPr>
      <w:r>
        <w:t>the requirement for h</w:t>
      </w:r>
      <w:r w:rsidR="00FC63A9">
        <w:t xml:space="preserve">igher quality river water to maintain a minimum </w:t>
      </w:r>
      <w:r w:rsidR="00A14954">
        <w:t>‘</w:t>
      </w:r>
      <w:r w:rsidR="00FC63A9">
        <w:t>pit lake</w:t>
      </w:r>
      <w:r w:rsidR="00A14954">
        <w:t>’</w:t>
      </w:r>
      <w:r w:rsidR="00FC63A9">
        <w:t xml:space="preserve"> water level or minimum water quality</w:t>
      </w:r>
      <w:r>
        <w:t>; or</w:t>
      </w:r>
    </w:p>
    <w:p w14:paraId="1DC34335" w14:textId="04412242" w:rsidR="00D47655" w:rsidRDefault="004C52BE" w:rsidP="00AA4C36">
      <w:pPr>
        <w:pStyle w:val="BodyText"/>
        <w:numPr>
          <w:ilvl w:val="0"/>
          <w:numId w:val="23"/>
        </w:numPr>
        <w:spacing w:before="80" w:after="80"/>
        <w:ind w:left="714" w:hanging="357"/>
      </w:pPr>
      <w:r>
        <w:t>that t</w:t>
      </w:r>
      <w:r w:rsidR="00FC63A9">
        <w:t xml:space="preserve">he </w:t>
      </w:r>
      <w:r w:rsidR="00A14954">
        <w:t>‘</w:t>
      </w:r>
      <w:r w:rsidR="00FC63A9">
        <w:t>pit lake</w:t>
      </w:r>
      <w:r w:rsidR="00A14954">
        <w:t>’</w:t>
      </w:r>
      <w:r w:rsidR="00FC63A9">
        <w:t xml:space="preserve"> is proposed as a treatment facility to improve water quality of the river.</w:t>
      </w:r>
    </w:p>
    <w:p w14:paraId="5AD5DDC3" w14:textId="02505A47" w:rsidR="00B45AF5" w:rsidRDefault="00EA14C3" w:rsidP="00FC63A9">
      <w:pPr>
        <w:pStyle w:val="BodyText"/>
      </w:pPr>
      <w:r>
        <w:t xml:space="preserve">A </w:t>
      </w:r>
      <w:r w:rsidRPr="00EA14C3">
        <w:rPr>
          <w:i/>
          <w:iCs/>
        </w:rPr>
        <w:t>surface water flow through regime</w:t>
      </w:r>
      <w:r>
        <w:t xml:space="preserve"> has the potential to c</w:t>
      </w:r>
      <w:r w:rsidR="00FC63A9">
        <w:t>ontribute a</w:t>
      </w:r>
      <w:r>
        <w:t xml:space="preserve"> range</w:t>
      </w:r>
      <w:r w:rsidR="00FC63A9">
        <w:t xml:space="preserve"> of important processes to</w:t>
      </w:r>
      <w:r>
        <w:t xml:space="preserve"> </w:t>
      </w:r>
      <w:r w:rsidR="00FC63A9">
        <w:t xml:space="preserve">improve and maintain </w:t>
      </w:r>
      <w:r>
        <w:t>the water quality of ‘</w:t>
      </w:r>
      <w:r w:rsidR="00FC63A9">
        <w:t>pit lakes</w:t>
      </w:r>
      <w:r>
        <w:t>’</w:t>
      </w:r>
      <w:r w:rsidR="00FC63A9">
        <w:t xml:space="preserve"> over long-term scales </w:t>
      </w:r>
      <w:r>
        <w:t xml:space="preserve">(e.g. dilution, neutralisation). </w:t>
      </w:r>
      <w:r w:rsidR="00B45AF5">
        <w:t xml:space="preserve">The risks and benefits to upgradient and receiving river(s), and whether such risks can be appropriately managed, will also require careful consideration in assessing the feasibility of this flow regime. </w:t>
      </w:r>
    </w:p>
    <w:p w14:paraId="5FA41974" w14:textId="5096E612" w:rsidR="00D80266" w:rsidRDefault="00D80266" w:rsidP="00FC63A9">
      <w:pPr>
        <w:pStyle w:val="BodyText"/>
      </w:pPr>
    </w:p>
    <w:p w14:paraId="48051A9A" w14:textId="644559EF" w:rsidR="00D80266" w:rsidRDefault="00D80266" w:rsidP="00FC63A9">
      <w:pPr>
        <w:pStyle w:val="BodyText"/>
      </w:pPr>
    </w:p>
    <w:p w14:paraId="539823E3" w14:textId="18F6E2DE" w:rsidR="00D80266" w:rsidRDefault="00D80266" w:rsidP="00FC63A9">
      <w:pPr>
        <w:pStyle w:val="BodyText"/>
      </w:pPr>
    </w:p>
    <w:p w14:paraId="526A12F3" w14:textId="7D33A325" w:rsidR="00D80266" w:rsidRDefault="00D80266" w:rsidP="00FC63A9">
      <w:pPr>
        <w:pStyle w:val="BodyText"/>
      </w:pPr>
    </w:p>
    <w:p w14:paraId="4106C890" w14:textId="0B983F74" w:rsidR="00D80266" w:rsidRDefault="00D80266" w:rsidP="00FC63A9">
      <w:pPr>
        <w:pStyle w:val="BodyText"/>
      </w:pPr>
    </w:p>
    <w:p w14:paraId="57499CC6" w14:textId="10577190" w:rsidR="00D565FD" w:rsidRDefault="00D565FD" w:rsidP="00D565FD">
      <w:pPr>
        <w:pStyle w:val="Caption"/>
      </w:pPr>
      <w:bookmarkStart w:id="61" w:name="_Ref55994852"/>
      <w:bookmarkStart w:id="62" w:name="_Ref62548599"/>
      <w:bookmarkStart w:id="63" w:name="_Toc65140601"/>
      <w:bookmarkStart w:id="64" w:name="_Hlk61954622"/>
      <w:bookmarkStart w:id="65" w:name="_Hlk57280771"/>
      <w:r w:rsidRPr="00D80266">
        <w:lastRenderedPageBreak/>
        <w:t xml:space="preserve">Figure </w:t>
      </w:r>
      <w:fldSimple w:instr=" STYLEREF 1 \s ">
        <w:r w:rsidR="00937ADD">
          <w:rPr>
            <w:noProof/>
          </w:rPr>
          <w:t>3</w:t>
        </w:r>
      </w:fldSimple>
      <w:r w:rsidR="002706A0" w:rsidRPr="00D80266">
        <w:noBreakHyphen/>
      </w:r>
      <w:fldSimple w:instr=" SEQ Figure \* ARABIC \s 1 ">
        <w:r w:rsidR="00937ADD">
          <w:rPr>
            <w:noProof/>
          </w:rPr>
          <w:t>5</w:t>
        </w:r>
      </w:fldSimple>
      <w:bookmarkEnd w:id="61"/>
      <w:bookmarkEnd w:id="62"/>
      <w:r w:rsidRPr="00D80266">
        <w:t xml:space="preserve"> Conceptualised equilibrium condition</w:t>
      </w:r>
      <w:r w:rsidR="00926DBF" w:rsidRPr="00D80266">
        <w:t xml:space="preserve"> of residual void</w:t>
      </w:r>
      <w:r w:rsidRPr="00D80266">
        <w:t xml:space="preserve"> – Surface water flow</w:t>
      </w:r>
      <w:bookmarkEnd w:id="63"/>
    </w:p>
    <w:p w14:paraId="119F55A3" w14:textId="7D651274" w:rsidR="00286117" w:rsidRDefault="00175717" w:rsidP="00286117">
      <w:pPr>
        <w:pStyle w:val="BodyText"/>
      </w:pPr>
      <w:r>
        <w:rPr>
          <w:noProof/>
        </w:rPr>
        <w:drawing>
          <wp:inline distT="0" distB="0" distL="0" distR="0" wp14:anchorId="2981E839" wp14:editId="319E24B3">
            <wp:extent cx="5760000" cy="3222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000" cy="3222000"/>
                    </a:xfrm>
                    <a:prstGeom prst="rect">
                      <a:avLst/>
                    </a:prstGeom>
                  </pic:spPr>
                </pic:pic>
              </a:graphicData>
            </a:graphic>
          </wp:inline>
        </w:drawing>
      </w:r>
    </w:p>
    <w:p w14:paraId="7BE21EB6" w14:textId="2DE9FAD9" w:rsidR="00491E2D" w:rsidRDefault="00491E2D" w:rsidP="00491E2D">
      <w:pPr>
        <w:pStyle w:val="Heading3"/>
      </w:pPr>
      <w:bookmarkStart w:id="66" w:name="_Ref55987918"/>
      <w:bookmarkStart w:id="67" w:name="_Toc87278324"/>
      <w:bookmarkEnd w:id="64"/>
      <w:bookmarkEnd w:id="65"/>
      <w:r>
        <w:t>Risk of flooding</w:t>
      </w:r>
      <w:bookmarkEnd w:id="66"/>
      <w:bookmarkEnd w:id="67"/>
    </w:p>
    <w:p w14:paraId="50734AD9" w14:textId="6C1E805C" w:rsidR="0039022C" w:rsidRDefault="0039022C" w:rsidP="00491E2D">
      <w:pPr>
        <w:pStyle w:val="BodyText"/>
      </w:pPr>
      <w:bookmarkStart w:id="68" w:name="_Hlk57470938"/>
      <w:r>
        <w:t>As t</w:t>
      </w:r>
      <w:r w:rsidR="00491E2D">
        <w:t>he quality of water within</w:t>
      </w:r>
      <w:r>
        <w:t xml:space="preserve"> </w:t>
      </w:r>
      <w:r w:rsidR="00696D71">
        <w:t>residual</w:t>
      </w:r>
      <w:r w:rsidR="00491E2D">
        <w:t xml:space="preserve"> voids </w:t>
      </w:r>
      <w:r>
        <w:t xml:space="preserve">may be poor (Section </w:t>
      </w:r>
      <w:r>
        <w:fldChar w:fldCharType="begin"/>
      </w:r>
      <w:r>
        <w:instrText xml:space="preserve"> REF _Ref55992059 \n \h </w:instrText>
      </w:r>
      <w:r>
        <w:fldChar w:fldCharType="separate"/>
      </w:r>
      <w:r w:rsidR="00937ADD">
        <w:t>3.1.2</w:t>
      </w:r>
      <w:r>
        <w:fldChar w:fldCharType="end"/>
      </w:r>
      <w:r>
        <w:t xml:space="preserve">), and likely </w:t>
      </w:r>
      <w:r w:rsidR="00D34BBB">
        <w:t xml:space="preserve">to </w:t>
      </w:r>
      <w:r>
        <w:t>worsen over time (</w:t>
      </w:r>
      <w:r w:rsidR="002231C7">
        <w:t xml:space="preserve">particularly </w:t>
      </w:r>
      <w:r>
        <w:t xml:space="preserve">in the case of </w:t>
      </w:r>
      <w:r w:rsidRPr="0039022C">
        <w:rPr>
          <w:i/>
          <w:iCs/>
        </w:rPr>
        <w:t>terminal sink</w:t>
      </w:r>
      <w:r>
        <w:t xml:space="preserve"> and </w:t>
      </w:r>
      <w:r w:rsidRPr="0039022C">
        <w:rPr>
          <w:i/>
          <w:iCs/>
        </w:rPr>
        <w:t>groundwater throughflow regimes</w:t>
      </w:r>
      <w:r>
        <w:t xml:space="preserve">), </w:t>
      </w:r>
      <w:r w:rsidR="00491E2D">
        <w:t xml:space="preserve">the spilling of </w:t>
      </w:r>
      <w:bookmarkStart w:id="69" w:name="_Hlk57465896"/>
      <w:r w:rsidR="00491E2D">
        <w:t>this water onto surrounding land</w:t>
      </w:r>
      <w:r w:rsidR="00696D71">
        <w:t>,</w:t>
      </w:r>
      <w:r w:rsidR="00491E2D">
        <w:t xml:space="preserve"> </w:t>
      </w:r>
      <w:bookmarkEnd w:id="69"/>
      <w:r w:rsidR="004D50C4">
        <w:t>or</w:t>
      </w:r>
      <w:r>
        <w:t xml:space="preserve"> receiving </w:t>
      </w:r>
      <w:r w:rsidR="004D50C4">
        <w:t xml:space="preserve">groundwater and </w:t>
      </w:r>
      <w:r>
        <w:t>river systems</w:t>
      </w:r>
      <w:r w:rsidR="00696D71">
        <w:t>,</w:t>
      </w:r>
      <w:r>
        <w:t xml:space="preserve"> has the potential for </w:t>
      </w:r>
      <w:r w:rsidR="00491E2D">
        <w:t>detrimental impact</w:t>
      </w:r>
      <w:r>
        <w:t>s</w:t>
      </w:r>
      <w:r w:rsidR="00491E2D">
        <w:t xml:space="preserve">. </w:t>
      </w:r>
      <w:r w:rsidR="004D50C4">
        <w:t xml:space="preserve">These temporary flooding events may occur as a result of: </w:t>
      </w:r>
    </w:p>
    <w:p w14:paraId="0290473E" w14:textId="2510D6EF" w:rsidR="0039022C" w:rsidRDefault="008A4A95" w:rsidP="00AA4C36">
      <w:pPr>
        <w:pStyle w:val="BodyText"/>
        <w:numPr>
          <w:ilvl w:val="0"/>
          <w:numId w:val="25"/>
        </w:numPr>
        <w:spacing w:before="80" w:after="80"/>
        <w:ind w:left="714" w:hanging="357"/>
      </w:pPr>
      <w:r>
        <w:t>high</w:t>
      </w:r>
      <w:r w:rsidR="0039022C">
        <w:t xml:space="preserve"> rainfall events that increase the ‘pit lake’ water level above the void’s spill height</w:t>
      </w:r>
      <w:r w:rsidR="004C52BE">
        <w:t>; or</w:t>
      </w:r>
    </w:p>
    <w:p w14:paraId="43104E20" w14:textId="2D4E12D5" w:rsidR="00441131" w:rsidRDefault="0039022C" w:rsidP="00AA4C36">
      <w:pPr>
        <w:pStyle w:val="BodyText"/>
        <w:numPr>
          <w:ilvl w:val="0"/>
          <w:numId w:val="25"/>
        </w:numPr>
        <w:spacing w:before="80" w:after="80"/>
        <w:ind w:left="714" w:hanging="357"/>
      </w:pPr>
      <w:r>
        <w:t xml:space="preserve">open voids </w:t>
      </w:r>
      <w:r w:rsidR="004C52BE">
        <w:t xml:space="preserve">being </w:t>
      </w:r>
      <w:r>
        <w:t xml:space="preserve">located in floodplain areas, </w:t>
      </w:r>
      <w:r w:rsidR="004C52BE">
        <w:t xml:space="preserve">with </w:t>
      </w:r>
      <w:r>
        <w:t xml:space="preserve">flooding events </w:t>
      </w:r>
      <w:bookmarkStart w:id="70" w:name="_Hlk62048768"/>
      <w:r>
        <w:t xml:space="preserve">have the potential to overtop levees and intercept the </w:t>
      </w:r>
      <w:r w:rsidR="00696D71">
        <w:t xml:space="preserve">residual </w:t>
      </w:r>
      <w:r>
        <w:t>void.</w:t>
      </w:r>
      <w:bookmarkEnd w:id="70"/>
    </w:p>
    <w:p w14:paraId="2F86FFC2" w14:textId="4B0D6997" w:rsidR="009A30AE" w:rsidRPr="00E908E7" w:rsidRDefault="009A30AE" w:rsidP="009A30AE">
      <w:pPr>
        <w:pStyle w:val="Heading3"/>
      </w:pPr>
      <w:bookmarkStart w:id="71" w:name="_Ref55988051"/>
      <w:bookmarkStart w:id="72" w:name="_Toc87278325"/>
      <w:bookmarkEnd w:id="68"/>
      <w:r>
        <w:t>Effects of climate change</w:t>
      </w:r>
      <w:bookmarkEnd w:id="71"/>
      <w:bookmarkEnd w:id="72"/>
    </w:p>
    <w:p w14:paraId="5999D7D8" w14:textId="550DF78B" w:rsidR="004E0974" w:rsidRDefault="00431D4F" w:rsidP="004E0974">
      <w:pPr>
        <w:pStyle w:val="BodyText"/>
      </w:pPr>
      <w:r>
        <w:t xml:space="preserve">Long-term climatic changes will affect </w:t>
      </w:r>
      <w:r w:rsidR="00696D71">
        <w:t xml:space="preserve">the </w:t>
      </w:r>
      <w:r>
        <w:t xml:space="preserve">evolution and hydrologic processes of </w:t>
      </w:r>
      <w:r w:rsidR="00696D71">
        <w:t xml:space="preserve">an </w:t>
      </w:r>
      <w:r>
        <w:t xml:space="preserve">equilibrated </w:t>
      </w:r>
      <w:r w:rsidR="00696D71">
        <w:t xml:space="preserve">residual </w:t>
      </w:r>
      <w:r>
        <w:t xml:space="preserve">void flow regime. </w:t>
      </w:r>
      <w:r w:rsidR="004E0974" w:rsidRPr="004E0974">
        <w:t>Re</w:t>
      </w:r>
      <w:r w:rsidR="004E0974">
        <w:t>cent re</w:t>
      </w:r>
      <w:r w:rsidR="004E0974" w:rsidRPr="004E0974">
        <w:t xml:space="preserve">sults from </w:t>
      </w:r>
      <w:r w:rsidR="0080736A">
        <w:t xml:space="preserve">climate model simulations </w:t>
      </w:r>
      <w:r w:rsidR="004E0974" w:rsidRPr="004E0974">
        <w:t xml:space="preserve">under the sixth phase of </w:t>
      </w:r>
      <w:r w:rsidR="0080736A">
        <w:t xml:space="preserve">the international </w:t>
      </w:r>
      <w:r w:rsidR="0080736A" w:rsidRPr="0080736A">
        <w:t>Coupled Model Inter</w:t>
      </w:r>
      <w:r w:rsidR="0080736A">
        <w:t>-</w:t>
      </w:r>
      <w:r w:rsidR="0080736A" w:rsidRPr="0080736A">
        <w:t xml:space="preserve">comparison Project </w:t>
      </w:r>
      <w:r w:rsidR="004E0974" w:rsidRPr="004E0974">
        <w:t>CMIP (CMIP6)</w:t>
      </w:r>
      <w:r w:rsidR="004E0974">
        <w:t xml:space="preserve"> (to be </w:t>
      </w:r>
      <w:r w:rsidR="004E0974" w:rsidRPr="004E0974">
        <w:t xml:space="preserve">assessed in the </w:t>
      </w:r>
      <w:r w:rsidR="0080736A" w:rsidRPr="0080736A">
        <w:t xml:space="preserve">Intergovernmental Panel on Climate Change </w:t>
      </w:r>
      <w:r w:rsidR="0080736A">
        <w:t>(</w:t>
      </w:r>
      <w:r w:rsidR="004E0974" w:rsidRPr="004E0974">
        <w:t>IPCC</w:t>
      </w:r>
      <w:r w:rsidR="0080736A">
        <w:t>)</w:t>
      </w:r>
      <w:r w:rsidR="004E0974" w:rsidRPr="004E0974">
        <w:t xml:space="preserve"> Sixth Assessment Report </w:t>
      </w:r>
      <w:r w:rsidR="004E0974">
        <w:t>in 2021)</w:t>
      </w:r>
      <w:r w:rsidR="004E0974" w:rsidRPr="004E0974">
        <w:t xml:space="preserve"> </w:t>
      </w:r>
      <w:r w:rsidR="004E0974">
        <w:t>indicate a signiﬁcant drying of southwest Australia in the cool season and less certain or less signiﬁcant rainfall projections elsewhere</w:t>
      </w:r>
      <w:r w:rsidR="0080736A">
        <w:t xml:space="preserve">, including the Northern Australian monsoon region (Grose et al., 2020). </w:t>
      </w:r>
    </w:p>
    <w:p w14:paraId="03BAB866" w14:textId="4599B028" w:rsidR="009A30AE" w:rsidRDefault="00431D4F" w:rsidP="009A30AE">
      <w:pPr>
        <w:pStyle w:val="BodyText"/>
      </w:pPr>
      <w:r>
        <w:t xml:space="preserve">Drier conditions may reduce </w:t>
      </w:r>
      <w:r w:rsidR="00696D71">
        <w:t>‘</w:t>
      </w:r>
      <w:r>
        <w:t>pit lake</w:t>
      </w:r>
      <w:r w:rsidR="00696D71">
        <w:t>’</w:t>
      </w:r>
      <w:r>
        <w:t xml:space="preserve"> water levels to the extent that </w:t>
      </w:r>
      <w:r w:rsidRPr="00431D4F">
        <w:rPr>
          <w:i/>
          <w:iCs/>
        </w:rPr>
        <w:t>groundwater throughflow regimes</w:t>
      </w:r>
      <w:r>
        <w:t xml:space="preserve"> evolve into </w:t>
      </w:r>
      <w:r w:rsidRPr="00431D4F">
        <w:rPr>
          <w:i/>
          <w:iCs/>
        </w:rPr>
        <w:t>terminal sink flow regimes</w:t>
      </w:r>
      <w:r w:rsidR="0022680E">
        <w:rPr>
          <w:iCs/>
        </w:rPr>
        <w:t>,</w:t>
      </w:r>
      <w:r>
        <w:t xml:space="preserve"> </w:t>
      </w:r>
      <w:r w:rsidR="0022680E">
        <w:t>w</w:t>
      </w:r>
      <w:r>
        <w:t>hil</w:t>
      </w:r>
      <w:r w:rsidR="0022680E">
        <w:t>st</w:t>
      </w:r>
      <w:r>
        <w:t xml:space="preserve"> </w:t>
      </w:r>
      <w:r w:rsidR="009A30AE">
        <w:t xml:space="preserve">a wetter climate </w:t>
      </w:r>
      <w:r>
        <w:t xml:space="preserve">may result in rising </w:t>
      </w:r>
      <w:r w:rsidR="00696D71">
        <w:t>‘</w:t>
      </w:r>
      <w:r>
        <w:t>pit lake</w:t>
      </w:r>
      <w:r w:rsidR="00696D71">
        <w:t>’</w:t>
      </w:r>
      <w:r>
        <w:t xml:space="preserve"> water levels and </w:t>
      </w:r>
      <w:r w:rsidR="009A30AE">
        <w:t xml:space="preserve">previously </w:t>
      </w:r>
      <w:r w:rsidR="009A30AE" w:rsidRPr="00D34BBB">
        <w:rPr>
          <w:i/>
          <w:iCs/>
        </w:rPr>
        <w:t xml:space="preserve">terminal </w:t>
      </w:r>
      <w:r w:rsidRPr="00D34BBB">
        <w:rPr>
          <w:i/>
          <w:iCs/>
        </w:rPr>
        <w:t>sink flow regimes</w:t>
      </w:r>
      <w:r>
        <w:t xml:space="preserve"> </w:t>
      </w:r>
      <w:r w:rsidR="009A30AE">
        <w:t>be</w:t>
      </w:r>
      <w:r>
        <w:t>come</w:t>
      </w:r>
      <w:r w:rsidR="009A30AE">
        <w:t xml:space="preserve"> </w:t>
      </w:r>
      <w:r w:rsidRPr="00431D4F">
        <w:rPr>
          <w:i/>
          <w:iCs/>
        </w:rPr>
        <w:t>surface</w:t>
      </w:r>
      <w:r>
        <w:t xml:space="preserve"> or </w:t>
      </w:r>
      <w:r w:rsidRPr="00431D4F">
        <w:rPr>
          <w:i/>
          <w:iCs/>
        </w:rPr>
        <w:t xml:space="preserve">groundwater </w:t>
      </w:r>
      <w:r w:rsidR="009A30AE" w:rsidRPr="00431D4F">
        <w:rPr>
          <w:i/>
          <w:iCs/>
        </w:rPr>
        <w:t xml:space="preserve">flow-through </w:t>
      </w:r>
      <w:r w:rsidRPr="00431D4F">
        <w:rPr>
          <w:i/>
          <w:iCs/>
        </w:rPr>
        <w:t>regimes</w:t>
      </w:r>
      <w:r w:rsidR="005B20DE" w:rsidRPr="005B20DE">
        <w:t xml:space="preserve"> </w:t>
      </w:r>
      <w:r w:rsidR="005B20DE">
        <w:t>(Kumar et al., 2009).</w:t>
      </w:r>
      <w:r w:rsidR="00696D71">
        <w:t xml:space="preserve"> Wetter climates also heighten the risk of the residual void </w:t>
      </w:r>
      <w:r w:rsidR="00D80266">
        <w:t xml:space="preserve">over-topping or </w:t>
      </w:r>
      <w:r w:rsidR="00696D71">
        <w:t xml:space="preserve">flooding. </w:t>
      </w:r>
    </w:p>
    <w:p w14:paraId="33AFB857" w14:textId="1032FD2D" w:rsidR="00BE089A" w:rsidRDefault="004D1D40" w:rsidP="00C96CE0">
      <w:pPr>
        <w:pStyle w:val="BodyText"/>
      </w:pPr>
      <w:r>
        <w:t xml:space="preserve">Importantly, climate changes have the potential to affect all components of a </w:t>
      </w:r>
      <w:r w:rsidR="00696D71">
        <w:t xml:space="preserve">residual </w:t>
      </w:r>
      <w:r>
        <w:t xml:space="preserve">void’s hydrologic system. Each flow component will require evaluation to predict the effect of long-term climate changes and potential implications to the </w:t>
      </w:r>
      <w:r w:rsidR="00696D71">
        <w:t xml:space="preserve">residual </w:t>
      </w:r>
      <w:r>
        <w:t>void’s flow regime (</w:t>
      </w:r>
      <w:r w:rsidR="005B20DE" w:rsidRPr="005B20DE">
        <w:t>Mines Lakes Consulting, 2017)</w:t>
      </w:r>
      <w:r>
        <w:t>.</w:t>
      </w:r>
      <w:r w:rsidR="00BE089A">
        <w:t xml:space="preserve"> Hydrology </w:t>
      </w:r>
      <w:r w:rsidR="00C96CE0">
        <w:t>designs that can accommodate the deep uncertainty associated with changes to future climate is crucial to the successful closure of a mine site (</w:t>
      </w:r>
      <w:r w:rsidR="00F8574C">
        <w:t>Zhan et al., 2020</w:t>
      </w:r>
      <w:r w:rsidR="00C96CE0">
        <w:t>).</w:t>
      </w:r>
    </w:p>
    <w:p w14:paraId="011DC534" w14:textId="0B90A163" w:rsidR="00574979" w:rsidRDefault="00574979" w:rsidP="00574979">
      <w:pPr>
        <w:pStyle w:val="Heading3"/>
      </w:pPr>
      <w:bookmarkStart w:id="73" w:name="_Toc87278326"/>
      <w:r>
        <w:lastRenderedPageBreak/>
        <w:t>Potential impacts</w:t>
      </w:r>
      <w:bookmarkEnd w:id="73"/>
    </w:p>
    <w:p w14:paraId="73C6B46E" w14:textId="35DAF701" w:rsidR="00E976AC" w:rsidRDefault="00837FC1" w:rsidP="00936AD0">
      <w:pPr>
        <w:pStyle w:val="BodyText"/>
      </w:pPr>
      <w:r>
        <w:t xml:space="preserve">Following mine cessation, </w:t>
      </w:r>
      <w:r w:rsidR="00E976AC">
        <w:t xml:space="preserve">all </w:t>
      </w:r>
      <w:r w:rsidR="00FD7109">
        <w:t>residual</w:t>
      </w:r>
      <w:r>
        <w:t xml:space="preserve"> voids have the potential to affect </w:t>
      </w:r>
      <w:r w:rsidR="00E976AC">
        <w:t xml:space="preserve">the flow regimes </w:t>
      </w:r>
      <w:r w:rsidR="00386A13">
        <w:t xml:space="preserve">and qualities </w:t>
      </w:r>
      <w:r w:rsidR="00E976AC">
        <w:t xml:space="preserve">of surrounding </w:t>
      </w:r>
      <w:r>
        <w:t>groundwater and surface water resources</w:t>
      </w:r>
      <w:r w:rsidR="00E976AC">
        <w:t xml:space="preserve"> at </w:t>
      </w:r>
      <w:r w:rsidR="00FD7109">
        <w:t xml:space="preserve">variable </w:t>
      </w:r>
      <w:r w:rsidR="00E976AC">
        <w:t>scale</w:t>
      </w:r>
      <w:r w:rsidR="00FD7109">
        <w:t>s</w:t>
      </w:r>
      <w:r w:rsidR="00E976AC">
        <w:t xml:space="preserve">. </w:t>
      </w:r>
      <w:r w:rsidR="00386A13">
        <w:t xml:space="preserve">Understanding the risks such features present in the landscape will require an evaluation on a site-by-site basis. </w:t>
      </w:r>
      <w:r w:rsidR="00D80266">
        <w:t>Importantly, a</w:t>
      </w:r>
      <w:r w:rsidR="00E976AC">
        <w:t xml:space="preserve">ny </w:t>
      </w:r>
      <w:r w:rsidR="00FD7109">
        <w:t xml:space="preserve">residual </w:t>
      </w:r>
      <w:r w:rsidR="00E976AC">
        <w:t>void subject to flooding ha</w:t>
      </w:r>
      <w:r w:rsidR="00386A13">
        <w:t xml:space="preserve">s </w:t>
      </w:r>
      <w:r w:rsidR="00E976AC">
        <w:t>the potential to</w:t>
      </w:r>
      <w:r w:rsidR="00936AD0">
        <w:t xml:space="preserve"> flush poor quality ‘pit lake’ water to nearby waterways</w:t>
      </w:r>
      <w:r w:rsidR="00FD7109">
        <w:t xml:space="preserve"> and underlying groundwater systems</w:t>
      </w:r>
      <w:r w:rsidR="00936AD0">
        <w:t xml:space="preserve">. </w:t>
      </w:r>
    </w:p>
    <w:p w14:paraId="63A2DB79" w14:textId="0B82B539" w:rsidR="00F55466" w:rsidRDefault="00F55466" w:rsidP="00E976AC">
      <w:pPr>
        <w:pStyle w:val="BodyText"/>
      </w:pPr>
      <w:r>
        <w:t>The potential magnitude</w:t>
      </w:r>
      <w:r w:rsidR="00237865">
        <w:t xml:space="preserve"> and scale</w:t>
      </w:r>
      <w:r>
        <w:t xml:space="preserve"> of these affects and the potential impacts to connected receptors (e.g. GDEs, surface water ecosystem</w:t>
      </w:r>
      <w:r w:rsidR="00FD7109">
        <w:t>s</w:t>
      </w:r>
      <w:r>
        <w:t xml:space="preserve">, groundwater and surface water users) will be site specific and require </w:t>
      </w:r>
      <w:r w:rsidR="00604FF4">
        <w:t>an understanding of the proximity and sensitivity of potential receptors</w:t>
      </w:r>
      <w:r w:rsidR="00386A13">
        <w:t>.</w:t>
      </w:r>
      <w:r w:rsidR="00604FF4">
        <w:t xml:space="preserve"> </w:t>
      </w:r>
    </w:p>
    <w:p w14:paraId="306F0E8B" w14:textId="357CFFF7" w:rsidR="00B35751" w:rsidRDefault="00B35751" w:rsidP="00E976AC">
      <w:pPr>
        <w:pStyle w:val="BodyText"/>
      </w:pPr>
      <w:r>
        <w:t xml:space="preserve">An important aspect in understanding potential impacts and </w:t>
      </w:r>
      <w:r w:rsidR="006F0069">
        <w:t xml:space="preserve">decisions regarding rehabilitation planning and management will be the timescale (e.g. decades, centuries or </w:t>
      </w:r>
      <w:r w:rsidR="006F0069" w:rsidRPr="006F0069">
        <w:t>millenn</w:t>
      </w:r>
      <w:r w:rsidR="006F0069">
        <w:t xml:space="preserve">ia) over which equilibrium or quasi-equilibrium conditions will take to be reached and the evolution </w:t>
      </w:r>
      <w:r w:rsidR="00D771A7">
        <w:t xml:space="preserve">and rate of change </w:t>
      </w:r>
      <w:r w:rsidR="006F0069">
        <w:t xml:space="preserve">of the flow regime </w:t>
      </w:r>
      <w:r w:rsidR="000F551D">
        <w:t xml:space="preserve">and its water quality </w:t>
      </w:r>
      <w:r w:rsidR="006F0069">
        <w:t xml:space="preserve">during this time. </w:t>
      </w:r>
    </w:p>
    <w:p w14:paraId="78EE9504" w14:textId="6CBFC3D6" w:rsidR="00837FC1" w:rsidRDefault="00F55466" w:rsidP="00837FC1">
      <w:pPr>
        <w:pStyle w:val="BodyText"/>
      </w:pPr>
      <w:r>
        <w:t xml:space="preserve">The potential </w:t>
      </w:r>
      <w:r w:rsidRPr="00F55466">
        <w:t>cumulative impact</w:t>
      </w:r>
      <w:r>
        <w:t>s</w:t>
      </w:r>
      <w:r w:rsidRPr="00F55466">
        <w:t xml:space="preserve"> of </w:t>
      </w:r>
      <w:r>
        <w:t xml:space="preserve">multiple </w:t>
      </w:r>
      <w:r w:rsidR="00FD7109">
        <w:t xml:space="preserve">residual </w:t>
      </w:r>
      <w:r>
        <w:t xml:space="preserve">voids </w:t>
      </w:r>
      <w:r w:rsidRPr="00F55466">
        <w:t>in relatively small area</w:t>
      </w:r>
      <w:r>
        <w:t xml:space="preserve">s also requires consideration. </w:t>
      </w:r>
      <w:r w:rsidR="00237865">
        <w:t>That is,</w:t>
      </w:r>
      <w:r>
        <w:t xml:space="preserve"> </w:t>
      </w:r>
      <w:r w:rsidRPr="00F55466">
        <w:t>individual</w:t>
      </w:r>
      <w:r>
        <w:t xml:space="preserve"> or single residual voids</w:t>
      </w:r>
      <w:r w:rsidRPr="00F55466">
        <w:t xml:space="preserve"> may not pose a significant long-term </w:t>
      </w:r>
      <w:r>
        <w:t>risk</w:t>
      </w:r>
      <w:r w:rsidR="004C52BE">
        <w:t>;</w:t>
      </w:r>
      <w:r>
        <w:t xml:space="preserve"> h</w:t>
      </w:r>
      <w:r w:rsidRPr="00F55466">
        <w:t>owever</w:t>
      </w:r>
      <w:r w:rsidR="004C52BE">
        <w:t>,</w:t>
      </w:r>
      <w:r w:rsidRPr="00F55466">
        <w:t xml:space="preserve"> collectively </w:t>
      </w:r>
      <w:r>
        <w:t xml:space="preserve">multiple residual </w:t>
      </w:r>
      <w:r w:rsidRPr="00F55466">
        <w:t xml:space="preserve">voids </w:t>
      </w:r>
      <w:r w:rsidR="00237865">
        <w:t xml:space="preserve">in the landscape </w:t>
      </w:r>
      <w:r w:rsidRPr="00F55466">
        <w:t xml:space="preserve">may </w:t>
      </w:r>
      <w:r>
        <w:t>present a</w:t>
      </w:r>
      <w:r w:rsidRPr="00F55466">
        <w:t xml:space="preserve"> </w:t>
      </w:r>
      <w:r>
        <w:t xml:space="preserve">significant source of </w:t>
      </w:r>
      <w:r w:rsidRPr="00F55466">
        <w:t xml:space="preserve">diffuse </w:t>
      </w:r>
      <w:r>
        <w:t xml:space="preserve">contamination </w:t>
      </w:r>
      <w:r w:rsidR="00237865">
        <w:t>and/or water source depletion</w:t>
      </w:r>
      <w:r w:rsidRPr="00F55466">
        <w:t>.</w:t>
      </w:r>
    </w:p>
    <w:p w14:paraId="5BF0E58D" w14:textId="14332455" w:rsidR="00DE64D8" w:rsidRDefault="00E908E7" w:rsidP="00E908E7">
      <w:pPr>
        <w:pStyle w:val="Heading2"/>
      </w:pPr>
      <w:bookmarkStart w:id="74" w:name="_Ref55988119"/>
      <w:bookmarkStart w:id="75" w:name="_Toc87278327"/>
      <w:r>
        <w:t>Partially</w:t>
      </w:r>
      <w:r w:rsidR="00325E4E">
        <w:t>-</w:t>
      </w:r>
      <w:r>
        <w:t>filled final void</w:t>
      </w:r>
      <w:bookmarkEnd w:id="74"/>
      <w:bookmarkEnd w:id="75"/>
    </w:p>
    <w:p w14:paraId="505B8376" w14:textId="54C6D121" w:rsidR="005A6378" w:rsidRDefault="007C6157" w:rsidP="00E908E7">
      <w:pPr>
        <w:pStyle w:val="BodyText"/>
      </w:pPr>
      <w:r>
        <w:t>A partially</w:t>
      </w:r>
      <w:r w:rsidR="00325E4E">
        <w:t>-</w:t>
      </w:r>
      <w:r>
        <w:t xml:space="preserve">filled </w:t>
      </w:r>
      <w:r w:rsidR="00E908E7">
        <w:t xml:space="preserve">final void is partly filled with spoils to a designated elevation and reshaped. </w:t>
      </w:r>
      <w:r>
        <w:t>The design is such that a</w:t>
      </w:r>
      <w:r w:rsidR="00E908E7">
        <w:t xml:space="preserve"> shallow water table within spoils prevails at equilibrium rather than a </w:t>
      </w:r>
      <w:r>
        <w:t>‘</w:t>
      </w:r>
      <w:r w:rsidR="00E908E7">
        <w:t>pit lake</w:t>
      </w:r>
      <w:r>
        <w:t>’</w:t>
      </w:r>
      <w:r w:rsidR="0006462E">
        <w:t xml:space="preserve">, </w:t>
      </w:r>
      <w:r w:rsidR="005A6378">
        <w:t>generally</w:t>
      </w:r>
      <w:r w:rsidR="0006462E">
        <w:t xml:space="preserve"> mitigating the potential water quality issues that may arise in terminal sink and flow through residual void</w:t>
      </w:r>
      <w:r w:rsidR="005A6378">
        <w:t xml:space="preserve"> regime</w:t>
      </w:r>
      <w:r w:rsidR="0006462E">
        <w:t xml:space="preserve">s. </w:t>
      </w:r>
      <w:r w:rsidR="00E908E7">
        <w:t xml:space="preserve"> </w:t>
      </w:r>
    </w:p>
    <w:p w14:paraId="2FD8BB90" w14:textId="7A7AB415" w:rsidR="00DE64D8" w:rsidRDefault="00E908E7" w:rsidP="00E908E7">
      <w:pPr>
        <w:pStyle w:val="BodyText"/>
      </w:pPr>
      <w:r>
        <w:t>Rainfall to the partially</w:t>
      </w:r>
      <w:r w:rsidR="00325E4E">
        <w:t>-</w:t>
      </w:r>
      <w:r>
        <w:t>filled void, rainfall</w:t>
      </w:r>
      <w:r w:rsidRPr="00E908E7">
        <w:t xml:space="preserve"> </w:t>
      </w:r>
      <w:r>
        <w:t>runoff from rehabilitated spoils, rainwater percolation through spoils and groundwater seepage are balanced by evaporative losses from the shallow water table within the void.</w:t>
      </w:r>
      <w:r w:rsidR="0006462E">
        <w:t xml:space="preserve"> </w:t>
      </w:r>
    </w:p>
    <w:p w14:paraId="60408794" w14:textId="28C67D30" w:rsidR="00AD2DEB" w:rsidRDefault="00AD2DEB" w:rsidP="00AD2DEB">
      <w:pPr>
        <w:pStyle w:val="Caption"/>
      </w:pPr>
      <w:bookmarkStart w:id="76" w:name="_Toc65140602"/>
      <w:r>
        <w:t xml:space="preserve">Figure </w:t>
      </w:r>
      <w:fldSimple w:instr=" STYLEREF 1 \s ">
        <w:r w:rsidR="00937ADD">
          <w:rPr>
            <w:noProof/>
          </w:rPr>
          <w:t>3</w:t>
        </w:r>
      </w:fldSimple>
      <w:r>
        <w:noBreakHyphen/>
      </w:r>
      <w:fldSimple w:instr=" SEQ Figure \* ARABIC \s 1 ">
        <w:r w:rsidR="00937ADD">
          <w:rPr>
            <w:noProof/>
          </w:rPr>
          <w:t>6</w:t>
        </w:r>
      </w:fldSimple>
      <w:r>
        <w:t xml:space="preserve"> Conceptualised equilibrium condition of partially filled residual void (adapted from Mackie, 2009)</w:t>
      </w:r>
      <w:bookmarkEnd w:id="76"/>
    </w:p>
    <w:p w14:paraId="0B349A03" w14:textId="114A51EC" w:rsidR="00AD2DEB" w:rsidRPr="00AD2DEB" w:rsidRDefault="00AD2DEB" w:rsidP="00AD2DEB">
      <w:pPr>
        <w:pStyle w:val="BodyText"/>
      </w:pPr>
      <w:r>
        <w:rPr>
          <w:noProof/>
        </w:rPr>
        <w:drawing>
          <wp:inline distT="0" distB="0" distL="0" distR="0" wp14:anchorId="6B357C1C" wp14:editId="14820AE6">
            <wp:extent cx="5760000" cy="2826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000" cy="2826000"/>
                    </a:xfrm>
                    <a:prstGeom prst="rect">
                      <a:avLst/>
                    </a:prstGeom>
                  </pic:spPr>
                </pic:pic>
              </a:graphicData>
            </a:graphic>
          </wp:inline>
        </w:drawing>
      </w:r>
    </w:p>
    <w:p w14:paraId="7A79B697" w14:textId="24E1D7C2" w:rsidR="00DE64D8" w:rsidRDefault="00E908E7" w:rsidP="00E908E7">
      <w:pPr>
        <w:pStyle w:val="Heading2"/>
      </w:pPr>
      <w:bookmarkStart w:id="77" w:name="_Ref55988124"/>
      <w:bookmarkStart w:id="78" w:name="_Toc87278328"/>
      <w:bookmarkStart w:id="79" w:name="_Hlk57284677"/>
      <w:r>
        <w:lastRenderedPageBreak/>
        <w:t>Complete void filling</w:t>
      </w:r>
      <w:bookmarkEnd w:id="77"/>
      <w:bookmarkEnd w:id="78"/>
    </w:p>
    <w:bookmarkEnd w:id="79"/>
    <w:p w14:paraId="54114630" w14:textId="74CA6F61" w:rsidR="004A5D70" w:rsidRDefault="00574979" w:rsidP="00386A13">
      <w:pPr>
        <w:pStyle w:val="BodyText"/>
      </w:pPr>
      <w:r>
        <w:t>In cases of complete void filling, n</w:t>
      </w:r>
      <w:r w:rsidR="00E908E7">
        <w:t xml:space="preserve">o </w:t>
      </w:r>
      <w:r>
        <w:t>‘</w:t>
      </w:r>
      <w:r w:rsidR="00E908E7">
        <w:t>pit lake</w:t>
      </w:r>
      <w:r>
        <w:t>’</w:t>
      </w:r>
      <w:r w:rsidR="00E908E7">
        <w:t xml:space="preserve"> or shallow watertable prevails at equilibrium. </w:t>
      </w:r>
      <w:r>
        <w:t>T</w:t>
      </w:r>
      <w:r w:rsidR="00E908E7">
        <w:t>he recovered watertable rises within the waste rock dump until spillage occurs at the most vulnerable location</w:t>
      </w:r>
      <w:r>
        <w:t xml:space="preserve"> which may </w:t>
      </w:r>
      <w:r w:rsidR="00E908E7">
        <w:t>be an exit point to a surface drainage, or diffuse spillage at a predictable but low rate through shallow more permeable strata connected to the pit shell.</w:t>
      </w:r>
      <w:r w:rsidRPr="00574979">
        <w:t xml:space="preserve"> </w:t>
      </w:r>
      <w:r>
        <w:t xml:space="preserve">Complete void backfilling is commonly undertaken to mitigate issues associated with poor </w:t>
      </w:r>
      <w:r w:rsidR="009A47EE">
        <w:t>‘</w:t>
      </w:r>
      <w:r>
        <w:t>pit lake</w:t>
      </w:r>
      <w:r w:rsidR="009A47EE">
        <w:t>’</w:t>
      </w:r>
      <w:r>
        <w:t xml:space="preserve"> water quality</w:t>
      </w:r>
      <w:r w:rsidR="005A6378">
        <w:t xml:space="preserve"> potentially</w:t>
      </w:r>
      <w:r>
        <w:t xml:space="preserve"> developing from weathering of PAF material in the pit void and pit walls.</w:t>
      </w:r>
      <w:r w:rsidR="00325E4E">
        <w:t xml:space="preserve"> It should be n</w:t>
      </w:r>
      <w:r w:rsidR="008E6242">
        <w:t>o</w:t>
      </w:r>
      <w:r w:rsidR="00325E4E">
        <w:t xml:space="preserve">ted that the backfilling material will generally have a more porous </w:t>
      </w:r>
      <w:r w:rsidR="008E6242">
        <w:t>structure</w:t>
      </w:r>
      <w:r w:rsidR="00C7021C">
        <w:t>,</w:t>
      </w:r>
      <w:r w:rsidR="008E6242">
        <w:t xml:space="preserve"> and hence high hydraulic conductivity</w:t>
      </w:r>
      <w:r w:rsidR="00C7021C">
        <w:t>,</w:t>
      </w:r>
      <w:r w:rsidR="008E6242">
        <w:t xml:space="preserve"> which will drive faster watertable response (both rising and falling) in the vicinity of the spoil. </w:t>
      </w:r>
    </w:p>
    <w:p w14:paraId="1F544CD7" w14:textId="7BEA8FBC" w:rsidR="00926DBF" w:rsidRDefault="00926DBF" w:rsidP="00926DBF">
      <w:pPr>
        <w:pStyle w:val="Caption"/>
      </w:pPr>
      <w:bookmarkStart w:id="80" w:name="_Toc65140603"/>
      <w:r>
        <w:t xml:space="preserve">Figure </w:t>
      </w:r>
      <w:fldSimple w:instr=" STYLEREF 1 \s ">
        <w:r w:rsidR="00937ADD">
          <w:rPr>
            <w:noProof/>
          </w:rPr>
          <w:t>3</w:t>
        </w:r>
      </w:fldSimple>
      <w:r w:rsidR="002706A0">
        <w:noBreakHyphen/>
      </w:r>
      <w:fldSimple w:instr=" SEQ Figure \* ARABIC \s 1 ">
        <w:r w:rsidR="00937ADD">
          <w:rPr>
            <w:noProof/>
          </w:rPr>
          <w:t>7</w:t>
        </w:r>
      </w:fldSimple>
      <w:r>
        <w:t xml:space="preserve"> Conceptualised equilibrium condition of completely filled void</w:t>
      </w:r>
      <w:r w:rsidR="004D7C10">
        <w:t xml:space="preserve"> (adapted from Mackie, 2009)</w:t>
      </w:r>
      <w:bookmarkEnd w:id="80"/>
    </w:p>
    <w:p w14:paraId="007B2428" w14:textId="68A02BEB" w:rsidR="00AD2DEB" w:rsidRPr="00AD2DEB" w:rsidRDefault="00AD2DEB" w:rsidP="00AD2DEB">
      <w:pPr>
        <w:pStyle w:val="BodyText"/>
      </w:pPr>
      <w:r>
        <w:rPr>
          <w:noProof/>
        </w:rPr>
        <w:drawing>
          <wp:inline distT="0" distB="0" distL="0" distR="0" wp14:anchorId="63C1C82F" wp14:editId="6113D133">
            <wp:extent cx="5760000" cy="2822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000" cy="2822400"/>
                    </a:xfrm>
                    <a:prstGeom prst="rect">
                      <a:avLst/>
                    </a:prstGeom>
                  </pic:spPr>
                </pic:pic>
              </a:graphicData>
            </a:graphic>
          </wp:inline>
        </w:drawing>
      </w:r>
    </w:p>
    <w:p w14:paraId="72F4D40D" w14:textId="77777777" w:rsidR="00926DBF" w:rsidRDefault="00926DBF" w:rsidP="00386A13">
      <w:pPr>
        <w:pStyle w:val="BodyText"/>
      </w:pPr>
    </w:p>
    <w:p w14:paraId="447D3103" w14:textId="7F88C7E7" w:rsidR="00FD0530" w:rsidRDefault="00FD0530">
      <w:pPr>
        <w:rPr>
          <w:szCs w:val="22"/>
        </w:rPr>
      </w:pPr>
      <w:r>
        <w:br w:type="page"/>
      </w:r>
    </w:p>
    <w:p w14:paraId="7341C3C4" w14:textId="47357A58" w:rsidR="00441131" w:rsidRDefault="00D31B21" w:rsidP="00FE0564">
      <w:pPr>
        <w:pStyle w:val="Heading1"/>
      </w:pPr>
      <w:bookmarkStart w:id="81" w:name="_Ref56588340"/>
      <w:bookmarkStart w:id="82" w:name="_Toc87278329"/>
      <w:r>
        <w:lastRenderedPageBreak/>
        <w:t>Database of o</w:t>
      </w:r>
      <w:r w:rsidR="00FE0564" w:rsidRPr="001B6CFC">
        <w:t>pen</w:t>
      </w:r>
      <w:r w:rsidR="007A66BF" w:rsidRPr="001B6CFC">
        <w:t xml:space="preserve"> </w:t>
      </w:r>
      <w:r w:rsidR="00521B26">
        <w:t>cut</w:t>
      </w:r>
      <w:r w:rsidR="007A66BF" w:rsidRPr="001B6CFC">
        <w:t xml:space="preserve"> coal mines</w:t>
      </w:r>
      <w:r w:rsidR="00AE1995" w:rsidRPr="001B6CFC">
        <w:t xml:space="preserve"> in Queensland</w:t>
      </w:r>
      <w:bookmarkEnd w:id="81"/>
      <w:bookmarkEnd w:id="82"/>
    </w:p>
    <w:p w14:paraId="120AD092" w14:textId="3826896C" w:rsidR="00BC2FF3" w:rsidRDefault="00BC2FF3" w:rsidP="00BC2FF3">
      <w:pPr>
        <w:pStyle w:val="Heading2"/>
      </w:pPr>
      <w:bookmarkStart w:id="83" w:name="_Toc87278330"/>
      <w:r>
        <w:t>Introduction</w:t>
      </w:r>
      <w:bookmarkEnd w:id="83"/>
    </w:p>
    <w:p w14:paraId="0E7186EB" w14:textId="7CD09B10" w:rsidR="00E928C3" w:rsidRDefault="001D2ED7" w:rsidP="00BC2FF3">
      <w:pPr>
        <w:pStyle w:val="BodyText"/>
      </w:pPr>
      <w:r w:rsidRPr="001D2ED7">
        <w:t xml:space="preserve">The </w:t>
      </w:r>
      <w:r>
        <w:t xml:space="preserve">approach to preparing the scoping study </w:t>
      </w:r>
      <w:r w:rsidRPr="001D2ED7">
        <w:t>database of current open</w:t>
      </w:r>
      <w:r w:rsidR="004C52BE">
        <w:t>-</w:t>
      </w:r>
      <w:r w:rsidRPr="001D2ED7">
        <w:t>cut coal mine</w:t>
      </w:r>
      <w:r w:rsidR="00BC4812">
        <w:t>s</w:t>
      </w:r>
      <w:r w:rsidRPr="001D2ED7">
        <w:t xml:space="preserve"> in Queensland</w:t>
      </w:r>
      <w:r>
        <w:t xml:space="preserve"> is described in Section </w:t>
      </w:r>
      <w:r>
        <w:fldChar w:fldCharType="begin"/>
      </w:r>
      <w:r>
        <w:instrText xml:space="preserve"> REF _Ref56584525 \n \h </w:instrText>
      </w:r>
      <w:r>
        <w:fldChar w:fldCharType="separate"/>
      </w:r>
      <w:r w:rsidR="00937ADD">
        <w:t>2.2</w:t>
      </w:r>
      <w:r>
        <w:fldChar w:fldCharType="end"/>
      </w:r>
      <w:r>
        <w:t xml:space="preserve">, including the data and information sources accessed. </w:t>
      </w:r>
      <w:r w:rsidR="00437FB5">
        <w:t>This section</w:t>
      </w:r>
      <w:r>
        <w:t xml:space="preserve"> summarises the contents of the database</w:t>
      </w:r>
      <w:r w:rsidR="00437FB5">
        <w:t xml:space="preserve">, including review of rehabilitation activities (Section </w:t>
      </w:r>
      <w:r w:rsidR="00437FB5">
        <w:fldChar w:fldCharType="begin"/>
      </w:r>
      <w:r w:rsidR="00437FB5">
        <w:instrText xml:space="preserve"> REF _Ref57393172 \w \h </w:instrText>
      </w:r>
      <w:r w:rsidR="00437FB5">
        <w:fldChar w:fldCharType="separate"/>
      </w:r>
      <w:r w:rsidR="00937ADD">
        <w:t>4.6</w:t>
      </w:r>
      <w:r w:rsidR="00437FB5">
        <w:fldChar w:fldCharType="end"/>
      </w:r>
      <w:r w:rsidR="00437FB5">
        <w:t>),</w:t>
      </w:r>
      <w:r>
        <w:t xml:space="preserve"> </w:t>
      </w:r>
      <w:r w:rsidR="00437FB5">
        <w:t>and provides</w:t>
      </w:r>
      <w:r>
        <w:t xml:space="preserve"> a </w:t>
      </w:r>
      <w:r w:rsidRPr="001D2ED7">
        <w:t xml:space="preserve">preliminary characterisation of </w:t>
      </w:r>
      <w:bookmarkStart w:id="84" w:name="_Hlk57473815"/>
      <w:r w:rsidRPr="001D2ED7">
        <w:t xml:space="preserve">the </w:t>
      </w:r>
      <w:r w:rsidR="00965F77">
        <w:t>vulnerability to potential impacts</w:t>
      </w:r>
      <w:r w:rsidR="005A2112">
        <w:t xml:space="preserve"> </w:t>
      </w:r>
      <w:r w:rsidR="005A6378">
        <w:t xml:space="preserve">that </w:t>
      </w:r>
      <w:r w:rsidRPr="001D2ED7">
        <w:t xml:space="preserve">residual voids pose in the landscape </w:t>
      </w:r>
      <w:r w:rsidR="00437FB5">
        <w:t>(</w:t>
      </w:r>
      <w:bookmarkEnd w:id="84"/>
      <w:r>
        <w:t xml:space="preserve">Section </w:t>
      </w:r>
      <w:r>
        <w:fldChar w:fldCharType="begin"/>
      </w:r>
      <w:r>
        <w:instrText xml:space="preserve"> REF _Ref57447390 \n \h </w:instrText>
      </w:r>
      <w:r>
        <w:fldChar w:fldCharType="separate"/>
      </w:r>
      <w:r w:rsidR="00937ADD">
        <w:t>4.7</w:t>
      </w:r>
      <w:r>
        <w:fldChar w:fldCharType="end"/>
      </w:r>
      <w:r w:rsidR="00437FB5">
        <w:t>)</w:t>
      </w:r>
      <w:r>
        <w:t xml:space="preserve">. </w:t>
      </w:r>
    </w:p>
    <w:p w14:paraId="3CFD2304" w14:textId="1B83D5C6" w:rsidR="00BC2FF3" w:rsidRDefault="001D2ED7" w:rsidP="00BC2FF3">
      <w:pPr>
        <w:pStyle w:val="BodyText"/>
      </w:pPr>
      <w:r>
        <w:t>In analysing the contents of the database, the following k</w:t>
      </w:r>
      <w:r w:rsidR="00BC2FF3">
        <w:t xml:space="preserve">ey assumptions and limitations </w:t>
      </w:r>
      <w:r>
        <w:t>apply</w:t>
      </w:r>
      <w:r w:rsidR="004C52BE">
        <w:t>.</w:t>
      </w:r>
      <w:r>
        <w:t xml:space="preserve"> </w:t>
      </w:r>
    </w:p>
    <w:p w14:paraId="5C7295DD" w14:textId="354DC247" w:rsidR="001D2ED7" w:rsidRDefault="00BC2FF3" w:rsidP="001628AA">
      <w:pPr>
        <w:pStyle w:val="BodyText"/>
        <w:numPr>
          <w:ilvl w:val="0"/>
          <w:numId w:val="59"/>
        </w:numPr>
        <w:spacing w:before="80" w:after="80"/>
      </w:pPr>
      <w:r>
        <w:t xml:space="preserve">The data and information supplied for operational, elevation and landform and rehabilitation parameters </w:t>
      </w:r>
      <w:r w:rsidR="00A86D31">
        <w:t>are</w:t>
      </w:r>
      <w:r>
        <w:t xml:space="preserve"> subject to change over time during the mine’s operational and closure phases.</w:t>
      </w:r>
    </w:p>
    <w:p w14:paraId="0AF24CB4" w14:textId="1DCE4269" w:rsidR="00294341" w:rsidRDefault="00BC2FF3" w:rsidP="001628AA">
      <w:pPr>
        <w:pStyle w:val="BodyText"/>
        <w:numPr>
          <w:ilvl w:val="0"/>
          <w:numId w:val="59"/>
        </w:numPr>
        <w:spacing w:before="80" w:after="80"/>
      </w:pPr>
      <w:r>
        <w:t xml:space="preserve">The information provided relates </w:t>
      </w:r>
      <w:r w:rsidR="00437FB5">
        <w:t xml:space="preserve">primarily </w:t>
      </w:r>
      <w:r>
        <w:t>to current open</w:t>
      </w:r>
      <w:r w:rsidR="004C52BE">
        <w:t>-cut</w:t>
      </w:r>
      <w:r>
        <w:t xml:space="preserve"> coal pits</w:t>
      </w:r>
      <w:r w:rsidR="00437FB5">
        <w:t xml:space="preserve"> and does</w:t>
      </w:r>
      <w:r>
        <w:t xml:space="preserve"> not </w:t>
      </w:r>
      <w:r w:rsidR="00437FB5">
        <w:t xml:space="preserve">include future </w:t>
      </w:r>
      <w:r>
        <w:t>residual coal mine voids that may remain in the landscape following mining cessation. Residual coal mine voids are typically left at the conclusion of open</w:t>
      </w:r>
      <w:r w:rsidR="004C52BE">
        <w:t>-</w:t>
      </w:r>
      <w:r>
        <w:t>cut mining with the size of these voids dictated by the depth of the open</w:t>
      </w:r>
      <w:r w:rsidR="004C52BE">
        <w:t>-</w:t>
      </w:r>
      <w:r>
        <w:t>cut, final slope design criteria, the extent of waste emplacement within the voids, mining sequenc</w:t>
      </w:r>
      <w:r w:rsidR="00437FB5">
        <w:t>ing</w:t>
      </w:r>
      <w:r>
        <w:t xml:space="preserve"> and rehabilitation commitments</w:t>
      </w:r>
      <w:r w:rsidR="001D2ED7">
        <w:t>.</w:t>
      </w:r>
      <w:r w:rsidR="00BD7388" w:rsidRPr="00BD7388">
        <w:t xml:space="preserve"> </w:t>
      </w:r>
    </w:p>
    <w:p w14:paraId="73BEF805" w14:textId="2BDE51BB" w:rsidR="001D2ED7" w:rsidRPr="008670A9" w:rsidRDefault="00BD7388" w:rsidP="001628AA">
      <w:pPr>
        <w:pStyle w:val="BodyText"/>
        <w:numPr>
          <w:ilvl w:val="0"/>
          <w:numId w:val="59"/>
        </w:numPr>
        <w:spacing w:before="80" w:after="80"/>
      </w:pPr>
      <w:r>
        <w:t xml:space="preserve">The area of a residual void defined by the void’s equilibrium water level and/or spill elevation </w:t>
      </w:r>
      <w:r w:rsidRPr="008670A9">
        <w:t>will be less than the planimetric area of the void remaining in the landscape.</w:t>
      </w:r>
    </w:p>
    <w:p w14:paraId="7C406806" w14:textId="7A19FF01" w:rsidR="006444F1" w:rsidRPr="008670A9" w:rsidRDefault="006444F1" w:rsidP="006444F1">
      <w:pPr>
        <w:pStyle w:val="BodyText"/>
        <w:numPr>
          <w:ilvl w:val="0"/>
          <w:numId w:val="59"/>
        </w:numPr>
        <w:spacing w:before="80" w:after="80"/>
      </w:pPr>
      <w:r w:rsidRPr="008670A9">
        <w:t>It was not possible to assign digitised open</w:t>
      </w:r>
      <w:r w:rsidR="004C52BE">
        <w:t>-cut</w:t>
      </w:r>
      <w:r w:rsidRPr="008670A9">
        <w:t xml:space="preserve"> coal pits to particular EA records in cases where the same ML number was listed under multiple EAs (i.e. EPML00318213</w:t>
      </w:r>
      <w:r w:rsidR="00FA01DD" w:rsidRPr="008670A9">
        <w:t xml:space="preserve">, </w:t>
      </w:r>
      <w:r w:rsidRPr="008670A9">
        <w:t>EPML00862313</w:t>
      </w:r>
      <w:r w:rsidR="00FA01DD" w:rsidRPr="008670A9">
        <w:t xml:space="preserve"> and </w:t>
      </w:r>
      <w:r w:rsidRPr="008670A9">
        <w:t>EPML00865013</w:t>
      </w:r>
      <w:r w:rsidR="00FA01DD" w:rsidRPr="008670A9">
        <w:t>).</w:t>
      </w:r>
    </w:p>
    <w:p w14:paraId="3972BDF7" w14:textId="3A23C15F" w:rsidR="00BC2FF3" w:rsidRDefault="00BC2FF3" w:rsidP="001628AA">
      <w:pPr>
        <w:pStyle w:val="BodyText"/>
        <w:numPr>
          <w:ilvl w:val="0"/>
          <w:numId w:val="59"/>
        </w:numPr>
        <w:spacing w:before="80" w:after="80"/>
      </w:pPr>
      <w:r w:rsidRPr="008670A9">
        <w:t>The open</w:t>
      </w:r>
      <w:r w:rsidR="004C52BE">
        <w:t>-cut</w:t>
      </w:r>
      <w:r w:rsidRPr="008670A9">
        <w:t xml:space="preserve"> coal pit digitisation exercise</w:t>
      </w:r>
      <w:r>
        <w:t xml:space="preserve"> includes all </w:t>
      </w:r>
      <w:r w:rsidR="00437FB5">
        <w:t xml:space="preserve">currently </w:t>
      </w:r>
      <w:r>
        <w:t>visible excavated areas associated with the mine site (e.g. excavated areas for waste rock emplacements), not just those areas associated</w:t>
      </w:r>
      <w:r w:rsidR="00437FB5">
        <w:t xml:space="preserve"> with</w:t>
      </w:r>
      <w:r>
        <w:t xml:space="preserve"> the extraction of the coal reserve.</w:t>
      </w:r>
    </w:p>
    <w:p w14:paraId="49396190" w14:textId="55CB2F81" w:rsidR="00294341" w:rsidRDefault="00DC49E0" w:rsidP="001628AA">
      <w:pPr>
        <w:pStyle w:val="BodyText"/>
        <w:numPr>
          <w:ilvl w:val="0"/>
          <w:numId w:val="59"/>
        </w:numPr>
        <w:spacing w:before="80" w:after="80"/>
      </w:pPr>
      <w:r>
        <w:t>T</w:t>
      </w:r>
      <w:r w:rsidRPr="00DC49E0">
        <w:t xml:space="preserve">he (vertical) elevation accuracy for SRTM DEM (~30 m </w:t>
      </w:r>
      <w:r w:rsidR="005A6378">
        <w:t xml:space="preserve">horizontal </w:t>
      </w:r>
      <w:r w:rsidRPr="00DC49E0">
        <w:t>resolution) varies across Australia, with significant differences for open, flat terrain relative to more mountainous regions. A generalized estimate of (vertical) elevation accuracy for SRTM DEM (~30 m resolution) across Australia is approximately ± 9.8 m.</w:t>
      </w:r>
      <w:r>
        <w:t xml:space="preserve"> This accuracy constraint </w:t>
      </w:r>
      <w:r w:rsidR="00294341">
        <w:t xml:space="preserve">specifically </w:t>
      </w:r>
      <w:r>
        <w:t xml:space="preserve">applies to the </w:t>
      </w:r>
      <w:r w:rsidRPr="00DC49E0">
        <w:t xml:space="preserve">minimum, maximum and mean elevations and </w:t>
      </w:r>
      <w:r>
        <w:t xml:space="preserve">calculated </w:t>
      </w:r>
      <w:r w:rsidRPr="00DC49E0">
        <w:t>slopes of the pits</w:t>
      </w:r>
      <w:r>
        <w:t xml:space="preserve"> as reported in the database. </w:t>
      </w:r>
    </w:p>
    <w:p w14:paraId="5D3F6191" w14:textId="21D9ABDA" w:rsidR="00DC49E0" w:rsidRPr="00BC2FF3" w:rsidRDefault="00294341" w:rsidP="001628AA">
      <w:pPr>
        <w:pStyle w:val="BodyText"/>
        <w:numPr>
          <w:ilvl w:val="0"/>
          <w:numId w:val="59"/>
        </w:numPr>
        <w:spacing w:before="80" w:after="80"/>
      </w:pPr>
      <w:r>
        <w:t>T</w:t>
      </w:r>
      <w:r w:rsidR="00DC49E0">
        <w:t xml:space="preserve">he SRTM DEM was acquired in </w:t>
      </w:r>
      <w:r w:rsidR="00DC49E0" w:rsidRPr="00DC49E0">
        <w:t>February 2000</w:t>
      </w:r>
      <w:r w:rsidR="00DC49E0">
        <w:t xml:space="preserve"> </w:t>
      </w:r>
      <w:r w:rsidR="00303C68">
        <w:t>(</w:t>
      </w:r>
      <w:r w:rsidR="00303C68">
        <w:fldChar w:fldCharType="begin"/>
      </w:r>
      <w:r w:rsidR="00303C68">
        <w:instrText xml:space="preserve"> REF _Ref54870801 \h </w:instrText>
      </w:r>
      <w:r w:rsidR="00303C68">
        <w:fldChar w:fldCharType="separate"/>
      </w:r>
      <w:r w:rsidR="00937ADD">
        <w:t xml:space="preserve">Table </w:t>
      </w:r>
      <w:r w:rsidR="00937ADD">
        <w:rPr>
          <w:noProof/>
        </w:rPr>
        <w:t>2</w:t>
      </w:r>
      <w:r w:rsidR="00937ADD">
        <w:noBreakHyphen/>
      </w:r>
      <w:r w:rsidR="00937ADD">
        <w:rPr>
          <w:noProof/>
        </w:rPr>
        <w:t>1</w:t>
      </w:r>
      <w:r w:rsidR="00303C68">
        <w:fldChar w:fldCharType="end"/>
      </w:r>
      <w:r w:rsidR="00303C68">
        <w:t xml:space="preserve">) </w:t>
      </w:r>
      <w:r w:rsidR="00DC49E0">
        <w:t xml:space="preserve">and may not reflect the current elevation of the mine site and its surrounds.        </w:t>
      </w:r>
    </w:p>
    <w:p w14:paraId="628082AF" w14:textId="3C92E889" w:rsidR="009D0FB5" w:rsidRPr="009D0FB5" w:rsidRDefault="009D0FB5" w:rsidP="009D0FB5">
      <w:pPr>
        <w:pStyle w:val="Heading2"/>
      </w:pPr>
      <w:bookmarkStart w:id="85" w:name="_Ref57294444"/>
      <w:bookmarkStart w:id="86" w:name="_Toc87278331"/>
      <w:r>
        <w:t xml:space="preserve">Current </w:t>
      </w:r>
      <w:r w:rsidR="0022680E">
        <w:t xml:space="preserve">open pit </w:t>
      </w:r>
      <w:r>
        <w:t>status</w:t>
      </w:r>
      <w:bookmarkEnd w:id="85"/>
      <w:bookmarkEnd w:id="86"/>
    </w:p>
    <w:p w14:paraId="5CE0AC82" w14:textId="10E385E8" w:rsidR="002E44DF" w:rsidRDefault="000E1687" w:rsidP="000E1687">
      <w:pPr>
        <w:pStyle w:val="BodyText"/>
      </w:pPr>
      <w:bookmarkStart w:id="87" w:name="_Hlk57446933"/>
      <w:bookmarkStart w:id="88" w:name="_Hlk59441712"/>
      <w:r>
        <w:t xml:space="preserve">The database of </w:t>
      </w:r>
      <w:r w:rsidRPr="000E1687">
        <w:t xml:space="preserve">current </w:t>
      </w:r>
      <w:r w:rsidR="00CA2F41">
        <w:t xml:space="preserve">(February 2021) </w:t>
      </w:r>
      <w:r w:rsidRPr="000E1687">
        <w:t>open</w:t>
      </w:r>
      <w:r w:rsidR="004C52BE">
        <w:t>-</w:t>
      </w:r>
      <w:r w:rsidR="00521B26">
        <w:t>cut</w:t>
      </w:r>
      <w:r w:rsidRPr="000E1687">
        <w:t xml:space="preserve"> coal mine</w:t>
      </w:r>
      <w:r w:rsidR="00437FB5">
        <w:t xml:space="preserve"> pit</w:t>
      </w:r>
      <w:r w:rsidRPr="000E1687">
        <w:t xml:space="preserve">s in Queensland </w:t>
      </w:r>
      <w:bookmarkEnd w:id="87"/>
      <w:r>
        <w:t>is documented in an Excel file</w:t>
      </w:r>
      <w:r w:rsidR="002C31E4">
        <w:t>, as an</w:t>
      </w:r>
      <w:r>
        <w:t xml:space="preserve"> accompan</w:t>
      </w:r>
      <w:r w:rsidR="002C31E4">
        <w:t>iment</w:t>
      </w:r>
      <w:r>
        <w:t xml:space="preserve"> </w:t>
      </w:r>
      <w:r w:rsidR="002C31E4">
        <w:t xml:space="preserve">to </w:t>
      </w:r>
      <w:r>
        <w:t>this report. Esri Shape files and K</w:t>
      </w:r>
      <w:r w:rsidR="00437FB5">
        <w:t>MZ</w:t>
      </w:r>
      <w:r>
        <w:t xml:space="preserve"> files of the digitised </w:t>
      </w:r>
      <w:r w:rsidR="004C52BE">
        <w:t xml:space="preserve">open-cut </w:t>
      </w:r>
      <w:r>
        <w:t xml:space="preserve">coal mine </w:t>
      </w:r>
      <w:r w:rsidR="00521B26">
        <w:t>pits,</w:t>
      </w:r>
      <w:r>
        <w:t xml:space="preserve"> including key attributes that can be uploaded by the </w:t>
      </w:r>
      <w:r w:rsidR="00437FB5">
        <w:t xml:space="preserve">client </w:t>
      </w:r>
      <w:r>
        <w:t>to Queensland Globe are also provided as part of the scoping study</w:t>
      </w:r>
      <w:r w:rsidR="00595756">
        <w:t xml:space="preserve"> outputs.</w:t>
      </w:r>
      <w:r w:rsidR="00170DE4" w:rsidRPr="00170DE4">
        <w:t xml:space="preserve"> </w:t>
      </w:r>
      <w:r w:rsidR="00170DE4">
        <w:t>The current status of the mine sites associated with the open</w:t>
      </w:r>
      <w:r w:rsidR="004C52BE">
        <w:t>-</w:t>
      </w:r>
      <w:r w:rsidR="00170DE4">
        <w:t xml:space="preserve">cut mines is listed in </w:t>
      </w:r>
      <w:r w:rsidR="00170DE4">
        <w:fldChar w:fldCharType="begin"/>
      </w:r>
      <w:r w:rsidR="00170DE4">
        <w:instrText xml:space="preserve"> REF _Ref57630677 \h </w:instrText>
      </w:r>
      <w:r w:rsidR="00170DE4">
        <w:fldChar w:fldCharType="separate"/>
      </w:r>
      <w:r w:rsidR="00937ADD">
        <w:t xml:space="preserve">Table </w:t>
      </w:r>
      <w:r w:rsidR="00937ADD">
        <w:rPr>
          <w:noProof/>
        </w:rPr>
        <w:t>4</w:t>
      </w:r>
      <w:r w:rsidR="00937ADD">
        <w:noBreakHyphen/>
      </w:r>
      <w:r w:rsidR="00937ADD">
        <w:rPr>
          <w:noProof/>
        </w:rPr>
        <w:t>1</w:t>
      </w:r>
      <w:r w:rsidR="00170DE4">
        <w:fldChar w:fldCharType="end"/>
      </w:r>
      <w:r w:rsidR="00170DE4">
        <w:t>.</w:t>
      </w:r>
    </w:p>
    <w:bookmarkEnd w:id="88"/>
    <w:p w14:paraId="2944544C" w14:textId="7B5E5F26" w:rsidR="002C31E4" w:rsidRDefault="004C52BE" w:rsidP="000E1687">
      <w:pPr>
        <w:pStyle w:val="BodyText"/>
      </w:pPr>
      <w:r>
        <w:t xml:space="preserve">The following is a summary of </w:t>
      </w:r>
      <w:r w:rsidR="002C31E4">
        <w:t>the current status of open pit coal mines in Queensland (as provided in the database)</w:t>
      </w:r>
      <w:r>
        <w:t>.</w:t>
      </w:r>
    </w:p>
    <w:p w14:paraId="4450206F" w14:textId="79D50FA1" w:rsidR="007334F3" w:rsidRDefault="002C31E4" w:rsidP="001628AA">
      <w:pPr>
        <w:pStyle w:val="BodyText"/>
        <w:numPr>
          <w:ilvl w:val="0"/>
          <w:numId w:val="39"/>
        </w:numPr>
        <w:spacing w:before="80" w:after="80"/>
      </w:pPr>
      <w:r>
        <w:t xml:space="preserve">Across Queensland, </w:t>
      </w:r>
      <w:r w:rsidR="00C10B40">
        <w:t>a total of 88 coal mine sites</w:t>
      </w:r>
      <w:r>
        <w:t xml:space="preserve"> are currently recorded with DES</w:t>
      </w:r>
      <w:r w:rsidR="00C10B40">
        <w:t>, of which 8</w:t>
      </w:r>
      <w:r w:rsidR="007334F3">
        <w:t>3</w:t>
      </w:r>
      <w:r w:rsidR="00C10B40">
        <w:t xml:space="preserve"> have EA records. </w:t>
      </w:r>
    </w:p>
    <w:p w14:paraId="33D9527B" w14:textId="35657940" w:rsidR="00C345C0" w:rsidRDefault="00C7652D" w:rsidP="001628AA">
      <w:pPr>
        <w:pStyle w:val="BodyText"/>
        <w:numPr>
          <w:ilvl w:val="0"/>
          <w:numId w:val="39"/>
        </w:numPr>
        <w:spacing w:before="80" w:after="80"/>
      </w:pPr>
      <w:r>
        <w:t>Twelve</w:t>
      </w:r>
      <w:r w:rsidR="007334F3">
        <w:t xml:space="preserve"> </w:t>
      </w:r>
      <w:r w:rsidR="00170DE4">
        <w:t xml:space="preserve">coal mine </w:t>
      </w:r>
      <w:r w:rsidR="007334F3">
        <w:t>EA records are associated with underground coal mining and are excluded from th</w:t>
      </w:r>
      <w:r w:rsidR="00170DE4">
        <w:t>is</w:t>
      </w:r>
      <w:r w:rsidR="007334F3">
        <w:t xml:space="preserve"> database. The remaining </w:t>
      </w:r>
      <w:r>
        <w:t>71</w:t>
      </w:r>
      <w:r w:rsidR="007334F3">
        <w:t xml:space="preserve"> EA records </w:t>
      </w:r>
      <w:r w:rsidR="00170DE4">
        <w:t>(</w:t>
      </w:r>
      <w:r w:rsidR="00170DE4">
        <w:fldChar w:fldCharType="begin"/>
      </w:r>
      <w:r w:rsidR="00170DE4">
        <w:instrText xml:space="preserve"> REF _Ref57630677 \h </w:instrText>
      </w:r>
      <w:r w:rsidR="00170DE4">
        <w:fldChar w:fldCharType="separate"/>
      </w:r>
      <w:r w:rsidR="00937ADD">
        <w:t xml:space="preserve">Table </w:t>
      </w:r>
      <w:r w:rsidR="00937ADD">
        <w:rPr>
          <w:noProof/>
        </w:rPr>
        <w:t>4</w:t>
      </w:r>
      <w:r w:rsidR="00937ADD">
        <w:noBreakHyphen/>
      </w:r>
      <w:r w:rsidR="00937ADD">
        <w:rPr>
          <w:noProof/>
        </w:rPr>
        <w:t>1</w:t>
      </w:r>
      <w:r w:rsidR="00170DE4">
        <w:fldChar w:fldCharType="end"/>
      </w:r>
      <w:r w:rsidR="00170DE4">
        <w:t xml:space="preserve">) </w:t>
      </w:r>
      <w:r w:rsidR="007334F3">
        <w:t xml:space="preserve">are </w:t>
      </w:r>
      <w:r w:rsidR="005A60D0">
        <w:t>mostly associated with open</w:t>
      </w:r>
      <w:r w:rsidR="004C52BE">
        <w:t>-</w:t>
      </w:r>
      <w:r w:rsidR="005A60D0">
        <w:t xml:space="preserve">cut coal mining (63 </w:t>
      </w:r>
      <w:r w:rsidR="00437FB5">
        <w:t>EA records</w:t>
      </w:r>
      <w:r w:rsidR="005A60D0">
        <w:t xml:space="preserve">), </w:t>
      </w:r>
      <w:r w:rsidR="00437FB5">
        <w:t xml:space="preserve">plus </w:t>
      </w:r>
      <w:r w:rsidR="00170DE4">
        <w:t>seven</w:t>
      </w:r>
      <w:r w:rsidR="005A60D0">
        <w:t xml:space="preserve"> associated with both open</w:t>
      </w:r>
      <w:r w:rsidR="004C52BE">
        <w:t>-</w:t>
      </w:r>
      <w:r w:rsidR="005A60D0">
        <w:t xml:space="preserve">cut and underground coal mining and </w:t>
      </w:r>
      <w:r w:rsidR="00170DE4">
        <w:t>one</w:t>
      </w:r>
      <w:r w:rsidR="005A60D0">
        <w:t xml:space="preserve"> now associated with </w:t>
      </w:r>
      <w:r w:rsidR="007334F3">
        <w:t>a t</w:t>
      </w:r>
      <w:r w:rsidR="007334F3" w:rsidRPr="007334F3">
        <w:t>rial plant for oil shale energy</w:t>
      </w:r>
      <w:r w:rsidR="007334F3">
        <w:t>.</w:t>
      </w:r>
    </w:p>
    <w:p w14:paraId="0C11A6A3" w14:textId="7819F285" w:rsidR="00170DE4" w:rsidRDefault="003D0BC3" w:rsidP="00170DE4">
      <w:pPr>
        <w:pStyle w:val="BodyText"/>
        <w:numPr>
          <w:ilvl w:val="0"/>
          <w:numId w:val="39"/>
        </w:numPr>
        <w:spacing w:before="80" w:after="80"/>
      </w:pPr>
      <w:r>
        <w:t xml:space="preserve">Of the 71 EA records, </w:t>
      </w:r>
      <w:r w:rsidR="005A60D0">
        <w:t xml:space="preserve">12 are </w:t>
      </w:r>
      <w:r>
        <w:t xml:space="preserve">currently </w:t>
      </w:r>
      <w:r w:rsidR="005A60D0">
        <w:t xml:space="preserve">in pre-construction and 45 </w:t>
      </w:r>
      <w:r>
        <w:t xml:space="preserve">are </w:t>
      </w:r>
      <w:r w:rsidR="005A60D0">
        <w:t>in operation.</w:t>
      </w:r>
      <w:r w:rsidR="00170DE4" w:rsidRPr="00170DE4">
        <w:t xml:space="preserve"> </w:t>
      </w:r>
    </w:p>
    <w:p w14:paraId="3F1B6028" w14:textId="7848DFCD" w:rsidR="00170DE4" w:rsidRDefault="00170DE4" w:rsidP="00170DE4">
      <w:pPr>
        <w:pStyle w:val="BodyText"/>
        <w:numPr>
          <w:ilvl w:val="0"/>
          <w:numId w:val="39"/>
        </w:numPr>
        <w:spacing w:before="80" w:after="80"/>
      </w:pPr>
      <w:r>
        <w:lastRenderedPageBreak/>
        <w:t xml:space="preserve">Of the 71 EA records, 50 have conditions concerning residual voids and environmental harm, noting that one is currently in application. </w:t>
      </w:r>
      <w:r w:rsidRPr="00AE78E3">
        <w:t xml:space="preserve">This is </w:t>
      </w:r>
      <w:r>
        <w:t xml:space="preserve">reference to </w:t>
      </w:r>
      <w:r w:rsidRPr="00AE78E3">
        <w:t>a standard condition which states that other than the environmental harm constituted by the void itself, the void must not cause environmental harm to land, surface water or groundwater.</w:t>
      </w:r>
      <w:r>
        <w:t xml:space="preserve"> The remaining 20 EA records do not have conditions concerning residual voids and environmental harm.</w:t>
      </w:r>
      <w:r w:rsidRPr="00AE78E3">
        <w:tab/>
      </w:r>
    </w:p>
    <w:p w14:paraId="1844BC6B" w14:textId="5F3082A1" w:rsidR="00170DE4" w:rsidRDefault="00170DE4" w:rsidP="00170DE4">
      <w:pPr>
        <w:pStyle w:val="BodyText"/>
        <w:numPr>
          <w:ilvl w:val="0"/>
          <w:numId w:val="39"/>
        </w:numPr>
        <w:spacing w:before="80" w:after="80"/>
      </w:pPr>
      <w:r>
        <w:t xml:space="preserve">Of the 71 EA records, 39 are required to have a rehabilitation management plan, noting that one is currently in application. The remaining 31 EA records have no specific condition requiring rehabilitation management plans. </w:t>
      </w:r>
      <w:r w:rsidRPr="00AE78E3">
        <w:t xml:space="preserve">The conditioning of </w:t>
      </w:r>
      <w:r>
        <w:t xml:space="preserve">a </w:t>
      </w:r>
      <w:r w:rsidRPr="00AE78E3">
        <w:t xml:space="preserve">rehabilitation management plan </w:t>
      </w:r>
      <w:r>
        <w:t>can</w:t>
      </w:r>
      <w:r w:rsidRPr="00AE78E3">
        <w:t xml:space="preserve"> be dependent on how the </w:t>
      </w:r>
      <w:r>
        <w:t>D</w:t>
      </w:r>
      <w:r w:rsidRPr="00AE78E3">
        <w:t>epartment deemed the rehabilitation risk at the time</w:t>
      </w:r>
      <w:r>
        <w:t xml:space="preserve"> of assessment. I</w:t>
      </w:r>
      <w:r w:rsidRPr="00AE78E3">
        <w:t xml:space="preserve">f </w:t>
      </w:r>
      <w:r>
        <w:t>rehabilitation</w:t>
      </w:r>
      <w:r w:rsidRPr="00AE78E3">
        <w:t xml:space="preserve"> was assessed as </w:t>
      </w:r>
      <w:r>
        <w:t xml:space="preserve">a </w:t>
      </w:r>
      <w:r w:rsidRPr="00AE78E3">
        <w:t>lower priority</w:t>
      </w:r>
      <w:r>
        <w:t>,</w:t>
      </w:r>
      <w:r w:rsidRPr="00AE78E3">
        <w:t xml:space="preserve"> the approval holder may not be required to prepare one</w:t>
      </w:r>
      <w:r>
        <w:t xml:space="preserve"> as part of the current operations.</w:t>
      </w:r>
    </w:p>
    <w:p w14:paraId="7F63CFCB" w14:textId="63DEDEF5" w:rsidR="005A60D0" w:rsidRDefault="00170DE4">
      <w:pPr>
        <w:pStyle w:val="BodyText"/>
        <w:numPr>
          <w:ilvl w:val="0"/>
          <w:numId w:val="39"/>
        </w:numPr>
        <w:spacing w:before="80" w:after="80"/>
      </w:pPr>
      <w:r>
        <w:t xml:space="preserve">Of the 71 EA records, 57 had sufficient information to enable digitisation of </w:t>
      </w:r>
      <w:r w:rsidRPr="00521B26">
        <w:t>current open</w:t>
      </w:r>
      <w:r w:rsidR="004C52BE">
        <w:t>-</w:t>
      </w:r>
      <w:r w:rsidRPr="00521B26">
        <w:t>cut coal pits (</w:t>
      </w:r>
      <w:r>
        <w:rPr>
          <w:i/>
        </w:rPr>
        <w:t xml:space="preserve">see </w:t>
      </w:r>
      <w:r w:rsidRPr="00521B26">
        <w:t xml:space="preserve">Section </w:t>
      </w:r>
      <w:r w:rsidRPr="00521B26">
        <w:fldChar w:fldCharType="begin"/>
      </w:r>
      <w:r w:rsidRPr="00521B26">
        <w:instrText xml:space="preserve"> REF _Ref56584525 \n \h </w:instrText>
      </w:r>
      <w:r>
        <w:instrText xml:space="preserve"> \* MERGEFORMAT </w:instrText>
      </w:r>
      <w:r w:rsidRPr="00521B26">
        <w:fldChar w:fldCharType="separate"/>
      </w:r>
      <w:r w:rsidR="00937ADD">
        <w:t>2.2</w:t>
      </w:r>
      <w:r w:rsidRPr="00521B26">
        <w:fldChar w:fldCharType="end"/>
      </w:r>
      <w:r w:rsidRPr="00521B26">
        <w:t>). Open</w:t>
      </w:r>
      <w:r w:rsidR="004C52BE">
        <w:t>-cut</w:t>
      </w:r>
      <w:r w:rsidRPr="00521B26">
        <w:t xml:space="preserve"> coal pits associated with the remaining 14 EA records were not able to be digitised as the site is </w:t>
      </w:r>
      <w:r>
        <w:t xml:space="preserve">either </w:t>
      </w:r>
      <w:r w:rsidRPr="00521B26">
        <w:t>not yet operational (i.e. pre-approval, pre-construction or pre-mining</w:t>
      </w:r>
      <w:r w:rsidR="00100421">
        <w:t xml:space="preserve"> – 1</w:t>
      </w:r>
      <w:r w:rsidR="00DF328F">
        <w:t>1</w:t>
      </w:r>
      <w:r w:rsidR="00100421">
        <w:t xml:space="preserve"> mines</w:t>
      </w:r>
      <w:r w:rsidRPr="00521B26">
        <w:t>) or was not visible on the imagery</w:t>
      </w:r>
      <w:r w:rsidR="00100421">
        <w:t xml:space="preserve"> (three mines)</w:t>
      </w:r>
      <w:r w:rsidRPr="00521B26">
        <w:t>.</w:t>
      </w:r>
    </w:p>
    <w:p w14:paraId="7FEF4204" w14:textId="4D61A1EC" w:rsidR="005A60D0" w:rsidRDefault="005A60D0" w:rsidP="005A60D0">
      <w:pPr>
        <w:pStyle w:val="Caption"/>
      </w:pPr>
      <w:bookmarkStart w:id="89" w:name="_Ref57630677"/>
      <w:bookmarkStart w:id="90" w:name="_Toc65140578"/>
      <w:r>
        <w:t xml:space="preserve">Table </w:t>
      </w:r>
      <w:fldSimple w:instr=" STYLEREF 1 \s ">
        <w:r w:rsidR="00937ADD">
          <w:rPr>
            <w:noProof/>
          </w:rPr>
          <w:t>4</w:t>
        </w:r>
      </w:fldSimple>
      <w:r w:rsidR="002714CC">
        <w:noBreakHyphen/>
      </w:r>
      <w:fldSimple w:instr=" SEQ Table \* ARABIC \s 1 ">
        <w:r w:rsidR="00937ADD">
          <w:rPr>
            <w:noProof/>
          </w:rPr>
          <w:t>1</w:t>
        </w:r>
      </w:fldSimple>
      <w:bookmarkEnd w:id="89"/>
      <w:r>
        <w:t xml:space="preserve"> Type and current status of open</w:t>
      </w:r>
      <w:r w:rsidR="004C52BE">
        <w:t>-cut</w:t>
      </w:r>
      <w:r>
        <w:t xml:space="preserve"> cut coal mines in Queensland</w:t>
      </w:r>
      <w:bookmarkEnd w:id="90"/>
      <w:r>
        <w:t xml:space="preserve"> </w:t>
      </w:r>
    </w:p>
    <w:tbl>
      <w:tblPr>
        <w:tblStyle w:val="Plainblue"/>
        <w:tblW w:w="0" w:type="auto"/>
        <w:tblBorders>
          <w:top w:val="single" w:sz="4" w:space="0" w:color="D5DDE1" w:themeColor="accent1" w:themeTint="66"/>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838"/>
        <w:gridCol w:w="3686"/>
        <w:gridCol w:w="1275"/>
      </w:tblGrid>
      <w:tr w:rsidR="008C0194" w14:paraId="24F5B470" w14:textId="77777777" w:rsidTr="005A60D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9A1990" w14:textId="143922BD" w:rsidR="008C0194" w:rsidRDefault="005A60D0" w:rsidP="005A60D0">
            <w:pPr>
              <w:pStyle w:val="BodyText"/>
              <w:spacing w:before="60" w:beforeAutospacing="0" w:after="60" w:afterAutospacing="0" w:line="300" w:lineRule="auto"/>
            </w:pPr>
            <w:r>
              <w:t>Parameter</w:t>
            </w:r>
          </w:p>
        </w:tc>
        <w:tc>
          <w:tcPr>
            <w:tcW w:w="368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D39043" w14:textId="30BD2689" w:rsidR="008C0194" w:rsidRDefault="005A60D0" w:rsidP="005A60D0">
            <w:pPr>
              <w:pStyle w:val="BodyText"/>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pPr>
            <w:r>
              <w:t>Description</w:t>
            </w:r>
          </w:p>
        </w:tc>
        <w:tc>
          <w:tcPr>
            <w:tcW w:w="12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524A35" w14:textId="2C963F7D" w:rsidR="008C0194" w:rsidRDefault="005A60D0" w:rsidP="005A60D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Number of EA records</w:t>
            </w:r>
          </w:p>
        </w:tc>
      </w:tr>
      <w:tr w:rsidR="005A60D0" w14:paraId="1E1DC4F5"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val="restart"/>
          </w:tcPr>
          <w:p w14:paraId="0117F6B9" w14:textId="2D630A6A" w:rsidR="005A60D0" w:rsidRDefault="005A60D0" w:rsidP="005A60D0">
            <w:pPr>
              <w:pStyle w:val="BodyText"/>
              <w:spacing w:before="60" w:beforeAutospacing="0" w:after="60" w:afterAutospacing="0" w:line="300" w:lineRule="auto"/>
            </w:pPr>
            <w:r>
              <w:t>Type of open</w:t>
            </w:r>
            <w:r w:rsidR="004C52BE">
              <w:t>-</w:t>
            </w:r>
            <w:r>
              <w:t>cut coal mine</w:t>
            </w:r>
          </w:p>
        </w:tc>
        <w:tc>
          <w:tcPr>
            <w:tcW w:w="3686" w:type="dxa"/>
          </w:tcPr>
          <w:p w14:paraId="0F60B601" w14:textId="4B934AF1"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t>Open</w:t>
            </w:r>
            <w:r w:rsidR="004C52BE">
              <w:t>-</w:t>
            </w:r>
            <w:r>
              <w:t>cut coal mining</w:t>
            </w:r>
          </w:p>
        </w:tc>
        <w:tc>
          <w:tcPr>
            <w:tcW w:w="1275" w:type="dxa"/>
          </w:tcPr>
          <w:p w14:paraId="0C3310F2" w14:textId="0CB69166"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63</w:t>
            </w:r>
          </w:p>
        </w:tc>
      </w:tr>
      <w:tr w:rsidR="005A60D0" w14:paraId="58F64BA7"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7719AD33" w14:textId="77777777" w:rsidR="005A60D0" w:rsidRDefault="005A60D0" w:rsidP="005A60D0">
            <w:pPr>
              <w:pStyle w:val="BodyText"/>
              <w:spacing w:before="60" w:beforeAutospacing="0" w:after="60" w:afterAutospacing="0" w:line="300" w:lineRule="auto"/>
            </w:pPr>
          </w:p>
        </w:tc>
        <w:tc>
          <w:tcPr>
            <w:tcW w:w="3686" w:type="dxa"/>
          </w:tcPr>
          <w:p w14:paraId="2F167CF2" w14:textId="6CAECF7F"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8C0194">
              <w:t>Open</w:t>
            </w:r>
            <w:r w:rsidR="004C52BE">
              <w:t>-</w:t>
            </w:r>
            <w:r w:rsidRPr="008C0194">
              <w:t>cut and underground coal mining</w:t>
            </w:r>
          </w:p>
        </w:tc>
        <w:tc>
          <w:tcPr>
            <w:tcW w:w="1275" w:type="dxa"/>
          </w:tcPr>
          <w:p w14:paraId="0CC41214" w14:textId="47FAEF0B"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7</w:t>
            </w:r>
          </w:p>
        </w:tc>
      </w:tr>
      <w:tr w:rsidR="005A60D0" w14:paraId="4193C23F"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7BC11CF5" w14:textId="77777777" w:rsidR="005A60D0" w:rsidRDefault="005A60D0" w:rsidP="005A60D0">
            <w:pPr>
              <w:pStyle w:val="BodyText"/>
              <w:spacing w:before="60" w:beforeAutospacing="0" w:after="60" w:afterAutospacing="0" w:line="300" w:lineRule="auto"/>
            </w:pPr>
          </w:p>
        </w:tc>
        <w:tc>
          <w:tcPr>
            <w:tcW w:w="3686" w:type="dxa"/>
          </w:tcPr>
          <w:p w14:paraId="3A80D44C" w14:textId="095B3413"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8C0194">
              <w:t>Former open</w:t>
            </w:r>
            <w:r w:rsidR="004C52BE">
              <w:t>-</w:t>
            </w:r>
            <w:r w:rsidRPr="008C0194">
              <w:t>cut coal mine that is now a trial plant for oil shale energy</w:t>
            </w:r>
          </w:p>
        </w:tc>
        <w:tc>
          <w:tcPr>
            <w:tcW w:w="1275" w:type="dxa"/>
          </w:tcPr>
          <w:p w14:paraId="7B5D33A9" w14:textId="4DA7F5B4"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w:t>
            </w:r>
          </w:p>
        </w:tc>
      </w:tr>
      <w:tr w:rsidR="005A60D0" w14:paraId="3B048A17"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val="restart"/>
          </w:tcPr>
          <w:p w14:paraId="5C8FBB6F" w14:textId="2141A14E" w:rsidR="005A60D0" w:rsidRDefault="005A60D0" w:rsidP="005A60D0">
            <w:pPr>
              <w:pStyle w:val="BodyText"/>
              <w:spacing w:before="60" w:beforeAutospacing="0" w:after="60" w:afterAutospacing="0" w:line="300" w:lineRule="auto"/>
            </w:pPr>
            <w:r>
              <w:t>Current status</w:t>
            </w:r>
          </w:p>
        </w:tc>
        <w:tc>
          <w:tcPr>
            <w:tcW w:w="3686" w:type="dxa"/>
          </w:tcPr>
          <w:p w14:paraId="11167548" w14:textId="4565B677"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t>Exploration</w:t>
            </w:r>
          </w:p>
        </w:tc>
        <w:tc>
          <w:tcPr>
            <w:tcW w:w="1275" w:type="dxa"/>
          </w:tcPr>
          <w:p w14:paraId="259E0A79" w14:textId="79CE2DAD"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w:t>
            </w:r>
          </w:p>
        </w:tc>
      </w:tr>
      <w:tr w:rsidR="005A60D0" w14:paraId="556C75EE"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3A1FF07A" w14:textId="77777777" w:rsidR="005A60D0" w:rsidRDefault="005A60D0" w:rsidP="005A60D0">
            <w:pPr>
              <w:pStyle w:val="BodyText"/>
              <w:spacing w:before="60" w:beforeAutospacing="0" w:after="60" w:afterAutospacing="0" w:line="300" w:lineRule="auto"/>
            </w:pPr>
          </w:p>
        </w:tc>
        <w:tc>
          <w:tcPr>
            <w:tcW w:w="3686" w:type="dxa"/>
          </w:tcPr>
          <w:p w14:paraId="76594498" w14:textId="6358C88B"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t>In application</w:t>
            </w:r>
          </w:p>
        </w:tc>
        <w:tc>
          <w:tcPr>
            <w:tcW w:w="1275" w:type="dxa"/>
          </w:tcPr>
          <w:p w14:paraId="59A977F9" w14:textId="0F9C3F79"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w:t>
            </w:r>
          </w:p>
        </w:tc>
      </w:tr>
      <w:tr w:rsidR="005A60D0" w14:paraId="31235B43"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6480625B" w14:textId="77777777" w:rsidR="005A60D0" w:rsidRDefault="005A60D0" w:rsidP="005A60D0">
            <w:pPr>
              <w:pStyle w:val="BodyText"/>
              <w:spacing w:before="60" w:beforeAutospacing="0" w:after="60" w:afterAutospacing="0" w:line="300" w:lineRule="auto"/>
            </w:pPr>
          </w:p>
        </w:tc>
        <w:tc>
          <w:tcPr>
            <w:tcW w:w="3686" w:type="dxa"/>
          </w:tcPr>
          <w:p w14:paraId="2C4A1C85" w14:textId="00DF4D98"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5A60D0">
              <w:t>Pre-construction</w:t>
            </w:r>
          </w:p>
        </w:tc>
        <w:tc>
          <w:tcPr>
            <w:tcW w:w="1275" w:type="dxa"/>
          </w:tcPr>
          <w:p w14:paraId="3234DD87" w14:textId="230C1A27"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12</w:t>
            </w:r>
          </w:p>
        </w:tc>
      </w:tr>
      <w:tr w:rsidR="005A60D0" w14:paraId="627971F2"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11938E45" w14:textId="77777777" w:rsidR="005A60D0" w:rsidRDefault="005A60D0" w:rsidP="005A60D0">
            <w:pPr>
              <w:pStyle w:val="BodyText"/>
              <w:spacing w:before="60" w:beforeAutospacing="0" w:after="60" w:afterAutospacing="0" w:line="300" w:lineRule="auto"/>
            </w:pPr>
          </w:p>
        </w:tc>
        <w:tc>
          <w:tcPr>
            <w:tcW w:w="3686" w:type="dxa"/>
          </w:tcPr>
          <w:p w14:paraId="64C5B9F1" w14:textId="18B3B3D5"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5A60D0">
              <w:t>In construction</w:t>
            </w:r>
          </w:p>
        </w:tc>
        <w:tc>
          <w:tcPr>
            <w:tcW w:w="1275" w:type="dxa"/>
          </w:tcPr>
          <w:p w14:paraId="107B3A54" w14:textId="51FB43BE"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w:t>
            </w:r>
          </w:p>
        </w:tc>
      </w:tr>
      <w:tr w:rsidR="005A60D0" w14:paraId="30BA8198"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54B61CC3" w14:textId="77777777" w:rsidR="005A60D0" w:rsidRDefault="005A60D0" w:rsidP="005A60D0">
            <w:pPr>
              <w:pStyle w:val="BodyText"/>
              <w:spacing w:before="60" w:beforeAutospacing="0" w:after="60" w:afterAutospacing="0" w:line="300" w:lineRule="auto"/>
            </w:pPr>
          </w:p>
        </w:tc>
        <w:tc>
          <w:tcPr>
            <w:tcW w:w="3686" w:type="dxa"/>
          </w:tcPr>
          <w:p w14:paraId="697A3670" w14:textId="423995A3"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5A60D0">
              <w:t>Operational</w:t>
            </w:r>
          </w:p>
        </w:tc>
        <w:tc>
          <w:tcPr>
            <w:tcW w:w="1275" w:type="dxa"/>
          </w:tcPr>
          <w:p w14:paraId="108746F9" w14:textId="64951C6E"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45</w:t>
            </w:r>
          </w:p>
        </w:tc>
      </w:tr>
      <w:tr w:rsidR="005A60D0" w14:paraId="74449C64"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6C248C6C" w14:textId="77777777" w:rsidR="005A60D0" w:rsidRDefault="005A60D0" w:rsidP="005A60D0">
            <w:pPr>
              <w:pStyle w:val="BodyText"/>
              <w:spacing w:before="60" w:beforeAutospacing="0" w:after="60" w:afterAutospacing="0" w:line="300" w:lineRule="auto"/>
            </w:pPr>
          </w:p>
        </w:tc>
        <w:tc>
          <w:tcPr>
            <w:tcW w:w="3686" w:type="dxa"/>
          </w:tcPr>
          <w:p w14:paraId="512BFA81" w14:textId="20BB9474"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5A60D0">
              <w:t>Closure</w:t>
            </w:r>
          </w:p>
        </w:tc>
        <w:tc>
          <w:tcPr>
            <w:tcW w:w="1275" w:type="dxa"/>
          </w:tcPr>
          <w:p w14:paraId="1F35F6AA" w14:textId="2FA46A87"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3</w:t>
            </w:r>
          </w:p>
        </w:tc>
      </w:tr>
      <w:tr w:rsidR="005A60D0" w14:paraId="36058FB8"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731508D2" w14:textId="77777777" w:rsidR="005A60D0" w:rsidRDefault="005A60D0" w:rsidP="005A60D0">
            <w:pPr>
              <w:pStyle w:val="BodyText"/>
              <w:spacing w:before="60" w:beforeAutospacing="0" w:after="60" w:afterAutospacing="0" w:line="300" w:lineRule="auto"/>
            </w:pPr>
          </w:p>
        </w:tc>
        <w:tc>
          <w:tcPr>
            <w:tcW w:w="3686" w:type="dxa"/>
          </w:tcPr>
          <w:p w14:paraId="0900631E" w14:textId="2F82E943"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5A60D0">
              <w:t>Care and maintenance</w:t>
            </w:r>
          </w:p>
        </w:tc>
        <w:tc>
          <w:tcPr>
            <w:tcW w:w="1275" w:type="dxa"/>
          </w:tcPr>
          <w:p w14:paraId="6EE72F11" w14:textId="79074E25"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5</w:t>
            </w:r>
          </w:p>
        </w:tc>
      </w:tr>
      <w:tr w:rsidR="005A60D0" w14:paraId="70EB6C73"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17B0B86D" w14:textId="77777777" w:rsidR="005A60D0" w:rsidRDefault="005A60D0" w:rsidP="005A60D0">
            <w:pPr>
              <w:pStyle w:val="BodyText"/>
              <w:spacing w:before="60" w:beforeAutospacing="0" w:after="60" w:afterAutospacing="0" w:line="300" w:lineRule="auto"/>
            </w:pPr>
          </w:p>
        </w:tc>
        <w:tc>
          <w:tcPr>
            <w:tcW w:w="3686" w:type="dxa"/>
          </w:tcPr>
          <w:p w14:paraId="719FF6A6" w14:textId="3A85E30C"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5A60D0">
              <w:t>Care, maintenance and rehabilitation</w:t>
            </w:r>
          </w:p>
        </w:tc>
        <w:tc>
          <w:tcPr>
            <w:tcW w:w="1275" w:type="dxa"/>
          </w:tcPr>
          <w:p w14:paraId="20C64255" w14:textId="13D41546"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w:t>
            </w:r>
          </w:p>
        </w:tc>
      </w:tr>
      <w:tr w:rsidR="005A60D0" w14:paraId="328A314E" w14:textId="77777777" w:rsidTr="005A60D0">
        <w:tc>
          <w:tcPr>
            <w:cnfStyle w:val="001000000000" w:firstRow="0" w:lastRow="0" w:firstColumn="1" w:lastColumn="0" w:oddVBand="0" w:evenVBand="0" w:oddHBand="0" w:evenHBand="0" w:firstRowFirstColumn="0" w:firstRowLastColumn="0" w:lastRowFirstColumn="0" w:lastRowLastColumn="0"/>
            <w:tcW w:w="1838" w:type="dxa"/>
            <w:vMerge/>
          </w:tcPr>
          <w:p w14:paraId="4FD6DC79" w14:textId="77777777" w:rsidR="005A60D0" w:rsidRDefault="005A60D0" w:rsidP="005A60D0">
            <w:pPr>
              <w:pStyle w:val="BodyText"/>
              <w:spacing w:before="60" w:beforeAutospacing="0" w:after="60" w:afterAutospacing="0" w:line="300" w:lineRule="auto"/>
            </w:pPr>
          </w:p>
        </w:tc>
        <w:tc>
          <w:tcPr>
            <w:tcW w:w="3686" w:type="dxa"/>
          </w:tcPr>
          <w:p w14:paraId="00D4F763" w14:textId="3CE3ACBE" w:rsidR="005A60D0" w:rsidRDefault="005A60D0" w:rsidP="005A60D0">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5A60D0">
              <w:t>Not defined</w:t>
            </w:r>
          </w:p>
        </w:tc>
        <w:tc>
          <w:tcPr>
            <w:tcW w:w="1275" w:type="dxa"/>
          </w:tcPr>
          <w:p w14:paraId="052333E3" w14:textId="3202AD90" w:rsidR="005A60D0" w:rsidRDefault="005A60D0" w:rsidP="005A60D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w:t>
            </w:r>
          </w:p>
        </w:tc>
      </w:tr>
    </w:tbl>
    <w:p w14:paraId="37FBF352" w14:textId="634BBE3B" w:rsidR="009D0FB5" w:rsidRDefault="00800F5A" w:rsidP="00800F5A">
      <w:pPr>
        <w:pStyle w:val="Heading2"/>
      </w:pPr>
      <w:bookmarkStart w:id="91" w:name="_Ref57294449"/>
      <w:bookmarkStart w:id="92" w:name="_Toc87278332"/>
      <w:r>
        <w:t>Location and area</w:t>
      </w:r>
      <w:bookmarkEnd w:id="91"/>
      <w:bookmarkEnd w:id="92"/>
    </w:p>
    <w:p w14:paraId="2A980B23" w14:textId="1FFEDC40" w:rsidR="00F36E25" w:rsidRDefault="00521B26" w:rsidP="00521B26">
      <w:pPr>
        <w:pStyle w:val="BodyText"/>
      </w:pPr>
      <w:bookmarkStart w:id="93" w:name="_Hlk57472081"/>
      <w:r>
        <w:t>In</w:t>
      </w:r>
      <w:r w:rsidRPr="00521B26">
        <w:t xml:space="preserve"> total</w:t>
      </w:r>
      <w:r w:rsidR="003F45E6">
        <w:t>,</w:t>
      </w:r>
      <w:r w:rsidRPr="00521B26">
        <w:t xml:space="preserve"> 128 current open</w:t>
      </w:r>
      <w:r w:rsidR="004C52BE">
        <w:t>-cut</w:t>
      </w:r>
      <w:r w:rsidRPr="00521B26">
        <w:t xml:space="preserve"> coal pits were digitised across Queensland</w:t>
      </w:r>
      <w:r>
        <w:t xml:space="preserve"> as part of th</w:t>
      </w:r>
      <w:r w:rsidR="0022680E">
        <w:t>is</w:t>
      </w:r>
      <w:r>
        <w:t xml:space="preserve"> scoping study. The distribution of current open</w:t>
      </w:r>
      <w:r w:rsidR="004C52BE">
        <w:t>-cut</w:t>
      </w:r>
      <w:r>
        <w:t xml:space="preserve"> coal mine pits in Queensland is presented in </w:t>
      </w:r>
      <w:r>
        <w:fldChar w:fldCharType="begin"/>
      </w:r>
      <w:r>
        <w:instrText xml:space="preserve"> REF _Ref57289247 \h </w:instrText>
      </w:r>
      <w:r>
        <w:fldChar w:fldCharType="separate"/>
      </w:r>
      <w:r w:rsidR="00937ADD">
        <w:t xml:space="preserve">Figure </w:t>
      </w:r>
      <w:r w:rsidR="00937ADD">
        <w:rPr>
          <w:noProof/>
        </w:rPr>
        <w:t>4</w:t>
      </w:r>
      <w:r w:rsidR="00937ADD">
        <w:noBreakHyphen/>
      </w:r>
      <w:r w:rsidR="00937ADD">
        <w:rPr>
          <w:noProof/>
        </w:rPr>
        <w:t>1</w:t>
      </w:r>
      <w:r>
        <w:fldChar w:fldCharType="end"/>
      </w:r>
      <w:r>
        <w:t>.</w:t>
      </w:r>
      <w:r w:rsidR="00AC0915">
        <w:t xml:space="preserve"> This figure and the discussion in</w:t>
      </w:r>
      <w:r w:rsidR="00D70EFE">
        <w:t xml:space="preserve"> Sections </w:t>
      </w:r>
      <w:r w:rsidR="00D70EFE">
        <w:fldChar w:fldCharType="begin"/>
      </w:r>
      <w:r w:rsidR="00D70EFE">
        <w:instrText xml:space="preserve"> REF _Ref57294449 \n \h </w:instrText>
      </w:r>
      <w:r w:rsidR="00D70EFE">
        <w:fldChar w:fldCharType="separate"/>
      </w:r>
      <w:r w:rsidR="00937ADD">
        <w:t>4.3</w:t>
      </w:r>
      <w:r w:rsidR="00D70EFE">
        <w:fldChar w:fldCharType="end"/>
      </w:r>
      <w:r w:rsidR="00D70EFE">
        <w:t xml:space="preserve">, </w:t>
      </w:r>
      <w:r w:rsidR="005A2112">
        <w:fldChar w:fldCharType="begin"/>
      </w:r>
      <w:r w:rsidR="005A2112">
        <w:instrText xml:space="preserve"> REF _Ref62571524 \n \h </w:instrText>
      </w:r>
      <w:r w:rsidR="005A2112">
        <w:fldChar w:fldCharType="separate"/>
      </w:r>
      <w:r w:rsidR="00937ADD">
        <w:t>4.4</w:t>
      </w:r>
      <w:r w:rsidR="005A2112">
        <w:fldChar w:fldCharType="end"/>
      </w:r>
      <w:r w:rsidR="00D70EFE">
        <w:t xml:space="preserve">, </w:t>
      </w:r>
      <w:r w:rsidR="00D70EFE">
        <w:fldChar w:fldCharType="begin"/>
      </w:r>
      <w:r w:rsidR="00D70EFE">
        <w:instrText xml:space="preserve"> REF _Ref57471963 \n \h </w:instrText>
      </w:r>
      <w:r w:rsidR="00D70EFE">
        <w:fldChar w:fldCharType="separate"/>
      </w:r>
      <w:r w:rsidR="00937ADD">
        <w:t>4.5</w:t>
      </w:r>
      <w:r w:rsidR="00D70EFE">
        <w:fldChar w:fldCharType="end"/>
      </w:r>
      <w:r w:rsidR="00D70EFE">
        <w:t xml:space="preserve"> and </w:t>
      </w:r>
      <w:r w:rsidR="00D70EFE">
        <w:fldChar w:fldCharType="begin"/>
      </w:r>
      <w:r w:rsidR="00D70EFE">
        <w:instrText xml:space="preserve"> REF _Ref59024739 \n \h </w:instrText>
      </w:r>
      <w:r w:rsidR="00D70EFE">
        <w:fldChar w:fldCharType="separate"/>
      </w:r>
      <w:r w:rsidR="00937ADD">
        <w:t>4.7</w:t>
      </w:r>
      <w:r w:rsidR="00D70EFE">
        <w:fldChar w:fldCharType="end"/>
      </w:r>
      <w:r w:rsidR="00764FF9">
        <w:t>,</w:t>
      </w:r>
      <w:r w:rsidR="00AC0915">
        <w:t xml:space="preserve"> do not include open</w:t>
      </w:r>
      <w:r w:rsidR="004C52BE">
        <w:t>-</w:t>
      </w:r>
      <w:r w:rsidR="00AC0915">
        <w:t xml:space="preserve">cut coal mining sites (associated with 14 EA records) that are not yet operational or not visible on imagery (Section </w:t>
      </w:r>
      <w:r w:rsidR="00AC0915">
        <w:fldChar w:fldCharType="begin"/>
      </w:r>
      <w:r w:rsidR="00AC0915">
        <w:instrText xml:space="preserve"> REF _Ref57294444 \n \h </w:instrText>
      </w:r>
      <w:r w:rsidR="00AC0915">
        <w:fldChar w:fldCharType="separate"/>
      </w:r>
      <w:r w:rsidR="00937ADD">
        <w:t>4.2</w:t>
      </w:r>
      <w:r w:rsidR="00AC0915">
        <w:fldChar w:fldCharType="end"/>
      </w:r>
      <w:r w:rsidR="00AC0915">
        <w:t xml:space="preserve">). </w:t>
      </w:r>
    </w:p>
    <w:bookmarkEnd w:id="93"/>
    <w:p w14:paraId="16D35244" w14:textId="3034932A" w:rsidR="00FA258B" w:rsidRDefault="00FA258B" w:rsidP="00FA258B">
      <w:pPr>
        <w:pStyle w:val="BodyText"/>
      </w:pPr>
    </w:p>
    <w:p w14:paraId="5509475A" w14:textId="1F575C06" w:rsidR="00FA258B" w:rsidRDefault="00FA258B" w:rsidP="00FD0530">
      <w:r>
        <w:br w:type="page"/>
      </w:r>
      <w:bookmarkStart w:id="94" w:name="_Ref57289247"/>
      <w:bookmarkStart w:id="95" w:name="_Toc65140604"/>
      <w:r>
        <w:lastRenderedPageBreak/>
        <w:t xml:space="preserve">Figure </w:t>
      </w:r>
      <w:fldSimple w:instr=" STYLEREF 1 \s ">
        <w:r w:rsidR="00937ADD">
          <w:rPr>
            <w:noProof/>
          </w:rPr>
          <w:t>4</w:t>
        </w:r>
      </w:fldSimple>
      <w:r w:rsidR="002706A0">
        <w:noBreakHyphen/>
      </w:r>
      <w:fldSimple w:instr=" SEQ Figure \* ARABIC \s 1 ">
        <w:r w:rsidR="00937ADD">
          <w:rPr>
            <w:noProof/>
          </w:rPr>
          <w:t>1</w:t>
        </w:r>
      </w:fldSimple>
      <w:bookmarkEnd w:id="94"/>
      <w:r>
        <w:t xml:space="preserve"> Distribution of current open</w:t>
      </w:r>
      <w:r w:rsidR="004C52BE">
        <w:t>-cut</w:t>
      </w:r>
      <w:r>
        <w:t xml:space="preserve"> coal pits in Queensland</w:t>
      </w:r>
      <w:bookmarkEnd w:id="95"/>
      <w:r w:rsidR="0084325B">
        <w:t>.</w:t>
      </w:r>
      <w:r w:rsidR="00D813EB">
        <w:t xml:space="preserve"> For further information, Esri Shape files and KMZ files of the digitised coal mine pits can be uploaded by the user to Queensland Globe Interactive maps </w:t>
      </w:r>
    </w:p>
    <w:p w14:paraId="4D3DFD43" w14:textId="59B5B3E4" w:rsidR="00FA258B" w:rsidRDefault="008A4A95">
      <w:pPr>
        <w:rPr>
          <w:szCs w:val="22"/>
        </w:rPr>
      </w:pPr>
      <w:r>
        <w:object w:dxaOrig="8420" w:dyaOrig="11900" w14:anchorId="7C4BCE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85pt;height:641.4pt" o:ole="">
            <v:imagedata r:id="rId19" o:title=""/>
          </v:shape>
          <o:OLEObject Type="Embed" ProgID="AcroExch.Document.DC" ShapeID="_x0000_i1025" DrawAspect="Content" ObjectID="_1698567513" r:id="rId20"/>
        </w:object>
      </w:r>
      <w:r w:rsidR="00FA258B">
        <w:br w:type="page"/>
      </w:r>
    </w:p>
    <w:p w14:paraId="4752B6DD" w14:textId="65AA4F69" w:rsidR="00710D1F" w:rsidRDefault="00710D1F" w:rsidP="00710D1F">
      <w:pPr>
        <w:pStyle w:val="BodyText"/>
      </w:pPr>
      <w:r>
        <w:lastRenderedPageBreak/>
        <w:t>The p</w:t>
      </w:r>
      <w:r w:rsidRPr="00F36E25">
        <w:t>lanimetric areas of the 128 open</w:t>
      </w:r>
      <w:r w:rsidR="004C52BE">
        <w:t>-cut</w:t>
      </w:r>
      <w:r w:rsidRPr="00F36E25">
        <w:t xml:space="preserve"> coal pits digitised varies between approximately 8 ha and 24,405 ha, averaging approximately </w:t>
      </w:r>
      <w:r w:rsidRPr="00E734F4">
        <w:t>827 ha. The total planimetric area occupied by the 128 open</w:t>
      </w:r>
      <w:r w:rsidR="004C52BE">
        <w:t>-cut</w:t>
      </w:r>
      <w:r w:rsidRPr="00E734F4">
        <w:t xml:space="preserve"> coal pits is estimated to be approximately 100,892 ha</w:t>
      </w:r>
      <w:r>
        <w:t>.</w:t>
      </w:r>
    </w:p>
    <w:p w14:paraId="16153475" w14:textId="237B2BF9" w:rsidR="0084698C" w:rsidRDefault="0084698C">
      <w:pPr>
        <w:pStyle w:val="Heading3"/>
      </w:pPr>
      <w:bookmarkStart w:id="96" w:name="_Toc87278333"/>
      <w:r>
        <w:t>Geological basin</w:t>
      </w:r>
      <w:bookmarkEnd w:id="96"/>
    </w:p>
    <w:p w14:paraId="6BCDB878" w14:textId="72648A60" w:rsidR="00521B26" w:rsidRDefault="00521B26">
      <w:pPr>
        <w:pStyle w:val="BodyText"/>
      </w:pPr>
      <w:bookmarkStart w:id="97" w:name="_Hlk57472161"/>
      <w:r>
        <w:t>A large proportion of the open</w:t>
      </w:r>
      <w:r w:rsidR="004C52BE">
        <w:t>-cut</w:t>
      </w:r>
      <w:r>
        <w:t xml:space="preserve"> coal pits </w:t>
      </w:r>
      <w:r w:rsidR="00F11E16">
        <w:t xml:space="preserve">(95%) </w:t>
      </w:r>
      <w:r>
        <w:t xml:space="preserve">are situated in the </w:t>
      </w:r>
      <w:r w:rsidR="00C86409">
        <w:t>Permo-Triassic</w:t>
      </w:r>
      <w:r w:rsidR="00C86409" w:rsidDel="00C86409">
        <w:t xml:space="preserve"> </w:t>
      </w:r>
      <w:r>
        <w:t>Bowen Basin which contains much</w:t>
      </w:r>
      <w:r w:rsidRPr="00521B26">
        <w:t xml:space="preserve"> of the known Permian coal resources in Queensland</w:t>
      </w:r>
      <w:bookmarkEnd w:id="97"/>
      <w:r>
        <w:t>. The distribution of the open</w:t>
      </w:r>
      <w:r w:rsidR="004C52BE">
        <w:t>-cut</w:t>
      </w:r>
      <w:r>
        <w:t xml:space="preserve"> coal pits according to geological basin or province is presented in </w:t>
      </w:r>
      <w:r>
        <w:fldChar w:fldCharType="begin"/>
      </w:r>
      <w:r>
        <w:instrText xml:space="preserve"> REF _Ref57289484 \h </w:instrText>
      </w:r>
      <w:r>
        <w:fldChar w:fldCharType="separate"/>
      </w:r>
      <w:r w:rsidR="00937ADD">
        <w:t xml:space="preserve">Table </w:t>
      </w:r>
      <w:r w:rsidR="00937ADD">
        <w:rPr>
          <w:noProof/>
        </w:rPr>
        <w:t>4</w:t>
      </w:r>
      <w:r w:rsidR="00937ADD">
        <w:noBreakHyphen/>
      </w:r>
      <w:r w:rsidR="00937ADD">
        <w:rPr>
          <w:noProof/>
        </w:rPr>
        <w:t>2</w:t>
      </w:r>
      <w:r>
        <w:fldChar w:fldCharType="end"/>
      </w:r>
      <w:r w:rsidR="0084698C">
        <w:t>.</w:t>
      </w:r>
    </w:p>
    <w:p w14:paraId="29ED505F" w14:textId="009FE2DD" w:rsidR="00521B26" w:rsidRDefault="00521B26">
      <w:pPr>
        <w:pStyle w:val="Caption"/>
      </w:pPr>
      <w:bookmarkStart w:id="98" w:name="_Ref57289484"/>
      <w:bookmarkStart w:id="99" w:name="_Toc65140579"/>
      <w:bookmarkStart w:id="100" w:name="_Hlk57290419"/>
      <w:r>
        <w:t xml:space="preserve">Table </w:t>
      </w:r>
      <w:fldSimple w:instr=" STYLEREF 1 \s ">
        <w:r w:rsidR="00937ADD">
          <w:rPr>
            <w:noProof/>
          </w:rPr>
          <w:t>4</w:t>
        </w:r>
      </w:fldSimple>
      <w:r w:rsidR="002714CC">
        <w:noBreakHyphen/>
      </w:r>
      <w:fldSimple w:instr=" SEQ Table \* ARABIC \s 1 ">
        <w:r w:rsidR="00937ADD">
          <w:rPr>
            <w:noProof/>
          </w:rPr>
          <w:t>2</w:t>
        </w:r>
      </w:fldSimple>
      <w:bookmarkEnd w:id="98"/>
      <w:r>
        <w:t xml:space="preserve"> Distribution of current open</w:t>
      </w:r>
      <w:r w:rsidR="004C52BE">
        <w:t>-cut</w:t>
      </w:r>
      <w:r>
        <w:t xml:space="preserve"> coal pits in Queensland according to geological basin or province</w:t>
      </w:r>
      <w:bookmarkEnd w:id="99"/>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2689"/>
        <w:gridCol w:w="1819"/>
        <w:gridCol w:w="1206"/>
        <w:gridCol w:w="1085"/>
        <w:gridCol w:w="1085"/>
        <w:gridCol w:w="1085"/>
      </w:tblGrid>
      <w:tr w:rsidR="00F36E25" w14:paraId="0D5B91E4" w14:textId="45F1FF2F" w:rsidTr="00F36E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3C39613B" w14:textId="3850D45C" w:rsidR="00F36E25" w:rsidRDefault="00F36E25">
            <w:pPr>
              <w:pStyle w:val="BodyText"/>
              <w:spacing w:before="60" w:beforeAutospacing="0" w:after="60" w:afterAutospacing="0" w:line="300" w:lineRule="auto"/>
              <w:jc w:val="center"/>
            </w:pPr>
            <w:bookmarkStart w:id="101" w:name="_Hlk57292432"/>
            <w:r>
              <w:t>Geological basin/province</w:t>
            </w:r>
          </w:p>
        </w:tc>
        <w:tc>
          <w:tcPr>
            <w:tcW w:w="1819" w:type="dxa"/>
            <w:vMerge w:val="restart"/>
          </w:tcPr>
          <w:p w14:paraId="0053D6D3" w14:textId="7A4F7A64" w:rsidR="00F36E25" w:rsidRDefault="00F36E25">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Number of current open</w:t>
            </w:r>
            <w:r w:rsidR="004C52BE">
              <w:t>-cut</w:t>
            </w:r>
            <w:r>
              <w:t xml:space="preserve"> coal pits</w:t>
            </w:r>
          </w:p>
        </w:tc>
        <w:tc>
          <w:tcPr>
            <w:tcW w:w="4461" w:type="dxa"/>
            <w:gridSpan w:val="4"/>
          </w:tcPr>
          <w:p w14:paraId="6FD7898F" w14:textId="4CC892FE" w:rsidR="00F36E25" w:rsidRDefault="00F36E25">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Planimetric area (ha)</w:t>
            </w:r>
          </w:p>
        </w:tc>
      </w:tr>
      <w:tr w:rsidR="00F36E25" w14:paraId="4751E5D7" w14:textId="3AC52AD6" w:rsidTr="00F36E25">
        <w:tc>
          <w:tcPr>
            <w:cnfStyle w:val="001000000000" w:firstRow="0" w:lastRow="0" w:firstColumn="1" w:lastColumn="0" w:oddVBand="0" w:evenVBand="0" w:oddHBand="0" w:evenHBand="0" w:firstRowFirstColumn="0" w:firstRowLastColumn="0" w:lastRowFirstColumn="0" w:lastRowLastColumn="0"/>
            <w:tcW w:w="2689" w:type="dxa"/>
            <w:vMerge/>
          </w:tcPr>
          <w:p w14:paraId="0CF89486" w14:textId="77777777" w:rsidR="00F36E25" w:rsidRDefault="00F36E25">
            <w:pPr>
              <w:pStyle w:val="BodyText"/>
              <w:spacing w:before="60" w:beforeAutospacing="0" w:after="60" w:afterAutospacing="0" w:line="300" w:lineRule="auto"/>
              <w:jc w:val="center"/>
            </w:pPr>
          </w:p>
        </w:tc>
        <w:tc>
          <w:tcPr>
            <w:tcW w:w="1819" w:type="dxa"/>
            <w:vMerge/>
          </w:tcPr>
          <w:p w14:paraId="3766911A" w14:textId="77777777" w:rsid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p>
        </w:tc>
        <w:tc>
          <w:tcPr>
            <w:tcW w:w="1206" w:type="dxa"/>
            <w:shd w:val="clear" w:color="auto" w:fill="049CD5" w:themeFill="accent3"/>
          </w:tcPr>
          <w:p w14:paraId="74D963AA" w14:textId="35A883EA" w:rsidR="00F36E25" w:rsidRP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F36E25">
              <w:rPr>
                <w:b/>
                <w:bCs/>
                <w:color w:val="FFFFFF" w:themeColor="background1"/>
              </w:rPr>
              <w:t>Minimum</w:t>
            </w:r>
          </w:p>
        </w:tc>
        <w:tc>
          <w:tcPr>
            <w:tcW w:w="1085" w:type="dxa"/>
            <w:shd w:val="clear" w:color="auto" w:fill="049CD5" w:themeFill="accent3"/>
          </w:tcPr>
          <w:p w14:paraId="52D16D10" w14:textId="235C83E5" w:rsidR="00F36E25" w:rsidRP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F36E25">
              <w:rPr>
                <w:b/>
                <w:bCs/>
                <w:color w:val="FFFFFF" w:themeColor="background1"/>
              </w:rPr>
              <w:t>Maximum</w:t>
            </w:r>
          </w:p>
        </w:tc>
        <w:tc>
          <w:tcPr>
            <w:tcW w:w="1085" w:type="dxa"/>
            <w:shd w:val="clear" w:color="auto" w:fill="049CD5" w:themeFill="accent3"/>
          </w:tcPr>
          <w:p w14:paraId="706B7933" w14:textId="5F829D31" w:rsidR="00F36E25" w:rsidRP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F36E25">
              <w:rPr>
                <w:b/>
                <w:bCs/>
                <w:color w:val="FFFFFF" w:themeColor="background1"/>
              </w:rPr>
              <w:t>Average</w:t>
            </w:r>
          </w:p>
        </w:tc>
        <w:tc>
          <w:tcPr>
            <w:tcW w:w="1085" w:type="dxa"/>
            <w:shd w:val="clear" w:color="auto" w:fill="049CD5" w:themeFill="accent3"/>
          </w:tcPr>
          <w:p w14:paraId="39091F32" w14:textId="66F98417" w:rsidR="00F36E25" w:rsidRP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F36E25">
              <w:rPr>
                <w:b/>
                <w:bCs/>
                <w:color w:val="FFFFFF" w:themeColor="background1"/>
              </w:rPr>
              <w:t>Total</w:t>
            </w:r>
          </w:p>
        </w:tc>
      </w:tr>
      <w:tr w:rsidR="00F36E25" w14:paraId="6E0C2B24" w14:textId="2DFE97A2" w:rsidTr="00F36E25">
        <w:tc>
          <w:tcPr>
            <w:cnfStyle w:val="001000000000" w:firstRow="0" w:lastRow="0" w:firstColumn="1" w:lastColumn="0" w:oddVBand="0" w:evenVBand="0" w:oddHBand="0" w:evenHBand="0" w:firstRowFirstColumn="0" w:firstRowLastColumn="0" w:lastRowFirstColumn="0" w:lastRowLastColumn="0"/>
            <w:tcW w:w="2689" w:type="dxa"/>
          </w:tcPr>
          <w:p w14:paraId="2BEB3994" w14:textId="6552F1B6" w:rsidR="00F36E25" w:rsidRPr="00F36E25" w:rsidRDefault="00F36E25">
            <w:pPr>
              <w:pStyle w:val="BodyText"/>
              <w:spacing w:before="60" w:beforeAutospacing="0" w:after="60" w:afterAutospacing="0" w:line="300" w:lineRule="auto"/>
              <w:rPr>
                <w:b/>
                <w:bCs/>
              </w:rPr>
            </w:pPr>
            <w:r w:rsidRPr="00F36E25">
              <w:rPr>
                <w:b/>
                <w:bCs/>
              </w:rPr>
              <w:t>Bowen Basin</w:t>
            </w:r>
          </w:p>
        </w:tc>
        <w:tc>
          <w:tcPr>
            <w:tcW w:w="1819" w:type="dxa"/>
          </w:tcPr>
          <w:p w14:paraId="7A0CBFC0" w14:textId="15F70665" w:rsid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107</w:t>
            </w:r>
          </w:p>
        </w:tc>
        <w:tc>
          <w:tcPr>
            <w:tcW w:w="1206" w:type="dxa"/>
          </w:tcPr>
          <w:p w14:paraId="5625128C" w14:textId="094FEE00"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16</w:t>
            </w:r>
          </w:p>
        </w:tc>
        <w:tc>
          <w:tcPr>
            <w:tcW w:w="1085" w:type="dxa"/>
          </w:tcPr>
          <w:p w14:paraId="674570FB" w14:textId="7E153C9D"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24,405</w:t>
            </w:r>
          </w:p>
        </w:tc>
        <w:tc>
          <w:tcPr>
            <w:tcW w:w="1085" w:type="dxa"/>
          </w:tcPr>
          <w:p w14:paraId="65A34D82" w14:textId="22B7BCC3" w:rsidR="00F36E25" w:rsidRPr="00E734F4" w:rsidRDefault="0045527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rsidRPr="00E734F4">
              <w:t>914</w:t>
            </w:r>
          </w:p>
        </w:tc>
        <w:tc>
          <w:tcPr>
            <w:tcW w:w="1085" w:type="dxa"/>
          </w:tcPr>
          <w:p w14:paraId="1B0BECDB" w14:textId="38C310EE" w:rsidR="00F36E25" w:rsidRPr="00E734F4" w:rsidRDefault="00A871E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rsidRPr="00E734F4">
              <w:t>92,273</w:t>
            </w:r>
          </w:p>
        </w:tc>
      </w:tr>
      <w:tr w:rsidR="00F36E25" w14:paraId="489D2D9E" w14:textId="338A6095" w:rsidTr="00F36E25">
        <w:tc>
          <w:tcPr>
            <w:cnfStyle w:val="001000000000" w:firstRow="0" w:lastRow="0" w:firstColumn="1" w:lastColumn="0" w:oddVBand="0" w:evenVBand="0" w:oddHBand="0" w:evenHBand="0" w:firstRowFirstColumn="0" w:firstRowLastColumn="0" w:lastRowFirstColumn="0" w:lastRowLastColumn="0"/>
            <w:tcW w:w="2689" w:type="dxa"/>
          </w:tcPr>
          <w:p w14:paraId="63DFFBBD" w14:textId="5FD6395D" w:rsidR="00F36E25" w:rsidRPr="00F36E25" w:rsidRDefault="00F36E25">
            <w:pPr>
              <w:pStyle w:val="BodyText"/>
              <w:spacing w:before="60" w:beforeAutospacing="0" w:after="60" w:afterAutospacing="0" w:line="300" w:lineRule="auto"/>
              <w:rPr>
                <w:b/>
                <w:bCs/>
              </w:rPr>
            </w:pPr>
            <w:r w:rsidRPr="00F36E25">
              <w:rPr>
                <w:b/>
                <w:bCs/>
              </w:rPr>
              <w:t>Clarence-Moreton Basin</w:t>
            </w:r>
          </w:p>
        </w:tc>
        <w:tc>
          <w:tcPr>
            <w:tcW w:w="1819" w:type="dxa"/>
          </w:tcPr>
          <w:p w14:paraId="22C95EA6" w14:textId="44184413" w:rsid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6</w:t>
            </w:r>
          </w:p>
        </w:tc>
        <w:tc>
          <w:tcPr>
            <w:tcW w:w="1206" w:type="dxa"/>
          </w:tcPr>
          <w:p w14:paraId="2240C9BE" w14:textId="745A08D8"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25</w:t>
            </w:r>
          </w:p>
        </w:tc>
        <w:tc>
          <w:tcPr>
            <w:tcW w:w="1085" w:type="dxa"/>
          </w:tcPr>
          <w:p w14:paraId="2A8843C9" w14:textId="442E1994"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719</w:t>
            </w:r>
          </w:p>
        </w:tc>
        <w:tc>
          <w:tcPr>
            <w:tcW w:w="1085" w:type="dxa"/>
          </w:tcPr>
          <w:p w14:paraId="16BE22D6" w14:textId="37398AC8"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305</w:t>
            </w:r>
          </w:p>
        </w:tc>
        <w:tc>
          <w:tcPr>
            <w:tcW w:w="1085" w:type="dxa"/>
          </w:tcPr>
          <w:p w14:paraId="5EA7F17E" w14:textId="75E8CFE8"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1,830</w:t>
            </w:r>
          </w:p>
        </w:tc>
      </w:tr>
      <w:tr w:rsidR="00F36E25" w14:paraId="029F1A71" w14:textId="6BE865E8" w:rsidTr="008670A9">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50EBD7B2" w14:textId="066D6378" w:rsidR="00F36E25" w:rsidRPr="00F36E25" w:rsidRDefault="00F36E25">
            <w:pPr>
              <w:pStyle w:val="BodyText"/>
              <w:spacing w:before="60" w:beforeAutospacing="0" w:after="60" w:afterAutospacing="0" w:line="300" w:lineRule="auto"/>
              <w:rPr>
                <w:b/>
                <w:bCs/>
              </w:rPr>
            </w:pPr>
            <w:r w:rsidRPr="00F36E25">
              <w:rPr>
                <w:b/>
                <w:bCs/>
              </w:rPr>
              <w:t>Callide Basin</w:t>
            </w:r>
          </w:p>
        </w:tc>
        <w:tc>
          <w:tcPr>
            <w:tcW w:w="0" w:type="dxa"/>
          </w:tcPr>
          <w:p w14:paraId="02BEA494" w14:textId="18EB2D93" w:rsid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5</w:t>
            </w:r>
          </w:p>
        </w:tc>
        <w:tc>
          <w:tcPr>
            <w:tcW w:w="0" w:type="dxa"/>
          </w:tcPr>
          <w:p w14:paraId="66BC7E3B" w14:textId="0572369B"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213</w:t>
            </w:r>
          </w:p>
        </w:tc>
        <w:tc>
          <w:tcPr>
            <w:tcW w:w="0" w:type="dxa"/>
          </w:tcPr>
          <w:p w14:paraId="68438DAD" w14:textId="4B4E2938"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1,519</w:t>
            </w:r>
          </w:p>
        </w:tc>
        <w:tc>
          <w:tcPr>
            <w:tcW w:w="0" w:type="dxa"/>
          </w:tcPr>
          <w:p w14:paraId="398EC6C8" w14:textId="26CD3E6B"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644</w:t>
            </w:r>
          </w:p>
        </w:tc>
        <w:tc>
          <w:tcPr>
            <w:tcW w:w="0" w:type="dxa"/>
          </w:tcPr>
          <w:p w14:paraId="4D9A6E24" w14:textId="56DC6C0D"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3,222</w:t>
            </w:r>
          </w:p>
        </w:tc>
      </w:tr>
      <w:tr w:rsidR="00F36E25" w14:paraId="5440DD20" w14:textId="77777777" w:rsidTr="00F36E25">
        <w:tc>
          <w:tcPr>
            <w:cnfStyle w:val="001000000000" w:firstRow="0" w:lastRow="0" w:firstColumn="1" w:lastColumn="0" w:oddVBand="0" w:evenVBand="0" w:oddHBand="0" w:evenHBand="0" w:firstRowFirstColumn="0" w:firstRowLastColumn="0" w:lastRowFirstColumn="0" w:lastRowLastColumn="0"/>
            <w:tcW w:w="2689" w:type="dxa"/>
          </w:tcPr>
          <w:p w14:paraId="230A8A33" w14:textId="480929CE" w:rsidR="00F36E25" w:rsidRPr="00F36E25" w:rsidRDefault="00F36E25">
            <w:pPr>
              <w:pStyle w:val="BodyText"/>
              <w:spacing w:before="60" w:beforeAutospacing="0" w:after="60" w:afterAutospacing="0" w:line="300" w:lineRule="auto"/>
              <w:rPr>
                <w:b/>
                <w:bCs/>
              </w:rPr>
            </w:pPr>
            <w:r w:rsidRPr="00F36E25">
              <w:rPr>
                <w:b/>
                <w:bCs/>
              </w:rPr>
              <w:t>Surat Basin</w:t>
            </w:r>
          </w:p>
        </w:tc>
        <w:tc>
          <w:tcPr>
            <w:tcW w:w="1819" w:type="dxa"/>
          </w:tcPr>
          <w:p w14:paraId="666495E0" w14:textId="4EA62B11" w:rsid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5</w:t>
            </w:r>
          </w:p>
        </w:tc>
        <w:tc>
          <w:tcPr>
            <w:tcW w:w="1206" w:type="dxa"/>
          </w:tcPr>
          <w:p w14:paraId="3BD699ED" w14:textId="77DA8C89"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97</w:t>
            </w:r>
          </w:p>
        </w:tc>
        <w:tc>
          <w:tcPr>
            <w:tcW w:w="1085" w:type="dxa"/>
          </w:tcPr>
          <w:p w14:paraId="32DBF3FD" w14:textId="26D24DDB"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677</w:t>
            </w:r>
          </w:p>
        </w:tc>
        <w:tc>
          <w:tcPr>
            <w:tcW w:w="1085" w:type="dxa"/>
          </w:tcPr>
          <w:p w14:paraId="3B2BF10D" w14:textId="16E67004"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284</w:t>
            </w:r>
          </w:p>
        </w:tc>
        <w:tc>
          <w:tcPr>
            <w:tcW w:w="1085" w:type="dxa"/>
          </w:tcPr>
          <w:p w14:paraId="1FCB45C8" w14:textId="35A437E9"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1,418</w:t>
            </w:r>
          </w:p>
        </w:tc>
      </w:tr>
      <w:tr w:rsidR="00F36E25" w14:paraId="2DFB43D0" w14:textId="77777777" w:rsidTr="00F36E25">
        <w:tc>
          <w:tcPr>
            <w:cnfStyle w:val="001000000000" w:firstRow="0" w:lastRow="0" w:firstColumn="1" w:lastColumn="0" w:oddVBand="0" w:evenVBand="0" w:oddHBand="0" w:evenHBand="0" w:firstRowFirstColumn="0" w:firstRowLastColumn="0" w:lastRowFirstColumn="0" w:lastRowLastColumn="0"/>
            <w:tcW w:w="2689" w:type="dxa"/>
          </w:tcPr>
          <w:p w14:paraId="4172C98F" w14:textId="109036E4" w:rsidR="00F36E25" w:rsidRPr="00F36E25" w:rsidRDefault="00F36E25">
            <w:pPr>
              <w:pStyle w:val="BodyText"/>
              <w:spacing w:before="60" w:beforeAutospacing="0" w:after="60" w:afterAutospacing="0" w:line="300" w:lineRule="auto"/>
              <w:rPr>
                <w:b/>
                <w:bCs/>
              </w:rPr>
            </w:pPr>
            <w:r w:rsidRPr="00F36E25">
              <w:rPr>
                <w:b/>
                <w:bCs/>
              </w:rPr>
              <w:t>Tarong Basin</w:t>
            </w:r>
          </w:p>
        </w:tc>
        <w:tc>
          <w:tcPr>
            <w:tcW w:w="1819" w:type="dxa"/>
          </w:tcPr>
          <w:p w14:paraId="6BAB56AD" w14:textId="75A55A3C" w:rsidR="00F36E25" w:rsidRDefault="00F36E25">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w:t>
            </w:r>
          </w:p>
        </w:tc>
        <w:tc>
          <w:tcPr>
            <w:tcW w:w="1206" w:type="dxa"/>
          </w:tcPr>
          <w:p w14:paraId="272921FC" w14:textId="5A08B732"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266</w:t>
            </w:r>
          </w:p>
        </w:tc>
        <w:tc>
          <w:tcPr>
            <w:tcW w:w="1085" w:type="dxa"/>
          </w:tcPr>
          <w:p w14:paraId="70099331" w14:textId="7382E8BC"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800</w:t>
            </w:r>
          </w:p>
        </w:tc>
        <w:tc>
          <w:tcPr>
            <w:tcW w:w="1085" w:type="dxa"/>
          </w:tcPr>
          <w:p w14:paraId="3A60A60D" w14:textId="319DF311"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533</w:t>
            </w:r>
          </w:p>
        </w:tc>
        <w:tc>
          <w:tcPr>
            <w:tcW w:w="1085" w:type="dxa"/>
          </w:tcPr>
          <w:p w14:paraId="28CF2641" w14:textId="033AE23E" w:rsidR="00F36E25"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1,066</w:t>
            </w:r>
          </w:p>
        </w:tc>
      </w:tr>
      <w:tr w:rsidR="00F11E16" w14:paraId="074F3906" w14:textId="77777777" w:rsidTr="0093523A">
        <w:tc>
          <w:tcPr>
            <w:cnfStyle w:val="001000000000" w:firstRow="0" w:lastRow="0" w:firstColumn="1" w:lastColumn="0" w:oddVBand="0" w:evenVBand="0" w:oddHBand="0" w:evenHBand="0" w:firstRowFirstColumn="0" w:firstRowLastColumn="0" w:lastRowFirstColumn="0" w:lastRowLastColumn="0"/>
            <w:tcW w:w="2689" w:type="dxa"/>
          </w:tcPr>
          <w:p w14:paraId="6E4CBD6E" w14:textId="4BAE1DF2" w:rsidR="00F11E16" w:rsidRPr="00F36E25" w:rsidRDefault="00F11E16">
            <w:pPr>
              <w:pStyle w:val="BodyText"/>
              <w:spacing w:before="60" w:beforeAutospacing="0" w:after="60" w:afterAutospacing="0" w:line="300" w:lineRule="auto"/>
              <w:rPr>
                <w:b/>
                <w:bCs/>
              </w:rPr>
            </w:pPr>
            <w:r w:rsidRPr="00F36E25">
              <w:rPr>
                <w:b/>
                <w:bCs/>
              </w:rPr>
              <w:t xml:space="preserve">Anakie Province </w:t>
            </w:r>
          </w:p>
        </w:tc>
        <w:tc>
          <w:tcPr>
            <w:tcW w:w="1819" w:type="dxa"/>
          </w:tcPr>
          <w:p w14:paraId="110C0805" w14:textId="43D2567B" w:rsidR="00F11E16"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w:t>
            </w:r>
          </w:p>
        </w:tc>
        <w:tc>
          <w:tcPr>
            <w:tcW w:w="4461" w:type="dxa"/>
            <w:gridSpan w:val="4"/>
          </w:tcPr>
          <w:p w14:paraId="0CA3E9DB" w14:textId="28EABD2E" w:rsidR="00F11E16"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963</w:t>
            </w:r>
          </w:p>
        </w:tc>
      </w:tr>
      <w:tr w:rsidR="00F11E16" w14:paraId="2B95A5F0" w14:textId="77777777" w:rsidTr="0093523A">
        <w:tc>
          <w:tcPr>
            <w:cnfStyle w:val="001000000000" w:firstRow="0" w:lastRow="0" w:firstColumn="1" w:lastColumn="0" w:oddVBand="0" w:evenVBand="0" w:oddHBand="0" w:evenHBand="0" w:firstRowFirstColumn="0" w:firstRowLastColumn="0" w:lastRowFirstColumn="0" w:lastRowLastColumn="0"/>
            <w:tcW w:w="2689" w:type="dxa"/>
          </w:tcPr>
          <w:p w14:paraId="428F2E1A" w14:textId="35F25C9B" w:rsidR="00F11E16" w:rsidRPr="00F36E25" w:rsidRDefault="00F11E16">
            <w:pPr>
              <w:pStyle w:val="BodyText"/>
              <w:spacing w:before="60" w:beforeAutospacing="0" w:after="60" w:afterAutospacing="0" w:line="300" w:lineRule="auto"/>
              <w:rPr>
                <w:b/>
                <w:bCs/>
              </w:rPr>
            </w:pPr>
            <w:r w:rsidRPr="00F36E25">
              <w:rPr>
                <w:b/>
                <w:bCs/>
              </w:rPr>
              <w:t>Coastal Sub-province</w:t>
            </w:r>
          </w:p>
        </w:tc>
        <w:tc>
          <w:tcPr>
            <w:tcW w:w="1819" w:type="dxa"/>
          </w:tcPr>
          <w:p w14:paraId="09E86B66" w14:textId="6F842492" w:rsidR="00F11E16"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w:t>
            </w:r>
          </w:p>
        </w:tc>
        <w:tc>
          <w:tcPr>
            <w:tcW w:w="4461" w:type="dxa"/>
            <w:gridSpan w:val="4"/>
          </w:tcPr>
          <w:p w14:paraId="78FD6196" w14:textId="06DC59EC" w:rsidR="00F11E16"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113</w:t>
            </w:r>
          </w:p>
        </w:tc>
      </w:tr>
      <w:tr w:rsidR="00F11E16" w14:paraId="1E0D8923" w14:textId="77777777" w:rsidTr="0093523A">
        <w:tc>
          <w:tcPr>
            <w:cnfStyle w:val="001000000000" w:firstRow="0" w:lastRow="0" w:firstColumn="1" w:lastColumn="0" w:oddVBand="0" w:evenVBand="0" w:oddHBand="0" w:evenHBand="0" w:firstRowFirstColumn="0" w:firstRowLastColumn="0" w:lastRowFirstColumn="0" w:lastRowLastColumn="0"/>
            <w:tcW w:w="2689" w:type="dxa"/>
          </w:tcPr>
          <w:p w14:paraId="390FD6AB" w14:textId="3DA5CB0D" w:rsidR="00F11E16" w:rsidRPr="00F36E25" w:rsidRDefault="00F11E16">
            <w:pPr>
              <w:pStyle w:val="BodyText"/>
              <w:spacing w:before="60" w:beforeAutospacing="0" w:after="60" w:afterAutospacing="0" w:line="300" w:lineRule="auto"/>
              <w:rPr>
                <w:b/>
                <w:bCs/>
              </w:rPr>
            </w:pPr>
            <w:r w:rsidRPr="00F36E25">
              <w:rPr>
                <w:b/>
                <w:bCs/>
              </w:rPr>
              <w:t>Fork Lagoons Sub-province</w:t>
            </w:r>
          </w:p>
        </w:tc>
        <w:tc>
          <w:tcPr>
            <w:tcW w:w="1819" w:type="dxa"/>
          </w:tcPr>
          <w:p w14:paraId="2FAB2DFF" w14:textId="40FCF2FE" w:rsidR="00F11E16"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w:t>
            </w:r>
          </w:p>
        </w:tc>
        <w:tc>
          <w:tcPr>
            <w:tcW w:w="4461" w:type="dxa"/>
            <w:gridSpan w:val="4"/>
          </w:tcPr>
          <w:p w14:paraId="06D11489" w14:textId="795E25DF" w:rsidR="00F11E16" w:rsidRDefault="00F11E16">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8</w:t>
            </w:r>
          </w:p>
        </w:tc>
      </w:tr>
    </w:tbl>
    <w:p w14:paraId="480F2F82" w14:textId="3C22BDF3" w:rsidR="0084698C" w:rsidRDefault="0084698C">
      <w:pPr>
        <w:pStyle w:val="Heading3"/>
      </w:pPr>
      <w:bookmarkStart w:id="102" w:name="_Toc87278334"/>
      <w:bookmarkStart w:id="103" w:name="_Hlk57300539"/>
      <w:bookmarkStart w:id="104" w:name="_Hlk57292527"/>
      <w:bookmarkEnd w:id="100"/>
      <w:bookmarkEnd w:id="101"/>
      <w:r>
        <w:t>Drainage basin</w:t>
      </w:r>
      <w:r w:rsidR="00F84AB5">
        <w:t xml:space="preserve"> and catchment</w:t>
      </w:r>
      <w:bookmarkEnd w:id="102"/>
    </w:p>
    <w:p w14:paraId="695963EA" w14:textId="5F5F2348" w:rsidR="0084698C" w:rsidRDefault="0084698C" w:rsidP="0084698C">
      <w:pPr>
        <w:pStyle w:val="BodyText"/>
      </w:pPr>
      <w:r w:rsidRPr="0084698C">
        <w:t xml:space="preserve">The distribution </w:t>
      </w:r>
      <w:r>
        <w:t xml:space="preserve">of the current </w:t>
      </w:r>
      <w:r w:rsidRPr="00521B26">
        <w:t>open</w:t>
      </w:r>
      <w:r w:rsidR="004C52BE">
        <w:t>-cut</w:t>
      </w:r>
      <w:r w:rsidRPr="00521B26">
        <w:t xml:space="preserve"> coal pits</w:t>
      </w:r>
      <w:r>
        <w:t xml:space="preserve"> relative to drainage division, drainage basin and </w:t>
      </w:r>
      <w:r w:rsidR="005D27D1">
        <w:t>catchment</w:t>
      </w:r>
      <w:r>
        <w:t xml:space="preserve"> is indicated in </w:t>
      </w:r>
      <w:r>
        <w:fldChar w:fldCharType="begin"/>
      </w:r>
      <w:r>
        <w:instrText xml:space="preserve"> REF _Ref57289247 \h </w:instrText>
      </w:r>
      <w:r>
        <w:fldChar w:fldCharType="separate"/>
      </w:r>
      <w:r w:rsidR="00937ADD">
        <w:t xml:space="preserve">Figure </w:t>
      </w:r>
      <w:r w:rsidR="00937ADD">
        <w:rPr>
          <w:noProof/>
        </w:rPr>
        <w:t>4</w:t>
      </w:r>
      <w:r w:rsidR="00937ADD">
        <w:noBreakHyphen/>
      </w:r>
      <w:r w:rsidR="00937ADD">
        <w:rPr>
          <w:noProof/>
        </w:rPr>
        <w:t>1</w:t>
      </w:r>
      <w:r>
        <w:fldChar w:fldCharType="end"/>
      </w:r>
      <w:r>
        <w:t xml:space="preserve"> and tabulated in </w:t>
      </w:r>
      <w:r>
        <w:fldChar w:fldCharType="begin"/>
      </w:r>
      <w:r>
        <w:instrText xml:space="preserve"> REF _Ref57363324 \h </w:instrText>
      </w:r>
      <w:r>
        <w:fldChar w:fldCharType="separate"/>
      </w:r>
      <w:r w:rsidR="00937ADD" w:rsidRPr="00C05AEA">
        <w:t xml:space="preserve">Table </w:t>
      </w:r>
      <w:r w:rsidR="00937ADD">
        <w:rPr>
          <w:noProof/>
        </w:rPr>
        <w:t>4</w:t>
      </w:r>
      <w:r w:rsidR="00937ADD">
        <w:noBreakHyphen/>
      </w:r>
      <w:r w:rsidR="00937ADD">
        <w:rPr>
          <w:noProof/>
        </w:rPr>
        <w:t>3</w:t>
      </w:r>
      <w:r>
        <w:fldChar w:fldCharType="end"/>
      </w:r>
      <w:r>
        <w:t xml:space="preserve">. </w:t>
      </w:r>
    </w:p>
    <w:p w14:paraId="1F986062" w14:textId="1AE61E8B" w:rsidR="00BF16A6" w:rsidRDefault="0084698C" w:rsidP="0084698C">
      <w:pPr>
        <w:pStyle w:val="BodyText"/>
      </w:pPr>
      <w:bookmarkStart w:id="105" w:name="_Hlk57371130"/>
      <w:bookmarkStart w:id="106" w:name="_Hlk57472184"/>
      <w:r>
        <w:t>Within Queensland, current open</w:t>
      </w:r>
      <w:r w:rsidR="004C52BE">
        <w:t>-cut</w:t>
      </w:r>
      <w:r>
        <w:t xml:space="preserve"> coal pits are largely located in the north-east </w:t>
      </w:r>
      <w:r w:rsidR="00215850">
        <w:t xml:space="preserve">part of the State, </w:t>
      </w:r>
      <w:r>
        <w:t>within the North East Coast drainage division</w:t>
      </w:r>
      <w:r w:rsidR="00105EB8">
        <w:t xml:space="preserve"> according to the following drainage basins</w:t>
      </w:r>
      <w:r w:rsidR="004C52BE">
        <w:t>.</w:t>
      </w:r>
    </w:p>
    <w:bookmarkEnd w:id="105"/>
    <w:p w14:paraId="5CD20F31" w14:textId="3DC1A886" w:rsidR="0084698C" w:rsidRDefault="0084698C" w:rsidP="001628AA">
      <w:pPr>
        <w:pStyle w:val="BodyText"/>
        <w:numPr>
          <w:ilvl w:val="0"/>
          <w:numId w:val="52"/>
        </w:numPr>
        <w:spacing w:before="80" w:after="80"/>
      </w:pPr>
      <w:r>
        <w:t>The Fit</w:t>
      </w:r>
      <w:r w:rsidR="007F74C6">
        <w:t>zroy Basin</w:t>
      </w:r>
      <w:r>
        <w:t xml:space="preserve"> </w:t>
      </w:r>
      <w:r w:rsidR="0022680E">
        <w:t xml:space="preserve">contains </w:t>
      </w:r>
      <w:r>
        <w:t>a large proportion of the current open</w:t>
      </w:r>
      <w:r w:rsidR="004C52BE">
        <w:t>-cut</w:t>
      </w:r>
      <w:r>
        <w:t xml:space="preserve"> coal pits (94 in total) with a total area </w:t>
      </w:r>
      <w:r w:rsidRPr="00E734F4">
        <w:t xml:space="preserve">of </w:t>
      </w:r>
      <w:r w:rsidR="001C704B" w:rsidRPr="00E734F4">
        <w:t>90,787</w:t>
      </w:r>
      <w:r w:rsidR="007F74C6" w:rsidRPr="00E734F4">
        <w:t xml:space="preserve"> ha</w:t>
      </w:r>
      <w:r w:rsidR="00215850" w:rsidRPr="00E734F4">
        <w:t>.</w:t>
      </w:r>
      <w:r w:rsidR="007F74C6" w:rsidRPr="00E734F4">
        <w:t xml:space="preserve"> </w:t>
      </w:r>
      <w:r w:rsidR="00215850" w:rsidRPr="00E734F4">
        <w:t xml:space="preserve">Within the Basin, </w:t>
      </w:r>
      <w:r w:rsidR="007F74C6" w:rsidRPr="00E734F4">
        <w:t xml:space="preserve">the Isaac River </w:t>
      </w:r>
      <w:r w:rsidR="003654C9" w:rsidRPr="00E734F4">
        <w:t>C</w:t>
      </w:r>
      <w:r w:rsidR="007F74C6" w:rsidRPr="00E734F4">
        <w:t xml:space="preserve">atchment </w:t>
      </w:r>
      <w:r w:rsidR="00215850" w:rsidRPr="00E734F4">
        <w:t xml:space="preserve">contains the highest number of pits; </w:t>
      </w:r>
      <w:r w:rsidR="007F74C6" w:rsidRPr="00E734F4">
        <w:t xml:space="preserve">39 </w:t>
      </w:r>
      <w:r w:rsidR="00215850" w:rsidRPr="00E734F4">
        <w:t xml:space="preserve">in total, with an area of </w:t>
      </w:r>
      <w:r w:rsidR="001C704B" w:rsidRPr="00E734F4">
        <w:t>50,408</w:t>
      </w:r>
      <w:r w:rsidR="00BF16A6" w:rsidRPr="00E734F4">
        <w:t xml:space="preserve"> ha. Other catchments in the Fitzroy Basin with current open</w:t>
      </w:r>
      <w:r w:rsidR="004C52BE">
        <w:t>-cut</w:t>
      </w:r>
      <w:r w:rsidR="00BF16A6" w:rsidRPr="00E734F4">
        <w:t xml:space="preserve"> coal pits include Mackenzie River (23 pits; 25,399 ha in area), Dawson River</w:t>
      </w:r>
      <w:r w:rsidR="00215850" w:rsidRPr="00E734F4">
        <w:t xml:space="preserve"> </w:t>
      </w:r>
      <w:r w:rsidR="00BF16A6" w:rsidRPr="00E734F4">
        <w:t>(14 pits; 7,622 ha in area), No</w:t>
      </w:r>
      <w:r w:rsidR="00AC16F7" w:rsidRPr="00E734F4">
        <w:t>go</w:t>
      </w:r>
      <w:r w:rsidR="00BF16A6" w:rsidRPr="00E734F4">
        <w:t>a River (13 pits; 5268</w:t>
      </w:r>
      <w:r w:rsidR="00BF16A6">
        <w:t xml:space="preserve"> ha in area) and Comet River (5 pits; 2,100 ha in area).</w:t>
      </w:r>
    </w:p>
    <w:bookmarkEnd w:id="106"/>
    <w:p w14:paraId="366A2FB2" w14:textId="714DD7F2" w:rsidR="00BF16A6" w:rsidRDefault="00BF16A6" w:rsidP="001628AA">
      <w:pPr>
        <w:pStyle w:val="BodyText"/>
        <w:numPr>
          <w:ilvl w:val="0"/>
          <w:numId w:val="52"/>
        </w:numPr>
        <w:spacing w:before="80" w:after="80"/>
      </w:pPr>
      <w:r>
        <w:t>The Burdekin Basin currently holds 20 open</w:t>
      </w:r>
      <w:r w:rsidR="004C52BE">
        <w:t>-cut</w:t>
      </w:r>
      <w:r>
        <w:t xml:space="preserve"> coal pits </w:t>
      </w:r>
      <w:r w:rsidR="00105EB8">
        <w:t>(</w:t>
      </w:r>
      <w:r w:rsidR="00105EB8" w:rsidRPr="00105EB8">
        <w:t>5,667</w:t>
      </w:r>
      <w:r w:rsidR="00105EB8">
        <w:t xml:space="preserve"> ha in area), </w:t>
      </w:r>
      <w:r>
        <w:t>within the Bowen River</w:t>
      </w:r>
      <w:r w:rsidR="00215850">
        <w:t xml:space="preserve"> </w:t>
      </w:r>
      <w:r>
        <w:t>(16 pits; 4,443 ha in area) and Suttor River</w:t>
      </w:r>
      <w:r w:rsidR="00215850">
        <w:t xml:space="preserve"> </w:t>
      </w:r>
      <w:r>
        <w:t>(4 pits; 1,224 ha in area)</w:t>
      </w:r>
      <w:r w:rsidR="00215850">
        <w:t xml:space="preserve"> catchments</w:t>
      </w:r>
      <w:r>
        <w:t>.</w:t>
      </w:r>
    </w:p>
    <w:p w14:paraId="719E1675" w14:textId="2A982732" w:rsidR="00BF16A6" w:rsidRDefault="00BF16A6" w:rsidP="001628AA">
      <w:pPr>
        <w:pStyle w:val="BodyText"/>
        <w:numPr>
          <w:ilvl w:val="0"/>
          <w:numId w:val="52"/>
        </w:numPr>
        <w:spacing w:before="80" w:after="80"/>
      </w:pPr>
      <w:r>
        <w:t xml:space="preserve">The Brisbane Basin currently </w:t>
      </w:r>
      <w:r w:rsidR="00105EB8">
        <w:t>contains 4 open</w:t>
      </w:r>
      <w:r w:rsidR="004C52BE">
        <w:t>-cut</w:t>
      </w:r>
      <w:r w:rsidR="00105EB8">
        <w:t xml:space="preserve"> coal pits, all located within the Bremer River </w:t>
      </w:r>
      <w:r w:rsidR="003654C9">
        <w:t>C</w:t>
      </w:r>
      <w:r w:rsidR="00105EB8">
        <w:t>atchment, totalling 416 ha in area.</w:t>
      </w:r>
    </w:p>
    <w:p w14:paraId="5759FB48" w14:textId="4C415CF0" w:rsidR="00BF16A6" w:rsidRDefault="00105EB8" w:rsidP="001628AA">
      <w:pPr>
        <w:pStyle w:val="BodyText"/>
        <w:numPr>
          <w:ilvl w:val="0"/>
          <w:numId w:val="52"/>
        </w:numPr>
        <w:spacing w:before="80" w:after="80"/>
      </w:pPr>
      <w:r>
        <w:t xml:space="preserve">The </w:t>
      </w:r>
      <w:r w:rsidRPr="00105EB8">
        <w:t>Burnett</w:t>
      </w:r>
      <w:r>
        <w:t xml:space="preserve"> Basin currently holds 2 open</w:t>
      </w:r>
      <w:r w:rsidR="004C52BE">
        <w:t>-cut</w:t>
      </w:r>
      <w:r>
        <w:t xml:space="preserve"> coal pits, all located within the </w:t>
      </w:r>
      <w:r w:rsidRPr="00105EB8">
        <w:t>Barker &amp; Barambah Creeks</w:t>
      </w:r>
      <w:r>
        <w:t xml:space="preserve"> </w:t>
      </w:r>
      <w:r w:rsidR="003654C9">
        <w:t>C</w:t>
      </w:r>
      <w:r>
        <w:t xml:space="preserve">atchment, totalling </w:t>
      </w:r>
      <w:r w:rsidRPr="00105EB8">
        <w:t>1,066</w:t>
      </w:r>
      <w:r>
        <w:t xml:space="preserve"> ha in area.</w:t>
      </w:r>
    </w:p>
    <w:p w14:paraId="31C91F93" w14:textId="655CEC07" w:rsidR="00BF16A6" w:rsidRDefault="00105EB8" w:rsidP="001628AA">
      <w:pPr>
        <w:pStyle w:val="ListParagraph"/>
        <w:numPr>
          <w:ilvl w:val="0"/>
          <w:numId w:val="52"/>
        </w:numPr>
        <w:spacing w:before="80" w:beforeAutospacing="0" w:after="80" w:afterAutospacing="0"/>
        <w:contextualSpacing w:val="0"/>
      </w:pPr>
      <w:r w:rsidRPr="00105EB8">
        <w:t xml:space="preserve">The </w:t>
      </w:r>
      <w:r>
        <w:t>Calliope</w:t>
      </w:r>
      <w:r w:rsidRPr="00105EB8">
        <w:t xml:space="preserve"> Basin</w:t>
      </w:r>
      <w:r>
        <w:t>, on the east coast,</w:t>
      </w:r>
      <w:r w:rsidRPr="00105EB8">
        <w:t xml:space="preserve"> currently holds </w:t>
      </w:r>
      <w:r>
        <w:t>1</w:t>
      </w:r>
      <w:r w:rsidRPr="00105EB8">
        <w:t xml:space="preserve"> open</w:t>
      </w:r>
      <w:r w:rsidR="004C52BE">
        <w:t>-cut</w:t>
      </w:r>
      <w:r w:rsidRPr="00105EB8">
        <w:t xml:space="preserve"> coal pit</w:t>
      </w:r>
      <w:r>
        <w:t xml:space="preserve"> (113 ha in area),</w:t>
      </w:r>
      <w:r w:rsidRPr="00105EB8">
        <w:t xml:space="preserve"> within the Calliope River</w:t>
      </w:r>
      <w:r w:rsidR="00215850">
        <w:t xml:space="preserve"> </w:t>
      </w:r>
      <w:r w:rsidR="003654C9">
        <w:t>C</w:t>
      </w:r>
      <w:r w:rsidR="00215850">
        <w:t>atchment</w:t>
      </w:r>
      <w:r>
        <w:t xml:space="preserve">. </w:t>
      </w:r>
    </w:p>
    <w:p w14:paraId="35B75B14" w14:textId="790CEBB9" w:rsidR="0084698C" w:rsidRPr="0084698C" w:rsidRDefault="0084698C" w:rsidP="0084698C">
      <w:pPr>
        <w:pStyle w:val="BodyText"/>
      </w:pPr>
      <w:r>
        <w:lastRenderedPageBreak/>
        <w:t xml:space="preserve">Seven current open coal pits (totalling 2,154 ha in area) are situated in southeast Queensland, within the </w:t>
      </w:r>
      <w:r w:rsidR="00215850">
        <w:t xml:space="preserve">Balonne River </w:t>
      </w:r>
      <w:r w:rsidR="003654C9">
        <w:t>C</w:t>
      </w:r>
      <w:r w:rsidR="00215850">
        <w:t xml:space="preserve">atchment of the </w:t>
      </w:r>
      <w:r>
        <w:t xml:space="preserve">Balonne-Condamine </w:t>
      </w:r>
      <w:r w:rsidR="007F74C6">
        <w:t>B</w:t>
      </w:r>
      <w:r>
        <w:t xml:space="preserve">asin </w:t>
      </w:r>
      <w:r w:rsidR="00215850">
        <w:t>in</w:t>
      </w:r>
      <w:r>
        <w:t xml:space="preserve"> the Murray-Darling Basin drainage division. </w:t>
      </w:r>
    </w:p>
    <w:p w14:paraId="060F56B7" w14:textId="1D7714E0" w:rsidR="008B34F5" w:rsidRDefault="008B34F5" w:rsidP="008B34F5">
      <w:pPr>
        <w:pStyle w:val="Caption"/>
      </w:pPr>
      <w:bookmarkStart w:id="107" w:name="_Ref57363324"/>
      <w:bookmarkStart w:id="108" w:name="_Toc65140580"/>
      <w:bookmarkEnd w:id="103"/>
      <w:r w:rsidRPr="00C05AEA">
        <w:t xml:space="preserve">Table </w:t>
      </w:r>
      <w:fldSimple w:instr=" STYLEREF 1 \s ">
        <w:r w:rsidR="00937ADD">
          <w:rPr>
            <w:noProof/>
          </w:rPr>
          <w:t>4</w:t>
        </w:r>
      </w:fldSimple>
      <w:r w:rsidR="002714CC">
        <w:noBreakHyphen/>
      </w:r>
      <w:fldSimple w:instr=" SEQ Table \* ARABIC \s 1 ">
        <w:r w:rsidR="00937ADD">
          <w:rPr>
            <w:noProof/>
          </w:rPr>
          <w:t>3</w:t>
        </w:r>
      </w:fldSimple>
      <w:bookmarkEnd w:id="107"/>
      <w:r w:rsidRPr="00C05AEA">
        <w:t xml:space="preserve"> Distribution of current open</w:t>
      </w:r>
      <w:r w:rsidR="004C52BE">
        <w:t>-cut</w:t>
      </w:r>
      <w:r w:rsidRPr="00C05AEA">
        <w:t xml:space="preserve"> coal pits in Queensland according to drain basin and drain sub-basins</w:t>
      </w:r>
      <w:bookmarkEnd w:id="108"/>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124"/>
        <w:gridCol w:w="1151"/>
        <w:gridCol w:w="1744"/>
        <w:gridCol w:w="1083"/>
        <w:gridCol w:w="989"/>
        <w:gridCol w:w="992"/>
        <w:gridCol w:w="992"/>
        <w:gridCol w:w="942"/>
      </w:tblGrid>
      <w:tr w:rsidR="00F145B1" w14:paraId="2CC4A976" w14:textId="77777777" w:rsidTr="008C36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24" w:type="dxa"/>
            <w:vMerge w:val="restart"/>
            <w:vAlign w:val="center"/>
          </w:tcPr>
          <w:p w14:paraId="099975A2" w14:textId="69058FBC" w:rsidR="00F145B1" w:rsidRDefault="00F145B1" w:rsidP="00F145B1">
            <w:pPr>
              <w:pStyle w:val="BodyText"/>
              <w:spacing w:before="100" w:after="100" w:line="300" w:lineRule="auto"/>
              <w:jc w:val="center"/>
            </w:pPr>
            <w:r>
              <w:t>Drainage division</w:t>
            </w:r>
          </w:p>
        </w:tc>
        <w:tc>
          <w:tcPr>
            <w:tcW w:w="1151" w:type="dxa"/>
            <w:vMerge w:val="restart"/>
            <w:vAlign w:val="center"/>
          </w:tcPr>
          <w:p w14:paraId="416A442D" w14:textId="35B55C0F" w:rsidR="00F145B1" w:rsidRDefault="00F145B1" w:rsidP="004A5D70">
            <w:pPr>
              <w:pStyle w:val="BodyText"/>
              <w:spacing w:before="60" w:after="60" w:line="300" w:lineRule="auto"/>
              <w:jc w:val="center"/>
              <w:cnfStyle w:val="100000000000" w:firstRow="1" w:lastRow="0" w:firstColumn="0" w:lastColumn="0" w:oddVBand="0" w:evenVBand="0" w:oddHBand="0" w:evenHBand="0" w:firstRowFirstColumn="0" w:firstRowLastColumn="0" w:lastRowFirstColumn="0" w:lastRowLastColumn="0"/>
            </w:pPr>
            <w:r>
              <w:t>Drainage basin</w:t>
            </w:r>
          </w:p>
        </w:tc>
        <w:tc>
          <w:tcPr>
            <w:tcW w:w="1744" w:type="dxa"/>
            <w:vMerge w:val="restart"/>
            <w:vAlign w:val="center"/>
          </w:tcPr>
          <w:p w14:paraId="030E61BB" w14:textId="0C998638" w:rsidR="00F145B1" w:rsidRDefault="005D27D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 xml:space="preserve">Catchment </w:t>
            </w:r>
          </w:p>
        </w:tc>
        <w:tc>
          <w:tcPr>
            <w:tcW w:w="1083" w:type="dxa"/>
            <w:vMerge w:val="restart"/>
            <w:vAlign w:val="center"/>
          </w:tcPr>
          <w:p w14:paraId="59C7F7AF" w14:textId="72661BAF" w:rsidR="00F145B1" w:rsidRDefault="00F145B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Number of current open</w:t>
            </w:r>
            <w:r w:rsidR="004C52BE">
              <w:t>-cut</w:t>
            </w:r>
            <w:r>
              <w:t xml:space="preserve"> coal pits</w:t>
            </w:r>
          </w:p>
        </w:tc>
        <w:tc>
          <w:tcPr>
            <w:tcW w:w="3915" w:type="dxa"/>
            <w:gridSpan w:val="4"/>
            <w:vAlign w:val="center"/>
          </w:tcPr>
          <w:p w14:paraId="6775C99E" w14:textId="77777777" w:rsidR="00F145B1" w:rsidRDefault="00F145B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Planimetric area (ha)</w:t>
            </w:r>
          </w:p>
        </w:tc>
      </w:tr>
      <w:tr w:rsidR="00F145B1" w14:paraId="6AB7F16B" w14:textId="77777777" w:rsidTr="008C36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137F62D4" w14:textId="50C67865" w:rsidR="00F145B1" w:rsidRDefault="00F145B1" w:rsidP="00F145B1">
            <w:pPr>
              <w:pStyle w:val="BodyText"/>
              <w:spacing w:before="100" w:after="100" w:line="300" w:lineRule="auto"/>
              <w:jc w:val="center"/>
            </w:pPr>
          </w:p>
        </w:tc>
        <w:tc>
          <w:tcPr>
            <w:tcW w:w="1151" w:type="dxa"/>
            <w:vMerge/>
            <w:vAlign w:val="center"/>
          </w:tcPr>
          <w:p w14:paraId="6703B7FF" w14:textId="5F427495" w:rsidR="00F145B1" w:rsidRDefault="00F145B1" w:rsidP="004A5D70">
            <w:pPr>
              <w:pStyle w:val="BodyText"/>
              <w:spacing w:before="60" w:after="60" w:line="300" w:lineRule="auto"/>
              <w:jc w:val="center"/>
              <w:cnfStyle w:val="100000000000" w:firstRow="1" w:lastRow="0" w:firstColumn="0" w:lastColumn="0" w:oddVBand="0" w:evenVBand="0" w:oddHBand="0" w:evenHBand="0" w:firstRowFirstColumn="0" w:firstRowLastColumn="0" w:lastRowFirstColumn="0" w:lastRowLastColumn="0"/>
            </w:pPr>
          </w:p>
        </w:tc>
        <w:tc>
          <w:tcPr>
            <w:tcW w:w="1744" w:type="dxa"/>
            <w:vMerge/>
            <w:vAlign w:val="center"/>
          </w:tcPr>
          <w:p w14:paraId="0FA5DF66" w14:textId="24C6504F" w:rsidR="00F145B1" w:rsidRDefault="00F145B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p>
        </w:tc>
        <w:tc>
          <w:tcPr>
            <w:tcW w:w="1083" w:type="dxa"/>
            <w:vMerge/>
            <w:vAlign w:val="center"/>
          </w:tcPr>
          <w:p w14:paraId="69780320" w14:textId="77777777" w:rsidR="00F145B1" w:rsidRDefault="00F145B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p>
        </w:tc>
        <w:tc>
          <w:tcPr>
            <w:tcW w:w="989" w:type="dxa"/>
            <w:vAlign w:val="center"/>
          </w:tcPr>
          <w:p w14:paraId="3C1CCFDF" w14:textId="77777777" w:rsidR="00F145B1" w:rsidRPr="00F36E25" w:rsidRDefault="00F145B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b w:val="0"/>
                <w:bCs/>
              </w:rPr>
            </w:pPr>
            <w:r w:rsidRPr="00F36E25">
              <w:rPr>
                <w:b w:val="0"/>
                <w:bCs/>
              </w:rPr>
              <w:t>Minimum</w:t>
            </w:r>
          </w:p>
        </w:tc>
        <w:tc>
          <w:tcPr>
            <w:tcW w:w="992" w:type="dxa"/>
            <w:vAlign w:val="center"/>
          </w:tcPr>
          <w:p w14:paraId="385F7168" w14:textId="77777777" w:rsidR="00F145B1" w:rsidRPr="00F36E25" w:rsidRDefault="00F145B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b w:val="0"/>
                <w:bCs/>
              </w:rPr>
            </w:pPr>
            <w:r w:rsidRPr="00F36E25">
              <w:rPr>
                <w:b w:val="0"/>
                <w:bCs/>
              </w:rPr>
              <w:t>Maximum</w:t>
            </w:r>
          </w:p>
        </w:tc>
        <w:tc>
          <w:tcPr>
            <w:tcW w:w="992" w:type="dxa"/>
            <w:vAlign w:val="center"/>
          </w:tcPr>
          <w:p w14:paraId="408E82FD" w14:textId="77777777" w:rsidR="00F145B1" w:rsidRPr="00F36E25" w:rsidRDefault="00F145B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b w:val="0"/>
                <w:bCs/>
              </w:rPr>
            </w:pPr>
            <w:r w:rsidRPr="00F36E25">
              <w:rPr>
                <w:b w:val="0"/>
                <w:bCs/>
              </w:rPr>
              <w:t>Average</w:t>
            </w:r>
          </w:p>
        </w:tc>
        <w:tc>
          <w:tcPr>
            <w:tcW w:w="942" w:type="dxa"/>
            <w:vAlign w:val="center"/>
          </w:tcPr>
          <w:p w14:paraId="36440671" w14:textId="77777777" w:rsidR="00F145B1" w:rsidRPr="00F36E25" w:rsidRDefault="00F145B1" w:rsidP="004A5D70">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b w:val="0"/>
                <w:bCs/>
              </w:rPr>
            </w:pPr>
            <w:r w:rsidRPr="00F36E25">
              <w:rPr>
                <w:b w:val="0"/>
                <w:bCs/>
              </w:rPr>
              <w:t>Total</w:t>
            </w:r>
          </w:p>
        </w:tc>
      </w:tr>
      <w:tr w:rsidR="005A5650" w14:paraId="6EBF7AB8"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restart"/>
            <w:vAlign w:val="center"/>
          </w:tcPr>
          <w:p w14:paraId="103B11FF" w14:textId="7BD464C2" w:rsidR="005A5650" w:rsidRPr="00F36E25" w:rsidRDefault="005A5650" w:rsidP="00C05AEA">
            <w:pPr>
              <w:pStyle w:val="BodyText"/>
              <w:spacing w:before="100" w:after="100" w:line="300" w:lineRule="auto"/>
              <w:rPr>
                <w:b/>
                <w:bCs/>
              </w:rPr>
            </w:pPr>
            <w:r>
              <w:rPr>
                <w:b/>
                <w:bCs/>
              </w:rPr>
              <w:t>Murray-Darling Basin</w:t>
            </w:r>
          </w:p>
        </w:tc>
        <w:tc>
          <w:tcPr>
            <w:tcW w:w="1151" w:type="dxa"/>
            <w:vMerge w:val="restart"/>
            <w:vAlign w:val="center"/>
          </w:tcPr>
          <w:p w14:paraId="3A8773B1" w14:textId="19BFA207" w:rsidR="005A5650" w:rsidRPr="00F36E25" w:rsidRDefault="005A5650"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F145B1">
              <w:rPr>
                <w:b/>
                <w:bCs/>
              </w:rPr>
              <w:t>Balonne-Condamine</w:t>
            </w:r>
          </w:p>
        </w:tc>
        <w:tc>
          <w:tcPr>
            <w:tcW w:w="1744" w:type="dxa"/>
            <w:vAlign w:val="center"/>
          </w:tcPr>
          <w:p w14:paraId="2DB583F1" w14:textId="102FDE01" w:rsidR="005A5650" w:rsidRPr="00F36E25" w:rsidRDefault="005A5650" w:rsidP="00C05AEA">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b/>
                <w:bCs/>
              </w:rPr>
            </w:pPr>
            <w:r w:rsidRPr="007A34FB">
              <w:t>Balonne River</w:t>
            </w:r>
          </w:p>
        </w:tc>
        <w:tc>
          <w:tcPr>
            <w:tcW w:w="1083" w:type="dxa"/>
            <w:vAlign w:val="center"/>
          </w:tcPr>
          <w:p w14:paraId="279387DF" w14:textId="30D8BED9" w:rsidR="005A5650" w:rsidRDefault="005A5650" w:rsidP="00C05AEA">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rsidRPr="00E10EBE">
              <w:t>1</w:t>
            </w:r>
          </w:p>
        </w:tc>
        <w:tc>
          <w:tcPr>
            <w:tcW w:w="2973" w:type="dxa"/>
            <w:gridSpan w:val="3"/>
            <w:vAlign w:val="center"/>
          </w:tcPr>
          <w:p w14:paraId="50C9E1E9" w14:textId="4ABACCA8" w:rsidR="005A5650" w:rsidRDefault="005A5650" w:rsidP="0021585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rsidRPr="00481E6A">
              <w:t>677</w:t>
            </w:r>
          </w:p>
        </w:tc>
        <w:tc>
          <w:tcPr>
            <w:tcW w:w="942" w:type="dxa"/>
            <w:vAlign w:val="center"/>
          </w:tcPr>
          <w:p w14:paraId="6BEC993C" w14:textId="5440F814" w:rsidR="005A5650" w:rsidRDefault="005A5650" w:rsidP="00215850">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rsidRPr="00481E6A">
              <w:t>677</w:t>
            </w:r>
          </w:p>
        </w:tc>
      </w:tr>
      <w:tr w:rsidR="00C05AEA" w14:paraId="0EA3CDC1"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139E4C32" w14:textId="77777777" w:rsidR="00C05AEA" w:rsidRPr="00F36E25" w:rsidRDefault="00C05AEA" w:rsidP="00C05AEA">
            <w:pPr>
              <w:pStyle w:val="BodyText"/>
              <w:spacing w:before="60" w:after="60" w:line="300" w:lineRule="auto"/>
              <w:rPr>
                <w:b/>
                <w:bCs/>
              </w:rPr>
            </w:pPr>
          </w:p>
        </w:tc>
        <w:tc>
          <w:tcPr>
            <w:tcW w:w="1151" w:type="dxa"/>
            <w:vMerge/>
            <w:vAlign w:val="center"/>
          </w:tcPr>
          <w:p w14:paraId="7B8CC896" w14:textId="452E1311"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62F81727" w14:textId="17647607"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7A34FB">
              <w:t>Condamine River</w:t>
            </w:r>
          </w:p>
        </w:tc>
        <w:tc>
          <w:tcPr>
            <w:tcW w:w="1083" w:type="dxa"/>
            <w:vAlign w:val="center"/>
          </w:tcPr>
          <w:p w14:paraId="629D2C53" w14:textId="061E45CE" w:rsid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E10EBE">
              <w:t>6</w:t>
            </w:r>
          </w:p>
        </w:tc>
        <w:tc>
          <w:tcPr>
            <w:tcW w:w="989" w:type="dxa"/>
            <w:vAlign w:val="center"/>
          </w:tcPr>
          <w:p w14:paraId="42BA6157" w14:textId="6F62D325"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81E6A">
              <w:t>97</w:t>
            </w:r>
          </w:p>
        </w:tc>
        <w:tc>
          <w:tcPr>
            <w:tcW w:w="992" w:type="dxa"/>
            <w:vAlign w:val="center"/>
          </w:tcPr>
          <w:p w14:paraId="033523BF" w14:textId="04340BB2"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81E6A">
              <w:t>719</w:t>
            </w:r>
          </w:p>
        </w:tc>
        <w:tc>
          <w:tcPr>
            <w:tcW w:w="992" w:type="dxa"/>
            <w:vAlign w:val="center"/>
          </w:tcPr>
          <w:p w14:paraId="28A90166" w14:textId="3F73500D"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81E6A">
              <w:t>359</w:t>
            </w:r>
          </w:p>
        </w:tc>
        <w:tc>
          <w:tcPr>
            <w:tcW w:w="942" w:type="dxa"/>
            <w:vAlign w:val="center"/>
          </w:tcPr>
          <w:p w14:paraId="76A76392" w14:textId="44FFB683"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81E6A">
              <w:t>2,154</w:t>
            </w:r>
          </w:p>
        </w:tc>
      </w:tr>
      <w:tr w:rsidR="00C05AEA" w14:paraId="78321049"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3B5A539B" w14:textId="77777777" w:rsidR="00C05AEA" w:rsidRDefault="00C05AEA" w:rsidP="00C05AEA">
            <w:pPr>
              <w:pStyle w:val="BodyText"/>
              <w:spacing w:before="60" w:after="60" w:line="300" w:lineRule="auto"/>
              <w:rPr>
                <w:b/>
                <w:bCs/>
              </w:rPr>
            </w:pPr>
          </w:p>
        </w:tc>
        <w:tc>
          <w:tcPr>
            <w:tcW w:w="1151" w:type="dxa"/>
            <w:vMerge/>
            <w:vAlign w:val="center"/>
          </w:tcPr>
          <w:p w14:paraId="13462CC4" w14:textId="77777777"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06300B50" w14:textId="655FFF28" w:rsidR="00C05AEA" w:rsidRPr="00C05AEA"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i/>
                <w:iCs/>
              </w:rPr>
            </w:pPr>
            <w:r w:rsidRPr="00C05AEA">
              <w:rPr>
                <w:i/>
                <w:iCs/>
              </w:rPr>
              <w:t>Sum Balonne-Condamine</w:t>
            </w:r>
          </w:p>
        </w:tc>
        <w:tc>
          <w:tcPr>
            <w:tcW w:w="1083" w:type="dxa"/>
            <w:vAlign w:val="center"/>
          </w:tcPr>
          <w:p w14:paraId="7C2EA0B3" w14:textId="3D434501" w:rsidR="00C05AEA" w:rsidRP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7</w:t>
            </w:r>
          </w:p>
        </w:tc>
        <w:tc>
          <w:tcPr>
            <w:tcW w:w="989" w:type="dxa"/>
            <w:vAlign w:val="center"/>
          </w:tcPr>
          <w:p w14:paraId="23D7EC6A" w14:textId="72F331BA"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Pr>
                <w:i/>
                <w:iCs/>
              </w:rPr>
              <w:t>-</w:t>
            </w:r>
          </w:p>
        </w:tc>
        <w:tc>
          <w:tcPr>
            <w:tcW w:w="992" w:type="dxa"/>
            <w:vAlign w:val="center"/>
          </w:tcPr>
          <w:p w14:paraId="2D955BE0" w14:textId="33D98E75"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Pr>
                <w:i/>
                <w:iCs/>
              </w:rPr>
              <w:t>-</w:t>
            </w:r>
          </w:p>
        </w:tc>
        <w:tc>
          <w:tcPr>
            <w:tcW w:w="992" w:type="dxa"/>
            <w:vAlign w:val="center"/>
          </w:tcPr>
          <w:p w14:paraId="55F27126" w14:textId="47F97398"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Pr>
                <w:i/>
                <w:iCs/>
              </w:rPr>
              <w:t>-</w:t>
            </w:r>
          </w:p>
        </w:tc>
        <w:tc>
          <w:tcPr>
            <w:tcW w:w="942" w:type="dxa"/>
            <w:vAlign w:val="center"/>
          </w:tcPr>
          <w:p w14:paraId="50EB914D" w14:textId="5C635CA2" w:rsidR="00C05AEA" w:rsidRPr="001F2E85"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b/>
                <w:bCs/>
                <w:i/>
                <w:iCs/>
              </w:rPr>
            </w:pPr>
            <w:r w:rsidRPr="001F2E85">
              <w:rPr>
                <w:b/>
                <w:bCs/>
                <w:i/>
                <w:iCs/>
              </w:rPr>
              <w:t>2,832</w:t>
            </w:r>
          </w:p>
        </w:tc>
      </w:tr>
      <w:tr w:rsidR="00C05AEA" w14:paraId="171FC28D"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restart"/>
            <w:vAlign w:val="center"/>
          </w:tcPr>
          <w:p w14:paraId="68F06C37" w14:textId="4A322E87" w:rsidR="00C05AEA" w:rsidRPr="00F36E25" w:rsidRDefault="00C05AEA" w:rsidP="00C05AEA">
            <w:pPr>
              <w:pStyle w:val="BodyText"/>
              <w:spacing w:before="60" w:after="60" w:line="300" w:lineRule="auto"/>
              <w:rPr>
                <w:b/>
                <w:bCs/>
              </w:rPr>
            </w:pPr>
            <w:r>
              <w:rPr>
                <w:b/>
                <w:bCs/>
              </w:rPr>
              <w:t>North</w:t>
            </w:r>
            <w:r w:rsidR="0084698C">
              <w:rPr>
                <w:b/>
                <w:bCs/>
              </w:rPr>
              <w:t xml:space="preserve"> E</w:t>
            </w:r>
            <w:r>
              <w:rPr>
                <w:b/>
                <w:bCs/>
              </w:rPr>
              <w:t>ast Coast</w:t>
            </w:r>
          </w:p>
        </w:tc>
        <w:tc>
          <w:tcPr>
            <w:tcW w:w="1151" w:type="dxa"/>
            <w:vMerge w:val="restart"/>
            <w:vAlign w:val="center"/>
          </w:tcPr>
          <w:p w14:paraId="24851964" w14:textId="2F3DD3CB"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Pr>
                <w:b/>
                <w:bCs/>
              </w:rPr>
              <w:t>Brisbane</w:t>
            </w:r>
          </w:p>
        </w:tc>
        <w:tc>
          <w:tcPr>
            <w:tcW w:w="1744" w:type="dxa"/>
            <w:vAlign w:val="center"/>
          </w:tcPr>
          <w:p w14:paraId="212BD584" w14:textId="58BE612F" w:rsidR="00C05AEA" w:rsidRPr="00C05AEA"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pPr>
            <w:r w:rsidRPr="00C05AEA">
              <w:t>Bremer River</w:t>
            </w:r>
          </w:p>
        </w:tc>
        <w:tc>
          <w:tcPr>
            <w:tcW w:w="1083" w:type="dxa"/>
            <w:vAlign w:val="center"/>
          </w:tcPr>
          <w:p w14:paraId="29AAE7AB" w14:textId="3BEEA633" w:rsid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DD1375">
              <w:t>4</w:t>
            </w:r>
          </w:p>
        </w:tc>
        <w:tc>
          <w:tcPr>
            <w:tcW w:w="989" w:type="dxa"/>
            <w:vAlign w:val="center"/>
          </w:tcPr>
          <w:p w14:paraId="1C86663D" w14:textId="06DD1352"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DD1375">
              <w:t>25</w:t>
            </w:r>
          </w:p>
        </w:tc>
        <w:tc>
          <w:tcPr>
            <w:tcW w:w="992" w:type="dxa"/>
            <w:vAlign w:val="center"/>
          </w:tcPr>
          <w:p w14:paraId="6B0CE0D7" w14:textId="6F70C097"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DD1375">
              <w:t>200</w:t>
            </w:r>
          </w:p>
        </w:tc>
        <w:tc>
          <w:tcPr>
            <w:tcW w:w="992" w:type="dxa"/>
            <w:vAlign w:val="center"/>
          </w:tcPr>
          <w:p w14:paraId="681A7829" w14:textId="3B28110F"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DD1375">
              <w:t>104</w:t>
            </w:r>
          </w:p>
        </w:tc>
        <w:tc>
          <w:tcPr>
            <w:tcW w:w="942" w:type="dxa"/>
            <w:vAlign w:val="center"/>
          </w:tcPr>
          <w:p w14:paraId="5A80B800" w14:textId="64B96621"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DD1375">
              <w:t>416</w:t>
            </w:r>
          </w:p>
        </w:tc>
      </w:tr>
      <w:tr w:rsidR="00C05AEA" w14:paraId="02685160"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50D4B140" w14:textId="08D8A1D9" w:rsidR="00C05AEA" w:rsidRPr="00F36E25" w:rsidRDefault="00C05AEA" w:rsidP="00C05AEA">
            <w:pPr>
              <w:pStyle w:val="BodyText"/>
              <w:spacing w:before="60" w:after="60" w:line="300" w:lineRule="auto"/>
              <w:rPr>
                <w:b/>
                <w:bCs/>
              </w:rPr>
            </w:pPr>
          </w:p>
        </w:tc>
        <w:tc>
          <w:tcPr>
            <w:tcW w:w="1151" w:type="dxa"/>
            <w:vMerge/>
            <w:vAlign w:val="center"/>
          </w:tcPr>
          <w:p w14:paraId="0AA0C1EA" w14:textId="77777777" w:rsidR="00C05AEA"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543BE36E" w14:textId="442BD2F5" w:rsidR="00C05AEA" w:rsidRPr="00C05AEA"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i/>
                <w:iCs/>
              </w:rPr>
            </w:pPr>
            <w:r w:rsidRPr="00C05AEA">
              <w:rPr>
                <w:i/>
                <w:iCs/>
              </w:rPr>
              <w:t>Sum Brisbane</w:t>
            </w:r>
          </w:p>
        </w:tc>
        <w:tc>
          <w:tcPr>
            <w:tcW w:w="1083" w:type="dxa"/>
            <w:vAlign w:val="center"/>
          </w:tcPr>
          <w:p w14:paraId="1890E05C" w14:textId="2F21C4E7" w:rsidR="00C05AEA" w:rsidRP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4</w:t>
            </w:r>
          </w:p>
        </w:tc>
        <w:tc>
          <w:tcPr>
            <w:tcW w:w="989" w:type="dxa"/>
            <w:vAlign w:val="center"/>
          </w:tcPr>
          <w:p w14:paraId="08FBE465" w14:textId="6B542379"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Pr>
                <w:i/>
                <w:iCs/>
              </w:rPr>
              <w:t>-</w:t>
            </w:r>
          </w:p>
        </w:tc>
        <w:tc>
          <w:tcPr>
            <w:tcW w:w="992" w:type="dxa"/>
            <w:vAlign w:val="center"/>
          </w:tcPr>
          <w:p w14:paraId="4275A84B" w14:textId="15E1D797"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Pr>
                <w:i/>
                <w:iCs/>
              </w:rPr>
              <w:t>-</w:t>
            </w:r>
          </w:p>
        </w:tc>
        <w:tc>
          <w:tcPr>
            <w:tcW w:w="992" w:type="dxa"/>
            <w:vAlign w:val="center"/>
          </w:tcPr>
          <w:p w14:paraId="36C62887" w14:textId="0851631B"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Pr>
                <w:i/>
                <w:iCs/>
              </w:rPr>
              <w:t>-</w:t>
            </w:r>
          </w:p>
        </w:tc>
        <w:tc>
          <w:tcPr>
            <w:tcW w:w="942" w:type="dxa"/>
            <w:vAlign w:val="center"/>
          </w:tcPr>
          <w:p w14:paraId="6B0D905E" w14:textId="26A134CC" w:rsidR="00C05AEA" w:rsidRPr="001F2E85"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b/>
                <w:bCs/>
                <w:i/>
                <w:iCs/>
              </w:rPr>
            </w:pPr>
            <w:r w:rsidRPr="001F2E85">
              <w:rPr>
                <w:b/>
                <w:bCs/>
                <w:i/>
                <w:iCs/>
              </w:rPr>
              <w:t>416</w:t>
            </w:r>
          </w:p>
        </w:tc>
      </w:tr>
      <w:tr w:rsidR="00C05AEA" w14:paraId="3D57D666"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0F2489E8" w14:textId="5DD127F7" w:rsidR="00C05AEA" w:rsidRPr="00F36E25" w:rsidRDefault="00C05AEA" w:rsidP="00C05AEA">
            <w:pPr>
              <w:pStyle w:val="BodyText"/>
              <w:spacing w:before="60" w:after="60" w:line="300" w:lineRule="auto"/>
              <w:rPr>
                <w:b/>
                <w:bCs/>
              </w:rPr>
            </w:pPr>
          </w:p>
        </w:tc>
        <w:tc>
          <w:tcPr>
            <w:tcW w:w="1151" w:type="dxa"/>
            <w:vMerge w:val="restart"/>
            <w:vAlign w:val="center"/>
          </w:tcPr>
          <w:p w14:paraId="280516BC" w14:textId="7F680B6C"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Pr>
                <w:b/>
                <w:bCs/>
              </w:rPr>
              <w:t>Burdekin</w:t>
            </w:r>
          </w:p>
        </w:tc>
        <w:tc>
          <w:tcPr>
            <w:tcW w:w="1744" w:type="dxa"/>
            <w:vAlign w:val="center"/>
          </w:tcPr>
          <w:p w14:paraId="6645FFA3" w14:textId="6C79694E"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3F7CE8">
              <w:t>Bowen River</w:t>
            </w:r>
          </w:p>
        </w:tc>
        <w:tc>
          <w:tcPr>
            <w:tcW w:w="1083" w:type="dxa"/>
            <w:vAlign w:val="center"/>
          </w:tcPr>
          <w:p w14:paraId="266D0C26" w14:textId="22B236A6" w:rsid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16</w:t>
            </w:r>
          </w:p>
        </w:tc>
        <w:tc>
          <w:tcPr>
            <w:tcW w:w="989" w:type="dxa"/>
            <w:vAlign w:val="center"/>
          </w:tcPr>
          <w:p w14:paraId="4077D1EA" w14:textId="0FA990A2"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23</w:t>
            </w:r>
          </w:p>
        </w:tc>
        <w:tc>
          <w:tcPr>
            <w:tcW w:w="992" w:type="dxa"/>
            <w:vAlign w:val="center"/>
          </w:tcPr>
          <w:p w14:paraId="4FBCDC1E" w14:textId="624C90B5"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1,702</w:t>
            </w:r>
          </w:p>
        </w:tc>
        <w:tc>
          <w:tcPr>
            <w:tcW w:w="992" w:type="dxa"/>
            <w:vAlign w:val="center"/>
          </w:tcPr>
          <w:p w14:paraId="1B554A23" w14:textId="10CEE70F"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278</w:t>
            </w:r>
          </w:p>
        </w:tc>
        <w:tc>
          <w:tcPr>
            <w:tcW w:w="942" w:type="dxa"/>
            <w:vAlign w:val="center"/>
          </w:tcPr>
          <w:p w14:paraId="3209CF06" w14:textId="7612418A"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4,443</w:t>
            </w:r>
          </w:p>
        </w:tc>
      </w:tr>
      <w:tr w:rsidR="00C05AEA" w14:paraId="70B08259"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1E0B8BF1" w14:textId="77777777" w:rsidR="00C05AEA" w:rsidRPr="00F36E25" w:rsidRDefault="00C05AEA" w:rsidP="00C05AEA">
            <w:pPr>
              <w:pStyle w:val="BodyText"/>
              <w:spacing w:before="60" w:after="60" w:line="300" w:lineRule="auto"/>
              <w:rPr>
                <w:b/>
                <w:bCs/>
              </w:rPr>
            </w:pPr>
          </w:p>
        </w:tc>
        <w:tc>
          <w:tcPr>
            <w:tcW w:w="1151" w:type="dxa"/>
            <w:vMerge/>
            <w:vAlign w:val="center"/>
          </w:tcPr>
          <w:p w14:paraId="68D30693" w14:textId="07CB51BE"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02B025F3" w14:textId="08C9B4A6"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3F7CE8">
              <w:t>Suttor River</w:t>
            </w:r>
          </w:p>
        </w:tc>
        <w:tc>
          <w:tcPr>
            <w:tcW w:w="1083" w:type="dxa"/>
            <w:vAlign w:val="center"/>
          </w:tcPr>
          <w:p w14:paraId="3AAC8803" w14:textId="1F0E64BB" w:rsid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4</w:t>
            </w:r>
          </w:p>
        </w:tc>
        <w:tc>
          <w:tcPr>
            <w:tcW w:w="989" w:type="dxa"/>
            <w:vAlign w:val="center"/>
          </w:tcPr>
          <w:p w14:paraId="07EA9F6E" w14:textId="21D28722"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201</w:t>
            </w:r>
          </w:p>
        </w:tc>
        <w:tc>
          <w:tcPr>
            <w:tcW w:w="992" w:type="dxa"/>
            <w:vAlign w:val="center"/>
          </w:tcPr>
          <w:p w14:paraId="4EF2FC40" w14:textId="4A20F029"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423</w:t>
            </w:r>
          </w:p>
        </w:tc>
        <w:tc>
          <w:tcPr>
            <w:tcW w:w="992" w:type="dxa"/>
            <w:vAlign w:val="center"/>
          </w:tcPr>
          <w:p w14:paraId="5AC4136B" w14:textId="592004D6"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306</w:t>
            </w:r>
          </w:p>
        </w:tc>
        <w:tc>
          <w:tcPr>
            <w:tcW w:w="942" w:type="dxa"/>
            <w:vAlign w:val="center"/>
          </w:tcPr>
          <w:p w14:paraId="2F29C67D" w14:textId="40DA8CDE"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4E5A9A">
              <w:t>1,224</w:t>
            </w:r>
          </w:p>
        </w:tc>
      </w:tr>
      <w:tr w:rsidR="00C05AEA" w14:paraId="3F7741F2"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6DF7530D" w14:textId="77777777" w:rsidR="00C05AEA" w:rsidRPr="00F36E25" w:rsidRDefault="00C05AEA" w:rsidP="004A5D70">
            <w:pPr>
              <w:pStyle w:val="BodyText"/>
              <w:spacing w:before="60" w:after="60" w:line="300" w:lineRule="auto"/>
              <w:rPr>
                <w:b/>
                <w:bCs/>
              </w:rPr>
            </w:pPr>
          </w:p>
        </w:tc>
        <w:tc>
          <w:tcPr>
            <w:tcW w:w="1151" w:type="dxa"/>
            <w:vMerge/>
            <w:vAlign w:val="center"/>
          </w:tcPr>
          <w:p w14:paraId="443A07A4" w14:textId="77777777" w:rsidR="00C05AEA" w:rsidRDefault="00C05AEA" w:rsidP="004A5D7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01440A67" w14:textId="17F6B840" w:rsidR="00C05AEA" w:rsidRPr="00C05AEA" w:rsidRDefault="00C05AEA" w:rsidP="004A5D7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i/>
                <w:iCs/>
              </w:rPr>
            </w:pPr>
            <w:r w:rsidRPr="00C05AEA">
              <w:rPr>
                <w:i/>
                <w:iCs/>
              </w:rPr>
              <w:t>Sum Burdekin</w:t>
            </w:r>
          </w:p>
        </w:tc>
        <w:tc>
          <w:tcPr>
            <w:tcW w:w="1083" w:type="dxa"/>
            <w:vAlign w:val="center"/>
          </w:tcPr>
          <w:p w14:paraId="2A4FD382" w14:textId="230F4995" w:rsidR="00C05AEA" w:rsidRP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20</w:t>
            </w:r>
          </w:p>
        </w:tc>
        <w:tc>
          <w:tcPr>
            <w:tcW w:w="989" w:type="dxa"/>
            <w:vAlign w:val="center"/>
          </w:tcPr>
          <w:p w14:paraId="5371DDA5" w14:textId="45DC2BD8"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w:t>
            </w:r>
          </w:p>
        </w:tc>
        <w:tc>
          <w:tcPr>
            <w:tcW w:w="992" w:type="dxa"/>
            <w:vAlign w:val="center"/>
          </w:tcPr>
          <w:p w14:paraId="5250E9DB" w14:textId="06F04E84"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w:t>
            </w:r>
          </w:p>
        </w:tc>
        <w:tc>
          <w:tcPr>
            <w:tcW w:w="992" w:type="dxa"/>
            <w:vAlign w:val="center"/>
          </w:tcPr>
          <w:p w14:paraId="05284FBA" w14:textId="18D446DD"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w:t>
            </w:r>
          </w:p>
        </w:tc>
        <w:tc>
          <w:tcPr>
            <w:tcW w:w="942" w:type="dxa"/>
            <w:vAlign w:val="center"/>
          </w:tcPr>
          <w:p w14:paraId="76874BE3" w14:textId="45FAF152" w:rsidR="00C05AEA" w:rsidRPr="001F2E85"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b/>
                <w:bCs/>
                <w:i/>
                <w:iCs/>
              </w:rPr>
            </w:pPr>
            <w:bookmarkStart w:id="109" w:name="_Hlk57366279"/>
            <w:r w:rsidRPr="001F2E85">
              <w:rPr>
                <w:b/>
                <w:bCs/>
                <w:i/>
                <w:iCs/>
              </w:rPr>
              <w:t>5,667</w:t>
            </w:r>
            <w:bookmarkEnd w:id="109"/>
          </w:p>
        </w:tc>
      </w:tr>
      <w:tr w:rsidR="00C05AEA" w14:paraId="5CB4B20E"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0BFAB42B" w14:textId="77777777" w:rsidR="00C05AEA" w:rsidRPr="00F36E25" w:rsidRDefault="00C05AEA" w:rsidP="00C05AEA">
            <w:pPr>
              <w:pStyle w:val="BodyText"/>
              <w:spacing w:before="60" w:after="60" w:line="300" w:lineRule="auto"/>
              <w:rPr>
                <w:b/>
                <w:bCs/>
              </w:rPr>
            </w:pPr>
          </w:p>
        </w:tc>
        <w:tc>
          <w:tcPr>
            <w:tcW w:w="1151" w:type="dxa"/>
            <w:vMerge w:val="restart"/>
            <w:vAlign w:val="center"/>
          </w:tcPr>
          <w:p w14:paraId="1CC641DE" w14:textId="75F3DA94" w:rsidR="00C05AEA" w:rsidRPr="00F36E25"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Pr>
                <w:b/>
                <w:bCs/>
              </w:rPr>
              <w:t>Burnett</w:t>
            </w:r>
          </w:p>
        </w:tc>
        <w:tc>
          <w:tcPr>
            <w:tcW w:w="1744" w:type="dxa"/>
            <w:vAlign w:val="center"/>
          </w:tcPr>
          <w:p w14:paraId="7CD9963F" w14:textId="06178B3E" w:rsidR="00C05AEA" w:rsidRPr="00C05AEA"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pPr>
            <w:r w:rsidRPr="00C05AEA">
              <w:t>Barker &amp; Barambah Creeks</w:t>
            </w:r>
          </w:p>
        </w:tc>
        <w:tc>
          <w:tcPr>
            <w:tcW w:w="1083" w:type="dxa"/>
            <w:vAlign w:val="center"/>
          </w:tcPr>
          <w:p w14:paraId="4265DC5B" w14:textId="13CD9344" w:rsid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0B1D95">
              <w:t>2</w:t>
            </w:r>
          </w:p>
        </w:tc>
        <w:tc>
          <w:tcPr>
            <w:tcW w:w="989" w:type="dxa"/>
            <w:vAlign w:val="center"/>
          </w:tcPr>
          <w:p w14:paraId="58C3776F" w14:textId="0B0C2D50"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0B1D95">
              <w:t>266</w:t>
            </w:r>
          </w:p>
        </w:tc>
        <w:tc>
          <w:tcPr>
            <w:tcW w:w="992" w:type="dxa"/>
            <w:vAlign w:val="center"/>
          </w:tcPr>
          <w:p w14:paraId="5DC9B823" w14:textId="58E251BC"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0B1D95">
              <w:t>800</w:t>
            </w:r>
          </w:p>
        </w:tc>
        <w:tc>
          <w:tcPr>
            <w:tcW w:w="992" w:type="dxa"/>
            <w:vAlign w:val="center"/>
          </w:tcPr>
          <w:p w14:paraId="1EA9F640" w14:textId="6294A6C2"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0B1D95">
              <w:t>533</w:t>
            </w:r>
          </w:p>
        </w:tc>
        <w:tc>
          <w:tcPr>
            <w:tcW w:w="942" w:type="dxa"/>
            <w:vAlign w:val="center"/>
          </w:tcPr>
          <w:p w14:paraId="7958BF6D" w14:textId="35155F44" w:rsid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0B1D95">
              <w:t>1,066</w:t>
            </w:r>
          </w:p>
        </w:tc>
      </w:tr>
      <w:tr w:rsidR="00C05AEA" w14:paraId="49A88774"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2365735D" w14:textId="77777777" w:rsidR="00C05AEA" w:rsidRPr="00F36E25" w:rsidRDefault="00C05AEA" w:rsidP="00C05AEA">
            <w:pPr>
              <w:pStyle w:val="BodyText"/>
              <w:spacing w:before="60" w:after="60" w:line="300" w:lineRule="auto"/>
              <w:rPr>
                <w:b/>
                <w:bCs/>
              </w:rPr>
            </w:pPr>
          </w:p>
        </w:tc>
        <w:tc>
          <w:tcPr>
            <w:tcW w:w="1151" w:type="dxa"/>
            <w:vMerge/>
            <w:vAlign w:val="center"/>
          </w:tcPr>
          <w:p w14:paraId="06078EC1" w14:textId="77777777" w:rsidR="00C05AEA"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6AFC3F07" w14:textId="1E085B61" w:rsidR="00C05AEA" w:rsidRPr="00C05AEA" w:rsidRDefault="00C05AEA"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i/>
                <w:iCs/>
              </w:rPr>
            </w:pPr>
            <w:r w:rsidRPr="00C05AEA">
              <w:rPr>
                <w:i/>
                <w:iCs/>
              </w:rPr>
              <w:t>Sum Burnett</w:t>
            </w:r>
          </w:p>
        </w:tc>
        <w:tc>
          <w:tcPr>
            <w:tcW w:w="1083" w:type="dxa"/>
            <w:vAlign w:val="center"/>
          </w:tcPr>
          <w:p w14:paraId="6A0AE33B" w14:textId="18C211C3" w:rsidR="00C05AEA" w:rsidRPr="00C05AEA" w:rsidRDefault="00C05AEA"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2</w:t>
            </w:r>
          </w:p>
        </w:tc>
        <w:tc>
          <w:tcPr>
            <w:tcW w:w="989" w:type="dxa"/>
            <w:vAlign w:val="center"/>
          </w:tcPr>
          <w:p w14:paraId="3EBC39A8" w14:textId="3EF4A83C"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w:t>
            </w:r>
          </w:p>
        </w:tc>
        <w:tc>
          <w:tcPr>
            <w:tcW w:w="992" w:type="dxa"/>
            <w:vAlign w:val="center"/>
          </w:tcPr>
          <w:p w14:paraId="55FCB919" w14:textId="1837C9B5"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w:t>
            </w:r>
          </w:p>
        </w:tc>
        <w:tc>
          <w:tcPr>
            <w:tcW w:w="992" w:type="dxa"/>
            <w:vAlign w:val="center"/>
          </w:tcPr>
          <w:p w14:paraId="5B55D078" w14:textId="0B7E87B4" w:rsidR="00C05AEA" w:rsidRPr="00C05AEA"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C05AEA">
              <w:rPr>
                <w:i/>
                <w:iCs/>
              </w:rPr>
              <w:t>-</w:t>
            </w:r>
          </w:p>
        </w:tc>
        <w:tc>
          <w:tcPr>
            <w:tcW w:w="942" w:type="dxa"/>
            <w:vAlign w:val="center"/>
          </w:tcPr>
          <w:p w14:paraId="062B6403" w14:textId="07D1926A" w:rsidR="00C05AEA" w:rsidRPr="001F2E85" w:rsidRDefault="00C05AEA"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b/>
                <w:bCs/>
                <w:i/>
                <w:iCs/>
              </w:rPr>
            </w:pPr>
            <w:r w:rsidRPr="001F2E85">
              <w:rPr>
                <w:b/>
                <w:bCs/>
                <w:i/>
                <w:iCs/>
              </w:rPr>
              <w:t>1,066</w:t>
            </w:r>
          </w:p>
        </w:tc>
      </w:tr>
      <w:tr w:rsidR="005A5650" w14:paraId="6886CC6A"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12D6DA6A" w14:textId="77777777" w:rsidR="005A5650" w:rsidRPr="00F36E25" w:rsidRDefault="005A5650" w:rsidP="00C05AEA">
            <w:pPr>
              <w:pStyle w:val="BodyText"/>
              <w:spacing w:before="60" w:after="60" w:line="300" w:lineRule="auto"/>
              <w:rPr>
                <w:b/>
                <w:bCs/>
              </w:rPr>
            </w:pPr>
          </w:p>
        </w:tc>
        <w:tc>
          <w:tcPr>
            <w:tcW w:w="1151" w:type="dxa"/>
            <w:vMerge w:val="restart"/>
            <w:vAlign w:val="center"/>
          </w:tcPr>
          <w:p w14:paraId="63580E7B" w14:textId="2B5221C3" w:rsidR="005A5650" w:rsidRPr="00F36E25" w:rsidRDefault="005A5650"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Pr>
                <w:b/>
                <w:bCs/>
              </w:rPr>
              <w:t>Calliope</w:t>
            </w:r>
          </w:p>
        </w:tc>
        <w:tc>
          <w:tcPr>
            <w:tcW w:w="1744" w:type="dxa"/>
            <w:vAlign w:val="center"/>
          </w:tcPr>
          <w:p w14:paraId="44307274" w14:textId="2DFCFCD5" w:rsidR="005A5650" w:rsidRPr="00C05AEA" w:rsidRDefault="005A5650"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pPr>
            <w:bookmarkStart w:id="110" w:name="_Hlk57394097"/>
            <w:r w:rsidRPr="00C05AEA">
              <w:t>Calliope River</w:t>
            </w:r>
            <w:bookmarkEnd w:id="110"/>
          </w:p>
        </w:tc>
        <w:tc>
          <w:tcPr>
            <w:tcW w:w="1083" w:type="dxa"/>
            <w:vAlign w:val="center"/>
          </w:tcPr>
          <w:p w14:paraId="11A3A9F4" w14:textId="1B062B2F" w:rsidR="005A5650" w:rsidRDefault="005A5650"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6E468A">
              <w:t>1</w:t>
            </w:r>
          </w:p>
        </w:tc>
        <w:tc>
          <w:tcPr>
            <w:tcW w:w="2973" w:type="dxa"/>
            <w:gridSpan w:val="3"/>
            <w:vAlign w:val="center"/>
          </w:tcPr>
          <w:p w14:paraId="48B92C40" w14:textId="090016D9"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6E468A">
              <w:t>113</w:t>
            </w:r>
          </w:p>
        </w:tc>
        <w:tc>
          <w:tcPr>
            <w:tcW w:w="942" w:type="dxa"/>
            <w:vAlign w:val="center"/>
          </w:tcPr>
          <w:p w14:paraId="02E3642D" w14:textId="335CE560"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6E468A">
              <w:t>113</w:t>
            </w:r>
          </w:p>
        </w:tc>
      </w:tr>
      <w:tr w:rsidR="005A5650" w14:paraId="3CA616AA"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30914CEA" w14:textId="77777777" w:rsidR="005A5650" w:rsidRPr="00F36E25" w:rsidRDefault="005A5650" w:rsidP="00C05AEA">
            <w:pPr>
              <w:pStyle w:val="BodyText"/>
              <w:spacing w:before="60" w:after="60" w:line="300" w:lineRule="auto"/>
              <w:rPr>
                <w:b/>
                <w:bCs/>
              </w:rPr>
            </w:pPr>
          </w:p>
        </w:tc>
        <w:tc>
          <w:tcPr>
            <w:tcW w:w="1151" w:type="dxa"/>
            <w:vMerge/>
            <w:vAlign w:val="center"/>
          </w:tcPr>
          <w:p w14:paraId="514074DD" w14:textId="77777777" w:rsidR="005A5650" w:rsidRDefault="005A5650"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30D0238B" w14:textId="6B8250EA" w:rsidR="005A5650" w:rsidRPr="00C05AEA" w:rsidRDefault="005A5650" w:rsidP="00C05AEA">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i/>
                <w:iCs/>
              </w:rPr>
            </w:pPr>
            <w:r w:rsidRPr="00C05AEA">
              <w:rPr>
                <w:i/>
                <w:iCs/>
              </w:rPr>
              <w:t>Sum Calliope</w:t>
            </w:r>
          </w:p>
        </w:tc>
        <w:tc>
          <w:tcPr>
            <w:tcW w:w="1083" w:type="dxa"/>
            <w:vAlign w:val="center"/>
          </w:tcPr>
          <w:p w14:paraId="3BF05C7F" w14:textId="007BF3C6" w:rsidR="005A5650" w:rsidRPr="005A5650" w:rsidRDefault="005A5650" w:rsidP="00C05AEA">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sidRPr="005A5650">
              <w:rPr>
                <w:i/>
                <w:iCs/>
              </w:rPr>
              <w:t>1</w:t>
            </w:r>
          </w:p>
        </w:tc>
        <w:tc>
          <w:tcPr>
            <w:tcW w:w="2973" w:type="dxa"/>
            <w:gridSpan w:val="3"/>
            <w:vAlign w:val="center"/>
          </w:tcPr>
          <w:p w14:paraId="59BF6E5A" w14:textId="113A879E" w:rsidR="005A5650" w:rsidRP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i/>
                <w:iCs/>
              </w:rPr>
            </w:pPr>
            <w:r>
              <w:rPr>
                <w:i/>
                <w:iCs/>
              </w:rPr>
              <w:t>-</w:t>
            </w:r>
          </w:p>
        </w:tc>
        <w:tc>
          <w:tcPr>
            <w:tcW w:w="942" w:type="dxa"/>
            <w:vAlign w:val="center"/>
          </w:tcPr>
          <w:p w14:paraId="1FF95E5F" w14:textId="43CA8D95" w:rsidR="005A5650" w:rsidRPr="001F2E85"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b/>
                <w:bCs/>
                <w:i/>
                <w:iCs/>
              </w:rPr>
            </w:pPr>
            <w:r w:rsidRPr="001F2E85">
              <w:rPr>
                <w:b/>
                <w:bCs/>
                <w:i/>
                <w:iCs/>
              </w:rPr>
              <w:t>113</w:t>
            </w:r>
          </w:p>
        </w:tc>
      </w:tr>
      <w:tr w:rsidR="005A5650" w14:paraId="35BB3B50"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418129CA" w14:textId="77777777" w:rsidR="005A5650" w:rsidRPr="00F36E25" w:rsidRDefault="005A5650" w:rsidP="005A5650">
            <w:pPr>
              <w:pStyle w:val="BodyText"/>
              <w:spacing w:before="60" w:after="60" w:line="300" w:lineRule="auto"/>
              <w:rPr>
                <w:b/>
                <w:bCs/>
              </w:rPr>
            </w:pPr>
            <w:bookmarkStart w:id="111" w:name="_Hlk57365803"/>
          </w:p>
        </w:tc>
        <w:tc>
          <w:tcPr>
            <w:tcW w:w="1151" w:type="dxa"/>
            <w:vMerge w:val="restart"/>
            <w:vAlign w:val="center"/>
          </w:tcPr>
          <w:p w14:paraId="3B6167C4" w14:textId="569A4544"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Pr>
                <w:b/>
                <w:bCs/>
              </w:rPr>
              <w:t>Fitzroy</w:t>
            </w:r>
          </w:p>
        </w:tc>
        <w:tc>
          <w:tcPr>
            <w:tcW w:w="1744" w:type="dxa"/>
            <w:vAlign w:val="center"/>
          </w:tcPr>
          <w:p w14:paraId="22D6A312" w14:textId="1CCF2BB6"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C77E4E">
              <w:t>Comet River</w:t>
            </w:r>
          </w:p>
        </w:tc>
        <w:tc>
          <w:tcPr>
            <w:tcW w:w="1083" w:type="dxa"/>
            <w:vAlign w:val="center"/>
          </w:tcPr>
          <w:p w14:paraId="1F3AAD5A" w14:textId="274AA809" w:rsidR="005A5650" w:rsidRDefault="005A5650" w:rsidP="005A56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5</w:t>
            </w:r>
          </w:p>
        </w:tc>
        <w:tc>
          <w:tcPr>
            <w:tcW w:w="989" w:type="dxa"/>
            <w:vAlign w:val="center"/>
          </w:tcPr>
          <w:p w14:paraId="291917EF" w14:textId="2702872E"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17</w:t>
            </w:r>
          </w:p>
        </w:tc>
        <w:tc>
          <w:tcPr>
            <w:tcW w:w="992" w:type="dxa"/>
            <w:vAlign w:val="center"/>
          </w:tcPr>
          <w:p w14:paraId="42B7F52E" w14:textId="163D4281"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784</w:t>
            </w:r>
          </w:p>
        </w:tc>
        <w:tc>
          <w:tcPr>
            <w:tcW w:w="992" w:type="dxa"/>
            <w:vAlign w:val="center"/>
          </w:tcPr>
          <w:p w14:paraId="2645B8E2" w14:textId="2394A2BB"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420</w:t>
            </w:r>
          </w:p>
        </w:tc>
        <w:tc>
          <w:tcPr>
            <w:tcW w:w="942" w:type="dxa"/>
            <w:vAlign w:val="center"/>
          </w:tcPr>
          <w:p w14:paraId="5BD28167" w14:textId="0E96AA37"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2,100</w:t>
            </w:r>
          </w:p>
        </w:tc>
      </w:tr>
      <w:tr w:rsidR="005A5650" w14:paraId="712636A8"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58274628" w14:textId="77777777" w:rsidR="005A5650" w:rsidRPr="00F36E25" w:rsidRDefault="005A5650" w:rsidP="005A5650">
            <w:pPr>
              <w:pStyle w:val="BodyText"/>
              <w:spacing w:before="60" w:after="60" w:line="300" w:lineRule="auto"/>
              <w:rPr>
                <w:b/>
                <w:bCs/>
              </w:rPr>
            </w:pPr>
          </w:p>
        </w:tc>
        <w:tc>
          <w:tcPr>
            <w:tcW w:w="1151" w:type="dxa"/>
            <w:vMerge/>
            <w:vAlign w:val="center"/>
          </w:tcPr>
          <w:p w14:paraId="75BB45EB" w14:textId="77777777"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2C763CF6" w14:textId="52CC9CA3"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C77E4E">
              <w:t>Dawson River</w:t>
            </w:r>
          </w:p>
        </w:tc>
        <w:tc>
          <w:tcPr>
            <w:tcW w:w="1083" w:type="dxa"/>
            <w:vAlign w:val="center"/>
          </w:tcPr>
          <w:p w14:paraId="4F0D751E" w14:textId="7C8C66A1" w:rsidR="005A5650" w:rsidRDefault="005A5650" w:rsidP="005A56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14</w:t>
            </w:r>
          </w:p>
        </w:tc>
        <w:tc>
          <w:tcPr>
            <w:tcW w:w="989" w:type="dxa"/>
            <w:vAlign w:val="center"/>
          </w:tcPr>
          <w:p w14:paraId="5252F23D" w14:textId="1455D548"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30</w:t>
            </w:r>
          </w:p>
        </w:tc>
        <w:tc>
          <w:tcPr>
            <w:tcW w:w="992" w:type="dxa"/>
            <w:vAlign w:val="center"/>
          </w:tcPr>
          <w:p w14:paraId="5323EF0B" w14:textId="307BF78B"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2,835</w:t>
            </w:r>
          </w:p>
        </w:tc>
        <w:tc>
          <w:tcPr>
            <w:tcW w:w="992" w:type="dxa"/>
            <w:vAlign w:val="center"/>
          </w:tcPr>
          <w:p w14:paraId="24964D84" w14:textId="512E0FB6"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544</w:t>
            </w:r>
          </w:p>
        </w:tc>
        <w:tc>
          <w:tcPr>
            <w:tcW w:w="942" w:type="dxa"/>
            <w:vAlign w:val="center"/>
          </w:tcPr>
          <w:p w14:paraId="35289699" w14:textId="607E25ED"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7,622</w:t>
            </w:r>
          </w:p>
        </w:tc>
      </w:tr>
      <w:tr w:rsidR="005A5650" w14:paraId="20FF1592"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745EB10C" w14:textId="77777777" w:rsidR="005A5650" w:rsidRPr="00F36E25" w:rsidRDefault="005A5650" w:rsidP="005A5650">
            <w:pPr>
              <w:pStyle w:val="BodyText"/>
              <w:spacing w:before="60" w:after="60" w:line="300" w:lineRule="auto"/>
              <w:rPr>
                <w:b/>
                <w:bCs/>
              </w:rPr>
            </w:pPr>
          </w:p>
        </w:tc>
        <w:tc>
          <w:tcPr>
            <w:tcW w:w="1151" w:type="dxa"/>
            <w:vMerge/>
            <w:vAlign w:val="center"/>
          </w:tcPr>
          <w:p w14:paraId="6FBB0CF9" w14:textId="77777777"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75ED90C8" w14:textId="0EA209E9"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C77E4E">
              <w:t>Isaac River</w:t>
            </w:r>
          </w:p>
        </w:tc>
        <w:tc>
          <w:tcPr>
            <w:tcW w:w="1083" w:type="dxa"/>
            <w:vAlign w:val="center"/>
          </w:tcPr>
          <w:p w14:paraId="35D85140" w14:textId="4053AFAD" w:rsidR="005A5650" w:rsidRDefault="005A5650" w:rsidP="005A56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39</w:t>
            </w:r>
          </w:p>
        </w:tc>
        <w:tc>
          <w:tcPr>
            <w:tcW w:w="989" w:type="dxa"/>
            <w:vAlign w:val="center"/>
          </w:tcPr>
          <w:p w14:paraId="46B1E32F" w14:textId="2DA3E88B" w:rsidR="005A5650" w:rsidRPr="001C704B"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1C704B">
              <w:t>16</w:t>
            </w:r>
          </w:p>
        </w:tc>
        <w:tc>
          <w:tcPr>
            <w:tcW w:w="992" w:type="dxa"/>
            <w:vAlign w:val="center"/>
          </w:tcPr>
          <w:p w14:paraId="3165613C" w14:textId="65655B73" w:rsidR="005A5650" w:rsidRPr="001C704B"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1C704B">
              <w:t>24,405</w:t>
            </w:r>
          </w:p>
        </w:tc>
        <w:tc>
          <w:tcPr>
            <w:tcW w:w="992" w:type="dxa"/>
            <w:vAlign w:val="center"/>
          </w:tcPr>
          <w:p w14:paraId="19500880" w14:textId="34E448E0" w:rsidR="005A5650" w:rsidRPr="00E734F4" w:rsidRDefault="003A7B54"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E734F4">
              <w:t>1,528</w:t>
            </w:r>
          </w:p>
        </w:tc>
        <w:tc>
          <w:tcPr>
            <w:tcW w:w="942" w:type="dxa"/>
            <w:vAlign w:val="center"/>
          </w:tcPr>
          <w:p w14:paraId="2E62D7D7" w14:textId="0391B3D3" w:rsidR="005A5650" w:rsidRPr="00E734F4" w:rsidRDefault="001C704B"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E734F4">
              <w:t>50,408</w:t>
            </w:r>
          </w:p>
        </w:tc>
      </w:tr>
      <w:tr w:rsidR="005A5650" w14:paraId="7C3F1C13"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184EE116" w14:textId="77777777" w:rsidR="005A5650" w:rsidRPr="00F36E25" w:rsidRDefault="005A5650" w:rsidP="005A5650">
            <w:pPr>
              <w:pStyle w:val="BodyText"/>
              <w:spacing w:before="60" w:after="60" w:line="300" w:lineRule="auto"/>
              <w:rPr>
                <w:b/>
                <w:bCs/>
              </w:rPr>
            </w:pPr>
          </w:p>
        </w:tc>
        <w:tc>
          <w:tcPr>
            <w:tcW w:w="1151" w:type="dxa"/>
            <w:vMerge/>
            <w:vAlign w:val="center"/>
          </w:tcPr>
          <w:p w14:paraId="251DD439" w14:textId="77777777"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04635046" w14:textId="7962EA4F"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C77E4E">
              <w:t>Mackenzie River</w:t>
            </w:r>
          </w:p>
        </w:tc>
        <w:tc>
          <w:tcPr>
            <w:tcW w:w="1083" w:type="dxa"/>
            <w:vAlign w:val="center"/>
          </w:tcPr>
          <w:p w14:paraId="710B3E6E" w14:textId="184C0E1B" w:rsidR="005A5650" w:rsidRDefault="005A5650" w:rsidP="005A56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23</w:t>
            </w:r>
          </w:p>
        </w:tc>
        <w:tc>
          <w:tcPr>
            <w:tcW w:w="989" w:type="dxa"/>
            <w:vAlign w:val="center"/>
          </w:tcPr>
          <w:p w14:paraId="5766FA38" w14:textId="3EAE4062"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106</w:t>
            </w:r>
          </w:p>
        </w:tc>
        <w:tc>
          <w:tcPr>
            <w:tcW w:w="992" w:type="dxa"/>
            <w:vAlign w:val="center"/>
          </w:tcPr>
          <w:p w14:paraId="249A24B7" w14:textId="23DB8460"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11,324</w:t>
            </w:r>
          </w:p>
        </w:tc>
        <w:tc>
          <w:tcPr>
            <w:tcW w:w="992" w:type="dxa"/>
            <w:vAlign w:val="center"/>
          </w:tcPr>
          <w:p w14:paraId="487F4950" w14:textId="2F9632C1" w:rsidR="005A5650" w:rsidRPr="00E734F4"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E734F4">
              <w:t>1,104</w:t>
            </w:r>
          </w:p>
        </w:tc>
        <w:tc>
          <w:tcPr>
            <w:tcW w:w="942" w:type="dxa"/>
            <w:vAlign w:val="center"/>
          </w:tcPr>
          <w:p w14:paraId="562C4AD1" w14:textId="36EF7DCB" w:rsidR="005A5650" w:rsidRPr="00E734F4"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E734F4">
              <w:t>25,399</w:t>
            </w:r>
          </w:p>
        </w:tc>
      </w:tr>
      <w:tr w:rsidR="005A5650" w14:paraId="3D4824D5"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7F12CAEA" w14:textId="77777777" w:rsidR="005A5650" w:rsidRPr="00F36E25" w:rsidRDefault="005A5650" w:rsidP="005A5650">
            <w:pPr>
              <w:pStyle w:val="BodyText"/>
              <w:spacing w:before="60" w:after="60" w:line="300" w:lineRule="auto"/>
              <w:rPr>
                <w:b/>
                <w:bCs/>
              </w:rPr>
            </w:pPr>
          </w:p>
        </w:tc>
        <w:tc>
          <w:tcPr>
            <w:tcW w:w="1151" w:type="dxa"/>
            <w:vMerge/>
            <w:vAlign w:val="center"/>
          </w:tcPr>
          <w:p w14:paraId="0EFF6B92" w14:textId="77777777"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77CE7D8D" w14:textId="62C3E184" w:rsidR="005A5650" w:rsidRPr="00F36E25" w:rsidRDefault="005A5650" w:rsidP="005A565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r w:rsidRPr="00C77E4E">
              <w:t>Nogoa River</w:t>
            </w:r>
          </w:p>
        </w:tc>
        <w:tc>
          <w:tcPr>
            <w:tcW w:w="1083" w:type="dxa"/>
            <w:vAlign w:val="center"/>
          </w:tcPr>
          <w:p w14:paraId="47B38F4C" w14:textId="621CDE92" w:rsidR="005A5650" w:rsidRDefault="005A5650" w:rsidP="005A56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13</w:t>
            </w:r>
          </w:p>
        </w:tc>
        <w:tc>
          <w:tcPr>
            <w:tcW w:w="989" w:type="dxa"/>
            <w:vAlign w:val="center"/>
          </w:tcPr>
          <w:p w14:paraId="4E8D20DD" w14:textId="182F7BE7"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8</w:t>
            </w:r>
          </w:p>
        </w:tc>
        <w:tc>
          <w:tcPr>
            <w:tcW w:w="992" w:type="dxa"/>
            <w:vAlign w:val="center"/>
          </w:tcPr>
          <w:p w14:paraId="1732985A" w14:textId="53827C2E" w:rsidR="005A5650"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851A15">
              <w:t>1,552</w:t>
            </w:r>
          </w:p>
        </w:tc>
        <w:tc>
          <w:tcPr>
            <w:tcW w:w="992" w:type="dxa"/>
            <w:vAlign w:val="center"/>
          </w:tcPr>
          <w:p w14:paraId="0B0B74EA" w14:textId="49F19B5C" w:rsidR="005A5650" w:rsidRPr="00E734F4"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E734F4">
              <w:t>405</w:t>
            </w:r>
          </w:p>
        </w:tc>
        <w:tc>
          <w:tcPr>
            <w:tcW w:w="942" w:type="dxa"/>
            <w:vAlign w:val="center"/>
          </w:tcPr>
          <w:p w14:paraId="5190DBAC" w14:textId="7D28AE36" w:rsidR="005A5650" w:rsidRPr="00E734F4"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E734F4">
              <w:t>5,268</w:t>
            </w:r>
          </w:p>
        </w:tc>
      </w:tr>
      <w:bookmarkEnd w:id="111"/>
      <w:tr w:rsidR="00C05AEA" w14:paraId="72B4448F" w14:textId="77777777" w:rsidTr="008C363B">
        <w:tc>
          <w:tcPr>
            <w:cnfStyle w:val="001000000000" w:firstRow="0" w:lastRow="0" w:firstColumn="1" w:lastColumn="0" w:oddVBand="0" w:evenVBand="0" w:oddHBand="0" w:evenHBand="0" w:firstRowFirstColumn="0" w:firstRowLastColumn="0" w:lastRowFirstColumn="0" w:lastRowLastColumn="0"/>
            <w:tcW w:w="1124" w:type="dxa"/>
            <w:vMerge/>
            <w:vAlign w:val="center"/>
          </w:tcPr>
          <w:p w14:paraId="1D9E28C1" w14:textId="77777777" w:rsidR="00C05AEA" w:rsidRPr="00F36E25" w:rsidRDefault="00C05AEA" w:rsidP="004A5D70">
            <w:pPr>
              <w:pStyle w:val="BodyText"/>
              <w:spacing w:before="60" w:after="60" w:line="300" w:lineRule="auto"/>
              <w:rPr>
                <w:b/>
                <w:bCs/>
              </w:rPr>
            </w:pPr>
          </w:p>
        </w:tc>
        <w:tc>
          <w:tcPr>
            <w:tcW w:w="1151" w:type="dxa"/>
            <w:vMerge/>
            <w:vAlign w:val="center"/>
          </w:tcPr>
          <w:p w14:paraId="578E26D7" w14:textId="77777777" w:rsidR="00C05AEA" w:rsidRPr="00F36E25" w:rsidRDefault="00C05AEA" w:rsidP="004A5D7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b/>
                <w:bCs/>
              </w:rPr>
            </w:pPr>
          </w:p>
        </w:tc>
        <w:tc>
          <w:tcPr>
            <w:tcW w:w="1744" w:type="dxa"/>
            <w:vAlign w:val="center"/>
          </w:tcPr>
          <w:p w14:paraId="0374DED3" w14:textId="71D6D43A" w:rsidR="00C05AEA" w:rsidRPr="00C05AEA" w:rsidRDefault="00C05AEA" w:rsidP="004A5D70">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i/>
                <w:iCs/>
              </w:rPr>
            </w:pPr>
            <w:r w:rsidRPr="00C05AEA">
              <w:rPr>
                <w:i/>
                <w:iCs/>
              </w:rPr>
              <w:t>Sum Fitzroy</w:t>
            </w:r>
          </w:p>
        </w:tc>
        <w:tc>
          <w:tcPr>
            <w:tcW w:w="1083" w:type="dxa"/>
            <w:vAlign w:val="center"/>
          </w:tcPr>
          <w:p w14:paraId="3594FA87" w14:textId="4E3EAED4" w:rsidR="00C05AEA" w:rsidRDefault="005A5650" w:rsidP="004A5D7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t>94</w:t>
            </w:r>
          </w:p>
        </w:tc>
        <w:tc>
          <w:tcPr>
            <w:tcW w:w="989" w:type="dxa"/>
            <w:vAlign w:val="center"/>
          </w:tcPr>
          <w:p w14:paraId="2F5BD786" w14:textId="44E36A09" w:rsidR="00C05AEA"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t>-</w:t>
            </w:r>
          </w:p>
        </w:tc>
        <w:tc>
          <w:tcPr>
            <w:tcW w:w="992" w:type="dxa"/>
            <w:vAlign w:val="center"/>
          </w:tcPr>
          <w:p w14:paraId="7167F848" w14:textId="194493DA" w:rsidR="00C05AEA"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t>-</w:t>
            </w:r>
          </w:p>
        </w:tc>
        <w:tc>
          <w:tcPr>
            <w:tcW w:w="992" w:type="dxa"/>
            <w:vAlign w:val="center"/>
          </w:tcPr>
          <w:p w14:paraId="3CACE2BC" w14:textId="4B2ADF81" w:rsidR="00C05AEA" w:rsidRPr="00E734F4" w:rsidRDefault="005A5650"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pPr>
            <w:r w:rsidRPr="00E734F4">
              <w:t>-</w:t>
            </w:r>
          </w:p>
        </w:tc>
        <w:tc>
          <w:tcPr>
            <w:tcW w:w="942" w:type="dxa"/>
            <w:vAlign w:val="center"/>
          </w:tcPr>
          <w:p w14:paraId="4F831472" w14:textId="0DFFF2D7" w:rsidR="00C05AEA" w:rsidRPr="00E734F4" w:rsidRDefault="001C704B" w:rsidP="00215850">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b/>
                <w:bCs/>
                <w:i/>
                <w:iCs/>
              </w:rPr>
            </w:pPr>
            <w:r w:rsidRPr="00E734F4">
              <w:rPr>
                <w:b/>
                <w:bCs/>
                <w:i/>
                <w:iCs/>
              </w:rPr>
              <w:t>90,7</w:t>
            </w:r>
            <w:r w:rsidR="003A7B54" w:rsidRPr="00E734F4">
              <w:rPr>
                <w:b/>
                <w:bCs/>
                <w:i/>
                <w:iCs/>
              </w:rPr>
              <w:t>98</w:t>
            </w:r>
          </w:p>
        </w:tc>
      </w:tr>
    </w:tbl>
    <w:p w14:paraId="291D6F80" w14:textId="00BA6F0E" w:rsidR="00EE44E6" w:rsidRDefault="00EE44E6" w:rsidP="00EE44E6">
      <w:pPr>
        <w:pStyle w:val="Heading2"/>
      </w:pPr>
      <w:bookmarkStart w:id="112" w:name="_Ref57294459"/>
      <w:bookmarkStart w:id="113" w:name="_Ref62568022"/>
      <w:bookmarkStart w:id="114" w:name="_Ref62571524"/>
      <w:bookmarkStart w:id="115" w:name="_Toc87278335"/>
      <w:bookmarkStart w:id="116" w:name="_Ref57294453"/>
      <w:bookmarkEnd w:id="104"/>
      <w:r>
        <w:t>Floodplain mapping</w:t>
      </w:r>
      <w:bookmarkEnd w:id="112"/>
      <w:bookmarkEnd w:id="113"/>
      <w:bookmarkEnd w:id="114"/>
      <w:bookmarkEnd w:id="115"/>
    </w:p>
    <w:p w14:paraId="694B5A37" w14:textId="20A4F060" w:rsidR="00EE44E6" w:rsidRDefault="00EE44E6" w:rsidP="00EE44E6">
      <w:pPr>
        <w:pStyle w:val="BodyText"/>
      </w:pPr>
      <w:r w:rsidRPr="008637C3">
        <w:t xml:space="preserve">Of the 128 open coal pits digitised, 56 </w:t>
      </w:r>
      <w:r>
        <w:t xml:space="preserve">(44%) </w:t>
      </w:r>
      <w:r w:rsidRPr="008637C3">
        <w:t xml:space="preserve">are located in a </w:t>
      </w:r>
      <w:r>
        <w:t xml:space="preserve">potential flood hazard area as designated by the QFAO (Section </w:t>
      </w:r>
      <w:r>
        <w:fldChar w:fldCharType="begin"/>
      </w:r>
      <w:r>
        <w:instrText xml:space="preserve"> REF _Ref56584525 \n \h </w:instrText>
      </w:r>
      <w:r>
        <w:fldChar w:fldCharType="separate"/>
      </w:r>
      <w:r w:rsidR="00937ADD">
        <w:t>2.2</w:t>
      </w:r>
      <w:r>
        <w:fldChar w:fldCharType="end"/>
      </w:r>
      <w:r>
        <w:t xml:space="preserve">) </w:t>
      </w:r>
      <w:r w:rsidRPr="008637C3">
        <w:t>mapped floodplain zone.</w:t>
      </w:r>
      <w:r>
        <w:t xml:space="preserve"> The number of current open</w:t>
      </w:r>
      <w:r w:rsidR="004C52BE">
        <w:t>-cut</w:t>
      </w:r>
      <w:r>
        <w:t xml:space="preserve"> coal pits located in potential flood hazard areas of river catchments is listed in </w:t>
      </w:r>
      <w:r>
        <w:fldChar w:fldCharType="begin"/>
      </w:r>
      <w:r>
        <w:instrText xml:space="preserve"> REF _Ref57370775 \h </w:instrText>
      </w:r>
      <w:r>
        <w:fldChar w:fldCharType="separate"/>
      </w:r>
      <w:r w:rsidR="00937ADD" w:rsidRPr="008637C3">
        <w:t xml:space="preserve">Table </w:t>
      </w:r>
      <w:r w:rsidR="00937ADD">
        <w:rPr>
          <w:noProof/>
        </w:rPr>
        <w:t>4</w:t>
      </w:r>
      <w:r w:rsidR="00937ADD">
        <w:noBreakHyphen/>
      </w:r>
      <w:r w:rsidR="00937ADD">
        <w:rPr>
          <w:noProof/>
        </w:rPr>
        <w:t>4</w:t>
      </w:r>
      <w:r>
        <w:fldChar w:fldCharType="end"/>
      </w:r>
      <w:r>
        <w:t>.</w:t>
      </w:r>
    </w:p>
    <w:p w14:paraId="0AD0CC39" w14:textId="57DB7CFF" w:rsidR="00EE44E6" w:rsidRDefault="00EE44E6" w:rsidP="00EE44E6">
      <w:pPr>
        <w:pStyle w:val="BodyText"/>
      </w:pPr>
      <w:r>
        <w:t>In summary, w</w:t>
      </w:r>
      <w:r w:rsidRPr="00551D0E">
        <w:t>ithin Queensland, current open</w:t>
      </w:r>
      <w:r w:rsidR="004C52BE">
        <w:t>-cut</w:t>
      </w:r>
      <w:r w:rsidRPr="00551D0E">
        <w:t xml:space="preserve"> coal pits </w:t>
      </w:r>
      <w:r>
        <w:t>situated in potential flood hazard areas are</w:t>
      </w:r>
      <w:r w:rsidRPr="00551D0E">
        <w:t xml:space="preserve"> </w:t>
      </w:r>
      <w:r>
        <w:t>generally</w:t>
      </w:r>
      <w:r w:rsidRPr="00551D0E">
        <w:t xml:space="preserve"> </w:t>
      </w:r>
      <w:r>
        <w:t xml:space="preserve">located </w:t>
      </w:r>
      <w:r w:rsidRPr="00551D0E">
        <w:t>within the North East Coast drainage division according to the following drainage basins</w:t>
      </w:r>
      <w:r w:rsidR="004C52BE">
        <w:t>.</w:t>
      </w:r>
    </w:p>
    <w:p w14:paraId="07374AD4" w14:textId="67653CBB" w:rsidR="00EE44E6" w:rsidRDefault="00EE44E6" w:rsidP="001628AA">
      <w:pPr>
        <w:pStyle w:val="BodyText"/>
        <w:numPr>
          <w:ilvl w:val="0"/>
          <w:numId w:val="53"/>
        </w:numPr>
        <w:spacing w:before="80" w:after="80"/>
      </w:pPr>
      <w:bookmarkStart w:id="117" w:name="_Hlk57472055"/>
      <w:r>
        <w:t>Most of the current open</w:t>
      </w:r>
      <w:r w:rsidR="004C52BE">
        <w:t>-cut</w:t>
      </w:r>
      <w:r>
        <w:t xml:space="preserve"> coal pits situated in potential flood hazard areas are situated in the Fitzroy Basin (44 pits), across five catchments</w:t>
      </w:r>
      <w:r w:rsidR="00D31B21">
        <w:t>:</w:t>
      </w:r>
      <w:r>
        <w:t xml:space="preserve"> Isaac River (18 pits), MacKenzie River (16 pits), </w:t>
      </w:r>
      <w:bookmarkEnd w:id="117"/>
      <w:r>
        <w:t xml:space="preserve">Dawson River </w:t>
      </w:r>
      <w:r w:rsidR="00D31B21">
        <w:t>(4 pits),</w:t>
      </w:r>
      <w:r>
        <w:t xml:space="preserve"> Nogoa River (4 pits) and Comet River (2 pits).</w:t>
      </w:r>
    </w:p>
    <w:p w14:paraId="6F3E4941" w14:textId="63F43812" w:rsidR="00EE44E6" w:rsidRDefault="00EE44E6" w:rsidP="001628AA">
      <w:pPr>
        <w:pStyle w:val="BodyText"/>
        <w:numPr>
          <w:ilvl w:val="0"/>
          <w:numId w:val="53"/>
        </w:numPr>
        <w:spacing w:before="80" w:after="80"/>
      </w:pPr>
      <w:r>
        <w:lastRenderedPageBreak/>
        <w:t xml:space="preserve">The Burdekin Basin holds 8 </w:t>
      </w:r>
      <w:bookmarkStart w:id="118" w:name="_Hlk57371219"/>
      <w:r>
        <w:t>current open</w:t>
      </w:r>
      <w:r w:rsidR="004C52BE">
        <w:t>-cut</w:t>
      </w:r>
      <w:r>
        <w:t xml:space="preserve"> coal pits in potential flood hazard areas</w:t>
      </w:r>
      <w:r w:rsidR="00D31B21">
        <w:t>:</w:t>
      </w:r>
      <w:r>
        <w:t xml:space="preserve"> 4 pits in each of the Bowen River and Suttor River catchments.</w:t>
      </w:r>
      <w:bookmarkEnd w:id="118"/>
    </w:p>
    <w:p w14:paraId="438D4331" w14:textId="73A343DC" w:rsidR="00EE44E6" w:rsidRDefault="00EE44E6" w:rsidP="001628AA">
      <w:pPr>
        <w:pStyle w:val="BodyText"/>
        <w:numPr>
          <w:ilvl w:val="0"/>
          <w:numId w:val="53"/>
        </w:numPr>
        <w:spacing w:before="80" w:after="80"/>
      </w:pPr>
      <w:r>
        <w:t xml:space="preserve">The Burnet Basin holds </w:t>
      </w:r>
      <w:r w:rsidR="00D31B21">
        <w:t>one</w:t>
      </w:r>
      <w:r>
        <w:t xml:space="preserve"> current open</w:t>
      </w:r>
      <w:r w:rsidR="004C52BE">
        <w:t>-cut</w:t>
      </w:r>
      <w:r>
        <w:t xml:space="preserve"> coal pit in a potential flood hazard area of the </w:t>
      </w:r>
      <w:r w:rsidRPr="00551D0E">
        <w:t>Barker &amp; Barambah Creeks</w:t>
      </w:r>
      <w:r>
        <w:t xml:space="preserve"> </w:t>
      </w:r>
      <w:r w:rsidR="003654C9">
        <w:t>C</w:t>
      </w:r>
      <w:r>
        <w:t>atchment.</w:t>
      </w:r>
    </w:p>
    <w:p w14:paraId="1D577CF4" w14:textId="41561948" w:rsidR="00EE44E6" w:rsidRDefault="00EE44E6" w:rsidP="00EE44E6">
      <w:pPr>
        <w:pStyle w:val="BodyText"/>
      </w:pPr>
      <w:r>
        <w:t xml:space="preserve">Within the Murray-Darlin Basin drainage division, the Balonne-Condamine Basin holds </w:t>
      </w:r>
      <w:r w:rsidR="00D31B21">
        <w:t>three</w:t>
      </w:r>
      <w:r>
        <w:t xml:space="preserve"> current open</w:t>
      </w:r>
      <w:r w:rsidR="004C52BE">
        <w:t>-cut coal</w:t>
      </w:r>
      <w:r>
        <w:t xml:space="preserve"> pits in potential flood hazard areas of the Condamine River </w:t>
      </w:r>
      <w:r w:rsidR="003654C9">
        <w:t>C</w:t>
      </w:r>
      <w:r>
        <w:t>atchment.</w:t>
      </w:r>
    </w:p>
    <w:p w14:paraId="4061616D" w14:textId="070B0DF2" w:rsidR="00EE44E6" w:rsidRDefault="00EE44E6" w:rsidP="00294341">
      <w:pPr>
        <w:pStyle w:val="Caption"/>
      </w:pPr>
      <w:bookmarkStart w:id="119" w:name="_Ref57370775"/>
      <w:bookmarkStart w:id="120" w:name="_Toc65140581"/>
      <w:r w:rsidRPr="008637C3">
        <w:t xml:space="preserve">Table </w:t>
      </w:r>
      <w:fldSimple w:instr=" STYLEREF 1 \s ">
        <w:r w:rsidR="00937ADD">
          <w:rPr>
            <w:noProof/>
          </w:rPr>
          <w:t>4</w:t>
        </w:r>
      </w:fldSimple>
      <w:r w:rsidR="002714CC">
        <w:noBreakHyphen/>
      </w:r>
      <w:fldSimple w:instr=" SEQ Table \* ARABIC \s 1 ">
        <w:r w:rsidR="00937ADD">
          <w:rPr>
            <w:noProof/>
          </w:rPr>
          <w:t>4</w:t>
        </w:r>
      </w:fldSimple>
      <w:bookmarkEnd w:id="119"/>
      <w:r w:rsidRPr="008637C3">
        <w:t xml:space="preserve"> Current open</w:t>
      </w:r>
      <w:r w:rsidR="004C52BE">
        <w:t>-cut</w:t>
      </w:r>
      <w:r w:rsidRPr="008637C3">
        <w:t xml:space="preserve"> coal pits in Queensland located in mapped floodplain zones</w:t>
      </w:r>
      <w:bookmarkEnd w:id="120"/>
      <w:r>
        <w:t xml:space="preserve"> </w:t>
      </w:r>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941"/>
        <w:gridCol w:w="1151"/>
        <w:gridCol w:w="2439"/>
        <w:gridCol w:w="2835"/>
      </w:tblGrid>
      <w:tr w:rsidR="00EE44E6" w14:paraId="54F3882A" w14:textId="77777777" w:rsidTr="00710D1F">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941" w:type="dxa"/>
            <w:vMerge w:val="restart"/>
            <w:vAlign w:val="center"/>
          </w:tcPr>
          <w:p w14:paraId="72E362B1" w14:textId="77777777" w:rsidR="00EE44E6" w:rsidRDefault="00EE44E6" w:rsidP="008670A9">
            <w:pPr>
              <w:pStyle w:val="BodyText"/>
              <w:spacing w:before="100" w:after="100"/>
              <w:jc w:val="center"/>
            </w:pPr>
            <w:r>
              <w:t>Drainage division</w:t>
            </w:r>
          </w:p>
        </w:tc>
        <w:tc>
          <w:tcPr>
            <w:tcW w:w="1151" w:type="dxa"/>
            <w:vMerge w:val="restart"/>
            <w:vAlign w:val="center"/>
          </w:tcPr>
          <w:p w14:paraId="184E272D" w14:textId="77777777" w:rsidR="00EE44E6" w:rsidRDefault="00EE44E6" w:rsidP="008670A9">
            <w:pPr>
              <w:pStyle w:val="BodyText"/>
              <w:spacing w:before="100" w:after="100"/>
              <w:jc w:val="center"/>
              <w:cnfStyle w:val="100000000000" w:firstRow="1" w:lastRow="0" w:firstColumn="0" w:lastColumn="0" w:oddVBand="0" w:evenVBand="0" w:oddHBand="0" w:evenHBand="0" w:firstRowFirstColumn="0" w:firstRowLastColumn="0" w:lastRowFirstColumn="0" w:lastRowLastColumn="0"/>
            </w:pPr>
            <w:r>
              <w:t>Drainage basin</w:t>
            </w:r>
          </w:p>
        </w:tc>
        <w:tc>
          <w:tcPr>
            <w:tcW w:w="2439" w:type="dxa"/>
            <w:vMerge w:val="restart"/>
            <w:vAlign w:val="center"/>
          </w:tcPr>
          <w:p w14:paraId="09419B07" w14:textId="77777777" w:rsidR="00EE44E6" w:rsidRDefault="00EE44E6" w:rsidP="008670A9">
            <w:pPr>
              <w:pStyle w:val="BodyText"/>
              <w:spacing w:before="100" w:after="100"/>
              <w:jc w:val="center"/>
              <w:cnfStyle w:val="100000000000" w:firstRow="1" w:lastRow="0" w:firstColumn="0" w:lastColumn="0" w:oddVBand="0" w:evenVBand="0" w:oddHBand="0" w:evenHBand="0" w:firstRowFirstColumn="0" w:firstRowLastColumn="0" w:lastRowFirstColumn="0" w:lastRowLastColumn="0"/>
            </w:pPr>
            <w:r>
              <w:t xml:space="preserve">Catchment </w:t>
            </w:r>
          </w:p>
        </w:tc>
        <w:tc>
          <w:tcPr>
            <w:tcW w:w="2835" w:type="dxa"/>
            <w:vMerge w:val="restart"/>
            <w:vAlign w:val="center"/>
          </w:tcPr>
          <w:p w14:paraId="34E51F6E" w14:textId="11C39281" w:rsidR="00EE44E6" w:rsidRDefault="00EE44E6" w:rsidP="008670A9">
            <w:pPr>
              <w:pStyle w:val="BodyText"/>
              <w:spacing w:before="100" w:after="100"/>
              <w:jc w:val="center"/>
              <w:cnfStyle w:val="100000000000" w:firstRow="1" w:lastRow="0" w:firstColumn="0" w:lastColumn="0" w:oddVBand="0" w:evenVBand="0" w:oddHBand="0" w:evenHBand="0" w:firstRowFirstColumn="0" w:firstRowLastColumn="0" w:lastRowFirstColumn="0" w:lastRowLastColumn="0"/>
            </w:pPr>
            <w:r>
              <w:t>Number of current open</w:t>
            </w:r>
            <w:r w:rsidR="004C52BE">
              <w:t>-cut</w:t>
            </w:r>
            <w:r>
              <w:t xml:space="preserve"> coal pits within a potential flood hazard area </w:t>
            </w:r>
            <w:r w:rsidRPr="008637C3">
              <w:rPr>
                <w:vertAlign w:val="superscript"/>
              </w:rPr>
              <w:t>(1)</w:t>
            </w:r>
          </w:p>
        </w:tc>
      </w:tr>
      <w:tr w:rsidR="00EE44E6" w14:paraId="06BEF1A4" w14:textId="77777777" w:rsidTr="00710D1F">
        <w:trPr>
          <w:cnfStyle w:val="100000000000" w:firstRow="1" w:lastRow="0" w:firstColumn="0" w:lastColumn="0" w:oddVBand="0" w:evenVBand="0" w:oddHBand="0" w:evenHBand="0" w:firstRowFirstColumn="0" w:firstRowLastColumn="0" w:lastRowFirstColumn="0" w:lastRowLastColumn="0"/>
          <w:trHeight w:val="379"/>
          <w:tblHeader/>
        </w:trPr>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1DBB9EDB" w14:textId="77777777" w:rsidR="00EE44E6" w:rsidRDefault="00EE44E6" w:rsidP="008670A9">
            <w:pPr>
              <w:pStyle w:val="BodyText"/>
              <w:spacing w:before="100" w:after="100"/>
              <w:jc w:val="center"/>
            </w:pPr>
          </w:p>
        </w:tc>
        <w:tc>
          <w:tcPr>
            <w:tcW w:w="1151" w:type="dxa"/>
            <w:vMerge/>
            <w:vAlign w:val="center"/>
          </w:tcPr>
          <w:p w14:paraId="41CA0B1B" w14:textId="77777777" w:rsidR="00EE44E6" w:rsidRDefault="00EE44E6" w:rsidP="008670A9">
            <w:pPr>
              <w:pStyle w:val="BodyText"/>
              <w:spacing w:before="100" w:after="100"/>
              <w:jc w:val="center"/>
              <w:cnfStyle w:val="100000000000" w:firstRow="1" w:lastRow="0" w:firstColumn="0" w:lastColumn="0" w:oddVBand="0" w:evenVBand="0" w:oddHBand="0" w:evenHBand="0" w:firstRowFirstColumn="0" w:firstRowLastColumn="0" w:lastRowFirstColumn="0" w:lastRowLastColumn="0"/>
            </w:pPr>
          </w:p>
        </w:tc>
        <w:tc>
          <w:tcPr>
            <w:tcW w:w="2439" w:type="dxa"/>
            <w:vMerge/>
            <w:vAlign w:val="center"/>
          </w:tcPr>
          <w:p w14:paraId="7F18D296" w14:textId="77777777" w:rsidR="00EE44E6" w:rsidRDefault="00EE44E6" w:rsidP="008670A9">
            <w:pPr>
              <w:pStyle w:val="BodyText"/>
              <w:spacing w:before="100" w:after="100"/>
              <w:jc w:val="center"/>
              <w:cnfStyle w:val="100000000000" w:firstRow="1" w:lastRow="0" w:firstColumn="0" w:lastColumn="0" w:oddVBand="0" w:evenVBand="0" w:oddHBand="0" w:evenHBand="0" w:firstRowFirstColumn="0" w:firstRowLastColumn="0" w:lastRowFirstColumn="0" w:lastRowLastColumn="0"/>
            </w:pPr>
          </w:p>
        </w:tc>
        <w:tc>
          <w:tcPr>
            <w:tcW w:w="2835" w:type="dxa"/>
            <w:vMerge/>
            <w:vAlign w:val="center"/>
          </w:tcPr>
          <w:p w14:paraId="7653C524" w14:textId="77777777" w:rsidR="00EE44E6" w:rsidRDefault="00EE44E6" w:rsidP="008670A9">
            <w:pPr>
              <w:pStyle w:val="BodyText"/>
              <w:spacing w:before="100" w:after="100"/>
              <w:jc w:val="center"/>
              <w:cnfStyle w:val="100000000000" w:firstRow="1" w:lastRow="0" w:firstColumn="0" w:lastColumn="0" w:oddVBand="0" w:evenVBand="0" w:oddHBand="0" w:evenHBand="0" w:firstRowFirstColumn="0" w:firstRowLastColumn="0" w:lastRowFirstColumn="0" w:lastRowLastColumn="0"/>
            </w:pPr>
          </w:p>
        </w:tc>
      </w:tr>
      <w:tr w:rsidR="00EE44E6" w14:paraId="03CF78D6"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restart"/>
            <w:vAlign w:val="center"/>
          </w:tcPr>
          <w:p w14:paraId="6648C1EB" w14:textId="77777777" w:rsidR="00EE44E6" w:rsidRPr="00F36E25" w:rsidRDefault="00EE44E6" w:rsidP="008670A9">
            <w:pPr>
              <w:pStyle w:val="BodyText"/>
              <w:spacing w:before="100" w:after="100"/>
              <w:rPr>
                <w:b/>
                <w:bCs/>
              </w:rPr>
            </w:pPr>
            <w:r>
              <w:rPr>
                <w:b/>
                <w:bCs/>
              </w:rPr>
              <w:t>Murray-Darling Basin</w:t>
            </w:r>
          </w:p>
        </w:tc>
        <w:tc>
          <w:tcPr>
            <w:tcW w:w="1151" w:type="dxa"/>
            <w:vMerge w:val="restart"/>
            <w:vAlign w:val="center"/>
          </w:tcPr>
          <w:p w14:paraId="10444E0F"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F145B1">
              <w:rPr>
                <w:b/>
                <w:bCs/>
              </w:rPr>
              <w:t>Balonne-Condamine</w:t>
            </w:r>
          </w:p>
        </w:tc>
        <w:tc>
          <w:tcPr>
            <w:tcW w:w="2439" w:type="dxa"/>
            <w:vAlign w:val="center"/>
          </w:tcPr>
          <w:p w14:paraId="27734854"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7A34FB">
              <w:t>Balonne River</w:t>
            </w:r>
          </w:p>
        </w:tc>
        <w:tc>
          <w:tcPr>
            <w:tcW w:w="2835" w:type="dxa"/>
            <w:vAlign w:val="center"/>
          </w:tcPr>
          <w:p w14:paraId="0CAA7ECF"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Nil</w:t>
            </w:r>
          </w:p>
        </w:tc>
      </w:tr>
      <w:tr w:rsidR="00EE44E6" w14:paraId="3CE8E477"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495B4E9B" w14:textId="77777777" w:rsidR="00EE44E6" w:rsidRPr="00F36E25" w:rsidRDefault="00EE44E6" w:rsidP="008670A9">
            <w:pPr>
              <w:pStyle w:val="BodyText"/>
              <w:spacing w:before="100" w:after="100"/>
              <w:rPr>
                <w:b/>
                <w:bCs/>
              </w:rPr>
            </w:pPr>
          </w:p>
        </w:tc>
        <w:tc>
          <w:tcPr>
            <w:tcW w:w="1151" w:type="dxa"/>
            <w:vMerge/>
            <w:vAlign w:val="center"/>
          </w:tcPr>
          <w:p w14:paraId="4EE3783C"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07886D2B"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7A34FB">
              <w:t>Condamine River</w:t>
            </w:r>
          </w:p>
        </w:tc>
        <w:tc>
          <w:tcPr>
            <w:tcW w:w="2835" w:type="dxa"/>
            <w:vAlign w:val="center"/>
          </w:tcPr>
          <w:p w14:paraId="17D0B628"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3</w:t>
            </w:r>
          </w:p>
        </w:tc>
      </w:tr>
      <w:tr w:rsidR="00EE44E6" w14:paraId="520F5850" w14:textId="77777777" w:rsidTr="00710D1F">
        <w:trPr>
          <w:trHeight w:val="350"/>
        </w:trPr>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4D916B18" w14:textId="77777777" w:rsidR="00EE44E6" w:rsidRDefault="00EE44E6" w:rsidP="008670A9">
            <w:pPr>
              <w:pStyle w:val="BodyText"/>
              <w:spacing w:before="100" w:after="100"/>
              <w:rPr>
                <w:b/>
                <w:bCs/>
              </w:rPr>
            </w:pPr>
          </w:p>
        </w:tc>
        <w:tc>
          <w:tcPr>
            <w:tcW w:w="1151" w:type="dxa"/>
            <w:vMerge/>
            <w:vAlign w:val="center"/>
          </w:tcPr>
          <w:p w14:paraId="5EC64498"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774262FE"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i/>
                <w:iCs/>
              </w:rPr>
            </w:pPr>
            <w:r w:rsidRPr="00C05AEA">
              <w:rPr>
                <w:i/>
                <w:iCs/>
              </w:rPr>
              <w:t>Sum Balonne-Condamine</w:t>
            </w:r>
          </w:p>
        </w:tc>
        <w:tc>
          <w:tcPr>
            <w:tcW w:w="2835" w:type="dxa"/>
            <w:vAlign w:val="center"/>
          </w:tcPr>
          <w:p w14:paraId="48DC9A11" w14:textId="77777777" w:rsidR="00EE44E6" w:rsidRPr="008C363B"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rPr>
                <w:b/>
                <w:i/>
                <w:iCs/>
              </w:rPr>
            </w:pPr>
            <w:r w:rsidRPr="008C363B">
              <w:rPr>
                <w:b/>
                <w:i/>
                <w:iCs/>
              </w:rPr>
              <w:t>3</w:t>
            </w:r>
          </w:p>
        </w:tc>
      </w:tr>
      <w:tr w:rsidR="00EE44E6" w14:paraId="12846C56"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restart"/>
            <w:vAlign w:val="center"/>
          </w:tcPr>
          <w:p w14:paraId="31BBE29C" w14:textId="77777777" w:rsidR="00EE44E6" w:rsidRPr="00F36E25" w:rsidRDefault="00EE44E6" w:rsidP="008670A9">
            <w:pPr>
              <w:pStyle w:val="BodyText"/>
              <w:spacing w:before="100" w:after="100"/>
              <w:rPr>
                <w:b/>
                <w:bCs/>
              </w:rPr>
            </w:pPr>
            <w:r>
              <w:rPr>
                <w:b/>
                <w:bCs/>
              </w:rPr>
              <w:t>North East Coast</w:t>
            </w:r>
          </w:p>
        </w:tc>
        <w:tc>
          <w:tcPr>
            <w:tcW w:w="1151" w:type="dxa"/>
            <w:vMerge w:val="restart"/>
            <w:vAlign w:val="center"/>
          </w:tcPr>
          <w:p w14:paraId="0FF14395"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Pr>
                <w:b/>
                <w:bCs/>
              </w:rPr>
              <w:t>Brisbane</w:t>
            </w:r>
          </w:p>
        </w:tc>
        <w:tc>
          <w:tcPr>
            <w:tcW w:w="2439" w:type="dxa"/>
            <w:vAlign w:val="center"/>
          </w:tcPr>
          <w:p w14:paraId="35BA547E"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pPr>
            <w:r w:rsidRPr="00C05AEA">
              <w:t>Bremer River</w:t>
            </w:r>
          </w:p>
        </w:tc>
        <w:tc>
          <w:tcPr>
            <w:tcW w:w="2835" w:type="dxa"/>
            <w:vAlign w:val="center"/>
          </w:tcPr>
          <w:p w14:paraId="48482370"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Nil</w:t>
            </w:r>
          </w:p>
        </w:tc>
      </w:tr>
      <w:tr w:rsidR="00EE44E6" w14:paraId="50A794A7"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7D3CE140" w14:textId="77777777" w:rsidR="00EE44E6" w:rsidRPr="00F36E25" w:rsidRDefault="00EE44E6" w:rsidP="008670A9">
            <w:pPr>
              <w:pStyle w:val="BodyText"/>
              <w:spacing w:before="100" w:after="100"/>
              <w:rPr>
                <w:b/>
                <w:bCs/>
              </w:rPr>
            </w:pPr>
          </w:p>
        </w:tc>
        <w:tc>
          <w:tcPr>
            <w:tcW w:w="1151" w:type="dxa"/>
            <w:vMerge/>
            <w:vAlign w:val="center"/>
          </w:tcPr>
          <w:p w14:paraId="239A556E" w14:textId="77777777" w:rsidR="00EE44E6"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72CC1621"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i/>
                <w:iCs/>
              </w:rPr>
            </w:pPr>
            <w:r w:rsidRPr="00C05AEA">
              <w:rPr>
                <w:i/>
                <w:iCs/>
              </w:rPr>
              <w:t>Sum Brisbane</w:t>
            </w:r>
          </w:p>
        </w:tc>
        <w:tc>
          <w:tcPr>
            <w:tcW w:w="2835" w:type="dxa"/>
            <w:vAlign w:val="center"/>
          </w:tcPr>
          <w:p w14:paraId="1A79E089" w14:textId="77777777" w:rsidR="00EE44E6" w:rsidRPr="008C363B"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rPr>
                <w:b/>
                <w:i/>
                <w:iCs/>
              </w:rPr>
            </w:pPr>
            <w:r w:rsidRPr="008C363B">
              <w:rPr>
                <w:b/>
                <w:i/>
                <w:iCs/>
              </w:rPr>
              <w:t>Nil</w:t>
            </w:r>
          </w:p>
        </w:tc>
      </w:tr>
      <w:tr w:rsidR="00EE44E6" w14:paraId="3F33F290"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47FE9CF0" w14:textId="77777777" w:rsidR="00EE44E6" w:rsidRPr="00F36E25" w:rsidRDefault="00EE44E6" w:rsidP="008670A9">
            <w:pPr>
              <w:pStyle w:val="BodyText"/>
              <w:spacing w:before="100" w:after="100"/>
              <w:rPr>
                <w:b/>
                <w:bCs/>
              </w:rPr>
            </w:pPr>
          </w:p>
        </w:tc>
        <w:tc>
          <w:tcPr>
            <w:tcW w:w="1151" w:type="dxa"/>
            <w:vMerge w:val="restart"/>
            <w:vAlign w:val="center"/>
          </w:tcPr>
          <w:p w14:paraId="0DD78DF7"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Pr>
                <w:b/>
                <w:bCs/>
              </w:rPr>
              <w:t>Burdekin</w:t>
            </w:r>
          </w:p>
        </w:tc>
        <w:tc>
          <w:tcPr>
            <w:tcW w:w="2439" w:type="dxa"/>
            <w:vAlign w:val="center"/>
          </w:tcPr>
          <w:p w14:paraId="216DE9FD"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3F7CE8">
              <w:t>Bowen River</w:t>
            </w:r>
          </w:p>
        </w:tc>
        <w:tc>
          <w:tcPr>
            <w:tcW w:w="2835" w:type="dxa"/>
            <w:vAlign w:val="center"/>
          </w:tcPr>
          <w:p w14:paraId="10B65DAA"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4</w:t>
            </w:r>
          </w:p>
        </w:tc>
      </w:tr>
      <w:tr w:rsidR="00EE44E6" w14:paraId="46802C23"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46ED53CE" w14:textId="77777777" w:rsidR="00EE44E6" w:rsidRPr="00F36E25" w:rsidRDefault="00EE44E6" w:rsidP="008670A9">
            <w:pPr>
              <w:pStyle w:val="BodyText"/>
              <w:spacing w:before="100" w:after="100"/>
              <w:rPr>
                <w:b/>
                <w:bCs/>
              </w:rPr>
            </w:pPr>
          </w:p>
        </w:tc>
        <w:tc>
          <w:tcPr>
            <w:tcW w:w="1151" w:type="dxa"/>
            <w:vMerge/>
            <w:vAlign w:val="center"/>
          </w:tcPr>
          <w:p w14:paraId="19B4E958"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4C6890D6"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3F7CE8">
              <w:t>Suttor River</w:t>
            </w:r>
          </w:p>
        </w:tc>
        <w:tc>
          <w:tcPr>
            <w:tcW w:w="2835" w:type="dxa"/>
            <w:vAlign w:val="center"/>
          </w:tcPr>
          <w:p w14:paraId="6289409A"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4</w:t>
            </w:r>
          </w:p>
        </w:tc>
      </w:tr>
      <w:tr w:rsidR="00EE44E6" w14:paraId="327FF3E3"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3E2A0C89" w14:textId="77777777" w:rsidR="00EE44E6" w:rsidRPr="00F36E25" w:rsidRDefault="00EE44E6" w:rsidP="008670A9">
            <w:pPr>
              <w:pStyle w:val="BodyText"/>
              <w:spacing w:before="100" w:after="100"/>
              <w:rPr>
                <w:b/>
                <w:bCs/>
              </w:rPr>
            </w:pPr>
          </w:p>
        </w:tc>
        <w:tc>
          <w:tcPr>
            <w:tcW w:w="1151" w:type="dxa"/>
            <w:vMerge/>
            <w:vAlign w:val="center"/>
          </w:tcPr>
          <w:p w14:paraId="6E2FCB18" w14:textId="77777777" w:rsidR="00EE44E6"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3A8F4411"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i/>
                <w:iCs/>
              </w:rPr>
            </w:pPr>
            <w:r w:rsidRPr="00C05AEA">
              <w:rPr>
                <w:i/>
                <w:iCs/>
              </w:rPr>
              <w:t>Sum Burdekin</w:t>
            </w:r>
          </w:p>
        </w:tc>
        <w:tc>
          <w:tcPr>
            <w:tcW w:w="2835" w:type="dxa"/>
            <w:vAlign w:val="center"/>
          </w:tcPr>
          <w:p w14:paraId="25330CD4" w14:textId="77777777" w:rsidR="00EE44E6" w:rsidRPr="008C363B"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rPr>
                <w:b/>
                <w:i/>
                <w:iCs/>
              </w:rPr>
            </w:pPr>
            <w:r w:rsidRPr="008C363B">
              <w:rPr>
                <w:b/>
                <w:i/>
                <w:iCs/>
              </w:rPr>
              <w:t>8</w:t>
            </w:r>
          </w:p>
        </w:tc>
      </w:tr>
      <w:tr w:rsidR="00EE44E6" w14:paraId="68C3B773"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71BC2141" w14:textId="77777777" w:rsidR="00EE44E6" w:rsidRPr="00F36E25" w:rsidRDefault="00EE44E6" w:rsidP="008670A9">
            <w:pPr>
              <w:pStyle w:val="BodyText"/>
              <w:spacing w:before="100" w:after="100"/>
              <w:rPr>
                <w:b/>
                <w:bCs/>
              </w:rPr>
            </w:pPr>
          </w:p>
        </w:tc>
        <w:tc>
          <w:tcPr>
            <w:tcW w:w="1151" w:type="dxa"/>
            <w:vMerge w:val="restart"/>
            <w:vAlign w:val="center"/>
          </w:tcPr>
          <w:p w14:paraId="5954B9FD"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Pr>
                <w:b/>
                <w:bCs/>
              </w:rPr>
              <w:t>Burnett</w:t>
            </w:r>
          </w:p>
        </w:tc>
        <w:tc>
          <w:tcPr>
            <w:tcW w:w="2439" w:type="dxa"/>
            <w:vAlign w:val="center"/>
          </w:tcPr>
          <w:p w14:paraId="22701706"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pPr>
            <w:bookmarkStart w:id="121" w:name="_Hlk57371285"/>
            <w:r w:rsidRPr="00C05AEA">
              <w:t>Barker &amp; Barambah Creeks</w:t>
            </w:r>
            <w:bookmarkEnd w:id="121"/>
          </w:p>
        </w:tc>
        <w:tc>
          <w:tcPr>
            <w:tcW w:w="2835" w:type="dxa"/>
            <w:vAlign w:val="center"/>
          </w:tcPr>
          <w:p w14:paraId="412FFB2D"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1</w:t>
            </w:r>
          </w:p>
        </w:tc>
      </w:tr>
      <w:tr w:rsidR="00EE44E6" w14:paraId="4F9FBA17"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3761A945" w14:textId="77777777" w:rsidR="00EE44E6" w:rsidRPr="00F36E25" w:rsidRDefault="00EE44E6" w:rsidP="008670A9">
            <w:pPr>
              <w:pStyle w:val="BodyText"/>
              <w:spacing w:before="100" w:after="100"/>
              <w:rPr>
                <w:b/>
                <w:bCs/>
              </w:rPr>
            </w:pPr>
          </w:p>
        </w:tc>
        <w:tc>
          <w:tcPr>
            <w:tcW w:w="1151" w:type="dxa"/>
            <w:vMerge/>
            <w:vAlign w:val="center"/>
          </w:tcPr>
          <w:p w14:paraId="38A78486" w14:textId="77777777" w:rsidR="00EE44E6"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0D93D4F6"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i/>
                <w:iCs/>
              </w:rPr>
            </w:pPr>
            <w:r w:rsidRPr="00C05AEA">
              <w:rPr>
                <w:i/>
                <w:iCs/>
              </w:rPr>
              <w:t>Sum Burnett</w:t>
            </w:r>
          </w:p>
        </w:tc>
        <w:tc>
          <w:tcPr>
            <w:tcW w:w="2835" w:type="dxa"/>
            <w:vAlign w:val="center"/>
          </w:tcPr>
          <w:p w14:paraId="7B5D9165" w14:textId="77777777" w:rsidR="00EE44E6" w:rsidRPr="008C363B"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rPr>
                <w:b/>
                <w:i/>
                <w:iCs/>
              </w:rPr>
            </w:pPr>
            <w:r w:rsidRPr="008C363B">
              <w:rPr>
                <w:b/>
                <w:i/>
                <w:iCs/>
              </w:rPr>
              <w:t>1</w:t>
            </w:r>
          </w:p>
        </w:tc>
      </w:tr>
      <w:tr w:rsidR="00EE44E6" w14:paraId="17638A3D"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3DB2DB7F" w14:textId="77777777" w:rsidR="00EE44E6" w:rsidRPr="00F36E25" w:rsidRDefault="00EE44E6" w:rsidP="008670A9">
            <w:pPr>
              <w:pStyle w:val="BodyText"/>
              <w:spacing w:before="100" w:after="100"/>
              <w:rPr>
                <w:b/>
                <w:bCs/>
              </w:rPr>
            </w:pPr>
          </w:p>
        </w:tc>
        <w:tc>
          <w:tcPr>
            <w:tcW w:w="1151" w:type="dxa"/>
            <w:vMerge w:val="restart"/>
            <w:vAlign w:val="center"/>
          </w:tcPr>
          <w:p w14:paraId="119B7A7F"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Pr>
                <w:b/>
                <w:bCs/>
              </w:rPr>
              <w:t>Calliope</w:t>
            </w:r>
          </w:p>
        </w:tc>
        <w:tc>
          <w:tcPr>
            <w:tcW w:w="2439" w:type="dxa"/>
            <w:vAlign w:val="center"/>
          </w:tcPr>
          <w:p w14:paraId="14B70812"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pPr>
            <w:r w:rsidRPr="00C05AEA">
              <w:t>Calliope River</w:t>
            </w:r>
          </w:p>
        </w:tc>
        <w:tc>
          <w:tcPr>
            <w:tcW w:w="2835" w:type="dxa"/>
            <w:vAlign w:val="center"/>
          </w:tcPr>
          <w:p w14:paraId="4CBD5B47"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Nil</w:t>
            </w:r>
          </w:p>
        </w:tc>
      </w:tr>
      <w:tr w:rsidR="00EE44E6" w14:paraId="4B1FC1FA"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60BAF8A9" w14:textId="77777777" w:rsidR="00EE44E6" w:rsidRPr="00F36E25" w:rsidRDefault="00EE44E6" w:rsidP="008670A9">
            <w:pPr>
              <w:pStyle w:val="BodyText"/>
              <w:spacing w:before="100" w:after="100"/>
              <w:rPr>
                <w:b/>
                <w:bCs/>
              </w:rPr>
            </w:pPr>
          </w:p>
        </w:tc>
        <w:tc>
          <w:tcPr>
            <w:tcW w:w="1151" w:type="dxa"/>
            <w:vMerge/>
            <w:vAlign w:val="center"/>
          </w:tcPr>
          <w:p w14:paraId="7FE25590" w14:textId="77777777" w:rsidR="00EE44E6"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28F98447"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i/>
                <w:iCs/>
              </w:rPr>
            </w:pPr>
            <w:r w:rsidRPr="00C05AEA">
              <w:rPr>
                <w:i/>
                <w:iCs/>
              </w:rPr>
              <w:t>Sum Calliope</w:t>
            </w:r>
          </w:p>
        </w:tc>
        <w:tc>
          <w:tcPr>
            <w:tcW w:w="2835" w:type="dxa"/>
            <w:vAlign w:val="center"/>
          </w:tcPr>
          <w:p w14:paraId="07546127" w14:textId="77777777" w:rsidR="00EE44E6" w:rsidRPr="008C363B"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rPr>
                <w:b/>
                <w:i/>
                <w:iCs/>
              </w:rPr>
            </w:pPr>
            <w:r w:rsidRPr="008C363B">
              <w:rPr>
                <w:b/>
                <w:i/>
                <w:iCs/>
              </w:rPr>
              <w:t>Nil</w:t>
            </w:r>
          </w:p>
        </w:tc>
      </w:tr>
      <w:tr w:rsidR="00EE44E6" w14:paraId="5ABA9F16"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1C615F20" w14:textId="77777777" w:rsidR="00EE44E6" w:rsidRPr="00F36E25" w:rsidRDefault="00EE44E6" w:rsidP="008670A9">
            <w:pPr>
              <w:pStyle w:val="BodyText"/>
              <w:spacing w:before="100" w:after="100"/>
              <w:rPr>
                <w:b/>
                <w:bCs/>
              </w:rPr>
            </w:pPr>
          </w:p>
        </w:tc>
        <w:tc>
          <w:tcPr>
            <w:tcW w:w="1151" w:type="dxa"/>
            <w:vMerge w:val="restart"/>
            <w:vAlign w:val="center"/>
          </w:tcPr>
          <w:p w14:paraId="5E8B1727"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Pr>
                <w:b/>
                <w:bCs/>
              </w:rPr>
              <w:t>Fitzroy</w:t>
            </w:r>
          </w:p>
        </w:tc>
        <w:tc>
          <w:tcPr>
            <w:tcW w:w="2439" w:type="dxa"/>
            <w:vAlign w:val="center"/>
          </w:tcPr>
          <w:p w14:paraId="19042CC7"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C77E4E">
              <w:t>Comet River</w:t>
            </w:r>
          </w:p>
        </w:tc>
        <w:tc>
          <w:tcPr>
            <w:tcW w:w="2835" w:type="dxa"/>
            <w:vAlign w:val="center"/>
          </w:tcPr>
          <w:p w14:paraId="5036A090"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2</w:t>
            </w:r>
          </w:p>
        </w:tc>
      </w:tr>
      <w:tr w:rsidR="00EE44E6" w14:paraId="4C4503B5"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4475E29D" w14:textId="77777777" w:rsidR="00EE44E6" w:rsidRPr="00F36E25" w:rsidRDefault="00EE44E6" w:rsidP="008670A9">
            <w:pPr>
              <w:pStyle w:val="BodyText"/>
              <w:spacing w:before="100" w:after="100"/>
              <w:rPr>
                <w:b/>
                <w:bCs/>
              </w:rPr>
            </w:pPr>
          </w:p>
        </w:tc>
        <w:tc>
          <w:tcPr>
            <w:tcW w:w="1151" w:type="dxa"/>
            <w:vMerge/>
            <w:vAlign w:val="center"/>
          </w:tcPr>
          <w:p w14:paraId="79836FC8"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42644830"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C77E4E">
              <w:t>Dawson River</w:t>
            </w:r>
          </w:p>
        </w:tc>
        <w:tc>
          <w:tcPr>
            <w:tcW w:w="2835" w:type="dxa"/>
            <w:vAlign w:val="center"/>
          </w:tcPr>
          <w:p w14:paraId="1C322F15"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4</w:t>
            </w:r>
          </w:p>
        </w:tc>
      </w:tr>
      <w:tr w:rsidR="00EE44E6" w14:paraId="01BF9168"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0EAC10BF" w14:textId="77777777" w:rsidR="00EE44E6" w:rsidRPr="00F36E25" w:rsidRDefault="00EE44E6" w:rsidP="008670A9">
            <w:pPr>
              <w:pStyle w:val="BodyText"/>
              <w:spacing w:before="100" w:after="100"/>
              <w:rPr>
                <w:b/>
                <w:bCs/>
              </w:rPr>
            </w:pPr>
          </w:p>
        </w:tc>
        <w:tc>
          <w:tcPr>
            <w:tcW w:w="1151" w:type="dxa"/>
            <w:vMerge/>
            <w:vAlign w:val="center"/>
          </w:tcPr>
          <w:p w14:paraId="7A0B28A1"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1922A000"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C77E4E">
              <w:t>Isaac River</w:t>
            </w:r>
          </w:p>
        </w:tc>
        <w:tc>
          <w:tcPr>
            <w:tcW w:w="2835" w:type="dxa"/>
            <w:vAlign w:val="center"/>
          </w:tcPr>
          <w:p w14:paraId="6060EF0C"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18</w:t>
            </w:r>
          </w:p>
        </w:tc>
      </w:tr>
      <w:tr w:rsidR="00EE44E6" w14:paraId="03C20470"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2D39E16E" w14:textId="77777777" w:rsidR="00EE44E6" w:rsidRPr="00F36E25" w:rsidRDefault="00EE44E6" w:rsidP="008670A9">
            <w:pPr>
              <w:pStyle w:val="BodyText"/>
              <w:spacing w:before="100" w:after="100"/>
              <w:rPr>
                <w:b/>
                <w:bCs/>
              </w:rPr>
            </w:pPr>
          </w:p>
        </w:tc>
        <w:tc>
          <w:tcPr>
            <w:tcW w:w="1151" w:type="dxa"/>
            <w:vMerge/>
            <w:vAlign w:val="center"/>
          </w:tcPr>
          <w:p w14:paraId="2089F79B"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67ECBA17"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C77E4E">
              <w:t>Mackenzie River</w:t>
            </w:r>
          </w:p>
        </w:tc>
        <w:tc>
          <w:tcPr>
            <w:tcW w:w="2835" w:type="dxa"/>
            <w:vAlign w:val="center"/>
          </w:tcPr>
          <w:p w14:paraId="7FABFAD0"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16</w:t>
            </w:r>
          </w:p>
        </w:tc>
      </w:tr>
      <w:tr w:rsidR="00EE44E6" w14:paraId="391521AC"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4530EE5D" w14:textId="77777777" w:rsidR="00EE44E6" w:rsidRPr="00F36E25" w:rsidRDefault="00EE44E6" w:rsidP="008670A9">
            <w:pPr>
              <w:pStyle w:val="BodyText"/>
              <w:spacing w:before="100" w:after="100"/>
              <w:rPr>
                <w:b/>
                <w:bCs/>
              </w:rPr>
            </w:pPr>
          </w:p>
        </w:tc>
        <w:tc>
          <w:tcPr>
            <w:tcW w:w="1151" w:type="dxa"/>
            <w:vMerge/>
            <w:vAlign w:val="center"/>
          </w:tcPr>
          <w:p w14:paraId="0135500A"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754C3279"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r w:rsidRPr="00C77E4E">
              <w:t>Nogoa River</w:t>
            </w:r>
          </w:p>
        </w:tc>
        <w:tc>
          <w:tcPr>
            <w:tcW w:w="2835" w:type="dxa"/>
            <w:vAlign w:val="center"/>
          </w:tcPr>
          <w:p w14:paraId="0739378F" w14:textId="77777777" w:rsidR="00EE44E6"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pPr>
            <w:r>
              <w:t>4</w:t>
            </w:r>
          </w:p>
        </w:tc>
      </w:tr>
      <w:tr w:rsidR="00EE44E6" w14:paraId="701A0741" w14:textId="77777777" w:rsidTr="00710D1F">
        <w:tc>
          <w:tcPr>
            <w:cnfStyle w:val="001000000000" w:firstRow="0" w:lastRow="0" w:firstColumn="1" w:lastColumn="0" w:oddVBand="0" w:evenVBand="0" w:oddHBand="0" w:evenHBand="0" w:firstRowFirstColumn="0" w:firstRowLastColumn="0" w:lastRowFirstColumn="0" w:lastRowLastColumn="0"/>
            <w:tcW w:w="941" w:type="dxa"/>
            <w:vMerge/>
            <w:vAlign w:val="center"/>
          </w:tcPr>
          <w:p w14:paraId="7AB98A37" w14:textId="77777777" w:rsidR="00EE44E6" w:rsidRPr="00F36E25" w:rsidRDefault="00EE44E6" w:rsidP="008670A9">
            <w:pPr>
              <w:pStyle w:val="BodyText"/>
              <w:spacing w:before="100" w:after="100"/>
              <w:rPr>
                <w:b/>
                <w:bCs/>
              </w:rPr>
            </w:pPr>
          </w:p>
        </w:tc>
        <w:tc>
          <w:tcPr>
            <w:tcW w:w="1151" w:type="dxa"/>
            <w:vMerge/>
            <w:vAlign w:val="center"/>
          </w:tcPr>
          <w:p w14:paraId="3AF84BCE" w14:textId="77777777" w:rsidR="00EE44E6" w:rsidRPr="00F36E25"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b/>
                <w:bCs/>
              </w:rPr>
            </w:pPr>
          </w:p>
        </w:tc>
        <w:tc>
          <w:tcPr>
            <w:tcW w:w="2439" w:type="dxa"/>
            <w:vAlign w:val="center"/>
          </w:tcPr>
          <w:p w14:paraId="6280DFFF" w14:textId="77777777" w:rsidR="00EE44E6" w:rsidRPr="00C05AEA" w:rsidRDefault="00EE44E6" w:rsidP="008670A9">
            <w:pPr>
              <w:pStyle w:val="BodyText"/>
              <w:spacing w:before="100" w:after="100"/>
              <w:cnfStyle w:val="000000000000" w:firstRow="0" w:lastRow="0" w:firstColumn="0" w:lastColumn="0" w:oddVBand="0" w:evenVBand="0" w:oddHBand="0" w:evenHBand="0" w:firstRowFirstColumn="0" w:firstRowLastColumn="0" w:lastRowFirstColumn="0" w:lastRowLastColumn="0"/>
              <w:rPr>
                <w:i/>
                <w:iCs/>
              </w:rPr>
            </w:pPr>
            <w:r w:rsidRPr="00C05AEA">
              <w:rPr>
                <w:i/>
                <w:iCs/>
              </w:rPr>
              <w:t>Sum Fitzroy</w:t>
            </w:r>
          </w:p>
        </w:tc>
        <w:tc>
          <w:tcPr>
            <w:tcW w:w="2835" w:type="dxa"/>
            <w:vAlign w:val="center"/>
          </w:tcPr>
          <w:p w14:paraId="051E2264" w14:textId="77777777" w:rsidR="00EE44E6" w:rsidRPr="008C363B" w:rsidRDefault="00EE44E6" w:rsidP="008670A9">
            <w:pPr>
              <w:pStyle w:val="BodyText"/>
              <w:spacing w:before="100" w:after="100"/>
              <w:jc w:val="center"/>
              <w:cnfStyle w:val="000000000000" w:firstRow="0" w:lastRow="0" w:firstColumn="0" w:lastColumn="0" w:oddVBand="0" w:evenVBand="0" w:oddHBand="0" w:evenHBand="0" w:firstRowFirstColumn="0" w:firstRowLastColumn="0" w:lastRowFirstColumn="0" w:lastRowLastColumn="0"/>
              <w:rPr>
                <w:b/>
                <w:i/>
              </w:rPr>
            </w:pPr>
            <w:r w:rsidRPr="008C363B">
              <w:rPr>
                <w:b/>
                <w:i/>
              </w:rPr>
              <w:t>44</w:t>
            </w:r>
          </w:p>
        </w:tc>
      </w:tr>
    </w:tbl>
    <w:p w14:paraId="319539E8" w14:textId="77777777" w:rsidR="00EE44E6" w:rsidRPr="008637C3" w:rsidRDefault="00EE44E6" w:rsidP="00EE44E6">
      <w:pPr>
        <w:pStyle w:val="BodyText"/>
        <w:spacing w:before="0" w:after="0"/>
        <w:rPr>
          <w:b/>
          <w:bCs/>
          <w:i/>
          <w:iCs/>
          <w:sz w:val="18"/>
          <w:szCs w:val="18"/>
        </w:rPr>
      </w:pPr>
      <w:r w:rsidRPr="008637C3">
        <w:rPr>
          <w:b/>
          <w:bCs/>
          <w:i/>
          <w:iCs/>
          <w:sz w:val="18"/>
          <w:szCs w:val="18"/>
        </w:rPr>
        <w:t>Note:</w:t>
      </w:r>
    </w:p>
    <w:p w14:paraId="44DB4555" w14:textId="2A633482" w:rsidR="00EE44E6" w:rsidRDefault="00EE44E6" w:rsidP="00EE44E6">
      <w:pPr>
        <w:pStyle w:val="BodyText"/>
        <w:spacing w:before="0" w:after="0"/>
        <w:rPr>
          <w:i/>
          <w:iCs/>
          <w:sz w:val="18"/>
          <w:szCs w:val="18"/>
        </w:rPr>
      </w:pPr>
      <w:r w:rsidRPr="008637C3">
        <w:rPr>
          <w:i/>
          <w:iCs/>
          <w:sz w:val="18"/>
          <w:szCs w:val="18"/>
        </w:rPr>
        <w:t>(1) The potential flood hazard area is designated by the QFAO.</w:t>
      </w:r>
    </w:p>
    <w:p w14:paraId="3AE238D7" w14:textId="77777777" w:rsidR="00294341" w:rsidRPr="008637C3" w:rsidRDefault="00294341" w:rsidP="00EE44E6">
      <w:pPr>
        <w:pStyle w:val="BodyText"/>
        <w:spacing w:before="0" w:after="0"/>
        <w:rPr>
          <w:i/>
          <w:iCs/>
          <w:sz w:val="18"/>
          <w:szCs w:val="18"/>
        </w:rPr>
      </w:pPr>
    </w:p>
    <w:p w14:paraId="549EFD69" w14:textId="56E22112" w:rsidR="00413F8C" w:rsidRDefault="00413F8C" w:rsidP="00413F8C">
      <w:pPr>
        <w:pStyle w:val="Heading2"/>
      </w:pPr>
      <w:bookmarkStart w:id="122" w:name="_Ref57471963"/>
      <w:bookmarkStart w:id="123" w:name="_Toc87278336"/>
      <w:r w:rsidRPr="00413F8C">
        <w:t>Proximity to surface waters</w:t>
      </w:r>
      <w:bookmarkEnd w:id="116"/>
      <w:bookmarkEnd w:id="122"/>
      <w:bookmarkEnd w:id="123"/>
    </w:p>
    <w:p w14:paraId="309A565C" w14:textId="25D5A95B" w:rsidR="00D8782E" w:rsidRDefault="009F680D" w:rsidP="00D8782E">
      <w:pPr>
        <w:pStyle w:val="BodyText"/>
      </w:pPr>
      <w:bookmarkStart w:id="124" w:name="_Hlk57472802"/>
      <w:r>
        <w:t>In consideration of surface water</w:t>
      </w:r>
      <w:r w:rsidR="00FA258B">
        <w:t>s</w:t>
      </w:r>
      <w:r>
        <w:t xml:space="preserve"> as potential receptor</w:t>
      </w:r>
      <w:r w:rsidR="00FA258B">
        <w:t>s</w:t>
      </w:r>
      <w:r>
        <w:t xml:space="preserve"> in the event that a residual void overtops its spill height</w:t>
      </w:r>
      <w:r w:rsidR="00FA258B">
        <w:t xml:space="preserve"> and spills </w:t>
      </w:r>
      <w:r w:rsidR="00FA258B" w:rsidRPr="00FA258B">
        <w:t>onto surrounding land</w:t>
      </w:r>
      <w:r>
        <w:t xml:space="preserve">, </w:t>
      </w:r>
      <w:bookmarkStart w:id="125" w:name="_Hlk57472913"/>
      <w:r>
        <w:t>the distance of current open</w:t>
      </w:r>
      <w:r w:rsidR="004C52BE">
        <w:t>-cut</w:t>
      </w:r>
      <w:r>
        <w:t xml:space="preserve"> coal pits to </w:t>
      </w:r>
      <w:r w:rsidRPr="00007A42">
        <w:rPr>
          <w:i/>
          <w:iCs/>
        </w:rPr>
        <w:t>minor</w:t>
      </w:r>
      <w:r>
        <w:t xml:space="preserve"> and </w:t>
      </w:r>
      <w:r w:rsidRPr="00007A42">
        <w:rPr>
          <w:i/>
          <w:iCs/>
        </w:rPr>
        <w:t>major streams</w:t>
      </w:r>
      <w:r>
        <w:t xml:space="preserve"> (as defined by the </w:t>
      </w:r>
      <w:r w:rsidRPr="009F680D">
        <w:t>BoM Hydrological</w:t>
      </w:r>
      <w:bookmarkEnd w:id="125"/>
      <w:r w:rsidRPr="009F680D">
        <w:t xml:space="preserve"> Geospatial Fabric</w:t>
      </w:r>
      <w:r>
        <w:t xml:space="preserve">; Section </w:t>
      </w:r>
      <w:r>
        <w:fldChar w:fldCharType="begin"/>
      </w:r>
      <w:r>
        <w:instrText xml:space="preserve"> REF _Ref56584525 \n \h </w:instrText>
      </w:r>
      <w:r>
        <w:fldChar w:fldCharType="separate"/>
      </w:r>
      <w:r w:rsidR="00937ADD">
        <w:t>2.2</w:t>
      </w:r>
      <w:r>
        <w:fldChar w:fldCharType="end"/>
      </w:r>
      <w:r>
        <w:t xml:space="preserve">) is graphically presented in </w:t>
      </w:r>
      <w:r>
        <w:fldChar w:fldCharType="begin"/>
      </w:r>
      <w:r>
        <w:instrText xml:space="preserve"> REF _Ref57377960 \h </w:instrText>
      </w:r>
      <w:r>
        <w:fldChar w:fldCharType="separate"/>
      </w:r>
      <w:r w:rsidR="00937ADD">
        <w:t xml:space="preserve">Figure </w:t>
      </w:r>
      <w:r w:rsidR="00937ADD">
        <w:rPr>
          <w:noProof/>
        </w:rPr>
        <w:t>4</w:t>
      </w:r>
      <w:r w:rsidR="00937ADD">
        <w:noBreakHyphen/>
      </w:r>
      <w:r w:rsidR="00937ADD">
        <w:rPr>
          <w:noProof/>
        </w:rPr>
        <w:t>2</w:t>
      </w:r>
      <w:r>
        <w:fldChar w:fldCharType="end"/>
      </w:r>
      <w:r>
        <w:t xml:space="preserve"> and </w:t>
      </w:r>
      <w:r>
        <w:fldChar w:fldCharType="begin"/>
      </w:r>
      <w:r>
        <w:instrText xml:space="preserve"> REF _Ref57377962 \h </w:instrText>
      </w:r>
      <w:r>
        <w:fldChar w:fldCharType="separate"/>
      </w:r>
      <w:r w:rsidR="00937ADD">
        <w:t xml:space="preserve">Figure </w:t>
      </w:r>
      <w:r w:rsidR="00937ADD">
        <w:rPr>
          <w:noProof/>
        </w:rPr>
        <w:t>4</w:t>
      </w:r>
      <w:r w:rsidR="00937ADD">
        <w:noBreakHyphen/>
      </w:r>
      <w:r w:rsidR="00937ADD">
        <w:rPr>
          <w:noProof/>
        </w:rPr>
        <w:t>3</w:t>
      </w:r>
      <w:r>
        <w:fldChar w:fldCharType="end"/>
      </w:r>
      <w:r>
        <w:t>, respectively.</w:t>
      </w:r>
      <w:r w:rsidR="00132A28">
        <w:t xml:space="preserve"> </w:t>
      </w:r>
      <w:bookmarkStart w:id="126" w:name="_Hlk59526824"/>
      <w:r w:rsidR="00132A28">
        <w:t xml:space="preserve">The </w:t>
      </w:r>
      <w:r w:rsidR="00132A28" w:rsidRPr="00D43174">
        <w:rPr>
          <w:i/>
          <w:iCs/>
        </w:rPr>
        <w:t>actual risk</w:t>
      </w:r>
      <w:r w:rsidR="00132A28">
        <w:t xml:space="preserve"> to nearby surface waters from residual coal mine voids will be dependent on the potential for the residual void to overtop and the associated engineered flood protection measures in place should such an event occur.</w:t>
      </w:r>
      <w:bookmarkEnd w:id="126"/>
      <w:r w:rsidR="007E09FD">
        <w:t xml:space="preserve"> </w:t>
      </w:r>
      <w:bookmarkStart w:id="127" w:name="_Hlk86308127"/>
      <w:r w:rsidR="000C581B">
        <w:t>It should be noted that levees and other flood management structures are required as part of a mine’s EA and provide some level of protection by segregating the pits from surface waters.</w:t>
      </w:r>
      <w:bookmarkEnd w:id="127"/>
    </w:p>
    <w:bookmarkEnd w:id="124"/>
    <w:p w14:paraId="02BCD624" w14:textId="39071664" w:rsidR="003810F2" w:rsidRDefault="008E38BB" w:rsidP="00800F5A">
      <w:pPr>
        <w:pStyle w:val="BodyText"/>
      </w:pPr>
      <w:r>
        <w:t>The proximity of current open</w:t>
      </w:r>
      <w:r w:rsidR="004C52BE">
        <w:t>-cut</w:t>
      </w:r>
      <w:r>
        <w:t xml:space="preserve"> coal pits to </w:t>
      </w:r>
      <w:r w:rsidRPr="00007A42">
        <w:rPr>
          <w:i/>
          <w:iCs/>
        </w:rPr>
        <w:t>m</w:t>
      </w:r>
      <w:r w:rsidR="007C3182" w:rsidRPr="00007A42">
        <w:rPr>
          <w:i/>
          <w:iCs/>
        </w:rPr>
        <w:t>inor streams</w:t>
      </w:r>
      <w:r>
        <w:t xml:space="preserve"> is characterised as follows (</w:t>
      </w:r>
      <w:r>
        <w:fldChar w:fldCharType="begin"/>
      </w:r>
      <w:r>
        <w:instrText xml:space="preserve"> REF _Ref57377960 \h </w:instrText>
      </w:r>
      <w:r>
        <w:fldChar w:fldCharType="separate"/>
      </w:r>
      <w:r w:rsidR="00937ADD">
        <w:t xml:space="preserve">Figure </w:t>
      </w:r>
      <w:r w:rsidR="00937ADD">
        <w:rPr>
          <w:noProof/>
        </w:rPr>
        <w:t>4</w:t>
      </w:r>
      <w:r w:rsidR="00937ADD">
        <w:noBreakHyphen/>
      </w:r>
      <w:r w:rsidR="00937ADD">
        <w:rPr>
          <w:noProof/>
        </w:rPr>
        <w:t>2</w:t>
      </w:r>
      <w:r>
        <w:fldChar w:fldCharType="end"/>
      </w:r>
      <w:r>
        <w:t>)</w:t>
      </w:r>
      <w:r w:rsidR="004C52BE">
        <w:t>.</w:t>
      </w:r>
    </w:p>
    <w:p w14:paraId="66C5E613" w14:textId="31D7E49F" w:rsidR="00AD5D99" w:rsidRPr="00AD5D99" w:rsidRDefault="00AD5D99" w:rsidP="001628AA">
      <w:pPr>
        <w:pStyle w:val="ListParagraph"/>
        <w:numPr>
          <w:ilvl w:val="0"/>
          <w:numId w:val="57"/>
        </w:numPr>
        <w:spacing w:before="80" w:beforeAutospacing="0" w:after="80" w:afterAutospacing="0"/>
        <w:contextualSpacing w:val="0"/>
      </w:pPr>
      <w:bookmarkStart w:id="128" w:name="_Hlk57473366"/>
      <w:r w:rsidRPr="00AD5D99">
        <w:t>Minor streams are generally located less than 2 km from current open</w:t>
      </w:r>
      <w:r w:rsidR="004C52BE">
        <w:t>-cut</w:t>
      </w:r>
      <w:r w:rsidRPr="00AD5D99">
        <w:t xml:space="preserve"> coal pits</w:t>
      </w:r>
      <w:r w:rsidRPr="00AD5D99">
        <w:tab/>
        <w:t xml:space="preserve">.  </w:t>
      </w:r>
    </w:p>
    <w:bookmarkEnd w:id="128"/>
    <w:p w14:paraId="0A016FD7" w14:textId="09595831" w:rsidR="00D8782E" w:rsidRDefault="007C3182" w:rsidP="001628AA">
      <w:pPr>
        <w:pStyle w:val="BodyText"/>
        <w:numPr>
          <w:ilvl w:val="0"/>
          <w:numId w:val="57"/>
        </w:numPr>
        <w:spacing w:before="80" w:after="80"/>
      </w:pPr>
      <w:r>
        <w:lastRenderedPageBreak/>
        <w:t>Each catchment (with the exception of Calliope River) hold</w:t>
      </w:r>
      <w:r w:rsidR="008E38BB">
        <w:t>s</w:t>
      </w:r>
      <w:r>
        <w:t xml:space="preserve"> at least one current open</w:t>
      </w:r>
      <w:r w:rsidR="004C52BE">
        <w:t>-cut</w:t>
      </w:r>
      <w:r>
        <w:t xml:space="preserve"> coal pit </w:t>
      </w:r>
      <w:r w:rsidR="009F680D">
        <w:t xml:space="preserve">indicated to intersect </w:t>
      </w:r>
      <w:r>
        <w:t xml:space="preserve">a </w:t>
      </w:r>
      <w:r w:rsidR="009F680D">
        <w:t>minor stream</w:t>
      </w:r>
      <w:r w:rsidR="008E38BB">
        <w:t>.</w:t>
      </w:r>
      <w:r>
        <w:t xml:space="preserve"> </w:t>
      </w:r>
      <w:bookmarkStart w:id="129" w:name="_Hlk57473395"/>
      <w:r>
        <w:t xml:space="preserve">In total, </w:t>
      </w:r>
      <w:r w:rsidR="008E38BB">
        <w:t>57 current open</w:t>
      </w:r>
      <w:r w:rsidR="004C52BE">
        <w:t>-cut</w:t>
      </w:r>
      <w:r w:rsidR="008E38BB">
        <w:t xml:space="preserve"> coal pits in Queensland are indicated to be intersected by</w:t>
      </w:r>
      <w:r>
        <w:t xml:space="preserve"> minor streams</w:t>
      </w:r>
      <w:r w:rsidR="00333E65">
        <w:t xml:space="preserve">; </w:t>
      </w:r>
      <w:r w:rsidR="00CC07C4">
        <w:t>42 of which are located in the Fitzroy Basin</w:t>
      </w:r>
      <w:r w:rsidR="00AD5D99">
        <w:t xml:space="preserve">, </w:t>
      </w:r>
      <w:r w:rsidR="00007A42">
        <w:t xml:space="preserve">with </w:t>
      </w:r>
      <w:r w:rsidR="00AD5D99">
        <w:t>19 located in the</w:t>
      </w:r>
      <w:r w:rsidR="00333E65">
        <w:t xml:space="preserve"> Isa</w:t>
      </w:r>
      <w:r w:rsidR="00AD5D99">
        <w:t>a</w:t>
      </w:r>
      <w:r w:rsidR="00333E65">
        <w:t>c</w:t>
      </w:r>
      <w:r w:rsidR="00AD5D99">
        <w:t xml:space="preserve"> River and 10 in the MacKenzie River catchments. </w:t>
      </w:r>
      <w:r w:rsidR="00CC07C4">
        <w:t>Minor s</w:t>
      </w:r>
      <w:r w:rsidR="008E38BB">
        <w:t>treams that intersect operational open</w:t>
      </w:r>
      <w:r w:rsidR="004C52BE">
        <w:t>-cut</w:t>
      </w:r>
      <w:r w:rsidR="008E38BB">
        <w:t xml:space="preserve"> cuts are expected to be diverted either temporarily or permanently.</w:t>
      </w:r>
      <w:bookmarkEnd w:id="129"/>
    </w:p>
    <w:p w14:paraId="7927A6C7" w14:textId="2F019545" w:rsidR="00B33F67" w:rsidRDefault="00DE43DC" w:rsidP="001628AA">
      <w:pPr>
        <w:pStyle w:val="BodyText"/>
        <w:numPr>
          <w:ilvl w:val="0"/>
          <w:numId w:val="57"/>
        </w:numPr>
        <w:spacing w:before="80" w:after="80"/>
      </w:pPr>
      <w:r>
        <w:t>The Condamine River (</w:t>
      </w:r>
      <w:r w:rsidRPr="00DE43DC">
        <w:t xml:space="preserve">Balonne-Condamine </w:t>
      </w:r>
      <w:r>
        <w:t>Basin) Bremer River (Brisbane Basin)</w:t>
      </w:r>
      <w:r w:rsidR="00AD5D99">
        <w:t xml:space="preserve"> </w:t>
      </w:r>
      <w:r>
        <w:t>Calliope River (Calliope Basin), Dawson River, Isaac River, MacKenzie River and Nogoa River (Fitzroy Basin) catchments, each contain one or multiple current open</w:t>
      </w:r>
      <w:r w:rsidR="004C52BE">
        <w:t>-cut</w:t>
      </w:r>
      <w:r>
        <w:t xml:space="preserve"> coal pits less than 100 m from a minor stream.</w:t>
      </w:r>
    </w:p>
    <w:p w14:paraId="2AB9B3CB" w14:textId="65EB66F3" w:rsidR="00D8782E" w:rsidRDefault="008E38BB" w:rsidP="00800F5A">
      <w:pPr>
        <w:pStyle w:val="BodyText"/>
      </w:pPr>
      <w:r>
        <w:t>The proximity of current open</w:t>
      </w:r>
      <w:r w:rsidR="004C52BE">
        <w:t>-cut</w:t>
      </w:r>
      <w:r>
        <w:t xml:space="preserve"> coal pits to </w:t>
      </w:r>
      <w:r w:rsidRPr="00007A42">
        <w:rPr>
          <w:i/>
          <w:iCs/>
        </w:rPr>
        <w:t>major streams</w:t>
      </w:r>
      <w:r>
        <w:t xml:space="preserve"> is characterised as follows (</w:t>
      </w:r>
      <w:r>
        <w:fldChar w:fldCharType="begin"/>
      </w:r>
      <w:r>
        <w:instrText xml:space="preserve"> REF _Ref57377962 \h </w:instrText>
      </w:r>
      <w:r>
        <w:fldChar w:fldCharType="separate"/>
      </w:r>
      <w:r w:rsidR="00937ADD">
        <w:t xml:space="preserve">Figure </w:t>
      </w:r>
      <w:r w:rsidR="00937ADD">
        <w:rPr>
          <w:noProof/>
        </w:rPr>
        <w:t>4</w:t>
      </w:r>
      <w:r w:rsidR="00937ADD">
        <w:noBreakHyphen/>
      </w:r>
      <w:r w:rsidR="00937ADD">
        <w:rPr>
          <w:noProof/>
        </w:rPr>
        <w:t>3</w:t>
      </w:r>
      <w:r>
        <w:fldChar w:fldCharType="end"/>
      </w:r>
      <w:r>
        <w:t>)</w:t>
      </w:r>
      <w:r w:rsidR="004C52BE">
        <w:t>.</w:t>
      </w:r>
    </w:p>
    <w:p w14:paraId="7BA066A5" w14:textId="44A18A93" w:rsidR="006500E6" w:rsidRDefault="005B66E0" w:rsidP="001628AA">
      <w:pPr>
        <w:pStyle w:val="BodyText"/>
        <w:numPr>
          <w:ilvl w:val="0"/>
          <w:numId w:val="58"/>
        </w:numPr>
        <w:spacing w:before="80" w:after="80"/>
      </w:pPr>
      <w:bookmarkStart w:id="130" w:name="_Hlk57473441"/>
      <w:r>
        <w:t>Current open</w:t>
      </w:r>
      <w:r w:rsidR="004C52BE">
        <w:t>-cut</w:t>
      </w:r>
      <w:r>
        <w:t xml:space="preserve"> coal pits are distributed across a range of distances from major streams, from intersection to</w:t>
      </w:r>
      <w:r w:rsidR="00885B1F">
        <w:t xml:space="preserve"> </w:t>
      </w:r>
      <w:r>
        <w:t>distance</w:t>
      </w:r>
      <w:r w:rsidR="00885B1F">
        <w:t>s</w:t>
      </w:r>
      <w:r>
        <w:t xml:space="preserve"> over 16 km. </w:t>
      </w:r>
    </w:p>
    <w:bookmarkEnd w:id="130"/>
    <w:p w14:paraId="7FF2FC84" w14:textId="3813AEB2" w:rsidR="00CC07C4" w:rsidRDefault="00CC07C4" w:rsidP="001628AA">
      <w:pPr>
        <w:pStyle w:val="BodyText"/>
        <w:numPr>
          <w:ilvl w:val="0"/>
          <w:numId w:val="58"/>
        </w:numPr>
        <w:spacing w:before="80" w:after="80"/>
      </w:pPr>
      <w:r>
        <w:t>Catchments that hold current open</w:t>
      </w:r>
      <w:r w:rsidR="004C52BE">
        <w:t>-cut</w:t>
      </w:r>
      <w:r>
        <w:t xml:space="preserve"> coal pits indicated to intersect a major stream include Isaac River (</w:t>
      </w:r>
      <w:r w:rsidR="00D31B21">
        <w:t>five</w:t>
      </w:r>
      <w:r>
        <w:t xml:space="preserve"> pits), MacKenzie River (</w:t>
      </w:r>
      <w:r w:rsidR="00D31B21">
        <w:t>two</w:t>
      </w:r>
      <w:r>
        <w:t xml:space="preserve"> pits) and Dawson River (</w:t>
      </w:r>
      <w:r w:rsidR="00D31B21">
        <w:t>one</w:t>
      </w:r>
      <w:r>
        <w:t xml:space="preserve"> pit) in the Fitzroy Basin and Suttor River (</w:t>
      </w:r>
      <w:r w:rsidR="00D31B21">
        <w:t>one</w:t>
      </w:r>
      <w:r>
        <w:t xml:space="preserve"> pit) in the Burdekin Basin.</w:t>
      </w:r>
      <w:r w:rsidRPr="00CC07C4">
        <w:t xml:space="preserve"> </w:t>
      </w:r>
      <w:r>
        <w:t>Major streams that intersect operational open</w:t>
      </w:r>
      <w:r w:rsidR="004C52BE">
        <w:t>-</w:t>
      </w:r>
      <w:r>
        <w:t>cuts are expected to be diverted either temporarily or permanently.</w:t>
      </w:r>
    </w:p>
    <w:p w14:paraId="68099130" w14:textId="0F8FE4DA" w:rsidR="00C828EE" w:rsidRDefault="00C828EE" w:rsidP="001628AA">
      <w:pPr>
        <w:pStyle w:val="BodyText"/>
        <w:numPr>
          <w:ilvl w:val="0"/>
          <w:numId w:val="58"/>
        </w:numPr>
        <w:spacing w:before="80" w:after="80"/>
      </w:pPr>
      <w:r>
        <w:t>The Isaac River and MacKenzie River catchments</w:t>
      </w:r>
      <w:r w:rsidR="005B66E0">
        <w:t>, of the Fitzroy Basin</w:t>
      </w:r>
      <w:r w:rsidR="00D31B21">
        <w:t>,</w:t>
      </w:r>
      <w:r w:rsidR="005B66E0">
        <w:t xml:space="preserve"> both have </w:t>
      </w:r>
      <w:r w:rsidR="00D31B21">
        <w:t>seven</w:t>
      </w:r>
      <w:r w:rsidR="00346A5E">
        <w:t xml:space="preserve"> </w:t>
      </w:r>
      <w:r w:rsidR="00346A5E" w:rsidRPr="00346A5E">
        <w:t>current open</w:t>
      </w:r>
      <w:r w:rsidR="004C52BE">
        <w:t>-cut</w:t>
      </w:r>
      <w:r w:rsidR="00346A5E" w:rsidRPr="00346A5E">
        <w:t xml:space="preserve"> coal pits</w:t>
      </w:r>
      <w:r w:rsidR="005B66E0">
        <w:t xml:space="preserve"> that are located less than 500 m from a major river. The Condamine River (Balonne Condamine Basin) and </w:t>
      </w:r>
      <w:r w:rsidR="00346A5E">
        <w:t xml:space="preserve">Suttor River (Burdekin Basin) both have </w:t>
      </w:r>
      <w:r w:rsidR="00D31B21">
        <w:t>two</w:t>
      </w:r>
      <w:r w:rsidR="00346A5E">
        <w:t xml:space="preserve"> current open</w:t>
      </w:r>
      <w:r w:rsidR="004C52BE">
        <w:t>-cut</w:t>
      </w:r>
      <w:r w:rsidR="00346A5E">
        <w:t xml:space="preserve"> coal pits located less than 500 m from a major river, while the Comet River and Nogoa River catchments (Fitzroy Basin) both have one.</w:t>
      </w:r>
    </w:p>
    <w:p w14:paraId="2E708488" w14:textId="70485006" w:rsidR="00346A5E" w:rsidRDefault="00346A5E" w:rsidP="001628AA">
      <w:pPr>
        <w:pStyle w:val="BodyText"/>
        <w:numPr>
          <w:ilvl w:val="0"/>
          <w:numId w:val="58"/>
        </w:numPr>
        <w:spacing w:before="80" w:after="80"/>
      </w:pPr>
      <w:r>
        <w:t>Current open</w:t>
      </w:r>
      <w:r w:rsidR="004C52BE">
        <w:t>-cut</w:t>
      </w:r>
      <w:r>
        <w:t xml:space="preserve"> coal pits within the Balonne River (</w:t>
      </w:r>
      <w:r w:rsidRPr="00346A5E">
        <w:t>Balonne-Condamine</w:t>
      </w:r>
      <w:r>
        <w:t xml:space="preserve"> Basin), </w:t>
      </w:r>
      <w:r w:rsidRPr="00346A5E">
        <w:t>Barker &amp; Barambah Creeks</w:t>
      </w:r>
      <w:r>
        <w:t xml:space="preserve"> (Burnett Basin), </w:t>
      </w:r>
      <w:r w:rsidRPr="00346A5E">
        <w:t>Calliope River</w:t>
      </w:r>
      <w:r>
        <w:t xml:space="preserve"> (Calliope Basin) catchments are all located at over 5 km from major streams.</w:t>
      </w:r>
    </w:p>
    <w:p w14:paraId="6755BE69" w14:textId="68850283" w:rsidR="00EC17F1" w:rsidRDefault="00EC17F1">
      <w:pPr>
        <w:rPr>
          <w:szCs w:val="22"/>
        </w:rPr>
      </w:pPr>
      <w:r>
        <w:br w:type="page"/>
      </w:r>
    </w:p>
    <w:p w14:paraId="3F46A4F2" w14:textId="066664AD" w:rsidR="00D8782E" w:rsidRDefault="00D8782E" w:rsidP="00D8782E">
      <w:pPr>
        <w:pStyle w:val="Caption"/>
      </w:pPr>
      <w:bookmarkStart w:id="131" w:name="_Ref57377960"/>
      <w:bookmarkStart w:id="132" w:name="_Toc65140605"/>
      <w:bookmarkStart w:id="133" w:name="_Hlk57377754"/>
      <w:r>
        <w:lastRenderedPageBreak/>
        <w:t xml:space="preserve">Figure </w:t>
      </w:r>
      <w:fldSimple w:instr=" STYLEREF 1 \s ">
        <w:r w:rsidR="00937ADD">
          <w:rPr>
            <w:noProof/>
          </w:rPr>
          <w:t>4</w:t>
        </w:r>
      </w:fldSimple>
      <w:r w:rsidR="002706A0">
        <w:noBreakHyphen/>
      </w:r>
      <w:fldSimple w:instr=" SEQ Figure \* ARABIC \s 1 ">
        <w:r w:rsidR="00937ADD">
          <w:rPr>
            <w:noProof/>
          </w:rPr>
          <w:t>2</w:t>
        </w:r>
      </w:fldSimple>
      <w:bookmarkEnd w:id="131"/>
      <w:r>
        <w:t xml:space="preserve"> Distance of current open</w:t>
      </w:r>
      <w:r w:rsidR="004C52BE">
        <w:t>-cut</w:t>
      </w:r>
      <w:r>
        <w:t xml:space="preserve"> coal pits from minor streams</w:t>
      </w:r>
      <w:bookmarkEnd w:id="132"/>
    </w:p>
    <w:p w14:paraId="4E64A981" w14:textId="05E166AA" w:rsidR="00D8782E" w:rsidRDefault="00333E65" w:rsidP="00D8782E">
      <w:pPr>
        <w:pStyle w:val="BodyText"/>
      </w:pPr>
      <w:r>
        <w:rPr>
          <w:noProof/>
        </w:rPr>
        <w:drawing>
          <wp:inline distT="0" distB="0" distL="0" distR="0" wp14:anchorId="3547D5A8" wp14:editId="0C4A6743">
            <wp:extent cx="5781600" cy="378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1600" cy="3780000"/>
                    </a:xfrm>
                    <a:prstGeom prst="rect">
                      <a:avLst/>
                    </a:prstGeom>
                    <a:noFill/>
                  </pic:spPr>
                </pic:pic>
              </a:graphicData>
            </a:graphic>
          </wp:inline>
        </w:drawing>
      </w:r>
    </w:p>
    <w:p w14:paraId="6D905A4B" w14:textId="7097521D" w:rsidR="00D8782E" w:rsidRDefault="00D8782E" w:rsidP="00D8782E">
      <w:pPr>
        <w:pStyle w:val="Caption"/>
      </w:pPr>
      <w:bookmarkStart w:id="134" w:name="_Ref57377962"/>
      <w:bookmarkStart w:id="135" w:name="_Toc65140606"/>
      <w:bookmarkEnd w:id="133"/>
      <w:r>
        <w:t xml:space="preserve">Figure </w:t>
      </w:r>
      <w:fldSimple w:instr=" STYLEREF 1 \s ">
        <w:r w:rsidR="00937ADD">
          <w:rPr>
            <w:noProof/>
          </w:rPr>
          <w:t>4</w:t>
        </w:r>
      </w:fldSimple>
      <w:r w:rsidR="002706A0">
        <w:noBreakHyphen/>
      </w:r>
      <w:fldSimple w:instr=" SEQ Figure \* ARABIC \s 1 ">
        <w:r w:rsidR="00937ADD">
          <w:rPr>
            <w:noProof/>
          </w:rPr>
          <w:t>3</w:t>
        </w:r>
      </w:fldSimple>
      <w:bookmarkEnd w:id="134"/>
      <w:r>
        <w:t xml:space="preserve"> Distance of current open</w:t>
      </w:r>
      <w:r w:rsidR="004C52BE">
        <w:t>-cut</w:t>
      </w:r>
      <w:r>
        <w:t xml:space="preserve"> coal pits from major streams</w:t>
      </w:r>
      <w:bookmarkEnd w:id="135"/>
    </w:p>
    <w:p w14:paraId="666F88E9" w14:textId="57F05BA1" w:rsidR="00346A5E" w:rsidRPr="00346A5E" w:rsidRDefault="00346A5E" w:rsidP="00346A5E">
      <w:pPr>
        <w:pStyle w:val="BodyText"/>
      </w:pPr>
      <w:r>
        <w:rPr>
          <w:noProof/>
        </w:rPr>
        <w:drawing>
          <wp:inline distT="0" distB="0" distL="0" distR="0" wp14:anchorId="75912B28" wp14:editId="3DDA1288">
            <wp:extent cx="5781600" cy="378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1600" cy="3780000"/>
                    </a:xfrm>
                    <a:prstGeom prst="rect">
                      <a:avLst/>
                    </a:prstGeom>
                    <a:noFill/>
                  </pic:spPr>
                </pic:pic>
              </a:graphicData>
            </a:graphic>
          </wp:inline>
        </w:drawing>
      </w:r>
    </w:p>
    <w:p w14:paraId="6CDA8E77" w14:textId="5D3FBF69" w:rsidR="00EC17F1" w:rsidRDefault="00EC17F1">
      <w:pPr>
        <w:rPr>
          <w:szCs w:val="22"/>
        </w:rPr>
      </w:pPr>
    </w:p>
    <w:p w14:paraId="205276A5" w14:textId="1FC10FC5" w:rsidR="00B21F30" w:rsidRDefault="00B21F30" w:rsidP="00D72260">
      <w:pPr>
        <w:pStyle w:val="Heading2"/>
      </w:pPr>
      <w:bookmarkStart w:id="136" w:name="_Ref57393172"/>
      <w:bookmarkStart w:id="137" w:name="_Toc87278337"/>
      <w:bookmarkStart w:id="138" w:name="_Ref57294558"/>
      <w:r>
        <w:lastRenderedPageBreak/>
        <w:t>Rehabilitation</w:t>
      </w:r>
      <w:bookmarkEnd w:id="136"/>
      <w:bookmarkEnd w:id="137"/>
    </w:p>
    <w:p w14:paraId="5C7745CD" w14:textId="26381500" w:rsidR="00BC377C" w:rsidRPr="00BC377C" w:rsidRDefault="00BC377C" w:rsidP="00BC377C">
      <w:pPr>
        <w:pStyle w:val="Heading3"/>
      </w:pPr>
      <w:bookmarkStart w:id="139" w:name="_Toc87278338"/>
      <w:r>
        <w:t>Rehabilitation management planning</w:t>
      </w:r>
      <w:bookmarkEnd w:id="139"/>
    </w:p>
    <w:p w14:paraId="63CCB10F" w14:textId="5BBA6A52" w:rsidR="009A7DC7" w:rsidRDefault="009A7DC7" w:rsidP="009A7DC7">
      <w:pPr>
        <w:pStyle w:val="BodyText"/>
      </w:pPr>
      <w:r>
        <w:t>The 71 EA records</w:t>
      </w:r>
      <w:r w:rsidRPr="009A7DC7">
        <w:t xml:space="preserve"> </w:t>
      </w:r>
      <w:r>
        <w:t>associated with coal mines with open</w:t>
      </w:r>
      <w:r w:rsidR="004C52BE">
        <w:t>-</w:t>
      </w:r>
      <w:r>
        <w:t>cuts were reviewed to assess which mines are conditioned to prepare a rehabilitation management plan</w:t>
      </w:r>
      <w:r w:rsidR="0017178B" w:rsidRPr="0017178B">
        <w:t xml:space="preserve"> </w:t>
      </w:r>
      <w:r w:rsidR="0017178B">
        <w:t>or implement a rehabilitation monitoring program</w:t>
      </w:r>
      <w:r w:rsidR="00A339A6">
        <w:t xml:space="preserve"> (where there is an existing prescribed rehabilitation strategy defined in the EA)</w:t>
      </w:r>
      <w:r>
        <w:t xml:space="preserve">. Of the 71 EA records reviewed, 39 mines are conditioned to prepare a rehabilitation management plan, </w:t>
      </w:r>
      <w:r w:rsidR="0017178B">
        <w:t xml:space="preserve">and 36 are conditioned to prepare a rehabilitation monitoring program, </w:t>
      </w:r>
      <w:r>
        <w:t xml:space="preserve">noting that </w:t>
      </w:r>
      <w:r w:rsidR="00D31B21">
        <w:t>one</w:t>
      </w:r>
      <w:r>
        <w:t xml:space="preserve"> EA record is currently in application. The remaining EA records have no specific condition requiring rehabilitation management plans</w:t>
      </w:r>
      <w:r w:rsidR="0017178B" w:rsidRPr="0017178B">
        <w:t xml:space="preserve"> </w:t>
      </w:r>
      <w:r w:rsidR="0017178B">
        <w:t>or monitoring programs to be developed, which were likely assessed as not having a residual risk that would require these plans to be put in place</w:t>
      </w:r>
      <w:r w:rsidR="00D31B21">
        <w:t xml:space="preserve"> (C. </w:t>
      </w:r>
      <w:r w:rsidR="0058060E">
        <w:t xml:space="preserve">Loveday, </w:t>
      </w:r>
      <w:r w:rsidR="0058060E">
        <w:rPr>
          <w:i/>
        </w:rPr>
        <w:t>pers. comm. 22</w:t>
      </w:r>
      <w:r w:rsidR="0058060E" w:rsidRPr="008C363B">
        <w:rPr>
          <w:i/>
          <w:vertAlign w:val="superscript"/>
        </w:rPr>
        <w:t>nd</w:t>
      </w:r>
      <w:r w:rsidR="0058060E">
        <w:rPr>
          <w:i/>
        </w:rPr>
        <w:t xml:space="preserve"> December 2020)</w:t>
      </w:r>
      <w:r>
        <w:t>.</w:t>
      </w:r>
      <w:r w:rsidR="00A339A6">
        <w:t xml:space="preserve"> In most cases this decision reflected a mine’s geomorphic location and proximity to critical receptors.</w:t>
      </w:r>
    </w:p>
    <w:p w14:paraId="380F86A6" w14:textId="72B4A446" w:rsidR="009A7DC7" w:rsidRDefault="0017178B">
      <w:pPr>
        <w:pStyle w:val="BodyText"/>
      </w:pPr>
      <w:r>
        <w:t>A r</w:t>
      </w:r>
      <w:r w:rsidR="009A7DC7">
        <w:t xml:space="preserve">eview of EA records </w:t>
      </w:r>
      <w:r>
        <w:t>is</w:t>
      </w:r>
      <w:r w:rsidR="009A7DC7">
        <w:t xml:space="preserve"> the most reliable source of publicly available information to understand which mines are required to prepare</w:t>
      </w:r>
      <w:r>
        <w:t xml:space="preserve"> these plans</w:t>
      </w:r>
      <w:r w:rsidR="009A7DC7">
        <w:t xml:space="preserve">. </w:t>
      </w:r>
      <w:r w:rsidRPr="0017178B">
        <w:t>However, the EA may not provide detail on how the mine intends to approach mine rehabilitation or monitoring. Additionally, where plans are available, these may not include detail on final void rehabilitation, as post-mining land use for these areas may not have been allocated and therefore no rehabilitation or monitoring planned</w:t>
      </w:r>
      <w:r>
        <w:t xml:space="preserve">. </w:t>
      </w:r>
    </w:p>
    <w:p w14:paraId="56E22501" w14:textId="5A29F2FD" w:rsidR="009A7DC7" w:rsidRDefault="009A7DC7" w:rsidP="009A7DC7">
      <w:pPr>
        <w:pStyle w:val="BodyText"/>
      </w:pPr>
      <w:r>
        <w:t xml:space="preserve">The case study analysis of four selected coal mine sites (Section </w:t>
      </w:r>
      <w:r>
        <w:fldChar w:fldCharType="begin"/>
      </w:r>
      <w:r>
        <w:instrText xml:space="preserve"> REF _Ref56587130 \n \h </w:instrText>
      </w:r>
      <w:r>
        <w:fldChar w:fldCharType="separate"/>
      </w:r>
      <w:r w:rsidR="00937ADD">
        <w:t>5</w:t>
      </w:r>
      <w:r>
        <w:fldChar w:fldCharType="end"/>
      </w:r>
      <w:r>
        <w:t>), for which rehabilitation management plans have been provided by DES</w:t>
      </w:r>
      <w:r w:rsidR="0017178B">
        <w:t xml:space="preserve"> (where available)</w:t>
      </w:r>
      <w:r>
        <w:t>, assist</w:t>
      </w:r>
      <w:r w:rsidR="00771D9F">
        <w:t>ed</w:t>
      </w:r>
      <w:r>
        <w:t xml:space="preserve"> in understanding how these mines are approaching rehabilitation planning.</w:t>
      </w:r>
    </w:p>
    <w:p w14:paraId="46CCC22D" w14:textId="5B960108" w:rsidR="00BC377C" w:rsidRDefault="00BC377C" w:rsidP="00BC377C">
      <w:pPr>
        <w:pStyle w:val="Heading3"/>
      </w:pPr>
      <w:bookmarkStart w:id="140" w:name="_Toc87278339"/>
      <w:r>
        <w:t>Rehabilitation examples</w:t>
      </w:r>
      <w:bookmarkEnd w:id="140"/>
    </w:p>
    <w:p w14:paraId="17AD9219" w14:textId="198DAD93" w:rsidR="00DE5790" w:rsidRDefault="00DE5790" w:rsidP="0000608F">
      <w:pPr>
        <w:pStyle w:val="BodyText"/>
      </w:pPr>
      <w:r w:rsidRPr="00DE5790">
        <w:t xml:space="preserve">There </w:t>
      </w:r>
      <w:r w:rsidR="0058060E">
        <w:t>are</w:t>
      </w:r>
      <w:r w:rsidRPr="00DE5790">
        <w:t xml:space="preserve"> minimal data on successful rehabilitation of open</w:t>
      </w:r>
      <w:r w:rsidR="004C52BE">
        <w:t>-cut</w:t>
      </w:r>
      <w:r w:rsidRPr="00DE5790">
        <w:t xml:space="preserve"> coal mine voids in Queensland to date. This is due to most open</w:t>
      </w:r>
      <w:r w:rsidR="004C52BE">
        <w:t>-</w:t>
      </w:r>
      <w:r w:rsidRPr="00DE5790">
        <w:t xml:space="preserve">cut mines still being operational and </w:t>
      </w:r>
      <w:r w:rsidR="0058060E">
        <w:t>rehabilitation</w:t>
      </w:r>
      <w:r w:rsidR="0058060E" w:rsidRPr="00DE5790">
        <w:t xml:space="preserve"> </w:t>
      </w:r>
      <w:r w:rsidRPr="00DE5790">
        <w:t>works have not yet been carried out, or mine voids were abandoned prior to the amendment of Queensland laws requiring rehabilitation.</w:t>
      </w:r>
    </w:p>
    <w:p w14:paraId="664BDE67" w14:textId="4C2A2F4C" w:rsidR="0000608F" w:rsidRDefault="0000608F" w:rsidP="0000608F">
      <w:pPr>
        <w:pStyle w:val="BodyText"/>
      </w:pPr>
      <w:r>
        <w:t xml:space="preserve">Many operational mines across Queensland </w:t>
      </w:r>
      <w:r w:rsidR="0058060E">
        <w:t xml:space="preserve">do </w:t>
      </w:r>
      <w:r>
        <w:t xml:space="preserve">conduct progressive rehabilitation </w:t>
      </w:r>
      <w:r w:rsidR="0058060E">
        <w:t xml:space="preserve">and </w:t>
      </w:r>
      <w:r>
        <w:t xml:space="preserve">several of </w:t>
      </w:r>
      <w:r w:rsidR="0058060E">
        <w:t xml:space="preserve">these </w:t>
      </w:r>
      <w:r>
        <w:t>have successfully rehabilitated and relinquished areas. These include:</w:t>
      </w:r>
    </w:p>
    <w:p w14:paraId="7C331B67" w14:textId="6CA3754F" w:rsidR="00B27638" w:rsidRDefault="0000608F" w:rsidP="001628AA">
      <w:pPr>
        <w:pStyle w:val="BodyText"/>
        <w:numPr>
          <w:ilvl w:val="0"/>
          <w:numId w:val="54"/>
        </w:numPr>
        <w:spacing w:before="80" w:after="80"/>
      </w:pPr>
      <w:r>
        <w:t>Newlands Mine (Glencore): 73 ha certified in 2017</w:t>
      </w:r>
      <w:r w:rsidR="004C52BE">
        <w:t>;</w:t>
      </w:r>
    </w:p>
    <w:p w14:paraId="284624B2" w14:textId="55D85B1F" w:rsidR="00B27638" w:rsidRDefault="0000608F" w:rsidP="001628AA">
      <w:pPr>
        <w:pStyle w:val="BodyText"/>
        <w:numPr>
          <w:ilvl w:val="0"/>
          <w:numId w:val="54"/>
        </w:numPr>
        <w:spacing w:before="80" w:after="80"/>
      </w:pPr>
      <w:r>
        <w:t>Rolleston (Glencore): 220.6 ha certified in 2018 and 166 ha in 2019</w:t>
      </w:r>
      <w:r w:rsidR="004C52BE">
        <w:t>;</w:t>
      </w:r>
      <w:r>
        <w:t xml:space="preserve"> </w:t>
      </w:r>
    </w:p>
    <w:p w14:paraId="19B4A65E" w14:textId="682CA52D" w:rsidR="00B27638" w:rsidRDefault="0000608F" w:rsidP="001628AA">
      <w:pPr>
        <w:pStyle w:val="BodyText"/>
        <w:numPr>
          <w:ilvl w:val="0"/>
          <w:numId w:val="54"/>
        </w:numPr>
        <w:spacing w:before="80" w:after="80"/>
      </w:pPr>
      <w:r>
        <w:t>Collinsville (Glencore): 99.5 ha certified in 2020</w:t>
      </w:r>
      <w:r w:rsidR="004C52BE">
        <w:t>;</w:t>
      </w:r>
    </w:p>
    <w:p w14:paraId="6EF91FA9" w14:textId="13C9A54A" w:rsidR="00B27638" w:rsidRDefault="0000608F" w:rsidP="001628AA">
      <w:pPr>
        <w:pStyle w:val="BodyText"/>
        <w:numPr>
          <w:ilvl w:val="0"/>
          <w:numId w:val="54"/>
        </w:numPr>
        <w:spacing w:before="80" w:after="80"/>
      </w:pPr>
      <w:r>
        <w:t>Wilkie Creek (Peabody): 86.67 ha certified in 2019</w:t>
      </w:r>
      <w:r w:rsidR="004C52BE">
        <w:t>;</w:t>
      </w:r>
    </w:p>
    <w:p w14:paraId="0BF8D36B" w14:textId="39D6B79D" w:rsidR="00B27638" w:rsidRDefault="0000608F" w:rsidP="001628AA">
      <w:pPr>
        <w:pStyle w:val="BodyText"/>
        <w:numPr>
          <w:ilvl w:val="0"/>
          <w:numId w:val="54"/>
        </w:numPr>
        <w:spacing w:before="80" w:after="80"/>
      </w:pPr>
      <w:r>
        <w:t>New Acland (New Hope Group): 349 ha certified in 2018</w:t>
      </w:r>
      <w:r w:rsidR="004C52BE">
        <w:t>;</w:t>
      </w:r>
    </w:p>
    <w:p w14:paraId="1010B176" w14:textId="7D4ED08E" w:rsidR="00B27638" w:rsidRDefault="0000608F" w:rsidP="001628AA">
      <w:pPr>
        <w:pStyle w:val="BodyText"/>
        <w:numPr>
          <w:ilvl w:val="0"/>
          <w:numId w:val="54"/>
        </w:numPr>
        <w:spacing w:before="80" w:after="80"/>
      </w:pPr>
      <w:r>
        <w:t>Gregory Crinum (BMA): 1,176 ha certified in 2018</w:t>
      </w:r>
      <w:r w:rsidR="004C52BE">
        <w:t>; and</w:t>
      </w:r>
    </w:p>
    <w:p w14:paraId="3DFFE446" w14:textId="76EB51FF" w:rsidR="0000608F" w:rsidRDefault="0000608F" w:rsidP="001628AA">
      <w:pPr>
        <w:pStyle w:val="BodyText"/>
        <w:numPr>
          <w:ilvl w:val="0"/>
          <w:numId w:val="54"/>
        </w:numPr>
        <w:spacing w:before="80" w:after="80"/>
      </w:pPr>
      <w:r>
        <w:t>Norwich Park (BMA): 294 ha certified in 2019</w:t>
      </w:r>
      <w:r w:rsidR="001628AA">
        <w:t>.</w:t>
      </w:r>
    </w:p>
    <w:p w14:paraId="1CE5317D" w14:textId="53A3E593" w:rsidR="0000608F" w:rsidRDefault="0000608F" w:rsidP="0000608F">
      <w:pPr>
        <w:pStyle w:val="BodyText"/>
      </w:pPr>
      <w:r>
        <w:t xml:space="preserve">Whilst this shows successful rehabilitation at these mines, these areas </w:t>
      </w:r>
      <w:r w:rsidR="00981CD4">
        <w:t>do not include rehabilitated voids</w:t>
      </w:r>
      <w:r>
        <w:t>, with many of these examples returning disturbed mining areas to grazing pasture.</w:t>
      </w:r>
    </w:p>
    <w:p w14:paraId="093635F3" w14:textId="77777777" w:rsidR="00294341" w:rsidRDefault="006973AC" w:rsidP="006973AC">
      <w:pPr>
        <w:pStyle w:val="BodyText"/>
      </w:pPr>
      <w:r>
        <w:t>Whilst there is a lack of data from void rehabilitation examples to identify rehabilitation themes, other available literature such as published peer reviewed journal</w:t>
      </w:r>
      <w:r w:rsidR="00294341">
        <w:t xml:space="preserve"> article</w:t>
      </w:r>
      <w:r>
        <w:t>s, conference proceedings</w:t>
      </w:r>
      <w:r w:rsidR="00D7462C">
        <w:t xml:space="preserve"> and</w:t>
      </w:r>
      <w:r>
        <w:t xml:space="preserve"> Australian Coal Industry Research Program (ACARP) reports are available (ELA, 2019). </w:t>
      </w:r>
    </w:p>
    <w:p w14:paraId="1992D63E" w14:textId="675D814C" w:rsidR="00FE638B" w:rsidRDefault="00FE638B" w:rsidP="006973AC">
      <w:pPr>
        <w:pStyle w:val="BodyText"/>
      </w:pPr>
      <w:r>
        <w:t>With particular reference to ACARP, several relevant examples include:</w:t>
      </w:r>
    </w:p>
    <w:p w14:paraId="17A20141" w14:textId="51AB1A55" w:rsidR="00775F20" w:rsidRDefault="00775F20" w:rsidP="00FE638B">
      <w:pPr>
        <w:pStyle w:val="BodyText"/>
        <w:numPr>
          <w:ilvl w:val="0"/>
          <w:numId w:val="91"/>
        </w:numPr>
      </w:pPr>
      <w:r w:rsidRPr="00FE638B">
        <w:t xml:space="preserve">ACARP (2001) </w:t>
      </w:r>
      <w:r>
        <w:t xml:space="preserve">– Project number C7007, </w:t>
      </w:r>
      <w:r w:rsidRPr="00FE638B">
        <w:t xml:space="preserve">Water quality and discharge prediction </w:t>
      </w:r>
      <w:r>
        <w:t>for</w:t>
      </w:r>
      <w:r w:rsidRPr="00FE638B">
        <w:t xml:space="preserve"> final void and spoil catchments</w:t>
      </w:r>
      <w:r w:rsidR="004C52BE">
        <w:t>;</w:t>
      </w:r>
    </w:p>
    <w:p w14:paraId="2BEA3F28" w14:textId="2C1E183B" w:rsidR="00775F20" w:rsidRDefault="00775F20" w:rsidP="00775F20">
      <w:pPr>
        <w:pStyle w:val="BodyText"/>
        <w:numPr>
          <w:ilvl w:val="0"/>
          <w:numId w:val="91"/>
        </w:numPr>
      </w:pPr>
      <w:r w:rsidRPr="00FE638B">
        <w:t xml:space="preserve">ACARP (2007) </w:t>
      </w:r>
      <w:r>
        <w:t>– Project number C11503, Centre for s</w:t>
      </w:r>
      <w:r w:rsidRPr="00FE638B">
        <w:t>ustainable mine lakes</w:t>
      </w:r>
      <w:r w:rsidR="004C52BE">
        <w:t>; and</w:t>
      </w:r>
      <w:r w:rsidRPr="00FE638B">
        <w:t xml:space="preserve"> </w:t>
      </w:r>
    </w:p>
    <w:p w14:paraId="0E414D08" w14:textId="78B9B813" w:rsidR="00FE638B" w:rsidRDefault="00FE638B" w:rsidP="003965CB">
      <w:pPr>
        <w:pStyle w:val="BodyText"/>
        <w:numPr>
          <w:ilvl w:val="0"/>
          <w:numId w:val="91"/>
        </w:numPr>
      </w:pPr>
      <w:r>
        <w:lastRenderedPageBreak/>
        <w:t>A</w:t>
      </w:r>
      <w:r w:rsidRPr="00FE638B">
        <w:t xml:space="preserve">CARP (2014) </w:t>
      </w:r>
      <w:r>
        <w:t xml:space="preserve">– Project number C21038, </w:t>
      </w:r>
      <w:r w:rsidRPr="00FE638B">
        <w:t xml:space="preserve">Enhancing ecological values of coal pit lakes with simple nutrient additions and bankside vegetation. </w:t>
      </w:r>
    </w:p>
    <w:p w14:paraId="17030771" w14:textId="1E967CE0" w:rsidR="006973AC" w:rsidRDefault="006973AC" w:rsidP="003965CB">
      <w:pPr>
        <w:pStyle w:val="BodyText"/>
      </w:pPr>
      <w:r>
        <w:t xml:space="preserve">These sources are likely to provide the best current information available to identify a suitable approach to void rehabilitation to inform future guidelines.  </w:t>
      </w:r>
    </w:p>
    <w:p w14:paraId="6A4132D8" w14:textId="77777777" w:rsidR="006973AC" w:rsidRDefault="006973AC" w:rsidP="006973AC">
      <w:pPr>
        <w:pStyle w:val="BodyText"/>
      </w:pPr>
      <w:r>
        <w:t>The approach to void rehabilitation and potential post-mining land use is complex and dependent on several variables (ELA, 2019) including:</w:t>
      </w:r>
    </w:p>
    <w:p w14:paraId="62487C88" w14:textId="6A10DCB5" w:rsidR="006973AC" w:rsidRDefault="004C52BE" w:rsidP="006973AC">
      <w:pPr>
        <w:pStyle w:val="BodyText"/>
        <w:numPr>
          <w:ilvl w:val="0"/>
          <w:numId w:val="56"/>
        </w:numPr>
        <w:spacing w:before="80" w:after="80"/>
      </w:pPr>
      <w:r>
        <w:t>f</w:t>
      </w:r>
      <w:r w:rsidR="006973AC">
        <w:t>inal void type and reshaping of land, its stability and accessibility</w:t>
      </w:r>
      <w:r>
        <w:t>; and</w:t>
      </w:r>
      <w:r w:rsidR="006973AC">
        <w:t xml:space="preserve"> </w:t>
      </w:r>
    </w:p>
    <w:p w14:paraId="11DE551C" w14:textId="23F0012B" w:rsidR="006973AC" w:rsidRDefault="004C52BE" w:rsidP="006973AC">
      <w:pPr>
        <w:pStyle w:val="BodyText"/>
        <w:numPr>
          <w:ilvl w:val="0"/>
          <w:numId w:val="56"/>
        </w:numPr>
        <w:spacing w:before="80" w:after="80"/>
      </w:pPr>
      <w:r>
        <w:t>w</w:t>
      </w:r>
      <w:r w:rsidR="006973AC">
        <w:t xml:space="preserve">hether voids remain as mined with steep highwalls, have some reshaping of walls to improve access or </w:t>
      </w:r>
      <w:r w:rsidR="00294341">
        <w:t xml:space="preserve">are </w:t>
      </w:r>
      <w:r w:rsidR="006973AC">
        <w:t>complete</w:t>
      </w:r>
      <w:r w:rsidR="00294341">
        <w:t>ly</w:t>
      </w:r>
      <w:r w:rsidR="006973AC">
        <w:t xml:space="preserve"> backfill</w:t>
      </w:r>
      <w:r w:rsidR="00294341">
        <w:t>ed</w:t>
      </w:r>
      <w:r w:rsidR="006973AC">
        <w:t xml:space="preserve">. </w:t>
      </w:r>
    </w:p>
    <w:p w14:paraId="3435706B" w14:textId="77777777" w:rsidR="006973AC" w:rsidRDefault="006973AC" w:rsidP="006973AC">
      <w:pPr>
        <w:pStyle w:val="BodyText"/>
      </w:pPr>
      <w:r>
        <w:t>Other ecological aspects also need to be considered, such as connectivity and ability for the void to be recolonised by native fauna/aquatic species, the water quality of the final void and its suitability to support fauna or grazing animals, the slope stability and design to allow safe access for fauna/grazing animals. A detailed assessment of these aspects on a case-by-case basis is required to determine the most appropriate approach to successful final void rehabilitation.</w:t>
      </w:r>
    </w:p>
    <w:p w14:paraId="6AEA2F4D" w14:textId="4D8740E4" w:rsidR="006973AC" w:rsidRDefault="006973AC" w:rsidP="008C363B">
      <w:pPr>
        <w:pStyle w:val="Heading4"/>
      </w:pPr>
      <w:r>
        <w:t>Dawson Mine</w:t>
      </w:r>
    </w:p>
    <w:p w14:paraId="1FA85D02" w14:textId="06F9FB85" w:rsidR="0000608F" w:rsidRDefault="0000608F" w:rsidP="00294341">
      <w:pPr>
        <w:pStyle w:val="BodyText"/>
      </w:pPr>
      <w:r>
        <w:t xml:space="preserve">Dawson Mine </w:t>
      </w:r>
      <w:r w:rsidR="00B27638">
        <w:t>operated</w:t>
      </w:r>
      <w:r>
        <w:t xml:space="preserve"> by Anglo-America</w:t>
      </w:r>
      <w:r w:rsidR="00175C09">
        <w:t>n Australia</w:t>
      </w:r>
      <w:r>
        <w:t xml:space="preserve"> near Moura is one example of void high wall rehabilitation. Whilst this area has not been certified, available information indicates rehabilitation is progressing well (Anglo-American</w:t>
      </w:r>
      <w:r w:rsidR="00B27638">
        <w:t>,</w:t>
      </w:r>
      <w:r>
        <w:t xml:space="preserve"> 2019). A case study on rehabilitation at the mine </w:t>
      </w:r>
      <w:r w:rsidR="00B27638">
        <w:t>indicated</w:t>
      </w:r>
      <w:r>
        <w:t xml:space="preserve"> that Anglo-America</w:t>
      </w:r>
      <w:r w:rsidR="004C52BE">
        <w:t>n</w:t>
      </w:r>
      <w:r>
        <w:t xml:space="preserve"> pioneered the use of blasting techniques to reshape the highwall into final landform position in 2013. This involved</w:t>
      </w:r>
      <w:r w:rsidR="004C52BE">
        <w:t xml:space="preserve"> the following activities.</w:t>
      </w:r>
    </w:p>
    <w:p w14:paraId="6BB96C7B" w14:textId="77777777" w:rsidR="00B27638" w:rsidRDefault="0000608F" w:rsidP="001628AA">
      <w:pPr>
        <w:pStyle w:val="BodyText"/>
        <w:numPr>
          <w:ilvl w:val="0"/>
          <w:numId w:val="55"/>
        </w:numPr>
        <w:spacing w:before="80" w:after="80"/>
      </w:pPr>
      <w:r>
        <w:t>Pre- and post-blast surveys to understand how much reshaping material was required</w:t>
      </w:r>
      <w:r w:rsidR="00B27638">
        <w:t>.</w:t>
      </w:r>
    </w:p>
    <w:p w14:paraId="379DDF7A" w14:textId="77777777" w:rsidR="00B27638" w:rsidRDefault="0000608F" w:rsidP="001628AA">
      <w:pPr>
        <w:pStyle w:val="BodyText"/>
        <w:numPr>
          <w:ilvl w:val="0"/>
          <w:numId w:val="55"/>
        </w:numPr>
        <w:spacing w:before="80" w:after="80"/>
      </w:pPr>
      <w:r>
        <w:t>Four blasts were required to complete the project</w:t>
      </w:r>
      <w:r w:rsidR="00B27638">
        <w:t>.</w:t>
      </w:r>
    </w:p>
    <w:p w14:paraId="17D79A19" w14:textId="77777777" w:rsidR="00B27638" w:rsidRDefault="0000608F" w:rsidP="001628AA">
      <w:pPr>
        <w:pStyle w:val="BodyText"/>
        <w:numPr>
          <w:ilvl w:val="0"/>
          <w:numId w:val="55"/>
        </w:numPr>
        <w:spacing w:before="80" w:after="80"/>
      </w:pPr>
      <w:r>
        <w:t>The area was reshaped and seeded with a grazing mix of native and introduced species</w:t>
      </w:r>
      <w:r w:rsidR="00B27638">
        <w:t>.</w:t>
      </w:r>
    </w:p>
    <w:p w14:paraId="300BAB0C" w14:textId="77777777" w:rsidR="00B27638" w:rsidRDefault="0000608F" w:rsidP="001628AA">
      <w:pPr>
        <w:pStyle w:val="BodyText"/>
        <w:numPr>
          <w:ilvl w:val="0"/>
          <w:numId w:val="55"/>
        </w:numPr>
        <w:spacing w:before="80" w:after="80"/>
      </w:pPr>
      <w:r>
        <w:t>The area was treated with five tonnes of Gypsum in 2017 and re-seeded</w:t>
      </w:r>
      <w:r w:rsidR="00B27638">
        <w:t>.</w:t>
      </w:r>
    </w:p>
    <w:p w14:paraId="170FC987" w14:textId="77777777" w:rsidR="00B27638" w:rsidRDefault="0000608F" w:rsidP="001628AA">
      <w:pPr>
        <w:pStyle w:val="BodyText"/>
        <w:numPr>
          <w:ilvl w:val="0"/>
          <w:numId w:val="55"/>
        </w:numPr>
        <w:spacing w:before="80" w:after="80"/>
      </w:pPr>
      <w:r>
        <w:t>Rehabilitation monitoring is currently being undertaken every three years</w:t>
      </w:r>
      <w:r w:rsidR="00B27638">
        <w:t>.</w:t>
      </w:r>
    </w:p>
    <w:p w14:paraId="76AC15AE" w14:textId="39C609DC" w:rsidR="0000608F" w:rsidRDefault="00294341" w:rsidP="008670A9">
      <w:pPr>
        <w:pStyle w:val="BodyText"/>
      </w:pPr>
      <w:r>
        <w:t>T</w:t>
      </w:r>
      <w:r w:rsidR="0000608F">
        <w:t>he area is expected to be ready for grazing between 2023 and 2024</w:t>
      </w:r>
      <w:r w:rsidR="00B27638">
        <w:t>.</w:t>
      </w:r>
    </w:p>
    <w:p w14:paraId="45FFAB9A" w14:textId="7708ADFD" w:rsidR="00D72260" w:rsidRDefault="004A5D70" w:rsidP="00D72260">
      <w:pPr>
        <w:pStyle w:val="Heading2"/>
      </w:pPr>
      <w:bookmarkStart w:id="141" w:name="_Ref57393194"/>
      <w:bookmarkStart w:id="142" w:name="_Ref57447390"/>
      <w:bookmarkStart w:id="143" w:name="_Ref59024739"/>
      <w:bookmarkStart w:id="144" w:name="_Toc87278340"/>
      <w:r>
        <w:t>Preliminary c</w:t>
      </w:r>
      <w:r w:rsidR="00D72260">
        <w:t xml:space="preserve">haracterisation of </w:t>
      </w:r>
      <w:bookmarkEnd w:id="138"/>
      <w:bookmarkEnd w:id="141"/>
      <w:bookmarkEnd w:id="142"/>
      <w:r w:rsidR="004E2277">
        <w:t>vulnerability</w:t>
      </w:r>
      <w:bookmarkEnd w:id="143"/>
      <w:bookmarkEnd w:id="144"/>
    </w:p>
    <w:p w14:paraId="0A5C50AD" w14:textId="2A3B7014" w:rsidR="008D4266" w:rsidRDefault="008D4266" w:rsidP="008D4266">
      <w:pPr>
        <w:pStyle w:val="BodyText"/>
      </w:pPr>
      <w:r>
        <w:t>In total, 128 current open</w:t>
      </w:r>
      <w:r w:rsidR="004C52BE">
        <w:t>-cut</w:t>
      </w:r>
      <w:r>
        <w:t xml:space="preserve"> coal pits (occupying an area of </w:t>
      </w:r>
      <w:r w:rsidR="004E788E" w:rsidRPr="00E734F4">
        <w:t xml:space="preserve">approximately </w:t>
      </w:r>
      <w:r w:rsidR="003A7B54" w:rsidRPr="00E734F4">
        <w:t>100,892</w:t>
      </w:r>
      <w:r w:rsidRPr="00E734F4">
        <w:t xml:space="preserve"> ha) were</w:t>
      </w:r>
      <w:r>
        <w:t xml:space="preserve"> digitised across Queensland as part of the scoping study. Most of the open</w:t>
      </w:r>
      <w:r w:rsidR="004C52BE">
        <w:t>-cut</w:t>
      </w:r>
      <w:r>
        <w:t xml:space="preserve"> coal pits (95%) are situated in the </w:t>
      </w:r>
      <w:r w:rsidR="00C86409">
        <w:t>Permo-Triassic</w:t>
      </w:r>
      <w:r>
        <w:t xml:space="preserve"> Bowen Basin, in the north-east part of the State, within the North East Coast drainage division. A large proportion of the pits (94 in total) are located in the Fitzroy </w:t>
      </w:r>
      <w:r w:rsidR="00BA0B9D">
        <w:t xml:space="preserve">(drainage) </w:t>
      </w:r>
      <w:r>
        <w:t>Basin, with the Isaac River and MacKenzie River catchments holding 39 and 23 pits respectively</w:t>
      </w:r>
      <w:r w:rsidR="00BA0B9D">
        <w:t xml:space="preserve"> (Section </w:t>
      </w:r>
      <w:r w:rsidR="00BA0B9D">
        <w:fldChar w:fldCharType="begin"/>
      </w:r>
      <w:r w:rsidR="00BA0B9D">
        <w:instrText xml:space="preserve"> REF _Ref57294449 \n \h </w:instrText>
      </w:r>
      <w:r w:rsidR="00BA0B9D">
        <w:fldChar w:fldCharType="separate"/>
      </w:r>
      <w:r w:rsidR="00937ADD">
        <w:t>4.3</w:t>
      </w:r>
      <w:r w:rsidR="00BA0B9D">
        <w:fldChar w:fldCharType="end"/>
      </w:r>
      <w:r w:rsidR="00BA0B9D">
        <w:t>)</w:t>
      </w:r>
      <w:r>
        <w:t>.</w:t>
      </w:r>
    </w:p>
    <w:p w14:paraId="373156EC" w14:textId="614A462C" w:rsidR="003F2B44" w:rsidRPr="002464D4" w:rsidRDefault="003F2B44" w:rsidP="008D4266">
      <w:pPr>
        <w:pStyle w:val="BodyText"/>
      </w:pPr>
      <w:r>
        <w:t>The hi</w:t>
      </w:r>
      <w:r w:rsidR="008D4266">
        <w:t xml:space="preserve">gh evaporation rates in Queensland, </w:t>
      </w:r>
      <w:r w:rsidR="00D7462C">
        <w:t xml:space="preserve">specifically </w:t>
      </w:r>
      <w:r w:rsidR="008D4266">
        <w:t xml:space="preserve">relative to rainfall, are such that with design features that minimise surface run-off into the void (e.g. land contouring and drainage diversions), most </w:t>
      </w:r>
      <w:r w:rsidR="008D4266" w:rsidRPr="003F2B44">
        <w:t xml:space="preserve">large residual voids are likely to equilibrate to </w:t>
      </w:r>
      <w:r w:rsidR="008D4266" w:rsidRPr="003F2B44">
        <w:rPr>
          <w:i/>
          <w:iCs/>
        </w:rPr>
        <w:t>terminal sink flow regimes</w:t>
      </w:r>
      <w:r w:rsidR="008D4266" w:rsidRPr="003F2B44">
        <w:t xml:space="preserve"> with water qualities that exhibit </w:t>
      </w:r>
      <w:r w:rsidR="008D4266" w:rsidRPr="002464D4">
        <w:t xml:space="preserve">increasing salt (and possibly acidity and metal) concentrations over time (Section </w:t>
      </w:r>
      <w:r w:rsidR="008D4266" w:rsidRPr="002464D4">
        <w:fldChar w:fldCharType="begin"/>
      </w:r>
      <w:r w:rsidR="008D4266" w:rsidRPr="002464D4">
        <w:instrText xml:space="preserve"> REF _Ref55982230 \n \h </w:instrText>
      </w:r>
      <w:r w:rsidRPr="002464D4">
        <w:instrText xml:space="preserve"> \* MERGEFORMAT </w:instrText>
      </w:r>
      <w:r w:rsidR="008D4266" w:rsidRPr="002464D4">
        <w:fldChar w:fldCharType="separate"/>
      </w:r>
      <w:r w:rsidR="00937ADD">
        <w:t>3.2.1</w:t>
      </w:r>
      <w:r w:rsidR="008D4266" w:rsidRPr="002464D4">
        <w:fldChar w:fldCharType="end"/>
      </w:r>
      <w:r w:rsidR="008D4266" w:rsidRPr="002464D4">
        <w:t xml:space="preserve">). </w:t>
      </w:r>
    </w:p>
    <w:p w14:paraId="0F175B38" w14:textId="405E4086" w:rsidR="003F2B44" w:rsidRPr="002464D4" w:rsidRDefault="00404C59" w:rsidP="008D4266">
      <w:pPr>
        <w:pStyle w:val="BodyText"/>
      </w:pPr>
      <w:r>
        <w:t>Importantly, a</w:t>
      </w:r>
      <w:r w:rsidR="002464D4" w:rsidRPr="002464D4">
        <w:t xml:space="preserve"> </w:t>
      </w:r>
      <w:r w:rsidR="003F2B44" w:rsidRPr="002464D4">
        <w:t xml:space="preserve">range of variables may affect the flow regime of </w:t>
      </w:r>
      <w:r w:rsidR="002464D4" w:rsidRPr="002464D4">
        <w:t xml:space="preserve">a </w:t>
      </w:r>
      <w:r w:rsidR="003F2B44" w:rsidRPr="002464D4">
        <w:t>residual void over time and its associated risks</w:t>
      </w:r>
      <w:r w:rsidR="002464D4" w:rsidRPr="002464D4">
        <w:t xml:space="preserve"> to the receiving environment. Such variables will require consideration on a site-by-site basis</w:t>
      </w:r>
      <w:r w:rsidR="00D7462C">
        <w:t>. Critically</w:t>
      </w:r>
      <w:r w:rsidR="002464D4" w:rsidRPr="002464D4">
        <w:t xml:space="preserve">: </w:t>
      </w:r>
    </w:p>
    <w:p w14:paraId="7C21DE63" w14:textId="52279F71" w:rsidR="003F2B44" w:rsidRPr="002464D4" w:rsidRDefault="004C52BE" w:rsidP="001628AA">
      <w:pPr>
        <w:pStyle w:val="BodyText"/>
        <w:numPr>
          <w:ilvl w:val="0"/>
          <w:numId w:val="60"/>
        </w:numPr>
        <w:spacing w:before="80" w:after="80"/>
      </w:pPr>
      <w:r>
        <w:t>t</w:t>
      </w:r>
      <w:r w:rsidR="006F0069" w:rsidRPr="002464D4">
        <w:t xml:space="preserve">he </w:t>
      </w:r>
      <w:r w:rsidR="002464D4" w:rsidRPr="002464D4">
        <w:t xml:space="preserve">residual void </w:t>
      </w:r>
      <w:r w:rsidR="006F0069" w:rsidRPr="002464D4">
        <w:t xml:space="preserve">flow regime </w:t>
      </w:r>
      <w:r w:rsidR="002464D4" w:rsidRPr="002464D4">
        <w:t xml:space="preserve">(even at equilibrium or quasi-equilibrium conditions) </w:t>
      </w:r>
      <w:r w:rsidR="006F0069" w:rsidRPr="002464D4">
        <w:t>will respond dynamically to changes in precipitation and evaporation rates that may occur at seasonal time scales</w:t>
      </w:r>
      <w:r w:rsidR="003F2B44" w:rsidRPr="002464D4">
        <w:t>. Longer-term climate changes may also affect the evolution of the residual void’s flow regime and conditions that prevail at equilibrium</w:t>
      </w:r>
      <w:r>
        <w:t>; and</w:t>
      </w:r>
    </w:p>
    <w:p w14:paraId="48331398" w14:textId="4AAA892A" w:rsidR="003F2B44" w:rsidRPr="002464D4" w:rsidRDefault="004C52BE" w:rsidP="001628AA">
      <w:pPr>
        <w:pStyle w:val="BodyText"/>
        <w:numPr>
          <w:ilvl w:val="0"/>
          <w:numId w:val="60"/>
        </w:numPr>
        <w:spacing w:before="80" w:after="80"/>
      </w:pPr>
      <w:r>
        <w:lastRenderedPageBreak/>
        <w:t>w</w:t>
      </w:r>
      <w:r w:rsidR="008D4266" w:rsidRPr="002464D4">
        <w:t xml:space="preserve">hile the lateral hydraulic gradient in a </w:t>
      </w:r>
      <w:r w:rsidR="008D4266" w:rsidRPr="002464D4">
        <w:rPr>
          <w:i/>
          <w:iCs/>
        </w:rPr>
        <w:t>terminal sink flow regime</w:t>
      </w:r>
      <w:r w:rsidR="00D7462C">
        <w:t xml:space="preserve">, for example, </w:t>
      </w:r>
      <w:r w:rsidR="008D4266" w:rsidRPr="002464D4">
        <w:t xml:space="preserve">is expected to prevent potentially saline or contaminated water migrating into surrounding aquifers, </w:t>
      </w:r>
      <w:r w:rsidR="00054442" w:rsidRPr="002464D4">
        <w:t xml:space="preserve">several </w:t>
      </w:r>
      <w:r w:rsidR="00214139" w:rsidRPr="002464D4">
        <w:t xml:space="preserve">factors </w:t>
      </w:r>
      <w:r w:rsidR="00054442" w:rsidRPr="002464D4">
        <w:t>(e.</w:t>
      </w:r>
      <w:r w:rsidR="00D7462C">
        <w:t>g.</w:t>
      </w:r>
      <w:r w:rsidR="00054442" w:rsidRPr="002464D4">
        <w:t xml:space="preserve"> potential for density</w:t>
      </w:r>
      <w:r>
        <w:t>-</w:t>
      </w:r>
      <w:r w:rsidR="00054442" w:rsidRPr="002464D4">
        <w:t>driven flow rever</w:t>
      </w:r>
      <w:r w:rsidR="00D7462C">
        <w:t>s</w:t>
      </w:r>
      <w:r w:rsidR="00054442" w:rsidRPr="002464D4">
        <w:t>ing hydraulic gradients</w:t>
      </w:r>
      <w:r w:rsidR="00D7462C">
        <w:t>;</w:t>
      </w:r>
      <w:r w:rsidR="00054442" w:rsidRPr="002464D4">
        <w:t xml:space="preserve"> geological fault structures</w:t>
      </w:r>
      <w:r w:rsidR="00D7462C">
        <w:t xml:space="preserve"> enhancing or restricting flow</w:t>
      </w:r>
      <w:r w:rsidR="00054442" w:rsidRPr="002464D4">
        <w:t xml:space="preserve">) </w:t>
      </w:r>
      <w:r w:rsidR="00214139" w:rsidRPr="002464D4">
        <w:t>have the potential to alter flow processes at equilibrium</w:t>
      </w:r>
      <w:r w:rsidR="00054442" w:rsidRPr="002464D4">
        <w:t xml:space="preserve"> and the potential risk in the long</w:t>
      </w:r>
      <w:r w:rsidR="00D7462C">
        <w:t>er</w:t>
      </w:r>
      <w:r w:rsidR="00054442" w:rsidRPr="002464D4">
        <w:t xml:space="preserve">-term (Section </w:t>
      </w:r>
      <w:r w:rsidR="00054442" w:rsidRPr="002464D4">
        <w:fldChar w:fldCharType="begin"/>
      </w:r>
      <w:r w:rsidR="00054442" w:rsidRPr="002464D4">
        <w:instrText xml:space="preserve"> REF _Ref55982230 \n \h </w:instrText>
      </w:r>
      <w:r w:rsidR="002464D4">
        <w:instrText xml:space="preserve"> \* MERGEFORMAT </w:instrText>
      </w:r>
      <w:r w:rsidR="00054442" w:rsidRPr="002464D4">
        <w:fldChar w:fldCharType="separate"/>
      </w:r>
      <w:r w:rsidR="00937ADD">
        <w:t>3.2.1</w:t>
      </w:r>
      <w:r w:rsidR="00054442" w:rsidRPr="002464D4">
        <w:fldChar w:fldCharType="end"/>
      </w:r>
      <w:r w:rsidR="00054442" w:rsidRPr="002464D4">
        <w:t xml:space="preserve">). </w:t>
      </w:r>
    </w:p>
    <w:p w14:paraId="13D05697" w14:textId="56709246" w:rsidR="003F2B44" w:rsidRPr="003F2B44" w:rsidRDefault="002464D4" w:rsidP="002464D4">
      <w:pPr>
        <w:pStyle w:val="BodyText"/>
        <w:rPr>
          <w:highlight w:val="yellow"/>
        </w:rPr>
      </w:pPr>
      <w:r>
        <w:t xml:space="preserve">An </w:t>
      </w:r>
      <w:r w:rsidR="003F2B44" w:rsidRPr="002464D4">
        <w:t>i</w:t>
      </w:r>
      <w:r>
        <w:t>mportant part in</w:t>
      </w:r>
      <w:r w:rsidR="003F2B44" w:rsidRPr="002464D4">
        <w:t xml:space="preserve"> understanding</w:t>
      </w:r>
      <w:r w:rsidR="003F2B44" w:rsidRPr="003F2B44">
        <w:t xml:space="preserve"> potential impacts and decisions regarding rehabilitation planning and management </w:t>
      </w:r>
      <w:r>
        <w:t xml:space="preserve">of residual voids </w:t>
      </w:r>
      <w:r w:rsidR="003F2B44" w:rsidRPr="003F2B44">
        <w:t xml:space="preserve">will be the time scale (e.g. decades, centuries or millennia) over which equilibrium or quasi-equilibrium conditions </w:t>
      </w:r>
      <w:r w:rsidR="00D7462C">
        <w:t>are expected to</w:t>
      </w:r>
      <w:r w:rsidR="003F2B44" w:rsidRPr="003F2B44">
        <w:t xml:space="preserve"> be reached and the evolution and rate of change of the flow regime during this time.</w:t>
      </w:r>
      <w:r>
        <w:t xml:space="preserve"> These aspects will also require consideration on a site-by-site basis.</w:t>
      </w:r>
    </w:p>
    <w:p w14:paraId="5463AB44" w14:textId="065F94D4" w:rsidR="008D4266" w:rsidRDefault="008D4266" w:rsidP="008D4266">
      <w:pPr>
        <w:pStyle w:val="BodyText"/>
      </w:pPr>
      <w:r>
        <w:t xml:space="preserve">Temporary flooding of residual voids </w:t>
      </w:r>
      <w:r w:rsidR="00054442">
        <w:t xml:space="preserve">(in particular, those </w:t>
      </w:r>
      <w:r>
        <w:t xml:space="preserve">with </w:t>
      </w:r>
      <w:r w:rsidRPr="00054442">
        <w:rPr>
          <w:i/>
          <w:iCs/>
        </w:rPr>
        <w:t>terminal sink flow regimes</w:t>
      </w:r>
      <w:r w:rsidR="00054442">
        <w:t>)</w:t>
      </w:r>
      <w:r>
        <w:t xml:space="preserve"> has the potential to spill poor quality water onto surrounding land or receiving groundwater and river systems. Residual voids situated within floodplain areas</w:t>
      </w:r>
      <w:r w:rsidR="00DA6E9B">
        <w:t xml:space="preserve"> without appropriate flood protection</w:t>
      </w:r>
      <w:r>
        <w:t xml:space="preserve"> are considered vulnerable to flooding events</w:t>
      </w:r>
      <w:r w:rsidR="00CF303D">
        <w:t>. Approximately</w:t>
      </w:r>
      <w:r>
        <w:t xml:space="preserve"> 44% of the</w:t>
      </w:r>
      <w:r w:rsidR="00CF303D">
        <w:t xml:space="preserve"> </w:t>
      </w:r>
      <w:r>
        <w:t>current open</w:t>
      </w:r>
      <w:r w:rsidR="004C52BE">
        <w:t>-cut</w:t>
      </w:r>
      <w:r>
        <w:t xml:space="preserve"> </w:t>
      </w:r>
      <w:r w:rsidR="004C52BE">
        <w:t xml:space="preserve">coal </w:t>
      </w:r>
      <w:r>
        <w:t>pits digitised as part of the scoping study (56 in total) are indicated to be situated in potential flood hazard areas</w:t>
      </w:r>
      <w:r w:rsidR="004468C8">
        <w:t xml:space="preserve"> (Section </w:t>
      </w:r>
      <w:r w:rsidR="00771D9F">
        <w:fldChar w:fldCharType="begin"/>
      </w:r>
      <w:r w:rsidR="00771D9F">
        <w:instrText xml:space="preserve"> REF _Ref57294459 \n \h </w:instrText>
      </w:r>
      <w:r w:rsidR="00771D9F">
        <w:fldChar w:fldCharType="separate"/>
      </w:r>
      <w:r w:rsidR="00937ADD">
        <w:t>4.4</w:t>
      </w:r>
      <w:r w:rsidR="00771D9F">
        <w:fldChar w:fldCharType="end"/>
      </w:r>
      <w:r w:rsidR="004468C8">
        <w:t>)</w:t>
      </w:r>
      <w:r>
        <w:t xml:space="preserve">. </w:t>
      </w:r>
    </w:p>
    <w:p w14:paraId="0EAE2BB8" w14:textId="0FB752D9" w:rsidR="008D4266" w:rsidRPr="004E788E" w:rsidRDefault="008D4266" w:rsidP="008D4266">
      <w:pPr>
        <w:pStyle w:val="BodyText"/>
      </w:pPr>
      <w:r>
        <w:t xml:space="preserve">In consideration of surface waters as potential receptors in the event that a residual void overtops its spill height and </w:t>
      </w:r>
      <w:r w:rsidR="00CF303D">
        <w:t xml:space="preserve">poor quality water </w:t>
      </w:r>
      <w:r>
        <w:t>spills onto surrounding land</w:t>
      </w:r>
      <w:r w:rsidR="00CF303D">
        <w:t xml:space="preserve"> (in particular, those with </w:t>
      </w:r>
      <w:r w:rsidR="00CF303D" w:rsidRPr="00054442">
        <w:rPr>
          <w:i/>
          <w:iCs/>
        </w:rPr>
        <w:t>terminal sink flow regimes</w:t>
      </w:r>
      <w:r w:rsidR="00CF303D">
        <w:t>)</w:t>
      </w:r>
      <w:r>
        <w:t xml:space="preserve">, the distance of </w:t>
      </w:r>
      <w:r w:rsidRPr="00BA0B9D">
        <w:rPr>
          <w:i/>
          <w:iCs/>
        </w:rPr>
        <w:t>minor</w:t>
      </w:r>
      <w:r>
        <w:t xml:space="preserve"> and </w:t>
      </w:r>
      <w:r w:rsidRPr="00BA0B9D">
        <w:rPr>
          <w:i/>
          <w:iCs/>
        </w:rPr>
        <w:t>major streams</w:t>
      </w:r>
      <w:r>
        <w:t xml:space="preserve"> from each current open</w:t>
      </w:r>
      <w:r w:rsidR="004C52BE">
        <w:t>-cut</w:t>
      </w:r>
      <w:r>
        <w:t xml:space="preserve"> coal pit</w:t>
      </w:r>
      <w:r w:rsidR="00CF303D">
        <w:t xml:space="preserve"> digitised</w:t>
      </w:r>
      <w:r>
        <w:t xml:space="preserve"> </w:t>
      </w:r>
      <w:r w:rsidR="00CF303D">
        <w:t>was</w:t>
      </w:r>
      <w:r>
        <w:t xml:space="preserve"> calculated in the scoping study. </w:t>
      </w:r>
      <w:r w:rsidRPr="00BA0B9D">
        <w:rPr>
          <w:i/>
          <w:iCs/>
        </w:rPr>
        <w:t>Minor streams</w:t>
      </w:r>
      <w:r>
        <w:t xml:space="preserve"> are generally located less than 2 km from current open</w:t>
      </w:r>
      <w:r w:rsidR="004C52BE">
        <w:t>-cut</w:t>
      </w:r>
      <w:r>
        <w:t xml:space="preserve"> coal pits</w:t>
      </w:r>
      <w:r w:rsidR="00CF303D">
        <w:t>, with</w:t>
      </w:r>
      <w:r>
        <w:t xml:space="preserve"> 57 </w:t>
      </w:r>
      <w:r w:rsidR="00CF303D">
        <w:t xml:space="preserve">pits </w:t>
      </w:r>
      <w:r>
        <w:t xml:space="preserve">indicated to be intersected by </w:t>
      </w:r>
      <w:r w:rsidRPr="00BA0B9D">
        <w:rPr>
          <w:i/>
          <w:iCs/>
        </w:rPr>
        <w:t>minor streams</w:t>
      </w:r>
      <w:r>
        <w:t xml:space="preserve">. </w:t>
      </w:r>
      <w:r w:rsidR="00CF303D">
        <w:t xml:space="preserve">With reference to </w:t>
      </w:r>
      <w:r w:rsidR="00CF303D" w:rsidRPr="00BA0B9D">
        <w:rPr>
          <w:i/>
          <w:iCs/>
        </w:rPr>
        <w:t>major streams</w:t>
      </w:r>
      <w:r w:rsidR="00CF303D">
        <w:t>, c</w:t>
      </w:r>
      <w:r>
        <w:t>urrent open</w:t>
      </w:r>
      <w:r w:rsidR="004C52BE">
        <w:t>-cut</w:t>
      </w:r>
      <w:r>
        <w:t xml:space="preserve"> coal pits are distributed across a range of distances from </w:t>
      </w:r>
      <w:r w:rsidR="00CF303D">
        <w:t xml:space="preserve">these features, </w:t>
      </w:r>
      <w:r>
        <w:t>from intersection to distances over 16 km</w:t>
      </w:r>
      <w:r w:rsidR="004468C8">
        <w:t xml:space="preserve"> (Section </w:t>
      </w:r>
      <w:r w:rsidR="004468C8">
        <w:fldChar w:fldCharType="begin"/>
      </w:r>
      <w:r w:rsidR="004468C8">
        <w:instrText xml:space="preserve"> REF _Ref57471963 \n \h </w:instrText>
      </w:r>
      <w:r w:rsidR="004468C8">
        <w:fldChar w:fldCharType="separate"/>
      </w:r>
      <w:r w:rsidR="00937ADD">
        <w:t>4.5</w:t>
      </w:r>
      <w:r w:rsidR="004468C8">
        <w:fldChar w:fldCharType="end"/>
      </w:r>
      <w:r w:rsidR="004468C8">
        <w:t>)</w:t>
      </w:r>
      <w:r>
        <w:t xml:space="preserve">. </w:t>
      </w:r>
      <w:r w:rsidR="00CF303D">
        <w:t xml:space="preserve">Any </w:t>
      </w:r>
      <w:r w:rsidR="00CF303D" w:rsidRPr="00BA0B9D">
        <w:rPr>
          <w:i/>
          <w:iCs/>
        </w:rPr>
        <w:t xml:space="preserve">minor </w:t>
      </w:r>
      <w:r w:rsidR="00CF303D" w:rsidRPr="00BA0B9D">
        <w:t>or</w:t>
      </w:r>
      <w:r w:rsidR="00CF303D" w:rsidRPr="00BA0B9D">
        <w:rPr>
          <w:i/>
          <w:iCs/>
        </w:rPr>
        <w:t xml:space="preserve"> major stream</w:t>
      </w:r>
      <w:r w:rsidR="00CF303D">
        <w:t xml:space="preserve"> </w:t>
      </w:r>
      <w:r>
        <w:t>that intersect</w:t>
      </w:r>
      <w:r w:rsidR="00CF303D">
        <w:t>s</w:t>
      </w:r>
      <w:r>
        <w:t xml:space="preserve"> </w:t>
      </w:r>
      <w:r w:rsidR="00CF303D">
        <w:t xml:space="preserve">an </w:t>
      </w:r>
      <w:r>
        <w:t>operational open</w:t>
      </w:r>
      <w:r w:rsidR="004C52BE">
        <w:t>-</w:t>
      </w:r>
      <w:r>
        <w:t>cut</w:t>
      </w:r>
      <w:r w:rsidR="00CF303D">
        <w:t xml:space="preserve"> </w:t>
      </w:r>
      <w:r w:rsidR="004C52BE">
        <w:t xml:space="preserve">coal pit </w:t>
      </w:r>
      <w:r w:rsidR="00CF303D">
        <w:t>is</w:t>
      </w:r>
      <w:r>
        <w:t xml:space="preserve"> expected to be diverted either temporarily or permanently</w:t>
      </w:r>
      <w:r w:rsidR="00CF303D">
        <w:t>.</w:t>
      </w:r>
      <w:r w:rsidR="00926715">
        <w:t xml:space="preserve"> </w:t>
      </w:r>
      <w:bookmarkStart w:id="145" w:name="_Hlk59551144"/>
      <w:r w:rsidR="00926715" w:rsidRPr="00926715">
        <w:t xml:space="preserve">The </w:t>
      </w:r>
      <w:r w:rsidR="00926715" w:rsidRPr="004E788E">
        <w:rPr>
          <w:i/>
          <w:iCs/>
        </w:rPr>
        <w:t>actual risk</w:t>
      </w:r>
      <w:r w:rsidR="00926715" w:rsidRPr="00926715">
        <w:t xml:space="preserve"> to nearby surface waters from residual </w:t>
      </w:r>
      <w:r w:rsidR="004C52BE">
        <w:t xml:space="preserve">open-cut </w:t>
      </w:r>
      <w:r w:rsidR="00926715" w:rsidRPr="00926715">
        <w:t xml:space="preserve">coal mine voids will be dependent on the potential for the residual void to overtop and the associated engineered flood protection measures in place should </w:t>
      </w:r>
      <w:r w:rsidR="00926715" w:rsidRPr="004E788E">
        <w:t>such an event occur.</w:t>
      </w:r>
    </w:p>
    <w:bookmarkEnd w:id="145"/>
    <w:p w14:paraId="2542E4CE" w14:textId="3C6D4E8F" w:rsidR="004468C8" w:rsidRPr="008D4266" w:rsidRDefault="00CF303D" w:rsidP="00B31919">
      <w:pPr>
        <w:pStyle w:val="BodyText"/>
      </w:pPr>
      <w:r w:rsidRPr="004E788E">
        <w:t xml:space="preserve">From a cumulative perspective, </w:t>
      </w:r>
      <w:r w:rsidR="004C52BE">
        <w:t xml:space="preserve">open-cut </w:t>
      </w:r>
      <w:r w:rsidRPr="004E788E">
        <w:t>coal mine voids that remain in the landscape (as residual voids</w:t>
      </w:r>
      <w:r w:rsidR="004468C8" w:rsidRPr="004E788E">
        <w:t xml:space="preserve"> with </w:t>
      </w:r>
      <w:r w:rsidR="004468C8" w:rsidRPr="004E788E">
        <w:rPr>
          <w:i/>
          <w:iCs/>
        </w:rPr>
        <w:t>terminal sink flow regimes</w:t>
      </w:r>
      <w:r w:rsidRPr="004E788E">
        <w:t xml:space="preserve">) </w:t>
      </w:r>
      <w:r w:rsidR="004468C8" w:rsidRPr="004E788E">
        <w:t xml:space="preserve">within the Isaac River and MacKenzie River catchments </w:t>
      </w:r>
      <w:r w:rsidR="00281249" w:rsidRPr="004E788E">
        <w:t>(</w:t>
      </w:r>
      <w:r w:rsidR="00281249" w:rsidRPr="004E788E">
        <w:fldChar w:fldCharType="begin"/>
      </w:r>
      <w:r w:rsidR="00281249" w:rsidRPr="004E788E">
        <w:instrText xml:space="preserve"> REF _Ref57289247 \h </w:instrText>
      </w:r>
      <w:r w:rsidR="00DA6E9B" w:rsidRPr="004E788E">
        <w:instrText xml:space="preserve"> \* MERGEFORMAT </w:instrText>
      </w:r>
      <w:r w:rsidR="00281249" w:rsidRPr="004E788E">
        <w:fldChar w:fldCharType="separate"/>
      </w:r>
      <w:r w:rsidR="00937ADD">
        <w:t xml:space="preserve">Figure </w:t>
      </w:r>
      <w:r w:rsidR="00937ADD">
        <w:rPr>
          <w:noProof/>
        </w:rPr>
        <w:t>4</w:t>
      </w:r>
      <w:r w:rsidR="00937ADD">
        <w:rPr>
          <w:noProof/>
        </w:rPr>
        <w:noBreakHyphen/>
        <w:t>1</w:t>
      </w:r>
      <w:r w:rsidR="00281249" w:rsidRPr="004E788E">
        <w:fldChar w:fldCharType="end"/>
      </w:r>
      <w:r w:rsidR="00281249" w:rsidRPr="004E788E">
        <w:t xml:space="preserve">) </w:t>
      </w:r>
      <w:r w:rsidR="004468C8" w:rsidRPr="004E788E">
        <w:t>are considered particularly vulnerable to flooding events</w:t>
      </w:r>
      <w:r w:rsidR="008D4266" w:rsidRPr="004E788E">
        <w:t>. Most of the current open</w:t>
      </w:r>
      <w:r w:rsidR="004C52BE">
        <w:t>-cut</w:t>
      </w:r>
      <w:r w:rsidR="008D4266" w:rsidRPr="004E788E">
        <w:t xml:space="preserve"> coal pits indicated to be in potential flood hazard areas occur in the Fitzroy Basin (44 pits), with the Isaac River and MacKenzie River catchments accounting for 18 and 16 pits respectively</w:t>
      </w:r>
      <w:r w:rsidR="004468C8" w:rsidRPr="004E788E">
        <w:t xml:space="preserve"> (Section </w:t>
      </w:r>
      <w:r w:rsidR="00771D9F">
        <w:fldChar w:fldCharType="begin"/>
      </w:r>
      <w:r w:rsidR="00771D9F">
        <w:instrText xml:space="preserve"> REF _Ref57294459 \n \h </w:instrText>
      </w:r>
      <w:r w:rsidR="00771D9F">
        <w:fldChar w:fldCharType="separate"/>
      </w:r>
      <w:r w:rsidR="00937ADD">
        <w:t>4.4</w:t>
      </w:r>
      <w:r w:rsidR="00771D9F">
        <w:fldChar w:fldCharType="end"/>
      </w:r>
      <w:r w:rsidR="004468C8" w:rsidRPr="004E788E">
        <w:t>)</w:t>
      </w:r>
      <w:r w:rsidR="008D4266" w:rsidRPr="004E788E">
        <w:t xml:space="preserve">. These catchments also have the highest number of </w:t>
      </w:r>
      <w:r w:rsidR="008D4266" w:rsidRPr="004E788E">
        <w:rPr>
          <w:i/>
          <w:iCs/>
        </w:rPr>
        <w:t xml:space="preserve">minor </w:t>
      </w:r>
      <w:r w:rsidR="008D4266" w:rsidRPr="004E788E">
        <w:t>and</w:t>
      </w:r>
      <w:r w:rsidR="008D4266" w:rsidRPr="004E788E">
        <w:rPr>
          <w:i/>
          <w:iCs/>
        </w:rPr>
        <w:t xml:space="preserve"> major streams </w:t>
      </w:r>
      <w:r w:rsidR="008D4266" w:rsidRPr="004E788E">
        <w:t>in close proximity to current open</w:t>
      </w:r>
      <w:r w:rsidR="004C52BE">
        <w:t>-cut</w:t>
      </w:r>
      <w:r w:rsidR="008D4266" w:rsidRPr="004E788E">
        <w:t xml:space="preserve"> coal pits</w:t>
      </w:r>
      <w:r w:rsidR="004468C8" w:rsidRPr="004E788E">
        <w:t xml:space="preserve"> (Section </w:t>
      </w:r>
      <w:r w:rsidR="004468C8" w:rsidRPr="004E788E">
        <w:fldChar w:fldCharType="begin"/>
      </w:r>
      <w:r w:rsidR="004468C8" w:rsidRPr="004E788E">
        <w:instrText xml:space="preserve"> REF _Ref57471963 \n \h </w:instrText>
      </w:r>
      <w:r w:rsidR="00DA6E9B" w:rsidRPr="004E788E">
        <w:instrText xml:space="preserve"> \* MERGEFORMAT </w:instrText>
      </w:r>
      <w:r w:rsidR="004468C8" w:rsidRPr="004E788E">
        <w:fldChar w:fldCharType="separate"/>
      </w:r>
      <w:r w:rsidR="00937ADD">
        <w:t>4.5</w:t>
      </w:r>
      <w:r w:rsidR="004468C8" w:rsidRPr="004E788E">
        <w:fldChar w:fldCharType="end"/>
      </w:r>
      <w:r w:rsidR="004468C8" w:rsidRPr="004E788E">
        <w:t>)</w:t>
      </w:r>
      <w:r w:rsidR="008D4266" w:rsidRPr="004E788E">
        <w:t>. Ultimate</w:t>
      </w:r>
      <w:r w:rsidR="004468C8" w:rsidRPr="004E788E">
        <w:t>ly,</w:t>
      </w:r>
      <w:r w:rsidR="008D4266" w:rsidRPr="004E788E">
        <w:t xml:space="preserve"> </w:t>
      </w:r>
      <w:r w:rsidR="00700321" w:rsidRPr="004E788E">
        <w:t xml:space="preserve">understanding </w:t>
      </w:r>
      <w:r w:rsidR="004468C8" w:rsidRPr="004E788E">
        <w:t xml:space="preserve">the risk these features pose in the landscape from flooding events will require a consideration of the final void design, including </w:t>
      </w:r>
      <w:r w:rsidR="00BA0B9D" w:rsidRPr="004E788E">
        <w:t xml:space="preserve">the </w:t>
      </w:r>
      <w:r w:rsidR="004468C8" w:rsidRPr="004E788E">
        <w:t xml:space="preserve">overland flow and </w:t>
      </w:r>
      <w:r w:rsidR="008D4266" w:rsidRPr="004E788E">
        <w:t xml:space="preserve">flood protection </w:t>
      </w:r>
      <w:r w:rsidR="00B31919" w:rsidRPr="004E788E">
        <w:t xml:space="preserve">design features that will remain </w:t>
      </w:r>
      <w:r w:rsidR="00404C59" w:rsidRPr="004E788E">
        <w:t xml:space="preserve">or be engineered </w:t>
      </w:r>
      <w:r w:rsidR="00B31919" w:rsidRPr="004E788E">
        <w:t>at mine closure.</w:t>
      </w:r>
    </w:p>
    <w:p w14:paraId="408894A7" w14:textId="12043F2A" w:rsidR="00D72260" w:rsidRDefault="00D72260">
      <w:pPr>
        <w:rPr>
          <w:szCs w:val="22"/>
        </w:rPr>
      </w:pPr>
    </w:p>
    <w:p w14:paraId="5E541647" w14:textId="77777777" w:rsidR="00521B26" w:rsidRDefault="00521B26" w:rsidP="00521B26">
      <w:pPr>
        <w:pStyle w:val="BodyText"/>
      </w:pPr>
    </w:p>
    <w:p w14:paraId="3057195B" w14:textId="09FEE339" w:rsidR="00D72260" w:rsidRDefault="00D72260">
      <w:pPr>
        <w:rPr>
          <w:szCs w:val="22"/>
        </w:rPr>
      </w:pPr>
      <w:r>
        <w:br w:type="page"/>
      </w:r>
    </w:p>
    <w:p w14:paraId="40F79AE1" w14:textId="35241A10" w:rsidR="00972382" w:rsidRDefault="00972382" w:rsidP="00972382">
      <w:pPr>
        <w:pStyle w:val="Heading1"/>
      </w:pPr>
      <w:bookmarkStart w:id="146" w:name="_Ref56587130"/>
      <w:bookmarkStart w:id="147" w:name="_Toc87278341"/>
      <w:r>
        <w:lastRenderedPageBreak/>
        <w:t>Case studies</w:t>
      </w:r>
      <w:bookmarkEnd w:id="146"/>
      <w:bookmarkEnd w:id="147"/>
    </w:p>
    <w:p w14:paraId="4508AF41" w14:textId="67054EB9" w:rsidR="008D2F17" w:rsidRPr="008D2F17" w:rsidRDefault="008D2F17" w:rsidP="00C97DBB">
      <w:pPr>
        <w:pStyle w:val="BodyText"/>
      </w:pPr>
      <w:r>
        <w:rPr>
          <w:noProof/>
        </w:rPr>
        <mc:AlternateContent>
          <mc:Choice Requires="wps">
            <w:drawing>
              <wp:inline distT="0" distB="0" distL="0" distR="0" wp14:anchorId="51AA0B5D" wp14:editId="0382C7CE">
                <wp:extent cx="5716988" cy="699715"/>
                <wp:effectExtent l="0" t="0" r="17145" b="13970"/>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988" cy="699715"/>
                        </a:xfrm>
                        <a:prstGeom prst="rect">
                          <a:avLst/>
                        </a:prstGeom>
                        <a:solidFill>
                          <a:schemeClr val="bg1">
                            <a:lumMod val="85000"/>
                          </a:schemeClr>
                        </a:solidFill>
                        <a:ln w="9525">
                          <a:solidFill>
                            <a:srgbClr val="000000"/>
                          </a:solidFill>
                          <a:miter lim="800000"/>
                          <a:headEnd/>
                          <a:tailEnd/>
                        </a:ln>
                      </wps:spPr>
                      <wps:txbx>
                        <w:txbxContent>
                          <w:p w14:paraId="582B67AF" w14:textId="33BDE94A" w:rsidR="008D2F17" w:rsidRDefault="001341F2" w:rsidP="008D2F17">
                            <w:pPr>
                              <w:pStyle w:val="BodyText"/>
                            </w:pPr>
                            <w:r>
                              <w:t xml:space="preserve">IESC </w:t>
                            </w:r>
                            <w:r w:rsidR="008D2F17">
                              <w:t xml:space="preserve">note: The following case studies are presented to demonstrate different approaches to </w:t>
                            </w:r>
                            <w:r w:rsidR="00FA1B72">
                              <w:t xml:space="preserve">residual void design </w:t>
                            </w:r>
                            <w:r w:rsidR="00A77629">
                              <w:t xml:space="preserve">and may not </w:t>
                            </w:r>
                            <w:r w:rsidR="00FA1B72">
                              <w:t>accurately</w:t>
                            </w:r>
                            <w:r w:rsidR="00A77629">
                              <w:t xml:space="preserve"> reflect the current approved plans</w:t>
                            </w:r>
                            <w:r w:rsidR="00FA1B72">
                              <w:t xml:space="preserve"> for these projects. </w:t>
                            </w:r>
                            <w:r w:rsidR="008D2F17">
                              <w:t xml:space="preserve">Although </w:t>
                            </w:r>
                            <w:r w:rsidR="00FA1B72">
                              <w:t>the information presented here</w:t>
                            </w:r>
                            <w:r w:rsidR="008D2F17">
                              <w:t xml:space="preserve"> </w:t>
                            </w:r>
                            <w:r w:rsidR="00FA1B72">
                              <w:t>was</w:t>
                            </w:r>
                            <w:r w:rsidR="008D2F17">
                              <w:t xml:space="preserve"> current at the time of writing</w:t>
                            </w:r>
                            <w:r w:rsidR="00CA2F41">
                              <w:t xml:space="preserve"> (February 2021)</w:t>
                            </w:r>
                            <w:r w:rsidR="008D2F17">
                              <w:t xml:space="preserve">, some </w:t>
                            </w:r>
                            <w:r w:rsidR="00FA1B72">
                              <w:t>aspects</w:t>
                            </w:r>
                            <w:r w:rsidR="008D2F17">
                              <w:t xml:space="preserve"> are </w:t>
                            </w:r>
                            <w:r w:rsidR="00242CB5">
                              <w:t>known to be</w:t>
                            </w:r>
                            <w:r w:rsidR="008D2F17">
                              <w:t xml:space="preserve"> superseded</w:t>
                            </w:r>
                            <w:r w:rsidR="00FA1B72">
                              <w:t>.</w:t>
                            </w:r>
                          </w:p>
                        </w:txbxContent>
                      </wps:txbx>
                      <wps:bodyPr rot="0" vert="horz" wrap="square" lIns="91440" tIns="45720" rIns="91440" bIns="45720" anchor="t" anchorCtr="0">
                        <a:spAutoFit/>
                      </wps:bodyPr>
                    </wps:wsp>
                  </a:graphicData>
                </a:graphic>
              </wp:inline>
            </w:drawing>
          </mc:Choice>
          <mc:Fallback>
            <w:pict>
              <v:shapetype w14:anchorId="51AA0B5D" id="_x0000_t202" coordsize="21600,21600" o:spt="202" path="m,l,21600r21600,l21600,xe">
                <v:stroke joinstyle="miter"/>
                <v:path gradientshapeok="t" o:connecttype="rect"/>
              </v:shapetype>
              <v:shape id="Text Box 2" o:spid="_x0000_s1026" type="#_x0000_t202" style="width:450.15pt;height:5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" fillcolor="#d8d8d8 [2732]">
                <v:textbox style="mso-fit-shape-to-text:t">
                  <w:txbxContent>
                    <w:p w14:paraId="582B67AF" w14:textId="33BDE94A" w:rsidR="008D2F17" w:rsidRDefault="001341F2" w:rsidP="008D2F17">
                      <w:pPr>
                        <w:pStyle w:val="BodyText"/>
                      </w:pPr>
                      <w:r>
                        <w:t xml:space="preserve">IESC </w:t>
                      </w:r>
                      <w:r w:rsidR="008D2F17">
                        <w:t xml:space="preserve">note: The following case studies are presented to demonstrate different approaches to </w:t>
                      </w:r>
                      <w:r w:rsidR="00FA1B72">
                        <w:t xml:space="preserve">residual void design </w:t>
                      </w:r>
                      <w:r w:rsidR="00A77629">
                        <w:t xml:space="preserve">and may not </w:t>
                      </w:r>
                      <w:r w:rsidR="00FA1B72">
                        <w:t>accurately</w:t>
                      </w:r>
                      <w:r w:rsidR="00A77629">
                        <w:t xml:space="preserve"> reflect the current approved plans</w:t>
                      </w:r>
                      <w:r w:rsidR="00FA1B72">
                        <w:t xml:space="preserve"> for these projects. </w:t>
                      </w:r>
                      <w:r w:rsidR="008D2F17">
                        <w:t xml:space="preserve">Although </w:t>
                      </w:r>
                      <w:r w:rsidR="00FA1B72">
                        <w:t>the information presented here</w:t>
                      </w:r>
                      <w:r w:rsidR="008D2F17">
                        <w:t xml:space="preserve"> </w:t>
                      </w:r>
                      <w:r w:rsidR="00FA1B72">
                        <w:t>was</w:t>
                      </w:r>
                      <w:r w:rsidR="008D2F17">
                        <w:t xml:space="preserve"> current at the time of writing</w:t>
                      </w:r>
                      <w:r w:rsidR="00CA2F41">
                        <w:t xml:space="preserve"> (February 2021)</w:t>
                      </w:r>
                      <w:r w:rsidR="008D2F17">
                        <w:t xml:space="preserve">, some </w:t>
                      </w:r>
                      <w:r w:rsidR="00FA1B72">
                        <w:t>aspects</w:t>
                      </w:r>
                      <w:r w:rsidR="008D2F17">
                        <w:t xml:space="preserve"> are </w:t>
                      </w:r>
                      <w:r w:rsidR="00242CB5">
                        <w:t>known to be</w:t>
                      </w:r>
                      <w:r w:rsidR="008D2F17">
                        <w:t xml:space="preserve"> superseded</w:t>
                      </w:r>
                      <w:r w:rsidR="00FA1B72">
                        <w:t>.</w:t>
                      </w:r>
                    </w:p>
                  </w:txbxContent>
                </v:textbox>
                <w10:anchorlock/>
              </v:shape>
            </w:pict>
          </mc:Fallback>
        </mc:AlternateContent>
      </w:r>
    </w:p>
    <w:p w14:paraId="4FE70555" w14:textId="4EB9AB63" w:rsidR="00972382" w:rsidRDefault="00972382" w:rsidP="00972382">
      <w:pPr>
        <w:pStyle w:val="Heading2"/>
      </w:pPr>
      <w:bookmarkStart w:id="148" w:name="_Ref56150732"/>
      <w:bookmarkStart w:id="149" w:name="_Ref59102476"/>
      <w:bookmarkStart w:id="150" w:name="_Toc87278342"/>
      <w:r>
        <w:t>Olive Downs</w:t>
      </w:r>
      <w:bookmarkEnd w:id="148"/>
      <w:r w:rsidR="005D7F8B">
        <w:t xml:space="preserve"> coking coal project</w:t>
      </w:r>
      <w:bookmarkEnd w:id="149"/>
      <w:bookmarkEnd w:id="150"/>
    </w:p>
    <w:p w14:paraId="0B4BE1CF" w14:textId="5D7996B9" w:rsidR="00972382" w:rsidRDefault="001B50BF" w:rsidP="00972382">
      <w:pPr>
        <w:pStyle w:val="Heading3"/>
      </w:pPr>
      <w:bookmarkStart w:id="151" w:name="_Toc87278343"/>
      <w:r>
        <w:t xml:space="preserve">Project </w:t>
      </w:r>
      <w:r w:rsidR="00364014">
        <w:t>status</w:t>
      </w:r>
      <w:bookmarkEnd w:id="151"/>
    </w:p>
    <w:p w14:paraId="30DBE0DE" w14:textId="0761BF18" w:rsidR="001B50BF" w:rsidRPr="00B96F5C" w:rsidRDefault="00F60F03" w:rsidP="001B50BF">
      <w:pPr>
        <w:pStyle w:val="BodyText"/>
      </w:pPr>
      <w:r w:rsidRPr="00B96F5C">
        <w:t xml:space="preserve">The </w:t>
      </w:r>
      <w:r w:rsidR="001B50BF" w:rsidRPr="00B96F5C">
        <w:t xml:space="preserve">Olive Downs Coking Coal Project (herein </w:t>
      </w:r>
      <w:r w:rsidR="006F6AA3" w:rsidRPr="00B96F5C">
        <w:t xml:space="preserve">in Section </w:t>
      </w:r>
      <w:r w:rsidR="006F6AA3" w:rsidRPr="00B96F5C">
        <w:fldChar w:fldCharType="begin"/>
      </w:r>
      <w:r w:rsidR="006F6AA3" w:rsidRPr="00B96F5C">
        <w:instrText xml:space="preserve"> REF _Ref56150732 \n \h </w:instrText>
      </w:r>
      <w:r w:rsidR="00B96F5C">
        <w:instrText xml:space="preserve"> \* MERGEFORMAT </w:instrText>
      </w:r>
      <w:r w:rsidR="006F6AA3" w:rsidRPr="00B96F5C">
        <w:fldChar w:fldCharType="separate"/>
      </w:r>
      <w:r w:rsidR="00937ADD">
        <w:t>5.1</w:t>
      </w:r>
      <w:r w:rsidR="006F6AA3" w:rsidRPr="00B96F5C">
        <w:fldChar w:fldCharType="end"/>
      </w:r>
      <w:r w:rsidR="006F6AA3" w:rsidRPr="00B96F5C">
        <w:t xml:space="preserve"> </w:t>
      </w:r>
      <w:r w:rsidR="001B50BF" w:rsidRPr="00B96F5C">
        <w:t>referred to as the Project)</w:t>
      </w:r>
      <w:r w:rsidRPr="00B96F5C">
        <w:t xml:space="preserve"> is </w:t>
      </w:r>
      <w:r w:rsidR="001B50BF" w:rsidRPr="00B96F5C">
        <w:t xml:space="preserve">a proposed metallurgical </w:t>
      </w:r>
      <w:r w:rsidR="004C52BE">
        <w:t xml:space="preserve">open-cut </w:t>
      </w:r>
      <w:r w:rsidR="001B50BF" w:rsidRPr="00B96F5C">
        <w:t>coal mine</w:t>
      </w:r>
      <w:r w:rsidRPr="00B96F5C">
        <w:t xml:space="preserve"> </w:t>
      </w:r>
      <w:r w:rsidR="001B50BF" w:rsidRPr="00B96F5C">
        <w:t>and associated infrastructure within the Bowen</w:t>
      </w:r>
      <w:r w:rsidRPr="00B96F5C">
        <w:t xml:space="preserve"> </w:t>
      </w:r>
      <w:r w:rsidR="001B50BF" w:rsidRPr="00B96F5C">
        <w:t>Basin, located approximately 40 km</w:t>
      </w:r>
      <w:r w:rsidRPr="00B96F5C">
        <w:t xml:space="preserve"> </w:t>
      </w:r>
      <w:r w:rsidR="001B50BF" w:rsidRPr="00B96F5C">
        <w:t>south-east of Moranbah, Queensland</w:t>
      </w:r>
      <w:r w:rsidR="0003674A" w:rsidRPr="00B96F5C">
        <w:t xml:space="preserve"> (</w:t>
      </w:r>
      <w:r w:rsidR="0003674A" w:rsidRPr="00B96F5C">
        <w:fldChar w:fldCharType="begin"/>
      </w:r>
      <w:r w:rsidR="0003674A" w:rsidRPr="00B96F5C">
        <w:instrText xml:space="preserve"> REF _Ref57289247 \h </w:instrText>
      </w:r>
      <w:r w:rsidR="00B96F5C">
        <w:instrText xml:space="preserve"> \* MERGEFORMAT </w:instrText>
      </w:r>
      <w:r w:rsidR="0003674A" w:rsidRPr="00B96F5C">
        <w:fldChar w:fldCharType="separate"/>
      </w:r>
      <w:r w:rsidR="00937ADD">
        <w:t xml:space="preserve">Figure </w:t>
      </w:r>
      <w:r w:rsidR="00937ADD">
        <w:rPr>
          <w:noProof/>
        </w:rPr>
        <w:t>4</w:t>
      </w:r>
      <w:r w:rsidR="00937ADD">
        <w:rPr>
          <w:noProof/>
        </w:rPr>
        <w:noBreakHyphen/>
        <w:t>1</w:t>
      </w:r>
      <w:r w:rsidR="0003674A" w:rsidRPr="00B96F5C">
        <w:fldChar w:fldCharType="end"/>
      </w:r>
      <w:r w:rsidR="0003674A" w:rsidRPr="00B96F5C">
        <w:t>)</w:t>
      </w:r>
      <w:r w:rsidRPr="00B96F5C">
        <w:t xml:space="preserve">. The </w:t>
      </w:r>
      <w:r w:rsidR="006F6AA3" w:rsidRPr="00B96F5C">
        <w:t>P</w:t>
      </w:r>
      <w:r w:rsidRPr="00B96F5C">
        <w:t>roponent for the Project is Pembroke Olive Downs Pty Ltd</w:t>
      </w:r>
      <w:r w:rsidR="00E31A22" w:rsidRPr="00B96F5C">
        <w:t xml:space="preserve"> (Pembroke)</w:t>
      </w:r>
      <w:r w:rsidRPr="00B96F5C">
        <w:t>.</w:t>
      </w:r>
      <w:r w:rsidR="006D6D02" w:rsidRPr="00B96F5C">
        <w:t xml:space="preserve"> The </w:t>
      </w:r>
      <w:r w:rsidR="0003674A" w:rsidRPr="00B96F5C">
        <w:t xml:space="preserve">following is a summary of the </w:t>
      </w:r>
      <w:r w:rsidR="006D6D02" w:rsidRPr="00B96F5C">
        <w:t>approval process for the Project</w:t>
      </w:r>
      <w:r w:rsidR="004C52BE">
        <w:t>.</w:t>
      </w:r>
      <w:r w:rsidR="006D6D02" w:rsidRPr="00B96F5C">
        <w:t xml:space="preserve"> </w:t>
      </w:r>
    </w:p>
    <w:p w14:paraId="5A5F0CD9" w14:textId="51BDE992" w:rsidR="006F6AA3" w:rsidRPr="00B96F5C" w:rsidRDefault="006F6AA3" w:rsidP="001628AA">
      <w:pPr>
        <w:pStyle w:val="BodyText"/>
        <w:numPr>
          <w:ilvl w:val="0"/>
          <w:numId w:val="26"/>
        </w:numPr>
        <w:spacing w:before="80" w:after="80"/>
      </w:pPr>
      <w:r w:rsidRPr="00B96F5C">
        <w:t xml:space="preserve">The Project was declared a </w:t>
      </w:r>
      <w:r w:rsidR="00E31A22" w:rsidRPr="00B96F5C">
        <w:t>‘</w:t>
      </w:r>
      <w:r w:rsidRPr="00B96F5C">
        <w:t>coordinated project</w:t>
      </w:r>
      <w:r w:rsidR="00E31A22" w:rsidRPr="00B96F5C">
        <w:t>’</w:t>
      </w:r>
      <w:r w:rsidRPr="00B96F5C">
        <w:t xml:space="preserve"> by the Queensland Government in February 2017 and the Commonwea</w:t>
      </w:r>
      <w:r w:rsidR="001B1B7E" w:rsidRPr="00B96F5C">
        <w:t>l</w:t>
      </w:r>
      <w:r w:rsidRPr="00B96F5C">
        <w:t xml:space="preserve">th </w:t>
      </w:r>
      <w:r w:rsidR="001B1B7E" w:rsidRPr="00B96F5C">
        <w:t>dec</w:t>
      </w:r>
      <w:r w:rsidR="00EC3A5B" w:rsidRPr="00B96F5C">
        <w:t>lared</w:t>
      </w:r>
      <w:r w:rsidR="001B1B7E" w:rsidRPr="00B96F5C">
        <w:t xml:space="preserve"> the Project </w:t>
      </w:r>
      <w:r w:rsidRPr="00B96F5C">
        <w:t xml:space="preserve">a </w:t>
      </w:r>
      <w:r w:rsidR="00E31A22" w:rsidRPr="00B96F5C">
        <w:t>‘</w:t>
      </w:r>
      <w:r w:rsidRPr="00B96F5C">
        <w:t>controlled action</w:t>
      </w:r>
      <w:r w:rsidR="00E31A22" w:rsidRPr="00B96F5C">
        <w:t>’</w:t>
      </w:r>
      <w:r w:rsidRPr="00B96F5C">
        <w:t xml:space="preserve"> </w:t>
      </w:r>
      <w:r w:rsidR="001B1B7E" w:rsidRPr="00B96F5C">
        <w:t>under Section 75 of the Environment Protection and Biodiversity Conservation Act (EPBC Act)</w:t>
      </w:r>
      <w:r w:rsidR="00046725" w:rsidRPr="00B96F5C">
        <w:t xml:space="preserve"> (Referral number EPBC 2017/7867) </w:t>
      </w:r>
      <w:r w:rsidR="001B1B7E" w:rsidRPr="00B96F5C">
        <w:t xml:space="preserve">in March 2017. The Terms of Reference (ToR) for an EIS was issued in June 2017. </w:t>
      </w:r>
    </w:p>
    <w:p w14:paraId="0D6730DD" w14:textId="6009E30F" w:rsidR="00364014" w:rsidRPr="00B96F5C" w:rsidRDefault="00B416C5" w:rsidP="001628AA">
      <w:pPr>
        <w:pStyle w:val="BodyText"/>
        <w:numPr>
          <w:ilvl w:val="0"/>
          <w:numId w:val="26"/>
        </w:numPr>
        <w:spacing w:before="80" w:after="80"/>
      </w:pPr>
      <w:bookmarkStart w:id="152" w:name="_Hlk56417148"/>
      <w:r w:rsidRPr="00B96F5C">
        <w:t xml:space="preserve">A draft EIS </w:t>
      </w:r>
      <w:r w:rsidR="001B1B7E" w:rsidRPr="00B96F5C">
        <w:t>(Pembroke Resources, 2018</w:t>
      </w:r>
      <w:r w:rsidR="00AA1A33" w:rsidRPr="00B96F5C">
        <w:t xml:space="preserve">) </w:t>
      </w:r>
      <w:r w:rsidRPr="00B96F5C">
        <w:t xml:space="preserve">was issued in October 2018 </w:t>
      </w:r>
      <w:r w:rsidR="006F6AA3" w:rsidRPr="00B96F5C">
        <w:t xml:space="preserve">by the Proponent, followed by </w:t>
      </w:r>
      <w:r w:rsidRPr="00B96F5C">
        <w:t>a</w:t>
      </w:r>
      <w:r w:rsidR="001B1B7E" w:rsidRPr="00B96F5C">
        <w:t>dditional information to the</w:t>
      </w:r>
      <w:r w:rsidRPr="00B96F5C">
        <w:t xml:space="preserve"> EIS </w:t>
      </w:r>
      <w:r w:rsidR="00AA1A33" w:rsidRPr="00B96F5C">
        <w:t>(</w:t>
      </w:r>
      <w:r w:rsidR="001B1B7E" w:rsidRPr="00B96F5C">
        <w:t>Pembroke Resources, 2019</w:t>
      </w:r>
      <w:r w:rsidR="00AA1A33" w:rsidRPr="00B96F5C">
        <w:t>)</w:t>
      </w:r>
      <w:r w:rsidR="006F6AA3" w:rsidRPr="00B96F5C">
        <w:t xml:space="preserve"> </w:t>
      </w:r>
      <w:r w:rsidRPr="00B96F5C">
        <w:t>in March 2019</w:t>
      </w:r>
      <w:r w:rsidR="00364014" w:rsidRPr="00B96F5C">
        <w:t>.</w:t>
      </w:r>
    </w:p>
    <w:p w14:paraId="490D2943" w14:textId="03891968" w:rsidR="00B416C5" w:rsidRPr="00B96F5C" w:rsidRDefault="00364014" w:rsidP="001628AA">
      <w:pPr>
        <w:pStyle w:val="BodyText"/>
        <w:numPr>
          <w:ilvl w:val="0"/>
          <w:numId w:val="26"/>
        </w:numPr>
        <w:spacing w:before="80" w:after="80"/>
      </w:pPr>
      <w:bookmarkStart w:id="153" w:name="_Hlk56421915"/>
      <w:r w:rsidRPr="00B96F5C">
        <w:t>The Project was approved by Queensland’s Coordinator General in May 2019 and the Proponent received the Environmental Authority</w:t>
      </w:r>
      <w:r w:rsidR="00D655CB" w:rsidRPr="00B96F5C">
        <w:t xml:space="preserve"> (</w:t>
      </w:r>
      <w:r w:rsidR="0003674A" w:rsidRPr="00B96F5C">
        <w:t>EPML00380113</w:t>
      </w:r>
      <w:r w:rsidR="00D655CB" w:rsidRPr="00B96F5C">
        <w:t>)</w:t>
      </w:r>
      <w:r w:rsidRPr="00B96F5C">
        <w:t xml:space="preserve"> in October 2019.</w:t>
      </w:r>
    </w:p>
    <w:bookmarkEnd w:id="153"/>
    <w:p w14:paraId="6D79EB81" w14:textId="3110DBC8" w:rsidR="00364014" w:rsidRPr="00B96F5C" w:rsidRDefault="00B416C5" w:rsidP="001628AA">
      <w:pPr>
        <w:pStyle w:val="BodyText"/>
        <w:numPr>
          <w:ilvl w:val="0"/>
          <w:numId w:val="26"/>
        </w:numPr>
        <w:spacing w:before="80" w:after="80"/>
      </w:pPr>
      <w:r w:rsidRPr="00B96F5C">
        <w:t xml:space="preserve">The Project received Federal approvals from the Department of Agriculture, Water and the Environment </w:t>
      </w:r>
      <w:r w:rsidR="0003674A" w:rsidRPr="00B96F5C">
        <w:t xml:space="preserve">(DAWE) </w:t>
      </w:r>
      <w:r w:rsidRPr="00B96F5C">
        <w:t>under the EPBC Act in May 2020.</w:t>
      </w:r>
    </w:p>
    <w:p w14:paraId="18C0F187" w14:textId="1251749E" w:rsidR="00364014" w:rsidRPr="00B96F5C" w:rsidRDefault="00364014" w:rsidP="001628AA">
      <w:pPr>
        <w:pStyle w:val="BodyText"/>
        <w:numPr>
          <w:ilvl w:val="0"/>
          <w:numId w:val="26"/>
        </w:numPr>
        <w:spacing w:before="80" w:after="80"/>
      </w:pPr>
      <w:r w:rsidRPr="00B96F5C">
        <w:t xml:space="preserve">The Queensland Government approved Mining Leases for the Project in September 2020, </w:t>
      </w:r>
      <w:r w:rsidR="00AA1A33" w:rsidRPr="00B96F5C">
        <w:t xml:space="preserve">and </w:t>
      </w:r>
      <w:r w:rsidRPr="00B96F5C">
        <w:t xml:space="preserve">construction </w:t>
      </w:r>
      <w:r w:rsidR="00AA1A33" w:rsidRPr="00B96F5C">
        <w:t xml:space="preserve">will </w:t>
      </w:r>
      <w:r w:rsidRPr="00B96F5C">
        <w:t>commence shortly.</w:t>
      </w:r>
    </w:p>
    <w:p w14:paraId="1AFFD93A" w14:textId="46E6AF98" w:rsidR="001B1B7E" w:rsidRPr="001B1B7E" w:rsidRDefault="001B1B7E" w:rsidP="00AA1A33">
      <w:pPr>
        <w:pStyle w:val="BodyText"/>
      </w:pPr>
      <w:r w:rsidRPr="00B96F5C">
        <w:t>The following section</w:t>
      </w:r>
      <w:r w:rsidR="0003674A" w:rsidRPr="00B96F5C">
        <w:t>s</w:t>
      </w:r>
      <w:r w:rsidRPr="00B96F5C">
        <w:t xml:space="preserve"> describe relevant information made available by </w:t>
      </w:r>
      <w:r w:rsidR="00E31A22" w:rsidRPr="00B96F5C">
        <w:t>Pembroke</w:t>
      </w:r>
      <w:r w:rsidRPr="00B96F5C">
        <w:t xml:space="preserve"> in the draft EIS</w:t>
      </w:r>
      <w:r w:rsidRPr="001B1B7E">
        <w:t xml:space="preserve"> (</w:t>
      </w:r>
      <w:bookmarkStart w:id="154" w:name="_Hlk56154835"/>
      <w:r w:rsidRPr="001B1B7E">
        <w:t xml:space="preserve">Pembroke Resources, 2018) and </w:t>
      </w:r>
      <w:bookmarkEnd w:id="154"/>
      <w:r w:rsidRPr="001B1B7E">
        <w:t>additional information to the EIS (</w:t>
      </w:r>
      <w:bookmarkStart w:id="155" w:name="_Hlk57301109"/>
      <w:r w:rsidRPr="001B1B7E">
        <w:t>Pembroke Resources, 2019).</w:t>
      </w:r>
      <w:bookmarkEnd w:id="152"/>
      <w:bookmarkEnd w:id="155"/>
    </w:p>
    <w:p w14:paraId="64E666E1" w14:textId="6F39C3D4" w:rsidR="00AA1A33" w:rsidRDefault="00AA1A33" w:rsidP="00AA1A33">
      <w:pPr>
        <w:pStyle w:val="Heading3"/>
      </w:pPr>
      <w:bookmarkStart w:id="156" w:name="_Toc87278344"/>
      <w:r>
        <w:t>Physical setting</w:t>
      </w:r>
      <w:bookmarkEnd w:id="156"/>
    </w:p>
    <w:p w14:paraId="01872CBF" w14:textId="469A5868" w:rsidR="00141EDA" w:rsidRDefault="00141EDA" w:rsidP="00AA1A33">
      <w:pPr>
        <w:pStyle w:val="BodyText"/>
      </w:pPr>
      <w:r>
        <w:t xml:space="preserve">The subtropical climate of the region is characterised all year round by </w:t>
      </w:r>
      <w:r w:rsidRPr="00141EDA">
        <w:t xml:space="preserve">monthly-average potential evaporation </w:t>
      </w:r>
      <w:r>
        <w:t xml:space="preserve">that </w:t>
      </w:r>
      <w:r w:rsidRPr="00141EDA">
        <w:t>exceeds measured monthly-average rainfall</w:t>
      </w:r>
      <w:r>
        <w:t>.</w:t>
      </w:r>
    </w:p>
    <w:p w14:paraId="7863644A" w14:textId="3902F095" w:rsidR="00AA1A33" w:rsidRDefault="00AA1A33" w:rsidP="00AA1A33">
      <w:pPr>
        <w:pStyle w:val="BodyText"/>
      </w:pPr>
      <w:r>
        <w:t xml:space="preserve">The Project is located within the headwaters of the Isaac River </w:t>
      </w:r>
      <w:r w:rsidR="003654C9">
        <w:t>C</w:t>
      </w:r>
      <w:r>
        <w:t xml:space="preserve">atchment of the greater Fitzroy </w:t>
      </w:r>
      <w:r w:rsidR="004C52BE">
        <w:t xml:space="preserve">River </w:t>
      </w:r>
      <w:r>
        <w:t>Basin</w:t>
      </w:r>
      <w:r w:rsidR="005465B0">
        <w:t xml:space="preserve"> (</w:t>
      </w:r>
      <w:r w:rsidR="005465B0">
        <w:fldChar w:fldCharType="begin"/>
      </w:r>
      <w:r w:rsidR="005465B0">
        <w:instrText xml:space="preserve"> REF _Ref57289247 \h </w:instrText>
      </w:r>
      <w:r w:rsidR="005465B0">
        <w:fldChar w:fldCharType="separate"/>
      </w:r>
      <w:r w:rsidR="00937ADD">
        <w:t xml:space="preserve">Figure </w:t>
      </w:r>
      <w:r w:rsidR="00937ADD">
        <w:rPr>
          <w:noProof/>
        </w:rPr>
        <w:t>4</w:t>
      </w:r>
      <w:r w:rsidR="00937ADD">
        <w:noBreakHyphen/>
      </w:r>
      <w:r w:rsidR="00937ADD">
        <w:rPr>
          <w:noProof/>
        </w:rPr>
        <w:t>1</w:t>
      </w:r>
      <w:r w:rsidR="005465B0">
        <w:fldChar w:fldCharType="end"/>
      </w:r>
      <w:r w:rsidR="005465B0">
        <w:t>)</w:t>
      </w:r>
      <w:r>
        <w:t xml:space="preserve">. The Isaac River is the main watercourse which bisects the Project area and flows in a north-west to south-east direction, passing the township of Moranbah. </w:t>
      </w:r>
    </w:p>
    <w:p w14:paraId="443652EE" w14:textId="209D1CEF" w:rsidR="00AA1A33" w:rsidRDefault="00AA1A33" w:rsidP="00AA1A33">
      <w:pPr>
        <w:pStyle w:val="BodyText"/>
      </w:pPr>
      <w:r>
        <w:t>The Project</w:t>
      </w:r>
      <w:r w:rsidR="004C52BE">
        <w:t>’s</w:t>
      </w:r>
      <w:r>
        <w:t xml:space="preserve"> coal resource is located within the northern part of the Permo-Triassic Bowen Basin. Permian sediments occur at outcrop on the eastern and western edges of the basin and are unconformably overlain by Triassic</w:t>
      </w:r>
      <w:r w:rsidR="004C52BE">
        <w:t>-</w:t>
      </w:r>
      <w:r>
        <w:t>aged terrestrial sediments within the basin. The Permian and Triassic sediments are covered by a thin veneer of unconsolidated to semi-consolidated Cainozoic sediments. Alluvial sediments are localised along the rivers and their tributaries.</w:t>
      </w:r>
    </w:p>
    <w:p w14:paraId="05E85881" w14:textId="466BCA00" w:rsidR="00AA1A33" w:rsidRDefault="00AA1A33" w:rsidP="00AA1A33">
      <w:pPr>
        <w:pStyle w:val="BodyText"/>
      </w:pPr>
      <w:r>
        <w:t>The hydrogeological regime comprises the following hydrogeological units</w:t>
      </w:r>
      <w:r w:rsidR="00C86409">
        <w:t xml:space="preserve"> (youngest to oldest)</w:t>
      </w:r>
      <w:r w:rsidR="004C52BE">
        <w:t>.</w:t>
      </w:r>
    </w:p>
    <w:p w14:paraId="3D97F433" w14:textId="027E2105" w:rsidR="00AA1A33" w:rsidRDefault="00AA1A33" w:rsidP="001628AA">
      <w:pPr>
        <w:pStyle w:val="BodyText"/>
        <w:numPr>
          <w:ilvl w:val="0"/>
          <w:numId w:val="27"/>
        </w:numPr>
        <w:spacing w:before="80" w:after="80"/>
      </w:pPr>
      <w:r>
        <w:t>Cainozoic sediments:</w:t>
      </w:r>
    </w:p>
    <w:p w14:paraId="4869A19F" w14:textId="173E030F" w:rsidR="00AA1A33" w:rsidRDefault="00AA1A33" w:rsidP="001628AA">
      <w:pPr>
        <w:pStyle w:val="BodyText"/>
        <w:numPr>
          <w:ilvl w:val="1"/>
          <w:numId w:val="27"/>
        </w:numPr>
        <w:spacing w:before="80" w:after="80"/>
      </w:pPr>
      <w:r>
        <w:t>Quaternary alluvium - unconfined aquifer localised along Isaac River</w:t>
      </w:r>
      <w:r w:rsidR="00141EDA">
        <w:t xml:space="preserve"> and its tributaries.</w:t>
      </w:r>
    </w:p>
    <w:p w14:paraId="15C709E6" w14:textId="24C000B2" w:rsidR="00AA1A33" w:rsidRDefault="00AA1A33" w:rsidP="001628AA">
      <w:pPr>
        <w:pStyle w:val="BodyText"/>
        <w:numPr>
          <w:ilvl w:val="1"/>
          <w:numId w:val="27"/>
        </w:numPr>
        <w:spacing w:before="80" w:after="80"/>
      </w:pPr>
      <w:r>
        <w:lastRenderedPageBreak/>
        <w:t>Regolith - unconfined and largely unsaturated unit bordering</w:t>
      </w:r>
      <w:r w:rsidR="00882579">
        <w:t xml:space="preserve"> the</w:t>
      </w:r>
      <w:r>
        <w:t xml:space="preserve"> alluvium.</w:t>
      </w:r>
    </w:p>
    <w:p w14:paraId="58CDC136" w14:textId="7691F242" w:rsidR="00AA1A33" w:rsidRDefault="00AA1A33" w:rsidP="001628AA">
      <w:pPr>
        <w:pStyle w:val="BodyText"/>
        <w:numPr>
          <w:ilvl w:val="0"/>
          <w:numId w:val="27"/>
        </w:numPr>
        <w:spacing w:before="80" w:after="80"/>
      </w:pPr>
      <w:r>
        <w:t xml:space="preserve">Triassic Rewan Group </w:t>
      </w:r>
      <w:r w:rsidR="004172EB">
        <w:t>–</w:t>
      </w:r>
      <w:r>
        <w:t xml:space="preserve"> aquitard</w:t>
      </w:r>
      <w:r w:rsidR="004172EB">
        <w:t>.</w:t>
      </w:r>
    </w:p>
    <w:p w14:paraId="18A525F0" w14:textId="77777777" w:rsidR="00AA1A33" w:rsidRDefault="00AA1A33" w:rsidP="001628AA">
      <w:pPr>
        <w:pStyle w:val="BodyText"/>
        <w:numPr>
          <w:ilvl w:val="0"/>
          <w:numId w:val="27"/>
        </w:numPr>
        <w:spacing w:before="80" w:after="80"/>
      </w:pPr>
      <w:r>
        <w:t>Permian coal measures with:</w:t>
      </w:r>
    </w:p>
    <w:p w14:paraId="0740B201" w14:textId="6C55B2D3" w:rsidR="00AA1A33" w:rsidRDefault="004C52BE" w:rsidP="001628AA">
      <w:pPr>
        <w:pStyle w:val="BodyText"/>
        <w:numPr>
          <w:ilvl w:val="1"/>
          <w:numId w:val="27"/>
        </w:numPr>
        <w:spacing w:before="80" w:after="80"/>
      </w:pPr>
      <w:r>
        <w:t>h</w:t>
      </w:r>
      <w:r w:rsidR="00AA1A33">
        <w:t>ydrogeologically ‘tight’ interburden units</w:t>
      </w:r>
      <w:r>
        <w:t>; and</w:t>
      </w:r>
    </w:p>
    <w:p w14:paraId="38B1BF3A" w14:textId="2EBA4AA8" w:rsidR="005C5E6F" w:rsidRDefault="004C52BE" w:rsidP="001628AA">
      <w:pPr>
        <w:pStyle w:val="BodyText"/>
        <w:numPr>
          <w:ilvl w:val="1"/>
          <w:numId w:val="27"/>
        </w:numPr>
        <w:spacing w:before="80" w:after="80"/>
      </w:pPr>
      <w:r>
        <w:t>c</w:t>
      </w:r>
      <w:r w:rsidR="00AA1A33">
        <w:t>oal sequences that exhibit secondary porosity through cracks and fissures.</w:t>
      </w:r>
    </w:p>
    <w:p w14:paraId="0014C2FD" w14:textId="06E33D13" w:rsidR="00337EBE" w:rsidRDefault="00337EBE" w:rsidP="00337EBE">
      <w:pPr>
        <w:pStyle w:val="BodyText"/>
      </w:pPr>
      <w:r>
        <w:t>Groundwater</w:t>
      </w:r>
      <w:r w:rsidRPr="00337EBE">
        <w:t xml:space="preserve"> within the </w:t>
      </w:r>
      <w:r>
        <w:t xml:space="preserve">Quaternary </w:t>
      </w:r>
      <w:r w:rsidRPr="00337EBE">
        <w:t xml:space="preserve">alluvium is fresh to moderately saline </w:t>
      </w:r>
      <w:r>
        <w:t>(</w:t>
      </w:r>
      <w:r w:rsidRPr="00337EBE">
        <w:t>averag</w:t>
      </w:r>
      <w:r>
        <w:t>ing</w:t>
      </w:r>
      <w:r w:rsidRPr="00337EBE">
        <w:t xml:space="preserve"> 1,458 mg/L</w:t>
      </w:r>
      <w:r>
        <w:t xml:space="preserve"> total dissolved solids</w:t>
      </w:r>
      <w:r w:rsidR="004C52BE">
        <w:t>(</w:t>
      </w:r>
      <w:r>
        <w:t>TDS)</w:t>
      </w:r>
      <w:r w:rsidR="004C52BE">
        <w:t>)</w:t>
      </w:r>
      <w:r>
        <w:t xml:space="preserve">, while groundwater </w:t>
      </w:r>
      <w:r w:rsidRPr="00337EBE">
        <w:t>within the regolith material is generally highly saline</w:t>
      </w:r>
      <w:r w:rsidR="004C52BE">
        <w:t>;</w:t>
      </w:r>
      <w:r w:rsidR="00882579">
        <w:t xml:space="preserve"> however</w:t>
      </w:r>
      <w:r w:rsidR="004C52BE">
        <w:t>,</w:t>
      </w:r>
      <w:r w:rsidR="00882579">
        <w:t xml:space="preserve"> some locations are </w:t>
      </w:r>
      <w:r w:rsidRPr="00337EBE">
        <w:t xml:space="preserve">brackish to moderately saline </w:t>
      </w:r>
      <w:r>
        <w:t xml:space="preserve">(averaging </w:t>
      </w:r>
      <w:r w:rsidRPr="00337EBE">
        <w:t>9,757 mg/L</w:t>
      </w:r>
      <w:r>
        <w:t xml:space="preserve"> TDS). Groundw</w:t>
      </w:r>
      <w:r w:rsidRPr="00337EBE">
        <w:t xml:space="preserve">ater within the Permian coal measures can range between fresh and highly saline but is generally </w:t>
      </w:r>
      <w:r w:rsidR="0034542E">
        <w:t xml:space="preserve">moderately </w:t>
      </w:r>
      <w:r w:rsidRPr="00337EBE">
        <w:t>saline within the coal seams</w:t>
      </w:r>
      <w:r>
        <w:t xml:space="preserve"> (averaging 7,402 mg/L TDS)</w:t>
      </w:r>
      <w:r w:rsidRPr="00337EBE">
        <w:t>, and brackish to moderately saline within the interburden units</w:t>
      </w:r>
      <w:r>
        <w:t xml:space="preserve"> (averaging 4,746 mg/L TDS).</w:t>
      </w:r>
    </w:p>
    <w:p w14:paraId="62A088B5" w14:textId="56AAAEA2" w:rsidR="0093523A" w:rsidRDefault="00882579" w:rsidP="0093523A">
      <w:pPr>
        <w:pStyle w:val="BodyText"/>
      </w:pPr>
      <w:r>
        <w:t>L</w:t>
      </w:r>
      <w:r w:rsidR="0093523A">
        <w:t>and within the Project area has been predominantly cleared for grazing and cropping, with small tracts of remnant vegetation remaining, mostly associated with riparian corridors of the Isaac River. Remnant vegetation is made up of the following vegetation types</w:t>
      </w:r>
      <w:r w:rsidR="004C52BE">
        <w:t>.</w:t>
      </w:r>
    </w:p>
    <w:p w14:paraId="43A97839" w14:textId="6D392BDD" w:rsidR="0093523A" w:rsidRDefault="0093523A" w:rsidP="001628AA">
      <w:pPr>
        <w:pStyle w:val="BodyText"/>
        <w:numPr>
          <w:ilvl w:val="0"/>
          <w:numId w:val="41"/>
        </w:numPr>
        <w:spacing w:before="80" w:after="80"/>
      </w:pPr>
      <w:r>
        <w:t>Eucalypt dry woodlands on inland d</w:t>
      </w:r>
      <w:r w:rsidR="00644819">
        <w:t>e</w:t>
      </w:r>
      <w:r>
        <w:t>positional plains.</w:t>
      </w:r>
    </w:p>
    <w:p w14:paraId="5775EED5" w14:textId="6F5C7DA2" w:rsidR="0093523A" w:rsidRDefault="0093523A" w:rsidP="001628AA">
      <w:pPr>
        <w:pStyle w:val="BodyText"/>
        <w:numPr>
          <w:ilvl w:val="0"/>
          <w:numId w:val="41"/>
        </w:numPr>
        <w:spacing w:before="80" w:after="80"/>
      </w:pPr>
      <w:r>
        <w:t>Eucalypt open forests to woodlands on floodplains.</w:t>
      </w:r>
    </w:p>
    <w:p w14:paraId="62585032" w14:textId="5E532715" w:rsidR="0093523A" w:rsidRDefault="0093523A" w:rsidP="001628AA">
      <w:pPr>
        <w:pStyle w:val="BodyText"/>
        <w:numPr>
          <w:ilvl w:val="0"/>
          <w:numId w:val="41"/>
        </w:numPr>
        <w:spacing w:before="80" w:after="80"/>
      </w:pPr>
      <w:r>
        <w:t xml:space="preserve">Eucalypt woodlands to open forests. </w:t>
      </w:r>
    </w:p>
    <w:p w14:paraId="710980CD" w14:textId="42A887B5" w:rsidR="0093523A" w:rsidRDefault="0093523A" w:rsidP="001628AA">
      <w:pPr>
        <w:pStyle w:val="BodyText"/>
        <w:numPr>
          <w:ilvl w:val="0"/>
          <w:numId w:val="41"/>
        </w:numPr>
        <w:spacing w:before="80" w:after="80"/>
      </w:pPr>
      <w:r>
        <w:t>Acacia dominated open forests, woodlands and shrubland.</w:t>
      </w:r>
    </w:p>
    <w:p w14:paraId="149F353B" w14:textId="10A5BE32" w:rsidR="0093523A" w:rsidRDefault="0093523A" w:rsidP="001628AA">
      <w:pPr>
        <w:pStyle w:val="BodyText"/>
        <w:numPr>
          <w:ilvl w:val="0"/>
          <w:numId w:val="41"/>
        </w:numPr>
        <w:spacing w:before="80" w:after="80"/>
      </w:pPr>
      <w:r>
        <w:t>Wetlands.</w:t>
      </w:r>
    </w:p>
    <w:p w14:paraId="3AC9DC8B" w14:textId="52C63661" w:rsidR="0093523A" w:rsidRDefault="0093523A" w:rsidP="001628AA">
      <w:pPr>
        <w:pStyle w:val="BodyText"/>
        <w:numPr>
          <w:ilvl w:val="0"/>
          <w:numId w:val="41"/>
        </w:numPr>
        <w:spacing w:before="80" w:after="80"/>
      </w:pPr>
      <w:r>
        <w:t>Other coastal communities and heaths.</w:t>
      </w:r>
    </w:p>
    <w:p w14:paraId="7CB872BA" w14:textId="20D8C538" w:rsidR="0093523A" w:rsidRDefault="0093523A" w:rsidP="001628AA">
      <w:pPr>
        <w:pStyle w:val="BodyText"/>
        <w:numPr>
          <w:ilvl w:val="0"/>
          <w:numId w:val="41"/>
        </w:numPr>
        <w:spacing w:before="80" w:after="80"/>
      </w:pPr>
      <w:r>
        <w:t>Tussock grasslands, forblands.</w:t>
      </w:r>
    </w:p>
    <w:p w14:paraId="674C4836" w14:textId="38B272B2" w:rsidR="00AA1A33" w:rsidRDefault="00574142" w:rsidP="00AA1A33">
      <w:pPr>
        <w:pStyle w:val="Heading3"/>
      </w:pPr>
      <w:bookmarkStart w:id="157" w:name="_Ref56168480"/>
      <w:bookmarkStart w:id="158" w:name="_Toc87278345"/>
      <w:r>
        <w:t xml:space="preserve">Proposed </w:t>
      </w:r>
      <w:r w:rsidR="003C5D94">
        <w:t xml:space="preserve">design of </w:t>
      </w:r>
      <w:r>
        <w:t>r</w:t>
      </w:r>
      <w:r w:rsidR="00AA1A33">
        <w:t>esidual voids</w:t>
      </w:r>
      <w:bookmarkEnd w:id="157"/>
      <w:bookmarkEnd w:id="158"/>
    </w:p>
    <w:p w14:paraId="0A3EADDB" w14:textId="73D11CA2" w:rsidR="00AA1A33" w:rsidRDefault="00E31A22" w:rsidP="001B50BF">
      <w:pPr>
        <w:pStyle w:val="BodyText"/>
      </w:pPr>
      <w:r>
        <w:t>Pembroke</w:t>
      </w:r>
      <w:r w:rsidR="002C4E0E">
        <w:t xml:space="preserve"> indicates that a</w:t>
      </w:r>
      <w:r w:rsidR="00364014">
        <w:t>t</w:t>
      </w:r>
      <w:r w:rsidR="00364014" w:rsidRPr="00364014">
        <w:t xml:space="preserve"> the cessation of mining, three final</w:t>
      </w:r>
      <w:r w:rsidR="009C11A6">
        <w:t>, partially</w:t>
      </w:r>
      <w:r w:rsidR="0065760C">
        <w:t>-</w:t>
      </w:r>
      <w:r w:rsidR="009C11A6">
        <w:t>backfilled</w:t>
      </w:r>
      <w:r w:rsidR="00364014" w:rsidRPr="00364014">
        <w:t xml:space="preserve"> voids </w:t>
      </w:r>
      <w:r w:rsidR="002C4E0E">
        <w:t>will</w:t>
      </w:r>
      <w:r w:rsidR="00364014" w:rsidRPr="00364014">
        <w:t xml:space="preserve"> remain within </w:t>
      </w:r>
      <w:r w:rsidR="00E805D3">
        <w:t>p</w:t>
      </w:r>
      <w:r w:rsidR="00364014" w:rsidRPr="00364014">
        <w:t>its ODS3</w:t>
      </w:r>
      <w:r w:rsidR="005354DE">
        <w:t xml:space="preserve"> and </w:t>
      </w:r>
      <w:r w:rsidR="00364014" w:rsidRPr="00364014">
        <w:t xml:space="preserve">ODS7/ODS8 </w:t>
      </w:r>
      <w:r w:rsidR="002C4E0E">
        <w:t xml:space="preserve">in the </w:t>
      </w:r>
      <w:r w:rsidR="005354DE">
        <w:t>Olive Downs South Domain</w:t>
      </w:r>
      <w:r w:rsidR="005354DE" w:rsidRPr="005354DE">
        <w:t xml:space="preserve"> </w:t>
      </w:r>
      <w:r w:rsidR="00364014" w:rsidRPr="00364014">
        <w:t>and WIL5</w:t>
      </w:r>
      <w:r w:rsidR="005354DE">
        <w:t xml:space="preserve"> </w:t>
      </w:r>
      <w:r w:rsidR="002C4E0E">
        <w:t xml:space="preserve">in the </w:t>
      </w:r>
      <w:r w:rsidR="005354DE">
        <w:t>Willunga Domain</w:t>
      </w:r>
      <w:r w:rsidR="00081C4C">
        <w:t xml:space="preserve"> (</w:t>
      </w:r>
      <w:r w:rsidR="00081C4C">
        <w:fldChar w:fldCharType="begin"/>
      </w:r>
      <w:r w:rsidR="00081C4C">
        <w:instrText xml:space="preserve"> REF _Ref56152865 \h </w:instrText>
      </w:r>
      <w:r w:rsidR="00081C4C">
        <w:fldChar w:fldCharType="separate"/>
      </w:r>
      <w:r w:rsidR="00937ADD">
        <w:t xml:space="preserve">Figure </w:t>
      </w:r>
      <w:r w:rsidR="00937ADD">
        <w:rPr>
          <w:noProof/>
        </w:rPr>
        <w:t>5</w:t>
      </w:r>
      <w:r w:rsidR="00937ADD">
        <w:noBreakHyphen/>
      </w:r>
      <w:r w:rsidR="00937ADD">
        <w:rPr>
          <w:noProof/>
        </w:rPr>
        <w:t>1</w:t>
      </w:r>
      <w:r w:rsidR="00081C4C">
        <w:fldChar w:fldCharType="end"/>
      </w:r>
      <w:r w:rsidR="00081C4C">
        <w:t>)</w:t>
      </w:r>
      <w:r w:rsidR="003C5D94">
        <w:t xml:space="preserve">. </w:t>
      </w:r>
      <w:r w:rsidR="002C4E0E">
        <w:t xml:space="preserve">The </w:t>
      </w:r>
      <w:r w:rsidR="004947D6">
        <w:t xml:space="preserve">proposed </w:t>
      </w:r>
      <w:r w:rsidR="003C5D94">
        <w:t xml:space="preserve">geometrics of the final void designs are presented in </w:t>
      </w:r>
      <w:r w:rsidR="003C5D94">
        <w:fldChar w:fldCharType="begin"/>
      </w:r>
      <w:r w:rsidR="003C5D94">
        <w:instrText xml:space="preserve"> REF _Ref56153292 \h </w:instrText>
      </w:r>
      <w:r w:rsidR="003C5D94">
        <w:fldChar w:fldCharType="separate"/>
      </w:r>
      <w:r w:rsidR="00937ADD">
        <w:t xml:space="preserve">Table </w:t>
      </w:r>
      <w:r w:rsidR="00937ADD">
        <w:rPr>
          <w:noProof/>
        </w:rPr>
        <w:t>5</w:t>
      </w:r>
      <w:r w:rsidR="00937ADD">
        <w:noBreakHyphen/>
      </w:r>
      <w:r w:rsidR="00937ADD">
        <w:rPr>
          <w:noProof/>
        </w:rPr>
        <w:t>1</w:t>
      </w:r>
      <w:r w:rsidR="003C5D94">
        <w:fldChar w:fldCharType="end"/>
      </w:r>
      <w:r w:rsidR="003C5D94">
        <w:t>.</w:t>
      </w:r>
    </w:p>
    <w:p w14:paraId="36310DEE" w14:textId="07100121" w:rsidR="00081C4C" w:rsidRDefault="00081C4C" w:rsidP="00081C4C">
      <w:pPr>
        <w:pStyle w:val="Caption"/>
      </w:pPr>
      <w:bookmarkStart w:id="159" w:name="_Ref56153292"/>
      <w:bookmarkStart w:id="160" w:name="_Toc65140582"/>
      <w:r>
        <w:t xml:space="preserve">Table </w:t>
      </w:r>
      <w:fldSimple w:instr=" STYLEREF 1 \s ">
        <w:r w:rsidR="00937ADD">
          <w:rPr>
            <w:noProof/>
          </w:rPr>
          <w:t>5</w:t>
        </w:r>
      </w:fldSimple>
      <w:r w:rsidR="002714CC">
        <w:noBreakHyphen/>
      </w:r>
      <w:fldSimple w:instr=" SEQ Table \* ARABIC \s 1 ">
        <w:r w:rsidR="00937ADD">
          <w:rPr>
            <w:noProof/>
          </w:rPr>
          <w:t>1</w:t>
        </w:r>
      </w:fldSimple>
      <w:bookmarkEnd w:id="159"/>
      <w:r>
        <w:t xml:space="preserve"> </w:t>
      </w:r>
      <w:r w:rsidR="004947D6">
        <w:t>Proposed g</w:t>
      </w:r>
      <w:r>
        <w:t>eometrics of final void design</w:t>
      </w:r>
      <w:r w:rsidR="003C5D94">
        <w:t xml:space="preserve"> (</w:t>
      </w:r>
      <w:r w:rsidR="003C5D94" w:rsidRPr="003C5D94">
        <w:t>Pembroke Resources, 2018)</w:t>
      </w:r>
      <w:bookmarkEnd w:id="160"/>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692"/>
        <w:gridCol w:w="1110"/>
        <w:gridCol w:w="1347"/>
        <w:gridCol w:w="1658"/>
        <w:gridCol w:w="2000"/>
      </w:tblGrid>
      <w:tr w:rsidR="00081C4C" w14:paraId="1060076E" w14:textId="6C0F3A17" w:rsidTr="00081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2" w:type="dxa"/>
          </w:tcPr>
          <w:p w14:paraId="01380515" w14:textId="77777777" w:rsidR="00081C4C" w:rsidRDefault="00081C4C" w:rsidP="004947D6">
            <w:pPr>
              <w:pStyle w:val="BodyText"/>
              <w:spacing w:before="60" w:beforeAutospacing="0" w:after="60" w:afterAutospacing="0" w:line="300" w:lineRule="auto"/>
              <w:jc w:val="center"/>
            </w:pPr>
            <w:r>
              <w:t>Final void</w:t>
            </w:r>
          </w:p>
        </w:tc>
        <w:tc>
          <w:tcPr>
            <w:tcW w:w="1110" w:type="dxa"/>
          </w:tcPr>
          <w:p w14:paraId="5D27A562" w14:textId="6F2F41B1" w:rsidR="00081C4C" w:rsidRDefault="00081C4C" w:rsidP="004947D6">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Depth (m)</w:t>
            </w:r>
          </w:p>
        </w:tc>
        <w:tc>
          <w:tcPr>
            <w:tcW w:w="1347" w:type="dxa"/>
          </w:tcPr>
          <w:p w14:paraId="550087A1" w14:textId="092A5746" w:rsidR="00081C4C" w:rsidRDefault="00081C4C" w:rsidP="004947D6">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Volume Mm</w:t>
            </w:r>
            <w:r w:rsidRPr="00081C4C">
              <w:rPr>
                <w:vertAlign w:val="superscript"/>
              </w:rPr>
              <w:t>3</w:t>
            </w:r>
          </w:p>
        </w:tc>
        <w:tc>
          <w:tcPr>
            <w:tcW w:w="1658" w:type="dxa"/>
          </w:tcPr>
          <w:p w14:paraId="29729AEA" w14:textId="262A359A" w:rsidR="00081C4C" w:rsidRDefault="00081C4C" w:rsidP="004947D6">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Overflow level of void (m</w:t>
            </w:r>
            <w:r w:rsidR="00574499">
              <w:t xml:space="preserve"> </w:t>
            </w:r>
            <w:r>
              <w:t>AHD)</w:t>
            </w:r>
          </w:p>
        </w:tc>
        <w:tc>
          <w:tcPr>
            <w:tcW w:w="2000" w:type="dxa"/>
          </w:tcPr>
          <w:p w14:paraId="1F34652A" w14:textId="35EFBFF1" w:rsidR="00081C4C" w:rsidRDefault="00081C4C" w:rsidP="004947D6">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Overflow level to receiving environment (m</w:t>
            </w:r>
            <w:r w:rsidR="00574499">
              <w:t xml:space="preserve"> </w:t>
            </w:r>
            <w:r>
              <w:t>AHD)</w:t>
            </w:r>
          </w:p>
        </w:tc>
      </w:tr>
      <w:tr w:rsidR="00081C4C" w14:paraId="0EF5029C" w14:textId="3819C9CF" w:rsidTr="003C5D94">
        <w:trPr>
          <w:trHeight w:val="378"/>
        </w:trPr>
        <w:tc>
          <w:tcPr>
            <w:cnfStyle w:val="001000000000" w:firstRow="0" w:lastRow="0" w:firstColumn="1" w:lastColumn="0" w:oddVBand="0" w:evenVBand="0" w:oddHBand="0" w:evenHBand="0" w:firstRowFirstColumn="0" w:firstRowLastColumn="0" w:lastRowFirstColumn="0" w:lastRowLastColumn="0"/>
            <w:tcW w:w="1692" w:type="dxa"/>
          </w:tcPr>
          <w:p w14:paraId="4F09B591" w14:textId="39629C4C" w:rsidR="00081C4C" w:rsidRPr="00F315EC" w:rsidRDefault="00081C4C" w:rsidP="003C5D94">
            <w:pPr>
              <w:pStyle w:val="BodyText"/>
              <w:spacing w:before="60" w:beforeAutospacing="0" w:after="60" w:afterAutospacing="0" w:line="300" w:lineRule="auto"/>
              <w:rPr>
                <w:b/>
                <w:bCs/>
              </w:rPr>
            </w:pPr>
            <w:r w:rsidRPr="00F315EC">
              <w:rPr>
                <w:b/>
                <w:bCs/>
              </w:rPr>
              <w:t>ODS3</w:t>
            </w:r>
          </w:p>
        </w:tc>
        <w:tc>
          <w:tcPr>
            <w:tcW w:w="1110" w:type="dxa"/>
          </w:tcPr>
          <w:p w14:paraId="428754C4" w14:textId="088C46B9"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275</w:t>
            </w:r>
          </w:p>
        </w:tc>
        <w:tc>
          <w:tcPr>
            <w:tcW w:w="1347" w:type="dxa"/>
          </w:tcPr>
          <w:p w14:paraId="5CCBBBEB" w14:textId="37CF9384"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360</w:t>
            </w:r>
          </w:p>
        </w:tc>
        <w:tc>
          <w:tcPr>
            <w:tcW w:w="1658" w:type="dxa"/>
          </w:tcPr>
          <w:p w14:paraId="23913E6F" w14:textId="25E39EA3"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172</w:t>
            </w:r>
          </w:p>
        </w:tc>
        <w:tc>
          <w:tcPr>
            <w:tcW w:w="2000" w:type="dxa"/>
          </w:tcPr>
          <w:p w14:paraId="505FE3F6" w14:textId="5E7A10E0"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194</w:t>
            </w:r>
          </w:p>
        </w:tc>
      </w:tr>
      <w:tr w:rsidR="00081C4C" w14:paraId="678D438F" w14:textId="09B94570" w:rsidTr="00081C4C">
        <w:tc>
          <w:tcPr>
            <w:cnfStyle w:val="001000000000" w:firstRow="0" w:lastRow="0" w:firstColumn="1" w:lastColumn="0" w:oddVBand="0" w:evenVBand="0" w:oddHBand="0" w:evenHBand="0" w:firstRowFirstColumn="0" w:firstRowLastColumn="0" w:lastRowFirstColumn="0" w:lastRowLastColumn="0"/>
            <w:tcW w:w="1692" w:type="dxa"/>
          </w:tcPr>
          <w:p w14:paraId="496A132C" w14:textId="2F4DE488" w:rsidR="00081C4C" w:rsidRPr="00F315EC" w:rsidRDefault="00081C4C" w:rsidP="003C5D94">
            <w:pPr>
              <w:pStyle w:val="BodyText"/>
              <w:spacing w:before="60" w:beforeAutospacing="0" w:after="60" w:afterAutospacing="0" w:line="300" w:lineRule="auto"/>
              <w:rPr>
                <w:b/>
                <w:bCs/>
              </w:rPr>
            </w:pPr>
            <w:r w:rsidRPr="00F315EC">
              <w:rPr>
                <w:b/>
                <w:bCs/>
              </w:rPr>
              <w:t xml:space="preserve">ODS7/ODS8 </w:t>
            </w:r>
            <w:r w:rsidRPr="00F315EC">
              <w:rPr>
                <w:b/>
                <w:bCs/>
                <w:vertAlign w:val="superscript"/>
              </w:rPr>
              <w:t>(1)</w:t>
            </w:r>
          </w:p>
        </w:tc>
        <w:tc>
          <w:tcPr>
            <w:tcW w:w="1110" w:type="dxa"/>
          </w:tcPr>
          <w:p w14:paraId="056E5E4C" w14:textId="6893F5CE"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289</w:t>
            </w:r>
          </w:p>
        </w:tc>
        <w:tc>
          <w:tcPr>
            <w:tcW w:w="1347" w:type="dxa"/>
          </w:tcPr>
          <w:p w14:paraId="76243EE1" w14:textId="1A639F12"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670</w:t>
            </w:r>
          </w:p>
        </w:tc>
        <w:tc>
          <w:tcPr>
            <w:tcW w:w="1658" w:type="dxa"/>
          </w:tcPr>
          <w:p w14:paraId="3953C84E" w14:textId="610707A8"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163</w:t>
            </w:r>
          </w:p>
        </w:tc>
        <w:tc>
          <w:tcPr>
            <w:tcW w:w="2000" w:type="dxa"/>
          </w:tcPr>
          <w:p w14:paraId="23A990D6" w14:textId="69315086"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178</w:t>
            </w:r>
          </w:p>
        </w:tc>
      </w:tr>
      <w:tr w:rsidR="00081C4C" w14:paraId="592E84E9" w14:textId="3B262F98" w:rsidTr="00081C4C">
        <w:tc>
          <w:tcPr>
            <w:cnfStyle w:val="001000000000" w:firstRow="0" w:lastRow="0" w:firstColumn="1" w:lastColumn="0" w:oddVBand="0" w:evenVBand="0" w:oddHBand="0" w:evenHBand="0" w:firstRowFirstColumn="0" w:firstRowLastColumn="0" w:lastRowFirstColumn="0" w:lastRowLastColumn="0"/>
            <w:tcW w:w="1692" w:type="dxa"/>
          </w:tcPr>
          <w:p w14:paraId="6E464732" w14:textId="6EBB0CEF" w:rsidR="00081C4C" w:rsidRPr="00F315EC" w:rsidRDefault="00081C4C" w:rsidP="003C5D94">
            <w:pPr>
              <w:pStyle w:val="BodyText"/>
              <w:spacing w:before="60" w:beforeAutospacing="0" w:after="60" w:afterAutospacing="0" w:line="300" w:lineRule="auto"/>
              <w:rPr>
                <w:b/>
                <w:bCs/>
              </w:rPr>
            </w:pPr>
            <w:r w:rsidRPr="00F315EC">
              <w:rPr>
                <w:b/>
                <w:bCs/>
              </w:rPr>
              <w:t>WIL5</w:t>
            </w:r>
          </w:p>
        </w:tc>
        <w:tc>
          <w:tcPr>
            <w:tcW w:w="1110" w:type="dxa"/>
          </w:tcPr>
          <w:p w14:paraId="19262E65" w14:textId="300BFC54"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227</w:t>
            </w:r>
          </w:p>
        </w:tc>
        <w:tc>
          <w:tcPr>
            <w:tcW w:w="1347" w:type="dxa"/>
          </w:tcPr>
          <w:p w14:paraId="68CE9B73" w14:textId="60F74C96"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720</w:t>
            </w:r>
          </w:p>
        </w:tc>
        <w:tc>
          <w:tcPr>
            <w:tcW w:w="1658" w:type="dxa"/>
          </w:tcPr>
          <w:p w14:paraId="2BB4B7E3" w14:textId="79AD2CE9"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157</w:t>
            </w:r>
          </w:p>
        </w:tc>
        <w:tc>
          <w:tcPr>
            <w:tcW w:w="2000" w:type="dxa"/>
          </w:tcPr>
          <w:p w14:paraId="42FCA97E" w14:textId="3F99DAF5" w:rsidR="00081C4C" w:rsidRDefault="00081C4C" w:rsidP="003C5D94">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161</w:t>
            </w:r>
          </w:p>
        </w:tc>
      </w:tr>
    </w:tbl>
    <w:p w14:paraId="6271878B" w14:textId="77777777" w:rsidR="00081C4C" w:rsidRPr="00081C4C" w:rsidRDefault="00081C4C" w:rsidP="00081C4C">
      <w:pPr>
        <w:pStyle w:val="BodyText"/>
        <w:spacing w:before="0" w:after="0"/>
        <w:rPr>
          <w:rFonts w:cstheme="minorHAnsi"/>
          <w:b/>
          <w:bCs/>
          <w:i/>
          <w:iCs/>
          <w:sz w:val="18"/>
          <w:szCs w:val="18"/>
        </w:rPr>
      </w:pPr>
      <w:r w:rsidRPr="00081C4C">
        <w:rPr>
          <w:rFonts w:cstheme="minorHAnsi"/>
          <w:b/>
          <w:bCs/>
          <w:i/>
          <w:iCs/>
          <w:sz w:val="18"/>
          <w:szCs w:val="18"/>
        </w:rPr>
        <w:t>Note:</w:t>
      </w:r>
    </w:p>
    <w:p w14:paraId="6E2F9576" w14:textId="5E5CD00C" w:rsidR="00574142" w:rsidRPr="004947D6" w:rsidRDefault="00081C4C" w:rsidP="004947D6">
      <w:pPr>
        <w:pStyle w:val="BodyText"/>
        <w:spacing w:before="0" w:after="0"/>
        <w:rPr>
          <w:rFonts w:cstheme="minorHAnsi"/>
          <w:i/>
          <w:iCs/>
          <w:sz w:val="18"/>
          <w:szCs w:val="18"/>
        </w:rPr>
      </w:pPr>
      <w:r w:rsidRPr="00081C4C">
        <w:rPr>
          <w:rFonts w:cstheme="minorHAnsi"/>
          <w:i/>
          <w:iCs/>
          <w:sz w:val="18"/>
          <w:szCs w:val="18"/>
        </w:rPr>
        <w:t>(1</w:t>
      </w:r>
      <w:r>
        <w:rPr>
          <w:rFonts w:cstheme="minorHAnsi"/>
          <w:i/>
          <w:iCs/>
          <w:sz w:val="18"/>
          <w:szCs w:val="18"/>
        </w:rPr>
        <w:t xml:space="preserve">) </w:t>
      </w:r>
      <w:r w:rsidR="002C4E0E" w:rsidRPr="00081C4C">
        <w:rPr>
          <w:rFonts w:cstheme="minorHAnsi"/>
          <w:i/>
          <w:iCs/>
          <w:sz w:val="18"/>
          <w:szCs w:val="18"/>
        </w:rPr>
        <w:t>ODS7 and ODS8 will connect to form one final void.</w:t>
      </w:r>
      <w:r w:rsidR="00FC5123" w:rsidRPr="00081C4C">
        <w:rPr>
          <w:rFonts w:cstheme="minorHAnsi"/>
          <w:i/>
          <w:iCs/>
          <w:sz w:val="18"/>
          <w:szCs w:val="18"/>
        </w:rPr>
        <w:t xml:space="preserve"> ODS3 and ODS7/ODS8 will be separated by waste rock material, enabling flow-through from ODS3 towards ODS7/ODS8.</w:t>
      </w:r>
    </w:p>
    <w:p w14:paraId="428524E6" w14:textId="77777777" w:rsidR="00882579" w:rsidRDefault="00C97BF2" w:rsidP="00281249">
      <w:pPr>
        <w:pStyle w:val="BodyText"/>
        <w:sectPr w:rsidR="00882579" w:rsidSect="00644EED">
          <w:headerReference w:type="default" r:id="rId23"/>
          <w:footerReference w:type="default" r:id="rId24"/>
          <w:pgSz w:w="11907" w:h="16839" w:code="9"/>
          <w:pgMar w:top="1440" w:right="1440" w:bottom="1134" w:left="1440" w:header="340" w:footer="340" w:gutter="0"/>
          <w:pgNumType w:start="1"/>
          <w:cols w:space="708"/>
          <w:docGrid w:linePitch="360"/>
        </w:sectPr>
      </w:pPr>
      <w:r>
        <w:br w:type="page"/>
      </w:r>
    </w:p>
    <w:p w14:paraId="245B77F0" w14:textId="49A6313F" w:rsidR="00081C4C" w:rsidRDefault="004947D6" w:rsidP="004947D6">
      <w:pPr>
        <w:pStyle w:val="Caption"/>
      </w:pPr>
      <w:bookmarkStart w:id="161" w:name="_Ref56152865"/>
      <w:bookmarkStart w:id="162" w:name="_Toc65140607"/>
      <w:bookmarkStart w:id="163" w:name="_Hlk56426531"/>
      <w:r>
        <w:rPr>
          <w:noProof/>
        </w:rPr>
        <w:lastRenderedPageBreak/>
        <w:drawing>
          <wp:anchor distT="0" distB="0" distL="114300" distR="114300" simplePos="0" relativeHeight="251658243" behindDoc="1" locked="0" layoutInCell="1" allowOverlap="1" wp14:anchorId="49B53AE0" wp14:editId="00DBD49F">
            <wp:simplePos x="0" y="0"/>
            <wp:positionH relativeFrom="column">
              <wp:posOffset>3827780</wp:posOffset>
            </wp:positionH>
            <wp:positionV relativeFrom="paragraph">
              <wp:posOffset>317500</wp:posOffset>
            </wp:positionV>
            <wp:extent cx="3855600" cy="5306400"/>
            <wp:effectExtent l="0" t="0" r="0" b="8890"/>
            <wp:wrapTight wrapText="bothSides">
              <wp:wrapPolygon edited="0">
                <wp:start x="0" y="0"/>
                <wp:lineTo x="0" y="21559"/>
                <wp:lineTo x="21454" y="21559"/>
                <wp:lineTo x="21454" y="0"/>
                <wp:lineTo x="0" y="0"/>
              </wp:wrapPolygon>
            </wp:wrapTight>
            <wp:docPr id="3" name="Picture 3" descr="Schematic,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3855600" cy="530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C4C">
        <w:t xml:space="preserve">Figure </w:t>
      </w:r>
      <w:fldSimple w:instr=" STYLEREF 1 \s ">
        <w:r w:rsidR="00937ADD">
          <w:rPr>
            <w:noProof/>
          </w:rPr>
          <w:t>5</w:t>
        </w:r>
      </w:fldSimple>
      <w:r w:rsidR="002706A0">
        <w:noBreakHyphen/>
      </w:r>
      <w:fldSimple w:instr=" SEQ Figure \* ARABIC \s 1 ">
        <w:r w:rsidR="00937ADD">
          <w:rPr>
            <w:noProof/>
          </w:rPr>
          <w:t>1</w:t>
        </w:r>
      </w:fldSimple>
      <w:bookmarkEnd w:id="161"/>
      <w:r w:rsidR="00081C4C">
        <w:t xml:space="preserve"> Olive Downs Coking Coal Project - Final voids</w:t>
      </w:r>
      <w:r w:rsidR="00C97BF2">
        <w:t xml:space="preserve"> (</w:t>
      </w:r>
      <w:r w:rsidR="00C97BF2" w:rsidRPr="00C97BF2">
        <w:t>Pembroke Resources, 2018)</w:t>
      </w:r>
      <w:bookmarkEnd w:id="162"/>
    </w:p>
    <w:bookmarkEnd w:id="163"/>
    <w:p w14:paraId="605134AA" w14:textId="30DFD7B2" w:rsidR="00081C4C" w:rsidRDefault="00C97BF2" w:rsidP="00081C4C">
      <w:pPr>
        <w:pStyle w:val="BodyText"/>
      </w:pPr>
      <w:r>
        <w:rPr>
          <w:noProof/>
        </w:rPr>
        <w:drawing>
          <wp:anchor distT="0" distB="0" distL="114300" distR="114300" simplePos="0" relativeHeight="251658242" behindDoc="1" locked="0" layoutInCell="1" allowOverlap="1" wp14:anchorId="1676B690" wp14:editId="600CA326">
            <wp:simplePos x="0" y="0"/>
            <wp:positionH relativeFrom="column">
              <wp:posOffset>3175</wp:posOffset>
            </wp:positionH>
            <wp:positionV relativeFrom="paragraph">
              <wp:posOffset>5715</wp:posOffset>
            </wp:positionV>
            <wp:extent cx="3823970" cy="5307965"/>
            <wp:effectExtent l="0" t="0" r="5080" b="6985"/>
            <wp:wrapTight wrapText="bothSides">
              <wp:wrapPolygon edited="0">
                <wp:start x="0" y="0"/>
                <wp:lineTo x="0" y="21551"/>
                <wp:lineTo x="21521" y="21551"/>
                <wp:lineTo x="21521" y="0"/>
                <wp:lineTo x="0" y="0"/>
              </wp:wrapPolygon>
            </wp:wrapTight>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3823970" cy="5307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D3217" w14:textId="264409DD" w:rsidR="00882579" w:rsidRDefault="00882579" w:rsidP="00081C4C">
      <w:pPr>
        <w:pStyle w:val="BodyText"/>
      </w:pPr>
    </w:p>
    <w:p w14:paraId="6885673C" w14:textId="43665267" w:rsidR="00882579" w:rsidRDefault="00882579" w:rsidP="00081C4C">
      <w:pPr>
        <w:pStyle w:val="BodyText"/>
        <w:sectPr w:rsidR="00882579" w:rsidSect="00BA0B9D">
          <w:pgSz w:w="16839" w:h="11907" w:orient="landscape" w:code="9"/>
          <w:pgMar w:top="1440" w:right="1440" w:bottom="1440" w:left="1134" w:header="340" w:footer="340" w:gutter="0"/>
          <w:cols w:space="708"/>
          <w:docGrid w:linePitch="360"/>
        </w:sectPr>
      </w:pPr>
    </w:p>
    <w:p w14:paraId="2CE63470" w14:textId="5D6358DF" w:rsidR="004947D6" w:rsidRPr="003C5D94" w:rsidRDefault="004947D6" w:rsidP="004947D6">
      <w:pPr>
        <w:pStyle w:val="BodyText"/>
      </w:pPr>
      <w:bookmarkStart w:id="164" w:name="_Ref56168462"/>
      <w:r w:rsidRPr="003C5D94">
        <w:lastRenderedPageBreak/>
        <w:t>In reference to flood and overland flow protection the following design features of the voids are also reported</w:t>
      </w:r>
      <w:r w:rsidR="004C52BE">
        <w:t>.</w:t>
      </w:r>
      <w:r w:rsidRPr="003C5D94">
        <w:t xml:space="preserve"> </w:t>
      </w:r>
    </w:p>
    <w:p w14:paraId="167688A1" w14:textId="30C3928D" w:rsidR="004947D6" w:rsidRDefault="004947D6" w:rsidP="001628AA">
      <w:pPr>
        <w:pStyle w:val="BodyText"/>
        <w:numPr>
          <w:ilvl w:val="0"/>
          <w:numId w:val="27"/>
        </w:numPr>
        <w:spacing w:before="80" w:after="80"/>
      </w:pPr>
      <w:r w:rsidRPr="00574142">
        <w:t xml:space="preserve">ODS3 and ODS7/ODS8 would be located within the extent of the existing Isaac River floodplain (i.e. within the 1:1000 </w:t>
      </w:r>
      <w:r w:rsidRPr="003C5D94">
        <w:t>annual exceedance probability</w:t>
      </w:r>
      <w:r>
        <w:t xml:space="preserve"> (</w:t>
      </w:r>
      <w:r w:rsidRPr="00574142">
        <w:t>AEP</w:t>
      </w:r>
      <w:r>
        <w:t>)</w:t>
      </w:r>
      <w:r w:rsidRPr="00574142">
        <w:t xml:space="preserve"> extent). The construction of permanent highwall emplacements to the east and southeast of the proposed Olive Downs South domain open</w:t>
      </w:r>
      <w:r w:rsidR="004C52BE">
        <w:t>-</w:t>
      </w:r>
      <w:r w:rsidRPr="00574142">
        <w:t xml:space="preserve">cut </w:t>
      </w:r>
      <w:r w:rsidR="004C52BE">
        <w:t xml:space="preserve">coal </w:t>
      </w:r>
      <w:r w:rsidRPr="00574142">
        <w:t>pits adjacent to the Isaac River floodplain would isolate the mining operation from the floodplain and provide immunity to flood levels up to a</w:t>
      </w:r>
      <w:r>
        <w:t xml:space="preserve"> Probable Maximum Flood (PMF) </w:t>
      </w:r>
      <w:r w:rsidRPr="00574142">
        <w:t>event</w:t>
      </w:r>
      <w:r>
        <w:t xml:space="preserve">. </w:t>
      </w:r>
      <w:r w:rsidRPr="00574142">
        <w:t>In effect, the highwall emplacements would redefine the floodplain extent, such that the open</w:t>
      </w:r>
      <w:r w:rsidR="004C52BE">
        <w:t>-</w:t>
      </w:r>
      <w:r w:rsidRPr="00574142">
        <w:t>cut mining operation</w:t>
      </w:r>
      <w:r>
        <w:t xml:space="preserve">, </w:t>
      </w:r>
      <w:r w:rsidRPr="00574142">
        <w:t>and the final voids</w:t>
      </w:r>
      <w:r>
        <w:t>,</w:t>
      </w:r>
      <w:r w:rsidRPr="00574142">
        <w:t xml:space="preserve"> would not be located within a floodplain.</w:t>
      </w:r>
    </w:p>
    <w:p w14:paraId="5C643718" w14:textId="77777777" w:rsidR="004947D6" w:rsidRDefault="004947D6" w:rsidP="001628AA">
      <w:pPr>
        <w:pStyle w:val="BodyText"/>
        <w:numPr>
          <w:ilvl w:val="0"/>
          <w:numId w:val="27"/>
        </w:numPr>
        <w:spacing w:before="80" w:after="80"/>
      </w:pPr>
      <w:r w:rsidRPr="005354DE">
        <w:t>WIL5 would be protected from overland flows by a perimeter bund</w:t>
      </w:r>
      <w:r>
        <w:t xml:space="preserve"> such that </w:t>
      </w:r>
      <w:r w:rsidRPr="005354DE">
        <w:t>rising flood waters from the Isaac River would not reach</w:t>
      </w:r>
      <w:r>
        <w:t xml:space="preserve"> the void</w:t>
      </w:r>
      <w:r w:rsidRPr="005354DE">
        <w:t>.</w:t>
      </w:r>
    </w:p>
    <w:p w14:paraId="794FF331" w14:textId="7F1D36E1" w:rsidR="004947D6" w:rsidRDefault="004947D6" w:rsidP="004947D6">
      <w:pPr>
        <w:pStyle w:val="BodyText"/>
      </w:pPr>
      <w:r w:rsidRPr="00785418">
        <w:t>Catchment areas of the final voids would be minimised through the construction of upslope drains/bunds to direct runoff around the voids to the surrounding landscape.</w:t>
      </w:r>
    </w:p>
    <w:p w14:paraId="195B3868" w14:textId="3B5A3E93" w:rsidR="00A01C7D" w:rsidRPr="00E6199D" w:rsidRDefault="00A01C7D" w:rsidP="00A01C7D">
      <w:pPr>
        <w:pStyle w:val="Heading3"/>
      </w:pPr>
      <w:bookmarkStart w:id="165" w:name="_Ref58312198"/>
      <w:bookmarkStart w:id="166" w:name="_Toc87278346"/>
      <w:r w:rsidRPr="00E6199D">
        <w:t xml:space="preserve">Conceptualisation of </w:t>
      </w:r>
      <w:r w:rsidR="00875A45" w:rsidRPr="00E6199D">
        <w:t>f</w:t>
      </w:r>
      <w:r w:rsidRPr="00E6199D">
        <w:t>low regime</w:t>
      </w:r>
      <w:bookmarkEnd w:id="164"/>
      <w:bookmarkEnd w:id="165"/>
      <w:bookmarkEnd w:id="166"/>
    </w:p>
    <w:p w14:paraId="363B546E" w14:textId="77777777" w:rsidR="00785418" w:rsidRDefault="009553DB" w:rsidP="009451D7">
      <w:pPr>
        <w:pStyle w:val="BodyText"/>
      </w:pPr>
      <w:bookmarkStart w:id="167" w:name="_Hlk56503925"/>
      <w:r>
        <w:t>Existing data and information, supplemented by monitoring and site investigations formed the basis of the baseline surface water and groundwater assessment, and accompanying impact assessment, prepared for the EIS (</w:t>
      </w:r>
      <w:r w:rsidRPr="009553DB">
        <w:t>Pembroke Resources, 2018</w:t>
      </w:r>
      <w:r>
        <w:t xml:space="preserve"> &amp; 2019</w:t>
      </w:r>
      <w:r w:rsidRPr="009553DB">
        <w:t>)</w:t>
      </w:r>
      <w:r>
        <w:t xml:space="preserve">. </w:t>
      </w:r>
      <w:bookmarkEnd w:id="167"/>
    </w:p>
    <w:p w14:paraId="6B0FC2A0" w14:textId="5B98ABEC" w:rsidR="009C11A6" w:rsidRPr="00785418" w:rsidRDefault="009553DB" w:rsidP="009C11A6">
      <w:pPr>
        <w:pStyle w:val="BodyText"/>
      </w:pPr>
      <w:r>
        <w:t>A G</w:t>
      </w:r>
      <w:r w:rsidR="00863355">
        <w:t xml:space="preserve">oldSim </w:t>
      </w:r>
      <w:r>
        <w:t xml:space="preserve">model (coupled with </w:t>
      </w:r>
      <w:r w:rsidR="00B43E7C">
        <w:t>predicted groundwater inflows</w:t>
      </w:r>
      <w:r>
        <w:t xml:space="preserve"> from the </w:t>
      </w:r>
      <w:r w:rsidR="00B43E7C">
        <w:t xml:space="preserve">site’s </w:t>
      </w:r>
      <w:r>
        <w:t>groundwater model</w:t>
      </w:r>
      <w:r w:rsidR="00B43E7C">
        <w:t xml:space="preserve">) </w:t>
      </w:r>
      <w:r>
        <w:t xml:space="preserve">was employed in the EIS to conceptualise and assess the post-mining equilibrated final void flow regimes. </w:t>
      </w:r>
      <w:r w:rsidR="00785418">
        <w:t>Climate data used in the model was generated from</w:t>
      </w:r>
      <w:r w:rsidR="00785418" w:rsidRPr="00785418">
        <w:t xml:space="preserve"> historical rainfall and evaporation sequences (128 years</w:t>
      </w:r>
      <w:r w:rsidR="00785418">
        <w:t xml:space="preserve"> in total, repeating 5 times</w:t>
      </w:r>
      <w:r w:rsidR="00785418" w:rsidRPr="00785418">
        <w:t>).</w:t>
      </w:r>
      <w:r w:rsidR="00785418">
        <w:t xml:space="preserve"> </w:t>
      </w:r>
      <w:r w:rsidR="009C11A6">
        <w:t xml:space="preserve">Given the uncertainty regarding void evaporation factors, </w:t>
      </w:r>
      <w:r w:rsidR="00785418" w:rsidRPr="00785418">
        <w:t xml:space="preserve">a </w:t>
      </w:r>
      <w:bookmarkStart w:id="168" w:name="_Hlk59364552"/>
      <w:r w:rsidR="00785418" w:rsidRPr="00785418">
        <w:t xml:space="preserve">sensitivity </w:t>
      </w:r>
      <w:r w:rsidR="009C11A6">
        <w:t>analysis</w:t>
      </w:r>
      <w:r w:rsidR="00785418" w:rsidRPr="00785418">
        <w:t xml:space="preserve"> </w:t>
      </w:r>
      <w:r w:rsidR="009C11A6">
        <w:t>adopt</w:t>
      </w:r>
      <w:r w:rsidR="00B279A3">
        <w:t>ing</w:t>
      </w:r>
      <w:r w:rsidR="009C11A6">
        <w:t xml:space="preserve"> </w:t>
      </w:r>
      <w:r w:rsidR="006829F7">
        <w:t xml:space="preserve">reduced and </w:t>
      </w:r>
      <w:r w:rsidR="009C11A6">
        <w:t>increased</w:t>
      </w:r>
      <w:r w:rsidR="00785418" w:rsidRPr="00785418">
        <w:t xml:space="preserve"> evaporation factors </w:t>
      </w:r>
      <w:bookmarkEnd w:id="168"/>
      <w:r w:rsidR="009C11A6">
        <w:t xml:space="preserve">was </w:t>
      </w:r>
      <w:r w:rsidR="00785418" w:rsidRPr="00785418">
        <w:t>undertaken</w:t>
      </w:r>
      <w:r w:rsidR="009C11A6">
        <w:t xml:space="preserve"> to </w:t>
      </w:r>
      <w:r w:rsidR="009C11A6" w:rsidRPr="00785418">
        <w:t>assess th</w:t>
      </w:r>
      <w:r w:rsidR="00B279A3">
        <w:t>is parameter</w:t>
      </w:r>
      <w:r w:rsidR="009C11A6" w:rsidRPr="00785418">
        <w:t xml:space="preserve"> on equilibrium </w:t>
      </w:r>
      <w:r w:rsidR="00B279A3">
        <w:t xml:space="preserve">‘pit lake’ water </w:t>
      </w:r>
      <w:r w:rsidR="009C11A6" w:rsidRPr="00785418">
        <w:t>level</w:t>
      </w:r>
      <w:r w:rsidR="00B279A3">
        <w:t>s and qualities</w:t>
      </w:r>
      <w:r w:rsidR="009C11A6" w:rsidRPr="00785418">
        <w:t xml:space="preserve"> within the final voids</w:t>
      </w:r>
      <w:r w:rsidR="009C11A6">
        <w:t>.</w:t>
      </w:r>
    </w:p>
    <w:p w14:paraId="072BC78D" w14:textId="4D7B213C" w:rsidR="009451D7" w:rsidRDefault="009451D7" w:rsidP="009451D7">
      <w:pPr>
        <w:pStyle w:val="BodyText"/>
      </w:pPr>
      <w:r>
        <w:t xml:space="preserve">Flood modelling conducted as part of the wider EIS also informed the void flood risk assessment and design features to mitigate the flood risk to these features. </w:t>
      </w:r>
    </w:p>
    <w:p w14:paraId="5DBD804D" w14:textId="3C8D8A77" w:rsidR="00B43E7C" w:rsidRDefault="00B43E7C" w:rsidP="00826394">
      <w:pPr>
        <w:pStyle w:val="BodyText"/>
      </w:pPr>
      <w:bookmarkStart w:id="169" w:name="_Hlk56429247"/>
      <w:r>
        <w:t>The components of the void’s water balance are predicted to be:</w:t>
      </w:r>
    </w:p>
    <w:p w14:paraId="33855714" w14:textId="525A01F5" w:rsidR="00826394" w:rsidRDefault="00826394" w:rsidP="001628AA">
      <w:pPr>
        <w:pStyle w:val="BodyText"/>
        <w:numPr>
          <w:ilvl w:val="0"/>
          <w:numId w:val="28"/>
        </w:numPr>
        <w:spacing w:before="80" w:after="80"/>
      </w:pPr>
      <w:r w:rsidRPr="00826394">
        <w:t>Inflows</w:t>
      </w:r>
      <w:r>
        <w:t>:</w:t>
      </w:r>
    </w:p>
    <w:p w14:paraId="5CD09BF8" w14:textId="441C23BB" w:rsidR="00B43E7C" w:rsidRDefault="00826394" w:rsidP="001628AA">
      <w:pPr>
        <w:pStyle w:val="BodyText"/>
        <w:numPr>
          <w:ilvl w:val="1"/>
          <w:numId w:val="27"/>
        </w:numPr>
        <w:spacing w:before="80" w:after="80"/>
      </w:pPr>
      <w:r>
        <w:t>I</w:t>
      </w:r>
      <w:r w:rsidRPr="00826394">
        <w:t>ncident rainfall</w:t>
      </w:r>
      <w:r w:rsidR="004C52BE">
        <w:t>;</w:t>
      </w:r>
    </w:p>
    <w:p w14:paraId="521DF791" w14:textId="069383F8" w:rsidR="00B43E7C" w:rsidRDefault="00826394" w:rsidP="001628AA">
      <w:pPr>
        <w:pStyle w:val="BodyText"/>
        <w:numPr>
          <w:ilvl w:val="1"/>
          <w:numId w:val="27"/>
        </w:numPr>
        <w:spacing w:before="80" w:after="80"/>
      </w:pPr>
      <w:r>
        <w:t>R</w:t>
      </w:r>
      <w:r w:rsidRPr="00826394">
        <w:t>unoff within the final void catchment area</w:t>
      </w:r>
      <w:r w:rsidR="004C52BE">
        <w:t>; and</w:t>
      </w:r>
    </w:p>
    <w:p w14:paraId="5203DF16" w14:textId="5061C70C" w:rsidR="00826394" w:rsidRDefault="00826394" w:rsidP="001628AA">
      <w:pPr>
        <w:pStyle w:val="BodyText"/>
        <w:numPr>
          <w:ilvl w:val="1"/>
          <w:numId w:val="27"/>
        </w:numPr>
        <w:spacing w:before="80" w:after="80"/>
      </w:pPr>
      <w:r>
        <w:t>G</w:t>
      </w:r>
      <w:r w:rsidRPr="00826394">
        <w:t xml:space="preserve">roundwater </w:t>
      </w:r>
      <w:r>
        <w:t xml:space="preserve">inflows </w:t>
      </w:r>
      <w:r w:rsidRPr="00826394">
        <w:t>(including waste rock emplacement infiltration)</w:t>
      </w:r>
      <w:r>
        <w:t>, declining over time</w:t>
      </w:r>
      <w:r w:rsidRPr="00826394">
        <w:t>.</w:t>
      </w:r>
    </w:p>
    <w:p w14:paraId="08D7D3D2" w14:textId="77777777" w:rsidR="00B43E7C" w:rsidRDefault="00875A45" w:rsidP="001628AA">
      <w:pPr>
        <w:pStyle w:val="BodyText"/>
        <w:numPr>
          <w:ilvl w:val="0"/>
          <w:numId w:val="27"/>
        </w:numPr>
        <w:spacing w:before="80" w:after="80"/>
      </w:pPr>
      <w:r>
        <w:t>Outflows</w:t>
      </w:r>
      <w:r w:rsidR="00B43E7C">
        <w:t>:</w:t>
      </w:r>
    </w:p>
    <w:p w14:paraId="0451EBF5" w14:textId="3965F055" w:rsidR="00826394" w:rsidRDefault="00B43E7C" w:rsidP="001628AA">
      <w:pPr>
        <w:pStyle w:val="BodyText"/>
        <w:numPr>
          <w:ilvl w:val="1"/>
          <w:numId w:val="27"/>
        </w:numPr>
        <w:spacing w:before="80" w:after="80"/>
      </w:pPr>
      <w:r>
        <w:t>E</w:t>
      </w:r>
      <w:r w:rsidR="00875A45">
        <w:t>vaporation.</w:t>
      </w:r>
    </w:p>
    <w:p w14:paraId="043DAF61" w14:textId="1C2F6D31" w:rsidR="00B43E7C" w:rsidRDefault="00B43E7C" w:rsidP="00B43E7C">
      <w:pPr>
        <w:pStyle w:val="BodyText"/>
      </w:pPr>
      <w:bookmarkStart w:id="170" w:name="_Hlk56436961"/>
      <w:bookmarkStart w:id="171" w:name="_Ref56085928"/>
      <w:bookmarkEnd w:id="169"/>
      <w:r>
        <w:t xml:space="preserve">The predicted equilibrated ‘pit lake’ water level and quality of the three final voids are reported in </w:t>
      </w:r>
      <w:r w:rsidR="00C97BF2">
        <w:fldChar w:fldCharType="begin"/>
      </w:r>
      <w:r w:rsidR="00C97BF2">
        <w:instrText xml:space="preserve"> REF _Ref56155590 \h </w:instrText>
      </w:r>
      <w:r w:rsidR="00C97BF2">
        <w:fldChar w:fldCharType="separate"/>
      </w:r>
      <w:r w:rsidR="00937ADD">
        <w:t xml:space="preserve">Table </w:t>
      </w:r>
      <w:r w:rsidR="00937ADD">
        <w:rPr>
          <w:noProof/>
        </w:rPr>
        <w:t>5</w:t>
      </w:r>
      <w:r w:rsidR="00937ADD">
        <w:noBreakHyphen/>
      </w:r>
      <w:r w:rsidR="00937ADD">
        <w:rPr>
          <w:noProof/>
        </w:rPr>
        <w:t>2</w:t>
      </w:r>
      <w:r w:rsidR="00C97BF2">
        <w:fldChar w:fldCharType="end"/>
      </w:r>
      <w:r w:rsidR="00C97BF2">
        <w:t>.</w:t>
      </w:r>
    </w:p>
    <w:p w14:paraId="23FBD29E" w14:textId="2BF56869" w:rsidR="00875A45" w:rsidRDefault="00875A45" w:rsidP="00875A45">
      <w:pPr>
        <w:pStyle w:val="Caption"/>
      </w:pPr>
      <w:bookmarkStart w:id="172" w:name="_Ref56155590"/>
      <w:bookmarkStart w:id="173" w:name="_Toc65140583"/>
      <w:bookmarkStart w:id="174" w:name="_Hlk56430550"/>
      <w:bookmarkEnd w:id="170"/>
      <w:r>
        <w:t xml:space="preserve">Table </w:t>
      </w:r>
      <w:fldSimple w:instr=" STYLEREF 1 \s ">
        <w:r w:rsidR="00937ADD">
          <w:rPr>
            <w:noProof/>
          </w:rPr>
          <w:t>5</w:t>
        </w:r>
      </w:fldSimple>
      <w:r w:rsidR="002714CC">
        <w:noBreakHyphen/>
      </w:r>
      <w:fldSimple w:instr=" SEQ Table \* ARABIC \s 1 ">
        <w:r w:rsidR="00937ADD">
          <w:rPr>
            <w:noProof/>
          </w:rPr>
          <w:t>2</w:t>
        </w:r>
      </w:fldSimple>
      <w:bookmarkEnd w:id="171"/>
      <w:bookmarkEnd w:id="172"/>
      <w:r>
        <w:t xml:space="preserve"> Long-term water level and quality model simulation results of final voids</w:t>
      </w:r>
      <w:r w:rsidR="00B43E7C">
        <w:t xml:space="preserve"> (</w:t>
      </w:r>
      <w:r w:rsidR="00B43E7C" w:rsidRPr="00B43E7C">
        <w:t>Pembroke Resources, 2018</w:t>
      </w:r>
      <w:r w:rsidR="002C2834">
        <w:t xml:space="preserve"> &amp; 2019</w:t>
      </w:r>
      <w:r w:rsidR="00B43E7C">
        <w:t>)</w:t>
      </w:r>
      <w:bookmarkEnd w:id="173"/>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696"/>
        <w:gridCol w:w="4315"/>
        <w:gridCol w:w="3006"/>
      </w:tblGrid>
      <w:tr w:rsidR="00875A45" w14:paraId="1C8CA66C" w14:textId="77777777" w:rsidTr="00BA0B9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EFFAC6" w14:textId="497A12A2" w:rsidR="00875A45" w:rsidRDefault="00875A45" w:rsidP="00875A45">
            <w:pPr>
              <w:pStyle w:val="BodyText"/>
              <w:spacing w:before="60" w:beforeAutospacing="0" w:after="60" w:afterAutospacing="0" w:line="300" w:lineRule="auto"/>
            </w:pPr>
            <w:r>
              <w:t>Final void</w:t>
            </w:r>
          </w:p>
        </w:tc>
        <w:tc>
          <w:tcPr>
            <w:tcW w:w="43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744D95" w14:textId="6A49FD82" w:rsidR="00875A45" w:rsidRDefault="00875A45" w:rsidP="00875A45">
            <w:pPr>
              <w:pStyle w:val="BodyText"/>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pPr>
            <w:r>
              <w:t>‘Pit lake’ water level</w:t>
            </w:r>
          </w:p>
        </w:tc>
        <w:tc>
          <w:tcPr>
            <w:tcW w:w="300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D103D3" w14:textId="33AEB0A5" w:rsidR="00875A45" w:rsidRDefault="00875A45" w:rsidP="00875A45">
            <w:pPr>
              <w:pStyle w:val="BodyText"/>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pPr>
            <w:r>
              <w:t>‘Pit lake’ water quality</w:t>
            </w:r>
            <w:r w:rsidR="00A02390">
              <w:t xml:space="preserve"> </w:t>
            </w:r>
            <w:r w:rsidR="00A02390" w:rsidRPr="00A02390">
              <w:rPr>
                <w:vertAlign w:val="superscript"/>
              </w:rPr>
              <w:t>(1)</w:t>
            </w:r>
          </w:p>
        </w:tc>
      </w:tr>
      <w:tr w:rsidR="00875A45" w14:paraId="6B1EE5AE" w14:textId="77777777" w:rsidTr="00875A45">
        <w:tc>
          <w:tcPr>
            <w:cnfStyle w:val="001000000000" w:firstRow="0" w:lastRow="0" w:firstColumn="1" w:lastColumn="0" w:oddVBand="0" w:evenVBand="0" w:oddHBand="0" w:evenHBand="0" w:firstRowFirstColumn="0" w:firstRowLastColumn="0" w:lastRowFirstColumn="0" w:lastRowLastColumn="0"/>
            <w:tcW w:w="1696" w:type="dxa"/>
          </w:tcPr>
          <w:p w14:paraId="5AD93EF2" w14:textId="2D98B5C3" w:rsidR="00875A45" w:rsidRPr="00F315EC" w:rsidRDefault="00875A45" w:rsidP="00875A45">
            <w:pPr>
              <w:pStyle w:val="BodyText"/>
              <w:spacing w:before="60" w:beforeAutospacing="0" w:after="60" w:afterAutospacing="0" w:line="300" w:lineRule="auto"/>
              <w:rPr>
                <w:b/>
                <w:bCs/>
              </w:rPr>
            </w:pPr>
            <w:r w:rsidRPr="00F315EC">
              <w:rPr>
                <w:b/>
                <w:bCs/>
              </w:rPr>
              <w:t>Pit ODS3</w:t>
            </w:r>
          </w:p>
        </w:tc>
        <w:tc>
          <w:tcPr>
            <w:tcW w:w="4315" w:type="dxa"/>
          </w:tcPr>
          <w:p w14:paraId="5B50AF37" w14:textId="3092450B" w:rsidR="00875A45" w:rsidRDefault="00875A45" w:rsidP="00875A45">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t xml:space="preserve">The water level reaches equilibrium between 80 m AHD and 90 m AHD </w:t>
            </w:r>
            <w:r w:rsidR="00FC5123">
              <w:t>(~ 65 m below pre-mining groundwater levels), 200 years following mining cessation.</w:t>
            </w:r>
            <w:r w:rsidR="004172EB">
              <w:t xml:space="preserve"> </w:t>
            </w:r>
            <w:r>
              <w:t xml:space="preserve">The maximum modelled water level is ~ 82 m below the overflow level, and ~ 100 m below </w:t>
            </w:r>
            <w:r>
              <w:lastRenderedPageBreak/>
              <w:t>the level at which overflows would reach the receiving environment.</w:t>
            </w:r>
          </w:p>
        </w:tc>
        <w:tc>
          <w:tcPr>
            <w:tcW w:w="3006" w:type="dxa"/>
          </w:tcPr>
          <w:p w14:paraId="415EC100" w14:textId="4778B2F2" w:rsidR="00875A45" w:rsidRDefault="002C2834" w:rsidP="00875A45">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lastRenderedPageBreak/>
              <w:t xml:space="preserve">Remains brackish (&lt; 5,000 mg/L TDS) for 150 years post-mining. </w:t>
            </w:r>
          </w:p>
        </w:tc>
      </w:tr>
      <w:tr w:rsidR="00875A45" w14:paraId="78B2179D" w14:textId="77777777" w:rsidTr="00875A45">
        <w:tc>
          <w:tcPr>
            <w:cnfStyle w:val="001000000000" w:firstRow="0" w:lastRow="0" w:firstColumn="1" w:lastColumn="0" w:oddVBand="0" w:evenVBand="0" w:oddHBand="0" w:evenHBand="0" w:firstRowFirstColumn="0" w:firstRowLastColumn="0" w:lastRowFirstColumn="0" w:lastRowLastColumn="0"/>
            <w:tcW w:w="1696" w:type="dxa"/>
          </w:tcPr>
          <w:p w14:paraId="1B5E2565" w14:textId="0ABC454A" w:rsidR="00875A45" w:rsidRPr="00F315EC" w:rsidRDefault="00875A45" w:rsidP="00875A45">
            <w:pPr>
              <w:pStyle w:val="BodyText"/>
              <w:spacing w:before="60" w:beforeAutospacing="0" w:after="60" w:afterAutospacing="0" w:line="300" w:lineRule="auto"/>
              <w:rPr>
                <w:b/>
                <w:bCs/>
              </w:rPr>
            </w:pPr>
            <w:r w:rsidRPr="00F315EC">
              <w:rPr>
                <w:b/>
                <w:bCs/>
              </w:rPr>
              <w:t>Pit ODS7/ODS8</w:t>
            </w:r>
          </w:p>
        </w:tc>
        <w:tc>
          <w:tcPr>
            <w:tcW w:w="4315" w:type="dxa"/>
          </w:tcPr>
          <w:p w14:paraId="05CD5DCD" w14:textId="37C42D30" w:rsidR="00875A45" w:rsidRDefault="00875A45" w:rsidP="00875A45">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pPr>
            <w:r>
              <w:t xml:space="preserve">The water level reaches equilibrium between 20 m AHD and 30 m AHD </w:t>
            </w:r>
            <w:r w:rsidR="00FC5123">
              <w:t xml:space="preserve">(~ 140 m below pre-mining groundwater levels), </w:t>
            </w:r>
            <w:r>
              <w:t>150 years following mining cessation</w:t>
            </w:r>
            <w:r w:rsidR="004172EB">
              <w:t xml:space="preserve">. </w:t>
            </w:r>
            <w:r>
              <w:t>The maximum modelled water level is ~ 130 m below the overflow level, and ~ 145 m below the level at which overflows would reach the receiving environment.</w:t>
            </w:r>
          </w:p>
        </w:tc>
        <w:tc>
          <w:tcPr>
            <w:tcW w:w="3006" w:type="dxa"/>
          </w:tcPr>
          <w:p w14:paraId="3294273D" w14:textId="1D95759E" w:rsidR="00875A45" w:rsidRDefault="002C2834" w:rsidP="00875A45">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2C2834">
              <w:t xml:space="preserve">Remains brackish (&lt; 5,000 mg/L TDS) for </w:t>
            </w:r>
            <w:r>
              <w:t>300</w:t>
            </w:r>
            <w:r w:rsidRPr="002C2834">
              <w:t xml:space="preserve"> years</w:t>
            </w:r>
            <w:r>
              <w:t xml:space="preserve"> post-mining</w:t>
            </w:r>
            <w:r w:rsidRPr="002C2834">
              <w:t>.</w:t>
            </w:r>
          </w:p>
        </w:tc>
      </w:tr>
      <w:tr w:rsidR="00787AF5" w14:paraId="4D543917" w14:textId="77777777" w:rsidTr="00875A45">
        <w:tc>
          <w:tcPr>
            <w:cnfStyle w:val="001000000000" w:firstRow="0" w:lastRow="0" w:firstColumn="1" w:lastColumn="0" w:oddVBand="0" w:evenVBand="0" w:oddHBand="0" w:evenHBand="0" w:firstRowFirstColumn="0" w:firstRowLastColumn="0" w:lastRowFirstColumn="0" w:lastRowLastColumn="0"/>
            <w:tcW w:w="1696" w:type="dxa"/>
          </w:tcPr>
          <w:p w14:paraId="5FEE35D3" w14:textId="56AB37DD" w:rsidR="00787AF5" w:rsidRPr="00F315EC" w:rsidRDefault="00787AF5" w:rsidP="00875A45">
            <w:pPr>
              <w:pStyle w:val="BodyText"/>
              <w:spacing w:before="60" w:after="60" w:line="300" w:lineRule="auto"/>
              <w:rPr>
                <w:b/>
                <w:bCs/>
              </w:rPr>
            </w:pPr>
            <w:r w:rsidRPr="00F315EC">
              <w:rPr>
                <w:b/>
                <w:bCs/>
              </w:rPr>
              <w:t>Pit WIL5</w:t>
            </w:r>
          </w:p>
        </w:tc>
        <w:tc>
          <w:tcPr>
            <w:tcW w:w="4315" w:type="dxa"/>
          </w:tcPr>
          <w:p w14:paraId="5093C5A1" w14:textId="6E66521E" w:rsidR="00787AF5" w:rsidRDefault="00787AF5" w:rsidP="00787AF5">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pPr>
            <w:r>
              <w:t xml:space="preserve">The water level reaches equilibrium between 55 m AHD and 70 m AHD </w:t>
            </w:r>
            <w:r w:rsidR="00FC5123">
              <w:t xml:space="preserve">(over 77 m below pre-mining groundwater levels), </w:t>
            </w:r>
            <w:r>
              <w:t xml:space="preserve">100 years </w:t>
            </w:r>
            <w:r w:rsidR="004172EB">
              <w:t xml:space="preserve">following mining cessation. </w:t>
            </w:r>
            <w:r>
              <w:t xml:space="preserve">The maximum modelled water level is </w:t>
            </w:r>
            <w:r w:rsidR="004172EB">
              <w:t xml:space="preserve">~ </w:t>
            </w:r>
            <w:r>
              <w:t>85 m below the</w:t>
            </w:r>
            <w:r w:rsidR="004172EB">
              <w:t xml:space="preserve"> o</w:t>
            </w:r>
            <w:r>
              <w:t>verflow level,</w:t>
            </w:r>
            <w:r w:rsidR="004172EB">
              <w:t xml:space="preserve"> and ~ </w:t>
            </w:r>
            <w:r>
              <w:t>90 m below the level at which overflows would reach the receiving environment.</w:t>
            </w:r>
          </w:p>
        </w:tc>
        <w:tc>
          <w:tcPr>
            <w:tcW w:w="3006" w:type="dxa"/>
          </w:tcPr>
          <w:p w14:paraId="5011937E" w14:textId="7AC38795" w:rsidR="00787AF5" w:rsidRPr="00875A45" w:rsidRDefault="002C2834" w:rsidP="00875A45">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pPr>
            <w:r w:rsidRPr="002C2834">
              <w:t xml:space="preserve">Remains brackish (&lt; 5,000 mg/L TDS) for </w:t>
            </w:r>
            <w:r>
              <w:t xml:space="preserve">550 </w:t>
            </w:r>
            <w:r w:rsidRPr="002C2834">
              <w:t>years</w:t>
            </w:r>
            <w:r>
              <w:t xml:space="preserve"> post-mining</w:t>
            </w:r>
            <w:r w:rsidRPr="002C2834">
              <w:t>.</w:t>
            </w:r>
          </w:p>
        </w:tc>
      </w:tr>
    </w:tbl>
    <w:p w14:paraId="16A9AA42" w14:textId="5E018D5F" w:rsidR="002C2834" w:rsidRPr="002C2834" w:rsidRDefault="002C2834" w:rsidP="002C2834">
      <w:pPr>
        <w:pStyle w:val="BodyText"/>
        <w:spacing w:before="0" w:after="0"/>
        <w:rPr>
          <w:b/>
          <w:bCs/>
          <w:i/>
          <w:iCs/>
          <w:sz w:val="18"/>
          <w:szCs w:val="18"/>
        </w:rPr>
      </w:pPr>
      <w:r w:rsidRPr="002C2834">
        <w:rPr>
          <w:b/>
          <w:bCs/>
          <w:i/>
          <w:iCs/>
          <w:sz w:val="18"/>
          <w:szCs w:val="18"/>
        </w:rPr>
        <w:t>Note:</w:t>
      </w:r>
    </w:p>
    <w:p w14:paraId="4D44BAA7" w14:textId="24F103DA" w:rsidR="002C2834" w:rsidRPr="002C2834" w:rsidRDefault="00A02390" w:rsidP="00A02390">
      <w:pPr>
        <w:pStyle w:val="BodyText"/>
        <w:spacing w:before="0" w:after="0"/>
        <w:rPr>
          <w:i/>
          <w:iCs/>
          <w:sz w:val="18"/>
          <w:szCs w:val="18"/>
        </w:rPr>
      </w:pPr>
      <w:r w:rsidRPr="00A02390">
        <w:rPr>
          <w:i/>
          <w:iCs/>
          <w:sz w:val="18"/>
          <w:szCs w:val="18"/>
        </w:rPr>
        <w:t>(1</w:t>
      </w:r>
      <w:r>
        <w:rPr>
          <w:i/>
          <w:iCs/>
          <w:sz w:val="18"/>
          <w:szCs w:val="18"/>
        </w:rPr>
        <w:t xml:space="preserve">) </w:t>
      </w:r>
      <w:r w:rsidR="002C2834">
        <w:rPr>
          <w:i/>
          <w:iCs/>
          <w:sz w:val="18"/>
          <w:szCs w:val="18"/>
        </w:rPr>
        <w:t>T</w:t>
      </w:r>
      <w:r w:rsidR="002C2834" w:rsidRPr="002C2834">
        <w:rPr>
          <w:i/>
          <w:iCs/>
          <w:sz w:val="18"/>
          <w:szCs w:val="18"/>
        </w:rPr>
        <w:t xml:space="preserve">he final void water bodies are not predicted to become hypersaline </w:t>
      </w:r>
      <w:r w:rsidR="002C2834">
        <w:rPr>
          <w:i/>
          <w:iCs/>
          <w:sz w:val="18"/>
          <w:szCs w:val="18"/>
        </w:rPr>
        <w:t xml:space="preserve">(&gt;35,000 mg/L TDS) </w:t>
      </w:r>
      <w:r w:rsidR="002C2834" w:rsidRPr="002C2834">
        <w:rPr>
          <w:i/>
          <w:iCs/>
          <w:sz w:val="18"/>
          <w:szCs w:val="18"/>
        </w:rPr>
        <w:t xml:space="preserve">for at least the duration of the modelling exercise </w:t>
      </w:r>
      <w:r w:rsidR="002C2834">
        <w:rPr>
          <w:i/>
          <w:iCs/>
          <w:sz w:val="18"/>
          <w:szCs w:val="18"/>
        </w:rPr>
        <w:t xml:space="preserve">of </w:t>
      </w:r>
      <w:r w:rsidR="002C2834" w:rsidRPr="002C2834">
        <w:rPr>
          <w:i/>
          <w:iCs/>
          <w:sz w:val="18"/>
          <w:szCs w:val="18"/>
        </w:rPr>
        <w:t>600 years</w:t>
      </w:r>
      <w:r w:rsidR="002C2834">
        <w:rPr>
          <w:i/>
          <w:iCs/>
          <w:sz w:val="18"/>
          <w:szCs w:val="18"/>
        </w:rPr>
        <w:t>.</w:t>
      </w:r>
    </w:p>
    <w:p w14:paraId="029E0FC8" w14:textId="53BF3315" w:rsidR="00917889" w:rsidRDefault="00FC5123" w:rsidP="00917889">
      <w:pPr>
        <w:pStyle w:val="BodyText"/>
      </w:pPr>
      <w:bookmarkStart w:id="175" w:name="_Hlk56429599"/>
      <w:bookmarkEnd w:id="174"/>
      <w:r>
        <w:t>As the ‘pit lake’ water level is predicted to equilibrate well below pre-mining groundwater levels (</w:t>
      </w:r>
      <w:r w:rsidR="00C97BF2">
        <w:fldChar w:fldCharType="begin"/>
      </w:r>
      <w:r w:rsidR="00C97BF2">
        <w:instrText xml:space="preserve"> REF _Ref56155590 \h </w:instrText>
      </w:r>
      <w:r w:rsidR="00C97BF2">
        <w:fldChar w:fldCharType="separate"/>
      </w:r>
      <w:r w:rsidR="00937ADD">
        <w:t xml:space="preserve">Table </w:t>
      </w:r>
      <w:r w:rsidR="00937ADD">
        <w:rPr>
          <w:noProof/>
        </w:rPr>
        <w:t>5</w:t>
      </w:r>
      <w:r w:rsidR="00937ADD">
        <w:noBreakHyphen/>
      </w:r>
      <w:r w:rsidR="00937ADD">
        <w:rPr>
          <w:noProof/>
        </w:rPr>
        <w:t>2</w:t>
      </w:r>
      <w:r w:rsidR="00C97BF2">
        <w:fldChar w:fldCharType="end"/>
      </w:r>
      <w:r>
        <w:t xml:space="preserve">), the three final voids are expected to behave as </w:t>
      </w:r>
      <w:r w:rsidRPr="00B43E7C">
        <w:rPr>
          <w:i/>
          <w:iCs/>
        </w:rPr>
        <w:t>terminal sinks</w:t>
      </w:r>
      <w:r w:rsidR="00ED430F">
        <w:t xml:space="preserve"> into perpetuity</w:t>
      </w:r>
      <w:r>
        <w:t xml:space="preserve"> </w:t>
      </w:r>
      <w:bookmarkEnd w:id="175"/>
      <w:r>
        <w:t>(S</w:t>
      </w:r>
      <w:r w:rsidR="00917889">
        <w:t xml:space="preserve">ection </w:t>
      </w:r>
      <w:r w:rsidR="00917889">
        <w:fldChar w:fldCharType="begin"/>
      </w:r>
      <w:r w:rsidR="00917889">
        <w:instrText xml:space="preserve"> REF _Ref55982230 \n \h </w:instrText>
      </w:r>
      <w:r w:rsidR="00917889">
        <w:fldChar w:fldCharType="separate"/>
      </w:r>
      <w:r w:rsidR="00937ADD">
        <w:t>3.2.1</w:t>
      </w:r>
      <w:r w:rsidR="00917889">
        <w:fldChar w:fldCharType="end"/>
      </w:r>
      <w:r>
        <w:t>).</w:t>
      </w:r>
      <w:r w:rsidR="00917889" w:rsidRPr="00917889">
        <w:t xml:space="preserve"> </w:t>
      </w:r>
      <w:r w:rsidR="00917889" w:rsidRPr="00FC5123">
        <w:t>The</w:t>
      </w:r>
      <w:r w:rsidR="00917889">
        <w:t xml:space="preserve"> modelling indicates that </w:t>
      </w:r>
      <w:bookmarkStart w:id="176" w:name="_Hlk56167793"/>
      <w:r w:rsidR="00917889">
        <w:t xml:space="preserve">equilibrated pit lake </w:t>
      </w:r>
      <w:r w:rsidR="00917889" w:rsidRPr="00FC5123">
        <w:t xml:space="preserve">water levels </w:t>
      </w:r>
      <w:r w:rsidR="00917889">
        <w:t xml:space="preserve">will remain </w:t>
      </w:r>
      <w:r w:rsidR="00917889" w:rsidRPr="00FC5123">
        <w:t>below the</w:t>
      </w:r>
      <w:r w:rsidR="00917889">
        <w:t>ir respective</w:t>
      </w:r>
      <w:r w:rsidR="00917889" w:rsidRPr="00FC5123">
        <w:t xml:space="preserve"> full supply levels </w:t>
      </w:r>
      <w:r w:rsidR="00917889">
        <w:t>(</w:t>
      </w:r>
      <w:r w:rsidR="00B43E7C">
        <w:fldChar w:fldCharType="begin"/>
      </w:r>
      <w:r w:rsidR="00B43E7C">
        <w:instrText xml:space="preserve"> REF _Ref56155590 \h </w:instrText>
      </w:r>
      <w:r w:rsidR="00B43E7C">
        <w:fldChar w:fldCharType="separate"/>
      </w:r>
      <w:r w:rsidR="00937ADD">
        <w:t xml:space="preserve">Table </w:t>
      </w:r>
      <w:r w:rsidR="00937ADD">
        <w:rPr>
          <w:noProof/>
        </w:rPr>
        <w:t>5</w:t>
      </w:r>
      <w:r w:rsidR="00937ADD">
        <w:noBreakHyphen/>
      </w:r>
      <w:r w:rsidR="00937ADD">
        <w:rPr>
          <w:noProof/>
        </w:rPr>
        <w:t>2</w:t>
      </w:r>
      <w:r w:rsidR="00B43E7C">
        <w:fldChar w:fldCharType="end"/>
      </w:r>
      <w:r w:rsidR="00917889">
        <w:t>). F</w:t>
      </w:r>
      <w:r w:rsidR="00917889" w:rsidRPr="00FC5123">
        <w:t xml:space="preserve">lood modelling </w:t>
      </w:r>
      <w:r w:rsidR="00917889">
        <w:t xml:space="preserve">indicated that </w:t>
      </w:r>
      <w:r w:rsidR="00917889" w:rsidRPr="00FC5123">
        <w:t>flood waters would not enter any of the final voids in events up to and including the PMF event</w:t>
      </w:r>
      <w:r w:rsidR="00917889">
        <w:t>.</w:t>
      </w:r>
      <w:bookmarkEnd w:id="176"/>
    </w:p>
    <w:p w14:paraId="2A814C04" w14:textId="7A240CEF" w:rsidR="003C3529" w:rsidRDefault="00917889" w:rsidP="003C3529">
      <w:pPr>
        <w:pStyle w:val="BodyText"/>
      </w:pPr>
      <w:r>
        <w:t xml:space="preserve">Evaporation from the </w:t>
      </w:r>
      <w:r w:rsidR="00F01F84">
        <w:t>‘</w:t>
      </w:r>
      <w:r>
        <w:t>pit lake</w:t>
      </w:r>
      <w:r w:rsidR="00F01F84">
        <w:t>’</w:t>
      </w:r>
      <w:r>
        <w:t xml:space="preserve"> surface is expected to concentrate salts in the void over time</w:t>
      </w:r>
      <w:r w:rsidR="003C3529">
        <w:t xml:space="preserve">. </w:t>
      </w:r>
      <w:r w:rsidR="00E31A22" w:rsidRPr="00732FC1">
        <w:t>Pembroke’</w:t>
      </w:r>
      <w:r w:rsidR="002C2834" w:rsidRPr="00732FC1">
        <w:t>s</w:t>
      </w:r>
      <w:r w:rsidR="003C3529" w:rsidRPr="00732FC1">
        <w:t xml:space="preserve"> commit</w:t>
      </w:r>
      <w:r w:rsidR="002C2834" w:rsidRPr="00732FC1">
        <w:t>ment</w:t>
      </w:r>
      <w:r w:rsidR="003C3529" w:rsidRPr="00732FC1">
        <w:t xml:space="preserve"> to remov</w:t>
      </w:r>
      <w:r w:rsidR="00A02390" w:rsidRPr="00732FC1">
        <w:t>e</w:t>
      </w:r>
      <w:r w:rsidR="003C3529" w:rsidRPr="00732FC1">
        <w:t xml:space="preserve"> basement coal from the floor of the three voids at the end of</w:t>
      </w:r>
      <w:r w:rsidR="003C3529" w:rsidRPr="003C3529">
        <w:t xml:space="preserve"> minin</w:t>
      </w:r>
      <w:r w:rsidR="002C2834">
        <w:t xml:space="preserve">g is anticipated to prevent the </w:t>
      </w:r>
      <w:r w:rsidR="00B279A3">
        <w:t>‘</w:t>
      </w:r>
      <w:r w:rsidR="002C2834">
        <w:t>pit lake</w:t>
      </w:r>
      <w:r w:rsidR="00B279A3">
        <w:t>’</w:t>
      </w:r>
      <w:r w:rsidR="002C2834">
        <w:t xml:space="preserve"> water reaching hypersaline conditions for at least 600 years post-mining (the extent of the modelling period) (</w:t>
      </w:r>
      <w:bookmarkStart w:id="177" w:name="_Hlk56162238"/>
      <w:r w:rsidR="002C2834" w:rsidRPr="002C2834">
        <w:t>Pembroke Resources, 2019)</w:t>
      </w:r>
      <w:r w:rsidR="002C2834">
        <w:t>.</w:t>
      </w:r>
      <w:bookmarkEnd w:id="177"/>
    </w:p>
    <w:p w14:paraId="0B008FA7" w14:textId="792E4A95" w:rsidR="006829F7" w:rsidRDefault="006829F7" w:rsidP="006829F7">
      <w:pPr>
        <w:pStyle w:val="BodyText"/>
      </w:pPr>
      <w:r>
        <w:t xml:space="preserve">The sensitivity analysis of reduced and increased </w:t>
      </w:r>
      <w:r w:rsidRPr="00785418">
        <w:t>evaporation factors</w:t>
      </w:r>
      <w:r>
        <w:t xml:space="preserve"> indicated</w:t>
      </w:r>
      <w:r w:rsidR="002612D3">
        <w:t xml:space="preserve"> </w:t>
      </w:r>
      <w:r w:rsidR="004C52BE">
        <w:t xml:space="preserve">that </w:t>
      </w:r>
      <w:r w:rsidR="002612D3">
        <w:t>(</w:t>
      </w:r>
      <w:r w:rsidR="002612D3" w:rsidRPr="00B43E7C">
        <w:t>Pembroke Resources, 2018</w:t>
      </w:r>
      <w:r w:rsidR="002612D3">
        <w:t>):</w:t>
      </w:r>
    </w:p>
    <w:p w14:paraId="4C80516E" w14:textId="134A57DC" w:rsidR="006829F7" w:rsidRDefault="004C52BE" w:rsidP="001628AA">
      <w:pPr>
        <w:pStyle w:val="BodyText"/>
        <w:numPr>
          <w:ilvl w:val="0"/>
          <w:numId w:val="81"/>
        </w:numPr>
        <w:spacing w:before="80" w:after="80"/>
      </w:pPr>
      <w:r>
        <w:t>r</w:t>
      </w:r>
      <w:r w:rsidR="006829F7">
        <w:t xml:space="preserve">educed evaporation factors </w:t>
      </w:r>
      <w:r w:rsidR="00732FC1">
        <w:t>may</w:t>
      </w:r>
      <w:r w:rsidR="002612D3">
        <w:t xml:space="preserve"> </w:t>
      </w:r>
      <w:r w:rsidR="006829F7">
        <w:t>contribute to longe</w:t>
      </w:r>
      <w:r w:rsidR="002612D3">
        <w:t xml:space="preserve">r timeframes </w:t>
      </w:r>
      <w:r w:rsidR="006829F7">
        <w:t>(</w:t>
      </w:r>
      <w:r w:rsidR="002612D3">
        <w:t>up to 100 years</w:t>
      </w:r>
      <w:r w:rsidR="006829F7">
        <w:t>)</w:t>
      </w:r>
      <w:r w:rsidR="002612D3">
        <w:t xml:space="preserve"> for the ‘pit lake’ water level to equilibrate</w:t>
      </w:r>
      <w:r w:rsidR="006829F7">
        <w:t>, higher ‘pit lake’ water level equilibrium conditions</w:t>
      </w:r>
      <w:r w:rsidR="002612D3">
        <w:t xml:space="preserve"> (between 20 and 40 m)</w:t>
      </w:r>
      <w:r w:rsidR="006829F7">
        <w:t xml:space="preserve">, and </w:t>
      </w:r>
      <w:r w:rsidR="002612D3">
        <w:t xml:space="preserve">lower </w:t>
      </w:r>
      <w:r w:rsidR="006829F7">
        <w:t xml:space="preserve">salinity levels </w:t>
      </w:r>
      <w:r w:rsidR="002612D3">
        <w:t xml:space="preserve">(by between 35% </w:t>
      </w:r>
      <w:r w:rsidR="00732FC1">
        <w:t>and</w:t>
      </w:r>
      <w:r w:rsidR="002612D3">
        <w:t xml:space="preserve"> 50%), </w:t>
      </w:r>
      <w:r w:rsidR="006829F7">
        <w:t>at 600 years post-mining</w:t>
      </w:r>
      <w:r w:rsidR="002612D3">
        <w:t xml:space="preserve"> (</w:t>
      </w:r>
      <w:r w:rsidR="006829F7">
        <w:t xml:space="preserve">the </w:t>
      </w:r>
      <w:r w:rsidR="00B279A3">
        <w:t>extent of the modelling period</w:t>
      </w:r>
      <w:r w:rsidR="006829F7">
        <w:t>)</w:t>
      </w:r>
      <w:r w:rsidR="002612D3">
        <w:t xml:space="preserve">. </w:t>
      </w:r>
      <w:r w:rsidR="00732FC1">
        <w:t>The predicted high</w:t>
      </w:r>
      <w:r w:rsidR="00B279A3">
        <w:t>er</w:t>
      </w:r>
      <w:r w:rsidR="00732FC1">
        <w:t xml:space="preserve"> ‘pit lake’ water level equilibrium conditions remain below each void’s overflow level</w:t>
      </w:r>
      <w:r>
        <w:t>; and</w:t>
      </w:r>
    </w:p>
    <w:p w14:paraId="05C52856" w14:textId="13E1F834" w:rsidR="009C11A6" w:rsidRDefault="004C52BE" w:rsidP="001628AA">
      <w:pPr>
        <w:pStyle w:val="BodyText"/>
        <w:numPr>
          <w:ilvl w:val="0"/>
          <w:numId w:val="81"/>
        </w:numPr>
        <w:spacing w:before="80" w:after="80"/>
      </w:pPr>
      <w:r>
        <w:t>i</w:t>
      </w:r>
      <w:r w:rsidR="006829F7">
        <w:t>ncreased evaporation factors</w:t>
      </w:r>
      <w:r w:rsidR="002612D3">
        <w:t xml:space="preserve"> </w:t>
      </w:r>
      <w:r w:rsidR="00732FC1">
        <w:t>are not predicted to</w:t>
      </w:r>
      <w:r w:rsidR="006829F7">
        <w:t xml:space="preserve"> c</w:t>
      </w:r>
      <w:r w:rsidR="002612D3">
        <w:t>hange the timeframes for the ‘pit lake’ water level to equilibrate</w:t>
      </w:r>
      <w:r>
        <w:t>;</w:t>
      </w:r>
      <w:r w:rsidR="002612D3">
        <w:t xml:space="preserve"> however</w:t>
      </w:r>
      <w:r>
        <w:t>,</w:t>
      </w:r>
      <w:r w:rsidR="006829F7">
        <w:t xml:space="preserve"> lower ‘pit lake’ water level equilibrium conditions</w:t>
      </w:r>
      <w:r w:rsidR="002612D3">
        <w:t xml:space="preserve"> are predicted (between 5 and 20 m)</w:t>
      </w:r>
      <w:r w:rsidR="006829F7">
        <w:t>, a</w:t>
      </w:r>
      <w:r w:rsidR="00732FC1">
        <w:t xml:space="preserve">s are higher </w:t>
      </w:r>
      <w:r w:rsidR="006829F7">
        <w:t xml:space="preserve">salinity levels </w:t>
      </w:r>
      <w:r w:rsidR="00732FC1">
        <w:t xml:space="preserve">(by between 10% and 70%), </w:t>
      </w:r>
      <w:r w:rsidR="006829F7">
        <w:t>at 600 years post-mining</w:t>
      </w:r>
      <w:r w:rsidR="00732FC1">
        <w:t xml:space="preserve"> (</w:t>
      </w:r>
      <w:r w:rsidR="006829F7">
        <w:t xml:space="preserve">the </w:t>
      </w:r>
      <w:r w:rsidR="00B279A3">
        <w:t>extent of the modelling period</w:t>
      </w:r>
      <w:r w:rsidR="006829F7">
        <w:t>).</w:t>
      </w:r>
    </w:p>
    <w:p w14:paraId="740846DB" w14:textId="334073C7" w:rsidR="00FC5123" w:rsidRDefault="00FC5123" w:rsidP="00FC5123">
      <w:pPr>
        <w:pStyle w:val="Heading3"/>
      </w:pPr>
      <w:bookmarkStart w:id="178" w:name="_Toc87278347"/>
      <w:r>
        <w:t>Potential impacts</w:t>
      </w:r>
      <w:bookmarkEnd w:id="178"/>
    </w:p>
    <w:p w14:paraId="7BFFEB10" w14:textId="5EFB96F7" w:rsidR="005D0774" w:rsidRDefault="005D0774" w:rsidP="009451D7">
      <w:pPr>
        <w:pStyle w:val="BodyText"/>
      </w:pPr>
      <w:r>
        <w:t>The EIS (</w:t>
      </w:r>
      <w:r w:rsidRPr="005D0774">
        <w:t xml:space="preserve">Pembroke Resources, </w:t>
      </w:r>
      <w:r>
        <w:t xml:space="preserve">2018 &amp; </w:t>
      </w:r>
      <w:r w:rsidRPr="005D0774">
        <w:t>2019)</w:t>
      </w:r>
      <w:r>
        <w:t xml:space="preserve"> made the following conclusions regarding potential water quantity and quality impacts as a consequence of the final voids remaining in the landscape following mining cessation</w:t>
      </w:r>
      <w:r w:rsidR="004C52BE">
        <w:t>.</w:t>
      </w:r>
      <w:r>
        <w:t xml:space="preserve"> </w:t>
      </w:r>
    </w:p>
    <w:p w14:paraId="2B100272" w14:textId="77777777" w:rsidR="005D0774" w:rsidRDefault="005D0774" w:rsidP="001628AA">
      <w:pPr>
        <w:pStyle w:val="BodyText"/>
        <w:numPr>
          <w:ilvl w:val="0"/>
          <w:numId w:val="27"/>
        </w:numPr>
        <w:spacing w:before="80" w:after="80"/>
      </w:pPr>
      <w:r>
        <w:t xml:space="preserve">The predicted loss of groundwater due to evaporative processes from the final voids (at equilibrium) is ~ 146 ML/year (Quaternary Alluvium) and ~ 183 ML/year (sub-artesian aquifers). </w:t>
      </w:r>
    </w:p>
    <w:p w14:paraId="203A9985" w14:textId="75A0E203" w:rsidR="005D0774" w:rsidRPr="00A27FCF" w:rsidRDefault="005D0774" w:rsidP="001628AA">
      <w:pPr>
        <w:pStyle w:val="BodyText"/>
        <w:numPr>
          <w:ilvl w:val="0"/>
          <w:numId w:val="27"/>
        </w:numPr>
        <w:spacing w:before="80" w:after="80"/>
      </w:pPr>
      <w:r w:rsidRPr="00A27FCF">
        <w:t>The predicted long-term seepage loss from the Isaac River to the alluvium is ~ 1.9 ML/day.</w:t>
      </w:r>
    </w:p>
    <w:p w14:paraId="735897D2" w14:textId="5D953A57" w:rsidR="005D0774" w:rsidRDefault="005D0774" w:rsidP="001628AA">
      <w:pPr>
        <w:pStyle w:val="BodyText"/>
        <w:numPr>
          <w:ilvl w:val="0"/>
          <w:numId w:val="27"/>
        </w:numPr>
        <w:spacing w:before="80" w:after="80"/>
      </w:pPr>
      <w:r w:rsidRPr="005D0774">
        <w:lastRenderedPageBreak/>
        <w:t xml:space="preserve">Although the final voids would result in continual take of groundwater from the adjacent </w:t>
      </w:r>
      <w:r>
        <w:t>Quaternary A</w:t>
      </w:r>
      <w:r w:rsidRPr="005D0774">
        <w:t xml:space="preserve">lluvium, it is unlikely that this potential impact would result in a significant impact to any GDEs surrounding the Project. </w:t>
      </w:r>
      <w:r>
        <w:t>T</w:t>
      </w:r>
      <w:r w:rsidRPr="005D0774">
        <w:t xml:space="preserve">he vegetation in these locations is subject to continuous (natural) wetting and drying cycles and any potential GDEs are most likely facultative </w:t>
      </w:r>
      <w:r>
        <w:t>ecosystems t</w:t>
      </w:r>
      <w:r w:rsidRPr="005D0774">
        <w:t>hat rely more heavily on the replenishment of moisture in the soil following rainfall rather than access to the groundwater system</w:t>
      </w:r>
      <w:r>
        <w:t>.</w:t>
      </w:r>
    </w:p>
    <w:p w14:paraId="62812606" w14:textId="77777777" w:rsidR="0093523A" w:rsidRDefault="00917889" w:rsidP="001628AA">
      <w:pPr>
        <w:pStyle w:val="BodyText"/>
        <w:numPr>
          <w:ilvl w:val="0"/>
          <w:numId w:val="27"/>
        </w:numPr>
        <w:spacing w:before="80" w:after="80"/>
      </w:pPr>
      <w:bookmarkStart w:id="179" w:name="_Hlk57470202"/>
      <w:r w:rsidRPr="00917889">
        <w:t xml:space="preserve">While evaporation from the </w:t>
      </w:r>
      <w:r w:rsidR="009451D7">
        <w:t xml:space="preserve">‘pit </w:t>
      </w:r>
      <w:r w:rsidRPr="00917889">
        <w:t>lake</w:t>
      </w:r>
      <w:r w:rsidR="009451D7">
        <w:t>’</w:t>
      </w:r>
      <w:r w:rsidRPr="00917889">
        <w:t xml:space="preserve"> surface would concentrate salts over time, the </w:t>
      </w:r>
      <w:r>
        <w:t xml:space="preserve">permanent </w:t>
      </w:r>
      <w:r w:rsidRPr="009451D7">
        <w:rPr>
          <w:i/>
          <w:iCs/>
        </w:rPr>
        <w:t>terminal sink flow regime</w:t>
      </w:r>
      <w:r>
        <w:t xml:space="preserve"> </w:t>
      </w:r>
      <w:r w:rsidRPr="00917889">
        <w:t xml:space="preserve">would prevent potentially </w:t>
      </w:r>
      <w:r w:rsidR="00720D12">
        <w:t xml:space="preserve">saline or </w:t>
      </w:r>
      <w:r w:rsidRPr="00917889">
        <w:t>contaminated water migrating into surrounding aquifers.</w:t>
      </w:r>
      <w:r w:rsidR="00720D12" w:rsidRPr="00720D12">
        <w:t xml:space="preserve"> </w:t>
      </w:r>
      <w:r w:rsidR="00720D12">
        <w:t>Accordingly, no</w:t>
      </w:r>
      <w:r w:rsidR="00720D12" w:rsidRPr="00720D12">
        <w:t xml:space="preserve"> adverse groundwater quality related impacts </w:t>
      </w:r>
      <w:r w:rsidR="000D1AA2">
        <w:t>to surrounding aquifers or connected G</w:t>
      </w:r>
      <w:r w:rsidR="00720D12" w:rsidRPr="00720D12">
        <w:t xml:space="preserve">DEs </w:t>
      </w:r>
      <w:r w:rsidR="00720D12">
        <w:t>is anticipated.</w:t>
      </w:r>
    </w:p>
    <w:bookmarkEnd w:id="179"/>
    <w:p w14:paraId="4602E5EF" w14:textId="1FB651CE" w:rsidR="00923535" w:rsidRDefault="0093523A" w:rsidP="0093523A">
      <w:pPr>
        <w:pStyle w:val="BodyText"/>
      </w:pPr>
      <w:r w:rsidRPr="0093523A">
        <w:t xml:space="preserve">Potential impacts of the </w:t>
      </w:r>
      <w:r>
        <w:t>residual</w:t>
      </w:r>
      <w:r w:rsidRPr="0093523A">
        <w:t xml:space="preserve"> void on ecological values </w:t>
      </w:r>
      <w:r w:rsidR="004C52BE">
        <w:t>are</w:t>
      </w:r>
      <w:r w:rsidR="004C52BE" w:rsidRPr="0093523A">
        <w:t xml:space="preserve"> </w:t>
      </w:r>
      <w:r w:rsidRPr="0093523A">
        <w:t xml:space="preserve">to be </w:t>
      </w:r>
      <w:r w:rsidR="00C86409">
        <w:t>addressed</w:t>
      </w:r>
      <w:r w:rsidR="00C86409" w:rsidRPr="0093523A">
        <w:t xml:space="preserve"> </w:t>
      </w:r>
      <w:r w:rsidRPr="0093523A">
        <w:t xml:space="preserve">within the </w:t>
      </w:r>
      <w:r w:rsidR="00A02390">
        <w:t>r</w:t>
      </w:r>
      <w:r w:rsidRPr="0093523A">
        <w:t xml:space="preserve">ehabilitation and </w:t>
      </w:r>
      <w:r w:rsidR="00A02390">
        <w:t>m</w:t>
      </w:r>
      <w:r w:rsidRPr="0093523A">
        <w:t xml:space="preserve">ine </w:t>
      </w:r>
      <w:r w:rsidR="00A02390">
        <w:t>c</w:t>
      </w:r>
      <w:r w:rsidRPr="0093523A">
        <w:t xml:space="preserve">losure </w:t>
      </w:r>
      <w:r w:rsidR="00A02390">
        <w:t>p</w:t>
      </w:r>
      <w:r w:rsidRPr="0093523A">
        <w:t>lan. This will assess the final void design and consideration of long-term environmental harm.</w:t>
      </w:r>
    </w:p>
    <w:p w14:paraId="4068BB99" w14:textId="306D1D22" w:rsidR="00923535" w:rsidRPr="00FA1B52" w:rsidRDefault="00923535" w:rsidP="00923535">
      <w:pPr>
        <w:pStyle w:val="BodyText"/>
      </w:pPr>
      <w:r>
        <w:t xml:space="preserve">The IESC provided advice on the Project </w:t>
      </w:r>
      <w:r w:rsidR="00FA1B52">
        <w:t>(IESC, 2018</w:t>
      </w:r>
      <w:r w:rsidR="005B767A">
        <w:t>a</w:t>
      </w:r>
      <w:r w:rsidR="00FA1B52">
        <w:t xml:space="preserve">) </w:t>
      </w:r>
      <w:r>
        <w:t xml:space="preserve">in response to a request made by </w:t>
      </w:r>
      <w:r w:rsidR="004C52BE">
        <w:t xml:space="preserve">the, then, </w:t>
      </w:r>
      <w:r>
        <w:t xml:space="preserve">Australian Government Department of the Environment and Energy (DoEE) and the Queensland Office of the Coordinator-General. The following key potential impacts associated with the Project’s residual voids were </w:t>
      </w:r>
      <w:r w:rsidRPr="00FA1B52">
        <w:t>identified by the IESC (2018</w:t>
      </w:r>
      <w:r w:rsidR="005B767A">
        <w:t>a</w:t>
      </w:r>
      <w:r w:rsidRPr="00FA1B52">
        <w:t>)</w:t>
      </w:r>
      <w:r w:rsidR="004C52BE">
        <w:t>.</w:t>
      </w:r>
    </w:p>
    <w:p w14:paraId="37070F26" w14:textId="61689A3A" w:rsidR="00923535" w:rsidRPr="00FA1B52" w:rsidRDefault="00AA1789" w:rsidP="001628AA">
      <w:pPr>
        <w:pStyle w:val="BodyText"/>
        <w:numPr>
          <w:ilvl w:val="0"/>
          <w:numId w:val="84"/>
        </w:numPr>
        <w:spacing w:before="80" w:after="80"/>
      </w:pPr>
      <w:bookmarkStart w:id="180" w:name="_Hlk59548856"/>
      <w:r w:rsidRPr="00FA1B52">
        <w:t>The waste rock emplacements will reduce the extent of the floodplain. This will increase flow velocities in the river channel and permanently reduce potential floodplain habitat</w:t>
      </w:r>
      <w:r w:rsidR="00FA1B52" w:rsidRPr="00FA1B52">
        <w:t>.</w:t>
      </w:r>
    </w:p>
    <w:p w14:paraId="3E7C8D1F" w14:textId="569A1FC0" w:rsidR="00AA1789" w:rsidRPr="00FA1B52" w:rsidRDefault="00AA1789" w:rsidP="001628AA">
      <w:pPr>
        <w:pStyle w:val="BodyText"/>
        <w:numPr>
          <w:ilvl w:val="0"/>
          <w:numId w:val="84"/>
        </w:numPr>
        <w:spacing w:before="80" w:after="80"/>
      </w:pPr>
      <w:r w:rsidRPr="00FA1B52">
        <w:t>The waste rock emplacements will alter the surface hydrology, which is likely to adversely impact remnant floodplain vegetation, particularly the establishment and growth of seedlings</w:t>
      </w:r>
      <w:r w:rsidR="00FA1B52" w:rsidRPr="00FA1B52">
        <w:t>.</w:t>
      </w:r>
    </w:p>
    <w:p w14:paraId="1AE4ABF7" w14:textId="1A9B8479" w:rsidR="00A01C7D" w:rsidRPr="00A01C7D" w:rsidRDefault="00A01C7D" w:rsidP="00A01C7D">
      <w:pPr>
        <w:pStyle w:val="Heading3"/>
      </w:pPr>
      <w:bookmarkStart w:id="181" w:name="_Ref59181140"/>
      <w:bookmarkStart w:id="182" w:name="_Toc87278348"/>
      <w:bookmarkEnd w:id="180"/>
      <w:r>
        <w:t>Rehabilitation planning</w:t>
      </w:r>
      <w:bookmarkEnd w:id="181"/>
      <w:bookmarkEnd w:id="182"/>
    </w:p>
    <w:p w14:paraId="6AE1E42E" w14:textId="2A1B7483" w:rsidR="00A01C7D" w:rsidRDefault="0093523A" w:rsidP="00A01C7D">
      <w:pPr>
        <w:pStyle w:val="BodyText"/>
      </w:pPr>
      <w:r w:rsidRPr="0093523A">
        <w:t xml:space="preserve">A description of rehabilitation planning across Olive Downs is described within the EIS, specifically </w:t>
      </w:r>
      <w:bookmarkStart w:id="183" w:name="_Hlk57301372"/>
      <w:r w:rsidRPr="0093523A">
        <w:t>Section 5 rehabilitation strategy (Pembroke Resources</w:t>
      </w:r>
      <w:r>
        <w:t>,</w:t>
      </w:r>
      <w:r w:rsidRPr="0093523A">
        <w:t xml:space="preserve"> 201</w:t>
      </w:r>
      <w:bookmarkEnd w:id="183"/>
      <w:r w:rsidRPr="0093523A">
        <w:t xml:space="preserve">8), Section 4 – Rehabilitation additional information to the EIS </w:t>
      </w:r>
      <w:r>
        <w:t>(</w:t>
      </w:r>
      <w:r w:rsidRPr="0093523A">
        <w:t>Pembroke Resources, 2019)</w:t>
      </w:r>
      <w:r>
        <w:t xml:space="preserve">, </w:t>
      </w:r>
      <w:r w:rsidRPr="0093523A">
        <w:t>and Appendix D – additional information on the rehabilitation strategy (Pembroke Resources</w:t>
      </w:r>
      <w:r w:rsidR="009D4222">
        <w:t>,</w:t>
      </w:r>
      <w:r w:rsidRPr="0093523A">
        <w:t xml:space="preserve"> 2019).  These documents are summarised in the sections below, particularly where they apply to rehabilitation of </w:t>
      </w:r>
      <w:r w:rsidR="009D4222">
        <w:t>residual</w:t>
      </w:r>
      <w:r w:rsidRPr="0093523A">
        <w:t xml:space="preserve"> voids.</w:t>
      </w:r>
    </w:p>
    <w:p w14:paraId="7A519250" w14:textId="6F0083CD" w:rsidR="009D4222" w:rsidRDefault="009D4222" w:rsidP="009D4222">
      <w:pPr>
        <w:pStyle w:val="Heading4"/>
      </w:pPr>
      <w:r>
        <w:t>Preliminary rehabilitation planning</w:t>
      </w:r>
    </w:p>
    <w:p w14:paraId="08BE5AE4" w14:textId="25F97B7B" w:rsidR="009D4222" w:rsidRDefault="009D4222" w:rsidP="009D4222">
      <w:pPr>
        <w:pStyle w:val="BodyText"/>
      </w:pPr>
      <w:r>
        <w:t xml:space="preserve">Rehabilitation goals at Olive Downs are consistent with Queensland Government policy and guidelines, which are to be approved through a progressive </w:t>
      </w:r>
      <w:r w:rsidR="00A02390">
        <w:t>r</w:t>
      </w:r>
      <w:r>
        <w:t xml:space="preserve">ehabilitation and </w:t>
      </w:r>
      <w:r w:rsidR="00A02390">
        <w:t>m</w:t>
      </w:r>
      <w:r>
        <w:t xml:space="preserve">ine </w:t>
      </w:r>
      <w:r w:rsidR="00A02390">
        <w:t>c</w:t>
      </w:r>
      <w:r>
        <w:t xml:space="preserve">losure </w:t>
      </w:r>
      <w:r w:rsidR="00A02390">
        <w:t>p</w:t>
      </w:r>
      <w:r>
        <w:t>lan (noting that this plan was not available for review for this case study). These goals require post-mining landforms to be:</w:t>
      </w:r>
    </w:p>
    <w:p w14:paraId="28277334" w14:textId="520FB32B" w:rsidR="009D4222" w:rsidRDefault="004C52BE" w:rsidP="001628AA">
      <w:pPr>
        <w:pStyle w:val="BodyText"/>
        <w:numPr>
          <w:ilvl w:val="0"/>
          <w:numId w:val="42"/>
        </w:numPr>
        <w:spacing w:before="80" w:after="80"/>
      </w:pPr>
      <w:r>
        <w:t>s</w:t>
      </w:r>
      <w:r w:rsidR="009D4222">
        <w:t>afe</w:t>
      </w:r>
      <w:r>
        <w:t>;</w:t>
      </w:r>
    </w:p>
    <w:p w14:paraId="139E72B8" w14:textId="6418C3DE" w:rsidR="009D4222" w:rsidRDefault="004C52BE" w:rsidP="001628AA">
      <w:pPr>
        <w:pStyle w:val="BodyText"/>
        <w:numPr>
          <w:ilvl w:val="0"/>
          <w:numId w:val="42"/>
        </w:numPr>
        <w:spacing w:before="80" w:after="80"/>
      </w:pPr>
      <w:r>
        <w:t>n</w:t>
      </w:r>
      <w:r w:rsidR="009D4222">
        <w:t>on-polluting</w:t>
      </w:r>
      <w:r>
        <w:t>;</w:t>
      </w:r>
    </w:p>
    <w:p w14:paraId="339C5B75" w14:textId="34BBB488" w:rsidR="009D4222" w:rsidRDefault="004C52BE" w:rsidP="001628AA">
      <w:pPr>
        <w:pStyle w:val="BodyText"/>
        <w:numPr>
          <w:ilvl w:val="0"/>
          <w:numId w:val="42"/>
        </w:numPr>
        <w:spacing w:before="80" w:after="80"/>
      </w:pPr>
      <w:r>
        <w:t>s</w:t>
      </w:r>
      <w:r w:rsidR="009D4222">
        <w:t>table</w:t>
      </w:r>
      <w:r>
        <w:t>; and</w:t>
      </w:r>
    </w:p>
    <w:p w14:paraId="6D568610" w14:textId="2009A65E" w:rsidR="009D4222" w:rsidRDefault="004C52BE" w:rsidP="001628AA">
      <w:pPr>
        <w:pStyle w:val="BodyText"/>
        <w:numPr>
          <w:ilvl w:val="0"/>
          <w:numId w:val="42"/>
        </w:numPr>
        <w:spacing w:before="80" w:after="80"/>
      </w:pPr>
      <w:r>
        <w:t>a</w:t>
      </w:r>
      <w:r w:rsidR="009D4222">
        <w:t xml:space="preserve">ble to sustain a post-mining land use. </w:t>
      </w:r>
    </w:p>
    <w:p w14:paraId="2B61FAC4" w14:textId="0F1663F4" w:rsidR="009D4222" w:rsidRDefault="009D4222" w:rsidP="009D4222">
      <w:pPr>
        <w:pStyle w:val="BodyText"/>
      </w:pPr>
      <w:r>
        <w:t xml:space="preserve">The Project has been divided into domains with similar </w:t>
      </w:r>
      <w:r w:rsidR="00C86409">
        <w:t xml:space="preserve">geomorphological </w:t>
      </w:r>
      <w:r>
        <w:t>characteristics. These domains will require different rehabilitation techniques and specific rehabilitation objectives, performance criteria and completion criteria to achieve the goals listed above</w:t>
      </w:r>
      <w:r w:rsidR="004C52BE">
        <w:t>. These domains</w:t>
      </w:r>
      <w:r>
        <w:t xml:space="preserve"> include</w:t>
      </w:r>
      <w:r w:rsidR="004C52BE">
        <w:t xml:space="preserve"> the</w:t>
      </w:r>
      <w:r>
        <w:t xml:space="preserve">: </w:t>
      </w:r>
    </w:p>
    <w:p w14:paraId="15D8F8B8" w14:textId="0C519631" w:rsidR="009D4222" w:rsidRDefault="004C52BE" w:rsidP="001628AA">
      <w:pPr>
        <w:pStyle w:val="BodyText"/>
        <w:numPr>
          <w:ilvl w:val="0"/>
          <w:numId w:val="43"/>
        </w:numPr>
        <w:spacing w:before="80" w:after="80"/>
      </w:pPr>
      <w:r>
        <w:t>w</w:t>
      </w:r>
      <w:r w:rsidR="009D4222">
        <w:t>aste rock emplacements</w:t>
      </w:r>
      <w:r>
        <w:t>;</w:t>
      </w:r>
    </w:p>
    <w:p w14:paraId="444BB430" w14:textId="3A951412" w:rsidR="009D4222" w:rsidRDefault="004C52BE" w:rsidP="001628AA">
      <w:pPr>
        <w:pStyle w:val="BodyText"/>
        <w:numPr>
          <w:ilvl w:val="0"/>
          <w:numId w:val="43"/>
        </w:numPr>
        <w:spacing w:before="80" w:after="80"/>
      </w:pPr>
      <w:r>
        <w:t>f</w:t>
      </w:r>
      <w:r w:rsidR="009D4222">
        <w:t>inal voids</w:t>
      </w:r>
      <w:r>
        <w:t>;</w:t>
      </w:r>
    </w:p>
    <w:p w14:paraId="48F77A21" w14:textId="3AD559D7" w:rsidR="009D4222" w:rsidRDefault="004C52BE" w:rsidP="001628AA">
      <w:pPr>
        <w:pStyle w:val="BodyText"/>
        <w:numPr>
          <w:ilvl w:val="0"/>
          <w:numId w:val="43"/>
        </w:numPr>
        <w:spacing w:before="80" w:after="80"/>
      </w:pPr>
      <w:r>
        <w:t>i</w:t>
      </w:r>
      <w:r w:rsidR="009D4222">
        <w:t>nfrastructure area</w:t>
      </w:r>
      <w:r>
        <w:t>;</w:t>
      </w:r>
      <w:r w:rsidR="009D4222">
        <w:t>.</w:t>
      </w:r>
    </w:p>
    <w:p w14:paraId="7063E694" w14:textId="45347043" w:rsidR="009D4222" w:rsidRDefault="004C52BE" w:rsidP="001628AA">
      <w:pPr>
        <w:pStyle w:val="BodyText"/>
        <w:numPr>
          <w:ilvl w:val="0"/>
          <w:numId w:val="43"/>
        </w:numPr>
        <w:spacing w:before="80" w:after="80"/>
      </w:pPr>
      <w:r>
        <w:t>w</w:t>
      </w:r>
      <w:r w:rsidR="009D4222">
        <w:t>ater management infrastructure</w:t>
      </w:r>
      <w:r>
        <w:t>;</w:t>
      </w:r>
    </w:p>
    <w:p w14:paraId="1C2090C9" w14:textId="07C3819A" w:rsidR="009D4222" w:rsidRDefault="009D4222" w:rsidP="001628AA">
      <w:pPr>
        <w:pStyle w:val="BodyText"/>
        <w:numPr>
          <w:ilvl w:val="0"/>
          <w:numId w:val="43"/>
        </w:numPr>
        <w:spacing w:before="80" w:after="80"/>
      </w:pPr>
      <w:r>
        <w:t>In-line Flocculation (ILF) cells</w:t>
      </w:r>
      <w:r w:rsidR="004C52BE">
        <w:t>; and</w:t>
      </w:r>
    </w:p>
    <w:p w14:paraId="3939E567" w14:textId="265B6AE5" w:rsidR="009D4222" w:rsidRDefault="009D4222" w:rsidP="001628AA">
      <w:pPr>
        <w:pStyle w:val="BodyText"/>
        <w:numPr>
          <w:ilvl w:val="0"/>
          <w:numId w:val="43"/>
        </w:numPr>
        <w:spacing w:before="80" w:after="80"/>
      </w:pPr>
      <w:r>
        <w:t>Ripstone Creek diversion.</w:t>
      </w:r>
    </w:p>
    <w:p w14:paraId="7D226353" w14:textId="17B126AE" w:rsidR="009D4222" w:rsidRDefault="009D4222" w:rsidP="009D4222">
      <w:pPr>
        <w:pStyle w:val="BodyText"/>
      </w:pPr>
      <w:r>
        <w:lastRenderedPageBreak/>
        <w:t>General rehabilitation (short and medium to long term) objectives for the project are described in Table 5-1 (Section 5) of the rehabilitation strategy (</w:t>
      </w:r>
      <w:r w:rsidRPr="009D4222">
        <w:t>Pembroke Resources, 201</w:t>
      </w:r>
      <w:r>
        <w:t>8). Objectives that are most relevant to the residual voids include:</w:t>
      </w:r>
    </w:p>
    <w:p w14:paraId="2B496F39" w14:textId="724F9A74" w:rsidR="009D4222" w:rsidRDefault="004C52BE" w:rsidP="001628AA">
      <w:pPr>
        <w:pStyle w:val="BodyText"/>
        <w:numPr>
          <w:ilvl w:val="0"/>
          <w:numId w:val="44"/>
        </w:numPr>
        <w:spacing w:before="80" w:after="80"/>
      </w:pPr>
      <w:r>
        <w:t>s</w:t>
      </w:r>
      <w:r w:rsidR="009D4222">
        <w:t>hort term:</w:t>
      </w:r>
    </w:p>
    <w:p w14:paraId="3B3CB227" w14:textId="60BF5E49" w:rsidR="009D4222" w:rsidRDefault="004C52BE" w:rsidP="001628AA">
      <w:pPr>
        <w:pStyle w:val="BodyText"/>
        <w:numPr>
          <w:ilvl w:val="1"/>
          <w:numId w:val="44"/>
        </w:numPr>
        <w:spacing w:before="80" w:after="80"/>
      </w:pPr>
      <w:r>
        <w:t>p</w:t>
      </w:r>
      <w:r w:rsidR="009D4222">
        <w:t>rogressively place waste rock within the footprint of the open</w:t>
      </w:r>
      <w:r>
        <w:t>-</w:t>
      </w:r>
      <w:r w:rsidR="009D4222">
        <w:t>cut voids and reshape completed areas to their final landform shape so that they can be progressively rehabilitated.</w:t>
      </w:r>
    </w:p>
    <w:p w14:paraId="228B50D8" w14:textId="289106B0" w:rsidR="009D4222" w:rsidRDefault="004C52BE" w:rsidP="001628AA">
      <w:pPr>
        <w:pStyle w:val="BodyText"/>
        <w:numPr>
          <w:ilvl w:val="0"/>
          <w:numId w:val="44"/>
        </w:numPr>
        <w:spacing w:before="80" w:after="80"/>
      </w:pPr>
      <w:r>
        <w:t>m</w:t>
      </w:r>
      <w:r w:rsidR="009D4222">
        <w:t>edium to long term:</w:t>
      </w:r>
    </w:p>
    <w:p w14:paraId="3399D485" w14:textId="2FB07487" w:rsidR="009D4222" w:rsidRDefault="004C52BE" w:rsidP="001628AA">
      <w:pPr>
        <w:pStyle w:val="BodyText"/>
        <w:numPr>
          <w:ilvl w:val="1"/>
          <w:numId w:val="44"/>
        </w:numPr>
        <w:spacing w:before="80" w:after="80"/>
      </w:pPr>
      <w:r>
        <w:t>r</w:t>
      </w:r>
      <w:r w:rsidR="009D4222">
        <w:t>emediate safety hazards at the mine infrastructure areas and any potentially contaminated sites to remove safety risks to people and animals</w:t>
      </w:r>
      <w:r>
        <w:t>;</w:t>
      </w:r>
    </w:p>
    <w:p w14:paraId="434AB952" w14:textId="1F7329D3" w:rsidR="009D4222" w:rsidRDefault="004C52BE" w:rsidP="001628AA">
      <w:pPr>
        <w:pStyle w:val="BodyText"/>
        <w:numPr>
          <w:ilvl w:val="1"/>
          <w:numId w:val="44"/>
        </w:numPr>
        <w:spacing w:before="80" w:after="80"/>
      </w:pPr>
      <w:r>
        <w:t>produce</w:t>
      </w:r>
      <w:r w:rsidR="009D4222">
        <w:t xml:space="preserve"> final voids that do not impact the receiving surface waters surrounding the Project</w:t>
      </w:r>
      <w:r>
        <w:t>; and</w:t>
      </w:r>
    </w:p>
    <w:p w14:paraId="6502E96D" w14:textId="201841C5" w:rsidR="009D4222" w:rsidRDefault="004C52BE" w:rsidP="001628AA">
      <w:pPr>
        <w:pStyle w:val="BodyText"/>
        <w:numPr>
          <w:ilvl w:val="1"/>
          <w:numId w:val="44"/>
        </w:numPr>
        <w:spacing w:before="80" w:after="80"/>
      </w:pPr>
      <w:r>
        <w:t>i</w:t>
      </w:r>
      <w:r w:rsidR="009D4222">
        <w:t>solate the final voids from the Isaac River floodplain through the development of a permanent highwall waste rock emplacement and minimise the final void catchment areas with up-catchment diversions.</w:t>
      </w:r>
    </w:p>
    <w:p w14:paraId="6DDFDBC8" w14:textId="02FBD6F4" w:rsidR="009D4222" w:rsidRDefault="009D4222" w:rsidP="009D4222">
      <w:pPr>
        <w:pStyle w:val="BodyText"/>
      </w:pPr>
      <w:r>
        <w:t xml:space="preserve">To achieve the </w:t>
      </w:r>
      <w:r w:rsidR="004C52BE">
        <w:t xml:space="preserve">objectives </w:t>
      </w:r>
      <w:r>
        <w:t xml:space="preserve">listed above, preliminary rehabilitation </w:t>
      </w:r>
      <w:r w:rsidR="004C52BE">
        <w:t>goals</w:t>
      </w:r>
      <w:r>
        <w:t xml:space="preserve">, performance indicators and completion criteria specific to final void domains have been developed within the rehabilitation strategy and are described in </w:t>
      </w:r>
      <w:r>
        <w:fldChar w:fldCharType="begin"/>
      </w:r>
      <w:r>
        <w:instrText xml:space="preserve"> REF _Ref57301717 \h </w:instrText>
      </w:r>
      <w:r>
        <w:fldChar w:fldCharType="separate"/>
      </w:r>
      <w:r w:rsidR="00937ADD">
        <w:t xml:space="preserve">Table </w:t>
      </w:r>
      <w:r w:rsidR="00937ADD">
        <w:rPr>
          <w:noProof/>
        </w:rPr>
        <w:t>5</w:t>
      </w:r>
      <w:r w:rsidR="00937ADD">
        <w:noBreakHyphen/>
      </w:r>
      <w:r w:rsidR="00937ADD">
        <w:rPr>
          <w:noProof/>
        </w:rPr>
        <w:t>3</w:t>
      </w:r>
      <w:r>
        <w:fldChar w:fldCharType="end"/>
      </w:r>
      <w:r>
        <w:t>.</w:t>
      </w:r>
    </w:p>
    <w:p w14:paraId="53F1C6D3" w14:textId="77777777" w:rsidR="00A02390" w:rsidRDefault="00A02390" w:rsidP="00A02390">
      <w:pPr>
        <w:pStyle w:val="Heading4"/>
      </w:pPr>
      <w:r>
        <w:t xml:space="preserve">Final void post mining land use </w:t>
      </w:r>
    </w:p>
    <w:p w14:paraId="7D656A76" w14:textId="77777777" w:rsidR="00A02390" w:rsidRDefault="00A02390" w:rsidP="00A02390">
      <w:pPr>
        <w:pStyle w:val="BodyText"/>
      </w:pPr>
      <w:r>
        <w:t xml:space="preserve">Each mine domain has been allocated a proposed post-mining land use (Pembroke Resources, 2019). These include agriculture (low intensity cattle grazing), native vegetation (woodland) and fauna habitat. </w:t>
      </w:r>
    </w:p>
    <w:p w14:paraId="36B21A98" w14:textId="323F940A" w:rsidR="00A02390" w:rsidRDefault="00A02390" w:rsidP="00A02390">
      <w:pPr>
        <w:pStyle w:val="BodyText"/>
      </w:pPr>
      <w:r>
        <w:t>Final void post mining land use is intended to be fauna habitat and will comprise of three landforms; void water body, void low wall and void high wall. Pembroke Resources (2019) investigated the likelihood that the final void would provide suitable native fauna habitat for each landform component as follows</w:t>
      </w:r>
      <w:r w:rsidR="004C52BE">
        <w:t>.</w:t>
      </w:r>
    </w:p>
    <w:p w14:paraId="69B2F815" w14:textId="3B4684E2" w:rsidR="00A02390" w:rsidRDefault="00A02390" w:rsidP="001628AA">
      <w:pPr>
        <w:pStyle w:val="BodyText"/>
        <w:numPr>
          <w:ilvl w:val="0"/>
          <w:numId w:val="46"/>
        </w:numPr>
        <w:spacing w:before="80" w:after="80"/>
      </w:pPr>
      <w:r w:rsidRPr="00A02390">
        <w:rPr>
          <w:u w:val="single"/>
        </w:rPr>
        <w:t>Void water body</w:t>
      </w:r>
      <w:r>
        <w:t xml:space="preserve">: The revised EIS committed to removing basement coal from the final void floor at the end of mining to reduce salinity and delay the potential onset of hypersaline </w:t>
      </w:r>
      <w:r w:rsidRPr="00B279A3">
        <w:t>conditions (Section</w:t>
      </w:r>
      <w:r w:rsidR="00E31A22" w:rsidRPr="00B279A3">
        <w:t xml:space="preserve"> </w:t>
      </w:r>
      <w:r w:rsidR="00E31A22" w:rsidRPr="00B279A3">
        <w:fldChar w:fldCharType="begin"/>
      </w:r>
      <w:r w:rsidR="00E31A22" w:rsidRPr="00B279A3">
        <w:instrText xml:space="preserve"> REF _Ref58312198 \n \h  \* MERGEFORMAT </w:instrText>
      </w:r>
      <w:r w:rsidR="00E31A22" w:rsidRPr="00B279A3">
        <w:fldChar w:fldCharType="separate"/>
      </w:r>
      <w:r w:rsidR="00937ADD">
        <w:t>5.1.4</w:t>
      </w:r>
      <w:r w:rsidR="00E31A22" w:rsidRPr="00B279A3">
        <w:fldChar w:fldCharType="end"/>
      </w:r>
      <w:r w:rsidRPr="00B279A3">
        <w:t xml:space="preserve">). Investigations by </w:t>
      </w:r>
      <w:r w:rsidR="00E31A22" w:rsidRPr="00B279A3">
        <w:t xml:space="preserve">Pembroke </w:t>
      </w:r>
      <w:r w:rsidRPr="00B279A3">
        <w:t>found</w:t>
      </w:r>
      <w:r>
        <w:t xml:space="preserve"> that some plants recorded on site can grow in brackish water providing habitat structure and is potable to most (if not all) terrestrial wildlife. This includes bird and bat species recorded on site, which are known to use brackish and saline habitats, particularly as a dry season refuge.</w:t>
      </w:r>
    </w:p>
    <w:p w14:paraId="11E426AE" w14:textId="77777777" w:rsidR="00A02390" w:rsidRDefault="00A02390" w:rsidP="001628AA">
      <w:pPr>
        <w:pStyle w:val="BodyText"/>
        <w:numPr>
          <w:ilvl w:val="0"/>
          <w:numId w:val="46"/>
        </w:numPr>
        <w:spacing w:before="80" w:after="80"/>
      </w:pPr>
      <w:r w:rsidRPr="00A02390">
        <w:rPr>
          <w:u w:val="single"/>
        </w:rPr>
        <w:t>Void low wall</w:t>
      </w:r>
      <w:r>
        <w:t>: This is planned to be rehabilitated with mostly native grasses to provide habitat for native ground-dwelling mammals.</w:t>
      </w:r>
    </w:p>
    <w:p w14:paraId="78ACAE02" w14:textId="28C53464" w:rsidR="00A02390" w:rsidRDefault="00A02390" w:rsidP="001628AA">
      <w:pPr>
        <w:pStyle w:val="BodyText"/>
        <w:numPr>
          <w:ilvl w:val="0"/>
          <w:numId w:val="46"/>
        </w:numPr>
        <w:spacing w:before="80" w:after="80"/>
      </w:pPr>
      <w:r w:rsidRPr="00A02390">
        <w:rPr>
          <w:u w:val="single"/>
        </w:rPr>
        <w:t>Void highwall</w:t>
      </w:r>
      <w:r>
        <w:t>: This is planned to be rehabilitated with native vegetation on the upper slope (&lt; 20 degrees). Cliff habitat may be used by nesting native birds and cave-dwelling bats that roost in rock fissures and crevices. Bats may also use the air space above the void waterbody to forage for flying insects.</w:t>
      </w:r>
    </w:p>
    <w:p w14:paraId="331DA484" w14:textId="655A436F" w:rsidR="00032D19" w:rsidRDefault="00032D19" w:rsidP="001628AA">
      <w:pPr>
        <w:pStyle w:val="BodyText"/>
        <w:spacing w:before="80" w:after="80"/>
        <w:sectPr w:rsidR="00032D19" w:rsidSect="00BA0B9D">
          <w:pgSz w:w="11907" w:h="16839" w:code="9"/>
          <w:pgMar w:top="1440" w:right="1440" w:bottom="1134" w:left="1440" w:header="340" w:footer="340" w:gutter="0"/>
          <w:cols w:space="708"/>
          <w:docGrid w:linePitch="360"/>
        </w:sectPr>
      </w:pPr>
    </w:p>
    <w:p w14:paraId="51CF84FF" w14:textId="45E8123A" w:rsidR="009D4222" w:rsidRDefault="009D4222" w:rsidP="009D4222">
      <w:pPr>
        <w:pStyle w:val="Caption"/>
      </w:pPr>
      <w:bookmarkStart w:id="184" w:name="_Ref57301717"/>
      <w:bookmarkStart w:id="185" w:name="_Toc65140584"/>
      <w:r>
        <w:lastRenderedPageBreak/>
        <w:t xml:space="preserve">Table </w:t>
      </w:r>
      <w:fldSimple w:instr=" STYLEREF 1 \s ">
        <w:r w:rsidR="00937ADD">
          <w:rPr>
            <w:noProof/>
          </w:rPr>
          <w:t>5</w:t>
        </w:r>
      </w:fldSimple>
      <w:r w:rsidR="002714CC">
        <w:noBreakHyphen/>
      </w:r>
      <w:fldSimple w:instr=" SEQ Table \* ARABIC \s 1 ">
        <w:r w:rsidR="00937ADD">
          <w:rPr>
            <w:noProof/>
          </w:rPr>
          <w:t>3</w:t>
        </w:r>
      </w:fldSimple>
      <w:bookmarkEnd w:id="184"/>
      <w:r>
        <w:t xml:space="preserve"> </w:t>
      </w:r>
      <w:r w:rsidRPr="009D4222">
        <w:t xml:space="preserve">Preliminary rehabilitation requirements for </w:t>
      </w:r>
      <w:r>
        <w:t xml:space="preserve">residual </w:t>
      </w:r>
      <w:r w:rsidRPr="009D4222">
        <w:t>voids (Pembroke Resources, 2019)</w:t>
      </w:r>
      <w:bookmarkEnd w:id="185"/>
    </w:p>
    <w:tbl>
      <w:tblPr>
        <w:tblStyle w:val="Plainblue"/>
        <w:tblW w:w="14575"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434"/>
        <w:gridCol w:w="1852"/>
        <w:gridCol w:w="3459"/>
        <w:gridCol w:w="2610"/>
        <w:gridCol w:w="5220"/>
      </w:tblGrid>
      <w:tr w:rsidR="009D4222" w:rsidRPr="009D4222" w14:paraId="6EE00942" w14:textId="77777777" w:rsidTr="00BA0B9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34" w:type="dxa"/>
          </w:tcPr>
          <w:p w14:paraId="4B265084" w14:textId="2D21E548" w:rsidR="009D4222" w:rsidRPr="009D4222" w:rsidRDefault="009D4222" w:rsidP="009D4222">
            <w:pPr>
              <w:spacing w:before="60" w:beforeAutospacing="0" w:after="60" w:afterAutospacing="0" w:line="300" w:lineRule="auto"/>
              <w:jc w:val="center"/>
              <w:rPr>
                <w:rFonts w:asciiTheme="minorHAnsi" w:hAnsiTheme="minorHAnsi" w:cstheme="minorHAnsi"/>
                <w:szCs w:val="18"/>
              </w:rPr>
            </w:pPr>
            <w:r w:rsidRPr="009D4222">
              <w:rPr>
                <w:rFonts w:asciiTheme="minorHAnsi" w:hAnsiTheme="minorHAnsi" w:cstheme="minorHAnsi"/>
                <w:szCs w:val="18"/>
              </w:rPr>
              <w:t xml:space="preserve">Rehabilitation </w:t>
            </w:r>
            <w:r w:rsidR="00BA0B9D">
              <w:rPr>
                <w:rFonts w:asciiTheme="minorHAnsi" w:hAnsiTheme="minorHAnsi" w:cstheme="minorHAnsi"/>
                <w:szCs w:val="18"/>
              </w:rPr>
              <w:t>g</w:t>
            </w:r>
            <w:r w:rsidRPr="009D4222">
              <w:rPr>
                <w:rFonts w:asciiTheme="minorHAnsi" w:hAnsiTheme="minorHAnsi" w:cstheme="minorHAnsi"/>
                <w:szCs w:val="18"/>
              </w:rPr>
              <w:t>oal</w:t>
            </w:r>
          </w:p>
        </w:tc>
        <w:tc>
          <w:tcPr>
            <w:tcW w:w="1852" w:type="dxa"/>
          </w:tcPr>
          <w:p w14:paraId="17EBA2BC" w14:textId="77777777" w:rsidR="009D4222" w:rsidRPr="009D4222" w:rsidRDefault="009D4222" w:rsidP="009D4222">
            <w:pPr>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D4222">
              <w:rPr>
                <w:rFonts w:asciiTheme="minorHAnsi" w:hAnsiTheme="minorHAnsi" w:cstheme="minorHAnsi"/>
                <w:szCs w:val="18"/>
              </w:rPr>
              <w:t>Objectives</w:t>
            </w:r>
          </w:p>
        </w:tc>
        <w:tc>
          <w:tcPr>
            <w:tcW w:w="3459" w:type="dxa"/>
          </w:tcPr>
          <w:p w14:paraId="45CEC46A" w14:textId="3776D9C1" w:rsidR="009D4222" w:rsidRPr="009D4222" w:rsidRDefault="009D4222" w:rsidP="009D4222">
            <w:pPr>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D4222">
              <w:rPr>
                <w:rFonts w:asciiTheme="minorHAnsi" w:hAnsiTheme="minorHAnsi" w:cstheme="minorHAnsi"/>
                <w:szCs w:val="18"/>
              </w:rPr>
              <w:t xml:space="preserve">Performance </w:t>
            </w:r>
            <w:r w:rsidR="00BA0B9D">
              <w:rPr>
                <w:rFonts w:asciiTheme="minorHAnsi" w:hAnsiTheme="minorHAnsi" w:cstheme="minorHAnsi"/>
                <w:szCs w:val="18"/>
              </w:rPr>
              <w:t>i</w:t>
            </w:r>
            <w:r w:rsidRPr="009D4222">
              <w:rPr>
                <w:rFonts w:asciiTheme="minorHAnsi" w:hAnsiTheme="minorHAnsi" w:cstheme="minorHAnsi"/>
                <w:szCs w:val="18"/>
              </w:rPr>
              <w:t>ndicators</w:t>
            </w:r>
          </w:p>
        </w:tc>
        <w:tc>
          <w:tcPr>
            <w:tcW w:w="2610" w:type="dxa"/>
          </w:tcPr>
          <w:p w14:paraId="2851E03D" w14:textId="44A12764" w:rsidR="009D4222" w:rsidRPr="009D4222" w:rsidRDefault="009D4222" w:rsidP="009D4222">
            <w:pPr>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D4222">
              <w:rPr>
                <w:rFonts w:asciiTheme="minorHAnsi" w:hAnsiTheme="minorHAnsi" w:cstheme="minorHAnsi"/>
                <w:szCs w:val="18"/>
              </w:rPr>
              <w:t xml:space="preserve">Selection of </w:t>
            </w:r>
            <w:r w:rsidR="00BA0B9D">
              <w:rPr>
                <w:rFonts w:asciiTheme="minorHAnsi" w:hAnsiTheme="minorHAnsi" w:cstheme="minorHAnsi"/>
                <w:szCs w:val="18"/>
              </w:rPr>
              <w:t>p</w:t>
            </w:r>
            <w:r w:rsidRPr="009D4222">
              <w:rPr>
                <w:rFonts w:asciiTheme="minorHAnsi" w:hAnsiTheme="minorHAnsi" w:cstheme="minorHAnsi"/>
                <w:szCs w:val="18"/>
              </w:rPr>
              <w:t xml:space="preserve">erformance </w:t>
            </w:r>
            <w:r w:rsidR="00BA0B9D">
              <w:rPr>
                <w:rFonts w:asciiTheme="minorHAnsi" w:hAnsiTheme="minorHAnsi" w:cstheme="minorHAnsi"/>
                <w:szCs w:val="18"/>
              </w:rPr>
              <w:t>i</w:t>
            </w:r>
            <w:r w:rsidRPr="009D4222">
              <w:rPr>
                <w:rFonts w:asciiTheme="minorHAnsi" w:hAnsiTheme="minorHAnsi" w:cstheme="minorHAnsi"/>
                <w:szCs w:val="18"/>
              </w:rPr>
              <w:t>ndicator</w:t>
            </w:r>
          </w:p>
        </w:tc>
        <w:tc>
          <w:tcPr>
            <w:tcW w:w="5220" w:type="dxa"/>
          </w:tcPr>
          <w:p w14:paraId="681453CF" w14:textId="09027F76" w:rsidR="009D4222" w:rsidRPr="009D4222" w:rsidRDefault="009D4222" w:rsidP="009D4222">
            <w:pPr>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D4222">
              <w:rPr>
                <w:rFonts w:asciiTheme="minorHAnsi" w:hAnsiTheme="minorHAnsi" w:cstheme="minorHAnsi"/>
                <w:szCs w:val="18"/>
              </w:rPr>
              <w:t xml:space="preserve">Completion </w:t>
            </w:r>
            <w:r w:rsidR="00BA0B9D">
              <w:rPr>
                <w:rFonts w:asciiTheme="minorHAnsi" w:hAnsiTheme="minorHAnsi" w:cstheme="minorHAnsi"/>
                <w:szCs w:val="18"/>
              </w:rPr>
              <w:t>c</w:t>
            </w:r>
            <w:r w:rsidRPr="009D4222">
              <w:rPr>
                <w:rFonts w:asciiTheme="minorHAnsi" w:hAnsiTheme="minorHAnsi" w:cstheme="minorHAnsi"/>
                <w:szCs w:val="18"/>
              </w:rPr>
              <w:t>riteria</w:t>
            </w:r>
          </w:p>
        </w:tc>
      </w:tr>
      <w:tr w:rsidR="009D4222" w:rsidRPr="009D4222" w14:paraId="76D96E05" w14:textId="77777777" w:rsidTr="009D4222">
        <w:tc>
          <w:tcPr>
            <w:cnfStyle w:val="001000000000" w:firstRow="0" w:lastRow="0" w:firstColumn="1" w:lastColumn="0" w:oddVBand="0" w:evenVBand="0" w:oddHBand="0" w:evenHBand="0" w:firstRowFirstColumn="0" w:firstRowLastColumn="0" w:lastRowFirstColumn="0" w:lastRowLastColumn="0"/>
            <w:tcW w:w="1434" w:type="dxa"/>
            <w:vMerge w:val="restart"/>
          </w:tcPr>
          <w:p w14:paraId="23D019BF"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r w:rsidRPr="009D4222">
              <w:rPr>
                <w:rFonts w:asciiTheme="minorHAnsi" w:hAnsiTheme="minorHAnsi" w:cstheme="minorHAnsi"/>
                <w:b/>
                <w:bCs/>
                <w:szCs w:val="18"/>
              </w:rPr>
              <w:t>Long-term safety</w:t>
            </w:r>
          </w:p>
        </w:tc>
        <w:tc>
          <w:tcPr>
            <w:tcW w:w="1852" w:type="dxa"/>
          </w:tcPr>
          <w:p w14:paraId="0178761A" w14:textId="374191CE"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 xml:space="preserve">Final void final landforms are </w:t>
            </w:r>
            <w:r w:rsidR="00DF47FF">
              <w:rPr>
                <w:rFonts w:cstheme="minorHAnsi"/>
                <w:szCs w:val="18"/>
              </w:rPr>
              <w:t>g</w:t>
            </w:r>
            <w:r w:rsidRPr="009D4222">
              <w:rPr>
                <w:rFonts w:cstheme="minorHAnsi"/>
                <w:szCs w:val="18"/>
              </w:rPr>
              <w:t>eotechnically stable and safe.</w:t>
            </w:r>
          </w:p>
        </w:tc>
        <w:tc>
          <w:tcPr>
            <w:tcW w:w="3459" w:type="dxa"/>
          </w:tcPr>
          <w:p w14:paraId="05578264"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Geotechnical assessment of the final void final landforms (slope angle and length) prepared by a suitably qualified person.</w:t>
            </w:r>
          </w:p>
          <w:p w14:paraId="0931D9A0" w14:textId="77777777" w:rsidR="009D4222" w:rsidRPr="009D4222" w:rsidRDefault="009D4222" w:rsidP="009D4222">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geotechnical assessment would be reported and interpreted in the Final Rehabilitation Report.</w:t>
            </w:r>
          </w:p>
        </w:tc>
        <w:tc>
          <w:tcPr>
            <w:tcW w:w="2610" w:type="dxa"/>
          </w:tcPr>
          <w:p w14:paraId="58767CF0"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 xml:space="preserve">Geotechnical assessments of final landforms are recommended by the </w:t>
            </w:r>
            <w:r w:rsidRPr="009D4222">
              <w:rPr>
                <w:rFonts w:cstheme="minorHAnsi"/>
                <w:i/>
                <w:iCs/>
                <w:szCs w:val="18"/>
              </w:rPr>
              <w:t xml:space="preserve">Planning for Integrated Min Closure: Toolkit </w:t>
            </w:r>
            <w:r w:rsidRPr="009D4222">
              <w:rPr>
                <w:rFonts w:cstheme="minorHAnsi"/>
                <w:szCs w:val="18"/>
              </w:rPr>
              <w:t>(International Council on Mining and Metals, 2008).</w:t>
            </w:r>
          </w:p>
        </w:tc>
        <w:tc>
          <w:tcPr>
            <w:tcW w:w="5220" w:type="dxa"/>
          </w:tcPr>
          <w:p w14:paraId="54A3EB65" w14:textId="78A644FF"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geotechnical assessment concludes</w:t>
            </w:r>
            <w:r w:rsidR="004C52BE">
              <w:rPr>
                <w:rFonts w:cstheme="minorHAnsi"/>
                <w:szCs w:val="18"/>
              </w:rPr>
              <w:t xml:space="preserve"> that</w:t>
            </w:r>
            <w:r w:rsidRPr="009D4222">
              <w:rPr>
                <w:rFonts w:cstheme="minorHAnsi"/>
                <w:szCs w:val="18"/>
              </w:rPr>
              <w:t>:</w:t>
            </w:r>
          </w:p>
          <w:p w14:paraId="2F8A5670" w14:textId="5E6A5745"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f</w:t>
            </w:r>
            <w:r w:rsidR="009D4222" w:rsidRPr="009D4222">
              <w:rPr>
                <w:rFonts w:cstheme="minorHAnsi"/>
                <w:szCs w:val="18"/>
              </w:rPr>
              <w:t>inal void highwalls slopes are 20º or lower where located within alluvium and tertiary clays (known as the Cenozoic overburden) to achieve a factor of safety of 1.5</w:t>
            </w:r>
            <w:r>
              <w:rPr>
                <w:rFonts w:cstheme="minorHAnsi"/>
                <w:szCs w:val="18"/>
              </w:rPr>
              <w:t>;</w:t>
            </w:r>
          </w:p>
          <w:p w14:paraId="6922CADF" w14:textId="7121CD31"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f</w:t>
            </w:r>
            <w:r w:rsidR="009D4222" w:rsidRPr="009D4222">
              <w:rPr>
                <w:rFonts w:cstheme="minorHAnsi"/>
                <w:szCs w:val="18"/>
              </w:rPr>
              <w:t>inal void highwall slopes are 45º or lower where located within a fault fractured zone, and 55º where they are located away from fault zones. An overall angle of 55º is achieved by 50 m high batters at 65º incorporating 10 m wide intermediate benches</w:t>
            </w:r>
            <w:r>
              <w:rPr>
                <w:rFonts w:cstheme="minorHAnsi"/>
                <w:szCs w:val="18"/>
              </w:rPr>
              <w:t>;</w:t>
            </w:r>
          </w:p>
          <w:p w14:paraId="76CDB216" w14:textId="2EC34360"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w:t>
            </w:r>
            <w:r w:rsidR="009D4222" w:rsidRPr="009D4222">
              <w:rPr>
                <w:rFonts w:cstheme="minorHAnsi"/>
                <w:szCs w:val="18"/>
              </w:rPr>
              <w:t>ow wall slopes are stable</w:t>
            </w:r>
            <w:r>
              <w:rPr>
                <w:rFonts w:cstheme="minorHAnsi"/>
                <w:szCs w:val="18"/>
              </w:rPr>
              <w:t>;</w:t>
            </w:r>
          </w:p>
          <w:p w14:paraId="4C35F778" w14:textId="57BF3310"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w:t>
            </w:r>
            <w:r w:rsidR="009D4222" w:rsidRPr="009D4222">
              <w:rPr>
                <w:rFonts w:cstheme="minorHAnsi"/>
                <w:szCs w:val="18"/>
              </w:rPr>
              <w:t>he toe of out-of-pit waste rock emplacements standoff the crest of the final voids by at least 50 m</w:t>
            </w:r>
            <w:r>
              <w:rPr>
                <w:rFonts w:cstheme="minorHAnsi"/>
                <w:szCs w:val="18"/>
              </w:rPr>
              <w:t>;</w:t>
            </w:r>
          </w:p>
          <w:p w14:paraId="4D638BA3" w14:textId="4E84DE31"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the p</w:t>
            </w:r>
            <w:r w:rsidR="009D4222" w:rsidRPr="009D4222">
              <w:rPr>
                <w:rFonts w:cstheme="minorHAnsi"/>
                <w:szCs w:val="18"/>
              </w:rPr>
              <w:t xml:space="preserve">erimeter bunding </w:t>
            </w:r>
            <w:r>
              <w:rPr>
                <w:rFonts w:cstheme="minorHAnsi"/>
                <w:szCs w:val="18"/>
              </w:rPr>
              <w:t xml:space="preserve">is </w:t>
            </w:r>
            <w:r w:rsidR="009D4222" w:rsidRPr="009D4222">
              <w:rPr>
                <w:rFonts w:cstheme="minorHAnsi"/>
                <w:szCs w:val="18"/>
              </w:rPr>
              <w:t xml:space="preserve">formed and security </w:t>
            </w:r>
            <w:r>
              <w:rPr>
                <w:rFonts w:cstheme="minorHAnsi"/>
                <w:szCs w:val="18"/>
              </w:rPr>
              <w:t xml:space="preserve">is </w:t>
            </w:r>
            <w:r w:rsidR="009D4222" w:rsidRPr="009D4222">
              <w:rPr>
                <w:rFonts w:cstheme="minorHAnsi"/>
                <w:szCs w:val="18"/>
              </w:rPr>
              <w:t>fencing installed</w:t>
            </w:r>
            <w:r>
              <w:rPr>
                <w:rFonts w:cstheme="minorHAnsi"/>
                <w:szCs w:val="18"/>
              </w:rPr>
              <w:t>; and</w:t>
            </w:r>
          </w:p>
          <w:p w14:paraId="7EF0CC45" w14:textId="5A4CE01B"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w:t>
            </w:r>
            <w:r w:rsidR="009D4222" w:rsidRPr="009D4222">
              <w:rPr>
                <w:rFonts w:cstheme="minorHAnsi"/>
                <w:szCs w:val="18"/>
              </w:rPr>
              <w:t>he final void final landforms are stable and safe.</w:t>
            </w:r>
          </w:p>
        </w:tc>
      </w:tr>
      <w:tr w:rsidR="009D4222" w:rsidRPr="009D4222" w14:paraId="7AEAE972" w14:textId="77777777" w:rsidTr="009D4222">
        <w:tc>
          <w:tcPr>
            <w:cnfStyle w:val="001000000000" w:firstRow="0" w:lastRow="0" w:firstColumn="1" w:lastColumn="0" w:oddVBand="0" w:evenVBand="0" w:oddHBand="0" w:evenHBand="0" w:firstRowFirstColumn="0" w:firstRowLastColumn="0" w:lastRowFirstColumn="0" w:lastRowLastColumn="0"/>
            <w:tcW w:w="1434" w:type="dxa"/>
            <w:vMerge/>
          </w:tcPr>
          <w:p w14:paraId="0E5EB8DF"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p>
        </w:tc>
        <w:tc>
          <w:tcPr>
            <w:tcW w:w="1852" w:type="dxa"/>
          </w:tcPr>
          <w:p w14:paraId="62E6EAA6" w14:textId="77777777" w:rsidR="009D4222" w:rsidRPr="009D4222" w:rsidDel="002B194A"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Potentially contaminated areas are remediated and are safe</w:t>
            </w:r>
          </w:p>
        </w:tc>
        <w:tc>
          <w:tcPr>
            <w:tcW w:w="3459" w:type="dxa"/>
          </w:tcPr>
          <w:p w14:paraId="4FC4BF84"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 xml:space="preserve">Contaminated land assessment prepared in accordance with the </w:t>
            </w:r>
            <w:r w:rsidRPr="009D4222">
              <w:rPr>
                <w:rFonts w:cstheme="minorHAnsi"/>
                <w:i/>
                <w:iCs/>
                <w:szCs w:val="18"/>
              </w:rPr>
              <w:t xml:space="preserve">Queensland auditor handbook for contaminated land </w:t>
            </w:r>
            <w:r w:rsidRPr="009D4222">
              <w:rPr>
                <w:rFonts w:cstheme="minorHAnsi"/>
                <w:szCs w:val="18"/>
              </w:rPr>
              <w:t>(DES, 2018b) by a suitably qualified person. The contaminated land assessment would be reported and interpreted in the Final Rehabilitation Report.</w:t>
            </w:r>
          </w:p>
        </w:tc>
        <w:tc>
          <w:tcPr>
            <w:tcW w:w="2610" w:type="dxa"/>
          </w:tcPr>
          <w:p w14:paraId="49F4034B"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Consistent with the requirements of Chapter 7, Part 8 of the EP Act.</w:t>
            </w:r>
          </w:p>
        </w:tc>
        <w:tc>
          <w:tcPr>
            <w:tcW w:w="5220" w:type="dxa"/>
          </w:tcPr>
          <w:p w14:paraId="312F3401"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contaminated land assessment concludes that the Project site is suitable for the proposed post-mining land use.</w:t>
            </w:r>
          </w:p>
        </w:tc>
      </w:tr>
      <w:tr w:rsidR="009D4222" w:rsidRPr="009D4222" w14:paraId="5FEA3A49" w14:textId="77777777" w:rsidTr="009D4222">
        <w:tc>
          <w:tcPr>
            <w:cnfStyle w:val="001000000000" w:firstRow="0" w:lastRow="0" w:firstColumn="1" w:lastColumn="0" w:oddVBand="0" w:evenVBand="0" w:oddHBand="0" w:evenHBand="0" w:firstRowFirstColumn="0" w:firstRowLastColumn="0" w:lastRowFirstColumn="0" w:lastRowLastColumn="0"/>
            <w:tcW w:w="1434" w:type="dxa"/>
            <w:vMerge/>
          </w:tcPr>
          <w:p w14:paraId="210AA783"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p>
        </w:tc>
        <w:tc>
          <w:tcPr>
            <w:tcW w:w="1852" w:type="dxa"/>
          </w:tcPr>
          <w:p w14:paraId="30C9120D"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 xml:space="preserve">Other potential safety risks (e.g. falls from height) are </w:t>
            </w:r>
            <w:r w:rsidRPr="009D4222">
              <w:rPr>
                <w:rFonts w:cstheme="minorHAnsi"/>
                <w:szCs w:val="18"/>
              </w:rPr>
              <w:lastRenderedPageBreak/>
              <w:t>identified and appropriately addressed so the site is safe.</w:t>
            </w:r>
          </w:p>
        </w:tc>
        <w:tc>
          <w:tcPr>
            <w:tcW w:w="3459" w:type="dxa"/>
          </w:tcPr>
          <w:p w14:paraId="2CC63ED0"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lastRenderedPageBreak/>
              <w:t>Safety assessment (including risk assessment) prepared by a suitably qualified person.</w:t>
            </w:r>
          </w:p>
          <w:p w14:paraId="4C646CFB"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lastRenderedPageBreak/>
              <w:t>The safety assessment would be reported and interpreted in the Final Rehabilitation Report.</w:t>
            </w:r>
          </w:p>
        </w:tc>
        <w:tc>
          <w:tcPr>
            <w:tcW w:w="2610" w:type="dxa"/>
          </w:tcPr>
          <w:p w14:paraId="43B5B499"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lastRenderedPageBreak/>
              <w:t xml:space="preserve">Post-mining safety assessment is recommended by </w:t>
            </w:r>
            <w:r w:rsidRPr="009D4222">
              <w:rPr>
                <w:rFonts w:cstheme="minorHAnsi"/>
                <w:i/>
                <w:iCs/>
                <w:szCs w:val="18"/>
              </w:rPr>
              <w:t xml:space="preserve">Rehabilitation </w:t>
            </w:r>
            <w:r w:rsidRPr="009D4222">
              <w:rPr>
                <w:rFonts w:cstheme="minorHAnsi"/>
                <w:i/>
                <w:iCs/>
                <w:szCs w:val="18"/>
              </w:rPr>
              <w:lastRenderedPageBreak/>
              <w:t xml:space="preserve">Requirements for Mining Resource Activities Guideline </w:t>
            </w:r>
            <w:r w:rsidRPr="009D4222">
              <w:rPr>
                <w:rFonts w:cstheme="minorHAnsi"/>
                <w:szCs w:val="18"/>
              </w:rPr>
              <w:t>(DEHP, 2014).</w:t>
            </w:r>
          </w:p>
        </w:tc>
        <w:tc>
          <w:tcPr>
            <w:tcW w:w="5220" w:type="dxa"/>
          </w:tcPr>
          <w:p w14:paraId="2CDE1C23"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lastRenderedPageBreak/>
              <w:t>The safety assessment concludes that the risks associated with other potential safety risks are low.</w:t>
            </w:r>
          </w:p>
        </w:tc>
      </w:tr>
      <w:tr w:rsidR="009D4222" w:rsidRPr="009D4222" w14:paraId="7C2602BD" w14:textId="77777777" w:rsidTr="009D4222">
        <w:tc>
          <w:tcPr>
            <w:cnfStyle w:val="001000000000" w:firstRow="0" w:lastRow="0" w:firstColumn="1" w:lastColumn="0" w:oddVBand="0" w:evenVBand="0" w:oddHBand="0" w:evenHBand="0" w:firstRowFirstColumn="0" w:firstRowLastColumn="0" w:lastRowFirstColumn="0" w:lastRowLastColumn="0"/>
            <w:tcW w:w="1434" w:type="dxa"/>
            <w:vMerge w:val="restart"/>
          </w:tcPr>
          <w:p w14:paraId="37CAFEFA"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r w:rsidRPr="009D4222">
              <w:rPr>
                <w:rFonts w:asciiTheme="minorHAnsi" w:hAnsiTheme="minorHAnsi" w:cstheme="minorHAnsi"/>
                <w:b/>
                <w:bCs/>
                <w:szCs w:val="18"/>
              </w:rPr>
              <w:t>Non-polluting</w:t>
            </w:r>
          </w:p>
        </w:tc>
        <w:tc>
          <w:tcPr>
            <w:tcW w:w="1852" w:type="dxa"/>
          </w:tcPr>
          <w:p w14:paraId="01A48B59" w14:textId="77777777" w:rsidR="009D4222" w:rsidRPr="009D4222" w:rsidRDefault="009D4222" w:rsidP="009D4222">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Final voids are isolated from the Isaac River.</w:t>
            </w:r>
          </w:p>
        </w:tc>
        <w:tc>
          <w:tcPr>
            <w:tcW w:w="3459" w:type="dxa"/>
          </w:tcPr>
          <w:p w14:paraId="20829699"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Flood assessment prepared by a suitably qualified person.</w:t>
            </w:r>
          </w:p>
          <w:p w14:paraId="4CD82713" w14:textId="77777777" w:rsidR="009D4222" w:rsidRPr="009D4222" w:rsidRDefault="009D4222" w:rsidP="009D4222">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flood assessment would be reported and interpreted in the Final Rehabilitation Report.</w:t>
            </w:r>
          </w:p>
        </w:tc>
        <w:tc>
          <w:tcPr>
            <w:tcW w:w="2610" w:type="dxa"/>
            <w:vMerge w:val="restart"/>
          </w:tcPr>
          <w:p w14:paraId="1B5FF1CA"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 xml:space="preserve">Hydrological studies are recommended by </w:t>
            </w:r>
            <w:r w:rsidRPr="009D4222">
              <w:rPr>
                <w:rFonts w:cstheme="minorHAnsi"/>
                <w:i/>
                <w:iCs/>
                <w:szCs w:val="18"/>
              </w:rPr>
              <w:t xml:space="preserve">Rehabilitation Requirements for Mining Resource Activities Guideline </w:t>
            </w:r>
            <w:r w:rsidRPr="009D4222">
              <w:rPr>
                <w:rFonts w:cstheme="minorHAnsi"/>
                <w:szCs w:val="18"/>
              </w:rPr>
              <w:t>(DEHP, 2014).</w:t>
            </w:r>
          </w:p>
        </w:tc>
        <w:tc>
          <w:tcPr>
            <w:tcW w:w="5220" w:type="dxa"/>
          </w:tcPr>
          <w:p w14:paraId="4ACB8123" w14:textId="77777777" w:rsidR="009D4222" w:rsidRPr="009D4222" w:rsidRDefault="009D4222" w:rsidP="009D4222">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flood assessment concludes that the final voids are isolated from all flood events, up to and including a PMF event.</w:t>
            </w:r>
          </w:p>
        </w:tc>
      </w:tr>
      <w:tr w:rsidR="009D4222" w:rsidRPr="009D4222" w14:paraId="70678C68" w14:textId="77777777" w:rsidTr="009D4222">
        <w:tc>
          <w:tcPr>
            <w:cnfStyle w:val="001000000000" w:firstRow="0" w:lastRow="0" w:firstColumn="1" w:lastColumn="0" w:oddVBand="0" w:evenVBand="0" w:oddHBand="0" w:evenHBand="0" w:firstRowFirstColumn="0" w:firstRowLastColumn="0" w:lastRowFirstColumn="0" w:lastRowLastColumn="0"/>
            <w:tcW w:w="1434" w:type="dxa"/>
            <w:vMerge/>
          </w:tcPr>
          <w:p w14:paraId="5944037F"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p>
        </w:tc>
        <w:tc>
          <w:tcPr>
            <w:tcW w:w="1852" w:type="dxa"/>
            <w:vMerge w:val="restart"/>
          </w:tcPr>
          <w:p w14:paraId="2146FC46"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Final voids are a low risk of causing environmental harm.</w:t>
            </w:r>
          </w:p>
        </w:tc>
        <w:tc>
          <w:tcPr>
            <w:tcW w:w="3459" w:type="dxa"/>
          </w:tcPr>
          <w:p w14:paraId="3B48DACD"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Groundwater assessment prepared by a suitably qualified person.</w:t>
            </w:r>
          </w:p>
          <w:p w14:paraId="74FECE59"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groundwater assessment would be reported and interpreted in the Final Rehabilitation Report.</w:t>
            </w:r>
          </w:p>
        </w:tc>
        <w:tc>
          <w:tcPr>
            <w:tcW w:w="2610" w:type="dxa"/>
            <w:vMerge/>
          </w:tcPr>
          <w:p w14:paraId="6E3F3167"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5220" w:type="dxa"/>
          </w:tcPr>
          <w:p w14:paraId="09572D0A"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groundwater assessment concludes that the final voids are acting as groundwater sinks, preventing the migration of potentially saline water into adjacent aquifers and watercourses.</w:t>
            </w:r>
          </w:p>
        </w:tc>
      </w:tr>
      <w:tr w:rsidR="009D4222" w:rsidRPr="009D4222" w14:paraId="4DB68948" w14:textId="77777777" w:rsidTr="009D4222">
        <w:tc>
          <w:tcPr>
            <w:cnfStyle w:val="001000000000" w:firstRow="0" w:lastRow="0" w:firstColumn="1" w:lastColumn="0" w:oddVBand="0" w:evenVBand="0" w:oddHBand="0" w:evenHBand="0" w:firstRowFirstColumn="0" w:firstRowLastColumn="0" w:lastRowFirstColumn="0" w:lastRowLastColumn="0"/>
            <w:tcW w:w="1434" w:type="dxa"/>
            <w:vMerge/>
          </w:tcPr>
          <w:p w14:paraId="4F825F53"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p>
        </w:tc>
        <w:tc>
          <w:tcPr>
            <w:tcW w:w="1852" w:type="dxa"/>
            <w:vMerge/>
          </w:tcPr>
          <w:p w14:paraId="578FE292"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459" w:type="dxa"/>
          </w:tcPr>
          <w:p w14:paraId="45F3D8B3"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Final void balance prepared by a suitably qualified person.</w:t>
            </w:r>
          </w:p>
          <w:p w14:paraId="36CD26D1"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final void balance would be reported and interpreted in the Final Rehabilitation Report.</w:t>
            </w:r>
          </w:p>
        </w:tc>
        <w:tc>
          <w:tcPr>
            <w:tcW w:w="2610" w:type="dxa"/>
            <w:vMerge/>
          </w:tcPr>
          <w:p w14:paraId="7756E6F4"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5220" w:type="dxa"/>
          </w:tcPr>
          <w:p w14:paraId="5BE72656"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final void balance concludes that the final void water bodies would equilibrate well below the point at which they would spill to the surrounding environment.</w:t>
            </w:r>
          </w:p>
        </w:tc>
      </w:tr>
      <w:tr w:rsidR="009D4222" w:rsidRPr="009D4222" w14:paraId="76CA028B" w14:textId="77777777" w:rsidTr="009D4222">
        <w:tc>
          <w:tcPr>
            <w:cnfStyle w:val="001000000000" w:firstRow="0" w:lastRow="0" w:firstColumn="1" w:lastColumn="0" w:oddVBand="0" w:evenVBand="0" w:oddHBand="0" w:evenHBand="0" w:firstRowFirstColumn="0" w:firstRowLastColumn="0" w:lastRowFirstColumn="0" w:lastRowLastColumn="0"/>
            <w:tcW w:w="1434" w:type="dxa"/>
            <w:vMerge/>
          </w:tcPr>
          <w:p w14:paraId="6EBD7967"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p>
        </w:tc>
        <w:tc>
          <w:tcPr>
            <w:tcW w:w="1852" w:type="dxa"/>
            <w:vMerge/>
          </w:tcPr>
          <w:p w14:paraId="75E753FC"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459" w:type="dxa"/>
          </w:tcPr>
          <w:p w14:paraId="468DD638"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Surface and groundwater quality (e.g. pH, heavy metal content, etc) monitoring data.</w:t>
            </w:r>
          </w:p>
          <w:p w14:paraId="4A5FFCEF"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Surface and groundwater quality monitoring data would be reported and interpreted in the Final Rehabilitation Report.</w:t>
            </w:r>
          </w:p>
        </w:tc>
        <w:tc>
          <w:tcPr>
            <w:tcW w:w="2610" w:type="dxa"/>
          </w:tcPr>
          <w:p w14:paraId="5F772774"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 xml:space="preserve">Water quality monitoring is recommended by </w:t>
            </w:r>
            <w:r w:rsidRPr="009D4222">
              <w:rPr>
                <w:rFonts w:cstheme="minorHAnsi"/>
                <w:i/>
                <w:iCs/>
                <w:szCs w:val="18"/>
              </w:rPr>
              <w:t xml:space="preserve">Rehabilitation Requirements for Mining Resource Activities Guideline </w:t>
            </w:r>
            <w:r w:rsidRPr="009D4222">
              <w:rPr>
                <w:rFonts w:cstheme="minorHAnsi"/>
                <w:szCs w:val="18"/>
              </w:rPr>
              <w:t>(DEHP, 2014).</w:t>
            </w:r>
          </w:p>
        </w:tc>
        <w:tc>
          <w:tcPr>
            <w:tcW w:w="5220" w:type="dxa"/>
          </w:tcPr>
          <w:p w14:paraId="793163AE"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Receiving water quality monitoring results comply with Environmental Authority surface and groundwater quality criteria, for a period of at least two years post-mining.</w:t>
            </w:r>
          </w:p>
        </w:tc>
      </w:tr>
      <w:tr w:rsidR="009D4222" w:rsidRPr="009D4222" w14:paraId="15DB9465" w14:textId="77777777" w:rsidTr="009D4222">
        <w:tc>
          <w:tcPr>
            <w:cnfStyle w:val="001000000000" w:firstRow="0" w:lastRow="0" w:firstColumn="1" w:lastColumn="0" w:oddVBand="0" w:evenVBand="0" w:oddHBand="0" w:evenHBand="0" w:firstRowFirstColumn="0" w:firstRowLastColumn="0" w:lastRowFirstColumn="0" w:lastRowLastColumn="0"/>
            <w:tcW w:w="1434" w:type="dxa"/>
            <w:vMerge/>
          </w:tcPr>
          <w:p w14:paraId="3ED083E9"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p>
        </w:tc>
        <w:tc>
          <w:tcPr>
            <w:tcW w:w="1852" w:type="dxa"/>
            <w:vMerge/>
          </w:tcPr>
          <w:p w14:paraId="60614D65"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459" w:type="dxa"/>
          </w:tcPr>
          <w:p w14:paraId="0FE30E09"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Environmental risk assessment prepared by a suitably qualified team.</w:t>
            </w:r>
          </w:p>
          <w:p w14:paraId="149E29CB"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environmental risk assessment would be reported and interpreted in the Final Rehabilitation Report.</w:t>
            </w:r>
          </w:p>
        </w:tc>
        <w:tc>
          <w:tcPr>
            <w:tcW w:w="2610" w:type="dxa"/>
          </w:tcPr>
          <w:p w14:paraId="12B5FEE8"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 xml:space="preserve">Consistent with the requirements of Chapter 5, Part 10 of the EP Act. </w:t>
            </w:r>
          </w:p>
        </w:tc>
        <w:tc>
          <w:tcPr>
            <w:tcW w:w="5220" w:type="dxa"/>
          </w:tcPr>
          <w:p w14:paraId="6B00B98F"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environmental risk assessment concludes that there is a low risk of environmental harm.</w:t>
            </w:r>
          </w:p>
        </w:tc>
      </w:tr>
      <w:tr w:rsidR="009D4222" w:rsidRPr="009D4222" w14:paraId="08E10969" w14:textId="77777777" w:rsidTr="009D4222">
        <w:tc>
          <w:tcPr>
            <w:cnfStyle w:val="001000000000" w:firstRow="0" w:lastRow="0" w:firstColumn="1" w:lastColumn="0" w:oddVBand="0" w:evenVBand="0" w:oddHBand="0" w:evenHBand="0" w:firstRowFirstColumn="0" w:firstRowLastColumn="0" w:lastRowFirstColumn="0" w:lastRowLastColumn="0"/>
            <w:tcW w:w="1434" w:type="dxa"/>
          </w:tcPr>
          <w:p w14:paraId="23D89A78" w14:textId="77777777" w:rsidR="009D4222" w:rsidRPr="009D4222" w:rsidRDefault="009D4222" w:rsidP="009D4222">
            <w:pPr>
              <w:spacing w:before="60" w:beforeAutospacing="0" w:after="60" w:afterAutospacing="0" w:line="300" w:lineRule="auto"/>
              <w:rPr>
                <w:rFonts w:asciiTheme="minorHAnsi" w:hAnsiTheme="minorHAnsi" w:cstheme="minorHAnsi"/>
                <w:b/>
                <w:bCs/>
                <w:szCs w:val="18"/>
              </w:rPr>
            </w:pPr>
            <w:r w:rsidRPr="009D4222">
              <w:rPr>
                <w:rFonts w:asciiTheme="minorHAnsi" w:hAnsiTheme="minorHAnsi" w:cstheme="minorHAnsi"/>
                <w:b/>
                <w:bCs/>
                <w:szCs w:val="18"/>
              </w:rPr>
              <w:t>Stable</w:t>
            </w:r>
          </w:p>
        </w:tc>
        <w:tc>
          <w:tcPr>
            <w:tcW w:w="1852" w:type="dxa"/>
          </w:tcPr>
          <w:p w14:paraId="47AAB4C7" w14:textId="77777777" w:rsidR="009D4222" w:rsidRPr="009D4222" w:rsidRDefault="009D4222" w:rsidP="009D4222">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Final void final landforms are geotechnically stable and safe.</w:t>
            </w:r>
          </w:p>
        </w:tc>
        <w:tc>
          <w:tcPr>
            <w:tcW w:w="3459" w:type="dxa"/>
          </w:tcPr>
          <w:p w14:paraId="7AE5FF32"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Geotechnical assessment of the final void final landforms (slope angle and length) prepared by a suitably qualified person.</w:t>
            </w:r>
          </w:p>
          <w:p w14:paraId="647C1740" w14:textId="77777777" w:rsidR="009D4222" w:rsidRPr="009D4222" w:rsidRDefault="009D4222" w:rsidP="009D4222">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geotechnical assessment would be reported and interpreted in the Final Rehabilitation Report.</w:t>
            </w:r>
          </w:p>
        </w:tc>
        <w:tc>
          <w:tcPr>
            <w:tcW w:w="2610" w:type="dxa"/>
          </w:tcPr>
          <w:p w14:paraId="0794D648" w14:textId="77777777"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 xml:space="preserve">Geotechnical assessments of final landforms are recommended by the </w:t>
            </w:r>
            <w:r w:rsidRPr="009D4222">
              <w:rPr>
                <w:rFonts w:cstheme="minorHAnsi"/>
                <w:i/>
                <w:iCs/>
                <w:szCs w:val="18"/>
              </w:rPr>
              <w:t xml:space="preserve">Planning for Integrated Mine Closure: Toolkit </w:t>
            </w:r>
            <w:r w:rsidRPr="009D4222">
              <w:rPr>
                <w:rFonts w:cstheme="minorHAnsi"/>
                <w:szCs w:val="18"/>
              </w:rPr>
              <w:t>(International Council on Mining and Metals, 2008).</w:t>
            </w:r>
          </w:p>
        </w:tc>
        <w:tc>
          <w:tcPr>
            <w:tcW w:w="5220" w:type="dxa"/>
          </w:tcPr>
          <w:p w14:paraId="73ED4E70" w14:textId="19875789"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The geotechnical assessment concludes</w:t>
            </w:r>
            <w:r w:rsidR="004C52BE">
              <w:rPr>
                <w:rFonts w:cstheme="minorHAnsi"/>
                <w:szCs w:val="18"/>
              </w:rPr>
              <w:t xml:space="preserve"> that</w:t>
            </w:r>
            <w:r w:rsidRPr="009D4222">
              <w:rPr>
                <w:rFonts w:cstheme="minorHAnsi"/>
                <w:szCs w:val="18"/>
              </w:rPr>
              <w:t>:</w:t>
            </w:r>
          </w:p>
          <w:p w14:paraId="71E7070F" w14:textId="3BCEAE49"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the f</w:t>
            </w:r>
            <w:r w:rsidR="009D4222" w:rsidRPr="009D4222">
              <w:rPr>
                <w:rFonts w:cstheme="minorHAnsi"/>
                <w:szCs w:val="18"/>
              </w:rPr>
              <w:t>inal void highwalls slopes are 20º or lower where located within alluvium and tertiary clays (known as the Cenozoic overburden) to achieve a factor of safety of 1.5</w:t>
            </w:r>
            <w:r>
              <w:rPr>
                <w:rFonts w:cstheme="minorHAnsi"/>
                <w:szCs w:val="18"/>
              </w:rPr>
              <w:t>;</w:t>
            </w:r>
          </w:p>
          <w:p w14:paraId="4706CBB3" w14:textId="57526849"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the f</w:t>
            </w:r>
            <w:r w:rsidR="009D4222" w:rsidRPr="009D4222">
              <w:rPr>
                <w:rFonts w:cstheme="minorHAnsi"/>
                <w:szCs w:val="18"/>
              </w:rPr>
              <w:t>inal void highwall slopes are 45º or lower where located within a fault fractured zone, and 55º where they are located away from fault zones. An overall angle of 55º is achieved by 50 m high batters at 65º incorporating 10 m wide intermediate benches</w:t>
            </w:r>
            <w:r>
              <w:rPr>
                <w:rFonts w:cstheme="minorHAnsi"/>
                <w:szCs w:val="18"/>
              </w:rPr>
              <w:t>;</w:t>
            </w:r>
          </w:p>
          <w:p w14:paraId="6AC1789A" w14:textId="78E63FB7"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w:t>
            </w:r>
            <w:r w:rsidR="009D4222" w:rsidRPr="009D4222">
              <w:rPr>
                <w:rFonts w:cstheme="minorHAnsi"/>
                <w:szCs w:val="18"/>
              </w:rPr>
              <w:t>he toe of out-of-pit waste rock emplacements standoff the crest of the final voids by at least 50 m</w:t>
            </w:r>
            <w:r>
              <w:rPr>
                <w:rFonts w:cstheme="minorHAnsi"/>
                <w:szCs w:val="18"/>
              </w:rPr>
              <w:t>;</w:t>
            </w:r>
          </w:p>
          <w:p w14:paraId="1B3C9F56" w14:textId="34274678"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the p</w:t>
            </w:r>
            <w:r w:rsidR="009D4222" w:rsidRPr="009D4222">
              <w:rPr>
                <w:rFonts w:cstheme="minorHAnsi"/>
                <w:szCs w:val="18"/>
              </w:rPr>
              <w:t xml:space="preserve">erimeter bunding </w:t>
            </w:r>
            <w:r>
              <w:rPr>
                <w:rFonts w:cstheme="minorHAnsi"/>
                <w:szCs w:val="18"/>
              </w:rPr>
              <w:t xml:space="preserve">is </w:t>
            </w:r>
            <w:r w:rsidR="009D4222" w:rsidRPr="009D4222">
              <w:rPr>
                <w:rFonts w:cstheme="minorHAnsi"/>
                <w:szCs w:val="18"/>
              </w:rPr>
              <w:t xml:space="preserve">formed and security fencing </w:t>
            </w:r>
            <w:r>
              <w:rPr>
                <w:rFonts w:cstheme="minorHAnsi"/>
                <w:szCs w:val="18"/>
              </w:rPr>
              <w:t xml:space="preserve">is </w:t>
            </w:r>
            <w:r w:rsidR="009D4222" w:rsidRPr="009D4222">
              <w:rPr>
                <w:rFonts w:cstheme="minorHAnsi"/>
                <w:szCs w:val="18"/>
              </w:rPr>
              <w:t>installed</w:t>
            </w:r>
            <w:r>
              <w:rPr>
                <w:rFonts w:cstheme="minorHAnsi"/>
                <w:szCs w:val="18"/>
              </w:rPr>
              <w:t>; and</w:t>
            </w:r>
          </w:p>
          <w:p w14:paraId="7FB97596" w14:textId="61C72E27"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w:t>
            </w:r>
            <w:r w:rsidR="009D4222" w:rsidRPr="009D4222">
              <w:rPr>
                <w:rFonts w:cstheme="minorHAnsi"/>
                <w:szCs w:val="18"/>
              </w:rPr>
              <w:t>he final void final landforms are stable and safe</w:t>
            </w:r>
          </w:p>
        </w:tc>
      </w:tr>
      <w:tr w:rsidR="009D4222" w:rsidRPr="009D4222" w14:paraId="4DB61FCA" w14:textId="77777777" w:rsidTr="009D4222">
        <w:tc>
          <w:tcPr>
            <w:cnfStyle w:val="001000000000" w:firstRow="0" w:lastRow="0" w:firstColumn="1" w:lastColumn="0" w:oddVBand="0" w:evenVBand="0" w:oddHBand="0" w:evenHBand="0" w:firstRowFirstColumn="0" w:firstRowLastColumn="0" w:lastRowFirstColumn="0" w:lastRowLastColumn="0"/>
            <w:tcW w:w="1434" w:type="dxa"/>
          </w:tcPr>
          <w:p w14:paraId="3C32B5D2" w14:textId="77777777" w:rsidR="009D4222" w:rsidRPr="009D4222" w:rsidRDefault="009D4222" w:rsidP="009D4222">
            <w:pPr>
              <w:autoSpaceDE w:val="0"/>
              <w:autoSpaceDN w:val="0"/>
              <w:adjustRightInd w:val="0"/>
              <w:spacing w:before="60" w:beforeAutospacing="0" w:after="60" w:afterAutospacing="0" w:line="300" w:lineRule="auto"/>
              <w:rPr>
                <w:rFonts w:asciiTheme="minorHAnsi" w:hAnsiTheme="minorHAnsi" w:cstheme="minorHAnsi"/>
                <w:b/>
                <w:bCs/>
                <w:szCs w:val="18"/>
              </w:rPr>
            </w:pPr>
            <w:r w:rsidRPr="009D4222">
              <w:rPr>
                <w:rFonts w:asciiTheme="minorHAnsi" w:hAnsiTheme="minorHAnsi" w:cstheme="minorHAnsi"/>
                <w:b/>
                <w:bCs/>
                <w:szCs w:val="18"/>
              </w:rPr>
              <w:t>Sustainable Land Use</w:t>
            </w:r>
          </w:p>
        </w:tc>
        <w:tc>
          <w:tcPr>
            <w:tcW w:w="1852" w:type="dxa"/>
          </w:tcPr>
          <w:p w14:paraId="0076075E" w14:textId="77777777" w:rsidR="009D4222" w:rsidRPr="009D4222" w:rsidRDefault="009D4222" w:rsidP="009D4222">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Establish self-sustaining (fauna habitat) land use.</w:t>
            </w:r>
          </w:p>
        </w:tc>
        <w:tc>
          <w:tcPr>
            <w:tcW w:w="3459" w:type="dxa"/>
          </w:tcPr>
          <w:p w14:paraId="4B055EF7" w14:textId="57320D24"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L</w:t>
            </w:r>
            <w:r w:rsidR="003B6B06">
              <w:rPr>
                <w:rFonts w:cstheme="minorHAnsi"/>
                <w:szCs w:val="18"/>
              </w:rPr>
              <w:t xml:space="preserve">andscape </w:t>
            </w:r>
            <w:r w:rsidRPr="009D4222">
              <w:rPr>
                <w:rFonts w:cstheme="minorHAnsi"/>
                <w:szCs w:val="18"/>
              </w:rPr>
              <w:t>F</w:t>
            </w:r>
            <w:r w:rsidR="003B6B06">
              <w:rPr>
                <w:rFonts w:cstheme="minorHAnsi"/>
                <w:szCs w:val="18"/>
              </w:rPr>
              <w:t xml:space="preserve">unction </w:t>
            </w:r>
            <w:r w:rsidRPr="009D4222">
              <w:rPr>
                <w:rFonts w:cstheme="minorHAnsi"/>
                <w:szCs w:val="18"/>
              </w:rPr>
              <w:t>A</w:t>
            </w:r>
            <w:r w:rsidR="003B6B06">
              <w:rPr>
                <w:rFonts w:cstheme="minorHAnsi"/>
                <w:szCs w:val="18"/>
              </w:rPr>
              <w:t>nalysis</w:t>
            </w:r>
            <w:r w:rsidRPr="009D4222">
              <w:rPr>
                <w:rFonts w:cstheme="minorHAnsi"/>
                <w:szCs w:val="18"/>
              </w:rPr>
              <w:t xml:space="preserve"> </w:t>
            </w:r>
            <w:r w:rsidR="003B6B06">
              <w:rPr>
                <w:rFonts w:cstheme="minorHAnsi"/>
                <w:szCs w:val="18"/>
              </w:rPr>
              <w:t xml:space="preserve">(LFA) </w:t>
            </w:r>
            <w:r w:rsidRPr="009D4222">
              <w:rPr>
                <w:rFonts w:cstheme="minorHAnsi"/>
                <w:szCs w:val="18"/>
              </w:rPr>
              <w:t>(e.g. erosion, soil physical parameters, organic matter and nutrient content and cycling, vegetation dynamics, habitat complexity and habitat quality) monitoring.</w:t>
            </w:r>
          </w:p>
          <w:p w14:paraId="2818FDF4" w14:textId="77777777" w:rsidR="009D4222" w:rsidRPr="009D4222" w:rsidRDefault="009D4222" w:rsidP="009D4222">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LFA monitoring data would be reported and interpreted in the Final Rehabilitation Report.</w:t>
            </w:r>
          </w:p>
        </w:tc>
        <w:tc>
          <w:tcPr>
            <w:tcW w:w="2610" w:type="dxa"/>
          </w:tcPr>
          <w:p w14:paraId="61D33EDF" w14:textId="4C8A2F65"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CSIRO</w:t>
            </w:r>
          </w:p>
        </w:tc>
        <w:tc>
          <w:tcPr>
            <w:tcW w:w="5220" w:type="dxa"/>
          </w:tcPr>
          <w:p w14:paraId="001FEAED" w14:textId="43647A90" w:rsidR="009D4222" w:rsidRPr="009D4222" w:rsidRDefault="009D4222" w:rsidP="009D4222">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9D4222">
              <w:rPr>
                <w:rFonts w:cstheme="minorHAnsi"/>
                <w:szCs w:val="18"/>
              </w:rPr>
              <w:t>LFA monitoring demonstrates</w:t>
            </w:r>
            <w:r w:rsidR="004C52BE">
              <w:rPr>
                <w:rFonts w:cstheme="minorHAnsi"/>
                <w:szCs w:val="18"/>
              </w:rPr>
              <w:t xml:space="preserve"> that</w:t>
            </w:r>
            <w:r w:rsidRPr="009D4222">
              <w:rPr>
                <w:rFonts w:cstheme="minorHAnsi"/>
                <w:szCs w:val="18"/>
              </w:rPr>
              <w:t>:</w:t>
            </w:r>
          </w:p>
          <w:p w14:paraId="63842784" w14:textId="5CC4F914"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w:t>
            </w:r>
            <w:r w:rsidR="009D4222" w:rsidRPr="009D4222">
              <w:rPr>
                <w:rFonts w:cstheme="minorHAnsi"/>
                <w:szCs w:val="18"/>
              </w:rPr>
              <w:t>ustainable fauna usage (e.g. Strip-faced Dunnart, Hoary Wattled Bat and Australian Grey Teal) of the final voids</w:t>
            </w:r>
            <w:r>
              <w:rPr>
                <w:rFonts w:cstheme="minorHAnsi"/>
                <w:szCs w:val="18"/>
              </w:rPr>
              <w:t xml:space="preserve"> is achieved;</w:t>
            </w:r>
          </w:p>
          <w:p w14:paraId="5FECCD3E" w14:textId="53151886"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w</w:t>
            </w:r>
            <w:r w:rsidR="009D4222" w:rsidRPr="009D4222">
              <w:rPr>
                <w:rFonts w:cstheme="minorHAnsi"/>
                <w:szCs w:val="18"/>
              </w:rPr>
              <w:t>eed diversity and abundance is comparable to relevant rehabilitation monitoring reference sites</w:t>
            </w:r>
            <w:r>
              <w:rPr>
                <w:rFonts w:cstheme="minorHAnsi"/>
                <w:szCs w:val="18"/>
              </w:rPr>
              <w:t>; and</w:t>
            </w:r>
          </w:p>
          <w:p w14:paraId="1A8AA708" w14:textId="6B5AAD56" w:rsidR="009D4222" w:rsidRPr="009D4222" w:rsidRDefault="004C52BE" w:rsidP="006604FA">
            <w:pPr>
              <w:numPr>
                <w:ilvl w:val="0"/>
                <w:numId w:val="45"/>
              </w:numPr>
              <w:autoSpaceDE w:val="0"/>
              <w:autoSpaceDN w:val="0"/>
              <w:adjustRightInd w:val="0"/>
              <w:spacing w:before="60" w:beforeAutospacing="0" w:after="60" w:afterAutospacing="0" w:line="300" w:lineRule="auto"/>
              <w:ind w:left="343"/>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p</w:t>
            </w:r>
            <w:r w:rsidR="009D4222" w:rsidRPr="009D4222">
              <w:rPr>
                <w:rFonts w:cstheme="minorHAnsi"/>
                <w:szCs w:val="18"/>
              </w:rPr>
              <w:t>ests do not occur in substantial numbers.</w:t>
            </w:r>
          </w:p>
          <w:p w14:paraId="543699C6" w14:textId="77777777" w:rsidR="009D4222" w:rsidRPr="009D4222" w:rsidRDefault="009D4222" w:rsidP="009D4222">
            <w:pPr>
              <w:spacing w:before="60" w:beforeAutospacing="0" w:after="60" w:afterAutospacing="0" w:line="300" w:lineRule="auto"/>
              <w:ind w:left="720"/>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p>
        </w:tc>
      </w:tr>
    </w:tbl>
    <w:p w14:paraId="15D28912" w14:textId="77777777" w:rsidR="009D4222" w:rsidRDefault="009D4222" w:rsidP="009D4222">
      <w:pPr>
        <w:pStyle w:val="BodyText"/>
        <w:sectPr w:rsidR="009D4222" w:rsidSect="00F66109">
          <w:pgSz w:w="16839" w:h="11907" w:orient="landscape" w:code="9"/>
          <w:pgMar w:top="1440" w:right="1134" w:bottom="1440" w:left="1440" w:header="340" w:footer="340" w:gutter="0"/>
          <w:cols w:space="708"/>
          <w:docGrid w:linePitch="360"/>
        </w:sectPr>
      </w:pPr>
    </w:p>
    <w:p w14:paraId="11DDC21C" w14:textId="77777777" w:rsidR="00032D19" w:rsidRDefault="00032D19" w:rsidP="00032D19">
      <w:pPr>
        <w:pStyle w:val="Heading4"/>
      </w:pPr>
      <w:bookmarkStart w:id="186" w:name="_Ref56416781"/>
      <w:r>
        <w:lastRenderedPageBreak/>
        <w:t>Future management plans</w:t>
      </w:r>
    </w:p>
    <w:p w14:paraId="036C5EC1" w14:textId="10B8A239" w:rsidR="00032D19" w:rsidRDefault="00032D19" w:rsidP="00032D19">
      <w:pPr>
        <w:pStyle w:val="BodyText"/>
      </w:pPr>
      <w:r>
        <w:t>Detailed rehabilitation management plans are to be developed for the Project and were not available for review for this case study. The rehabilitation strategy outlines the following relevant documents to be developed</w:t>
      </w:r>
      <w:r w:rsidR="004C52BE">
        <w:t>.</w:t>
      </w:r>
    </w:p>
    <w:p w14:paraId="6F7BB687" w14:textId="77777777" w:rsidR="00032D19" w:rsidRDefault="00032D19" w:rsidP="001628AA">
      <w:pPr>
        <w:pStyle w:val="BodyText"/>
        <w:numPr>
          <w:ilvl w:val="0"/>
          <w:numId w:val="47"/>
        </w:numPr>
        <w:spacing w:before="80" w:after="80"/>
      </w:pPr>
      <w:r>
        <w:t>Topsoil management plan.</w:t>
      </w:r>
    </w:p>
    <w:p w14:paraId="78163D85" w14:textId="77777777" w:rsidR="00032D19" w:rsidRDefault="00032D19" w:rsidP="001628AA">
      <w:pPr>
        <w:pStyle w:val="BodyText"/>
        <w:numPr>
          <w:ilvl w:val="0"/>
          <w:numId w:val="47"/>
        </w:numPr>
        <w:spacing w:before="80" w:after="80"/>
      </w:pPr>
      <w:r>
        <w:t>Erosion and sediment control plan.</w:t>
      </w:r>
    </w:p>
    <w:p w14:paraId="0843077D" w14:textId="77777777" w:rsidR="00032D19" w:rsidRDefault="00032D19" w:rsidP="001628AA">
      <w:pPr>
        <w:pStyle w:val="BodyText"/>
        <w:numPr>
          <w:ilvl w:val="0"/>
          <w:numId w:val="47"/>
        </w:numPr>
        <w:spacing w:before="80" w:after="80"/>
      </w:pPr>
      <w:r>
        <w:t>Weed and pest management plan.</w:t>
      </w:r>
    </w:p>
    <w:p w14:paraId="0E82F6BE" w14:textId="77777777" w:rsidR="00032D19" w:rsidRDefault="00032D19" w:rsidP="001628AA">
      <w:pPr>
        <w:pStyle w:val="BodyText"/>
        <w:numPr>
          <w:ilvl w:val="0"/>
          <w:numId w:val="47"/>
        </w:numPr>
        <w:spacing w:before="80" w:after="80"/>
      </w:pPr>
      <w:r>
        <w:t xml:space="preserve">Rehabilitation and mine closure plan. </w:t>
      </w:r>
    </w:p>
    <w:p w14:paraId="51409091" w14:textId="77777777" w:rsidR="00032D19" w:rsidRDefault="00032D19" w:rsidP="00032D19">
      <w:pPr>
        <w:pStyle w:val="BodyText"/>
      </w:pPr>
      <w:r>
        <w:t>The rehabilitation and mine closure plan will outline the rehabilitation monitoring program, rehabilitation milestones, developed rehabilitation methods and completion criteria. Mine closure planning will continue to develop over the life of the Project and become more detailed as the Project approaches the end of the mine life, at around 2100.</w:t>
      </w:r>
    </w:p>
    <w:p w14:paraId="34F6F7B3" w14:textId="77777777" w:rsidR="00032D19" w:rsidRDefault="00032D19" w:rsidP="00032D19">
      <w:pPr>
        <w:pStyle w:val="Heading3"/>
      </w:pPr>
      <w:bookmarkStart w:id="187" w:name="_Toc87278349"/>
      <w:r>
        <w:t>Risk mitigation and management</w:t>
      </w:r>
      <w:bookmarkEnd w:id="187"/>
    </w:p>
    <w:p w14:paraId="01894C86" w14:textId="1634206E" w:rsidR="00032D19" w:rsidRDefault="00032D19" w:rsidP="00032D19">
      <w:pPr>
        <w:pStyle w:val="BodyText"/>
      </w:pPr>
      <w:r>
        <w:t>According to the EIS (Pembroke Resources, 2018 &amp; 2019), t</w:t>
      </w:r>
      <w:r w:rsidRPr="00FF1128">
        <w:t xml:space="preserve">he final </w:t>
      </w:r>
      <w:r>
        <w:t xml:space="preserve">three </w:t>
      </w:r>
      <w:r w:rsidRPr="00FF1128">
        <w:t xml:space="preserve">voids are anticipated to equilibrate as </w:t>
      </w:r>
      <w:r w:rsidRPr="00052DBE">
        <w:rPr>
          <w:i/>
          <w:iCs/>
        </w:rPr>
        <w:t>terminal sink flow regimes</w:t>
      </w:r>
      <w:r>
        <w:t xml:space="preserve">, </w:t>
      </w:r>
      <w:bookmarkStart w:id="188" w:name="_Hlk59023914"/>
      <w:r>
        <w:t>with</w:t>
      </w:r>
      <w:r w:rsidRPr="00FF1128">
        <w:t xml:space="preserve"> ‘pit lake’ levels that will remain below overflow levels.</w:t>
      </w:r>
      <w:r>
        <w:t xml:space="preserve"> </w:t>
      </w:r>
      <w:r w:rsidRPr="00FF1128">
        <w:t>The EIS concluded the final voids pose a low risk of environmental harm</w:t>
      </w:r>
      <w:r>
        <w:t>, with commitments to implementing the following key risk mitigation and management measures</w:t>
      </w:r>
      <w:r w:rsidR="004C52BE">
        <w:t>.</w:t>
      </w:r>
    </w:p>
    <w:bookmarkEnd w:id="188"/>
    <w:p w14:paraId="0B495087" w14:textId="059DE2D4" w:rsidR="00032D19" w:rsidRDefault="00032D19" w:rsidP="001628AA">
      <w:pPr>
        <w:pStyle w:val="BodyText"/>
        <w:numPr>
          <w:ilvl w:val="0"/>
          <w:numId w:val="27"/>
        </w:numPr>
        <w:spacing w:before="80" w:after="80"/>
      </w:pPr>
      <w:r w:rsidRPr="004B1794">
        <w:t>Progressive backfilling of the open</w:t>
      </w:r>
      <w:r w:rsidR="004C52BE">
        <w:t>-</w:t>
      </w:r>
      <w:r w:rsidRPr="004B1794">
        <w:t>cut pits behind the advancing operations would be undertaken to minimise the potential for environmental harm consistent with the rehabilitation hierarchy outlined in the Rehabilitation Requirements for Mining Resources Activities Guideline (DEHP, 2014). The mine schedule has been optimised to maximise opportunities to backfill advancing open</w:t>
      </w:r>
      <w:r w:rsidR="004C52BE">
        <w:t>-</w:t>
      </w:r>
      <w:r w:rsidRPr="004B1794">
        <w:t xml:space="preserve">cut pits during mining operations </w:t>
      </w:r>
      <w:r>
        <w:t>such that ten open</w:t>
      </w:r>
      <w:r w:rsidR="004C52BE">
        <w:t>-</w:t>
      </w:r>
      <w:r>
        <w:t xml:space="preserve">cuts will be completely backfilled </w:t>
      </w:r>
      <w:r w:rsidRPr="004B1794">
        <w:t>at the completion of mining</w:t>
      </w:r>
      <w:r>
        <w:t>, with three partially backfilled voids remaining in the landscape.</w:t>
      </w:r>
    </w:p>
    <w:p w14:paraId="16A30617" w14:textId="091713F0" w:rsidR="00032D19" w:rsidRDefault="00032D19" w:rsidP="001628AA">
      <w:pPr>
        <w:pStyle w:val="BodyText"/>
        <w:numPr>
          <w:ilvl w:val="0"/>
          <w:numId w:val="27"/>
        </w:numPr>
        <w:spacing w:before="80" w:after="80"/>
      </w:pPr>
      <w:r w:rsidRPr="004B1794">
        <w:t xml:space="preserve">Final voids ODS3 and ODS7/ODS8 would be isolated from </w:t>
      </w:r>
      <w:bookmarkStart w:id="189" w:name="_Hlk59024990"/>
      <w:r w:rsidRPr="004B1794">
        <w:t xml:space="preserve">all floodwaters up to and including a PMF event by </w:t>
      </w:r>
      <w:bookmarkEnd w:id="189"/>
      <w:r w:rsidRPr="004B1794">
        <w:t>permanent waste rock emplacements</w:t>
      </w:r>
      <w:r>
        <w:t xml:space="preserve">, </w:t>
      </w:r>
      <w:bookmarkStart w:id="190" w:name="_Hlk57476804"/>
      <w:r>
        <w:t>while f</w:t>
      </w:r>
      <w:r w:rsidRPr="006812CE">
        <w:t xml:space="preserve">inal void WIL5 would be protected from overland flows </w:t>
      </w:r>
      <w:r>
        <w:t xml:space="preserve">and rising flood waters from the Isaac River, </w:t>
      </w:r>
      <w:r w:rsidRPr="006812CE">
        <w:t>by a perimeter bund</w:t>
      </w:r>
      <w:r>
        <w:t xml:space="preserve"> (Section </w:t>
      </w:r>
      <w:r>
        <w:fldChar w:fldCharType="begin"/>
      </w:r>
      <w:r>
        <w:instrText xml:space="preserve"> REF _Ref56168480 \n \h </w:instrText>
      </w:r>
      <w:r>
        <w:fldChar w:fldCharType="separate"/>
      </w:r>
      <w:r w:rsidR="00937ADD">
        <w:t>5.1.3</w:t>
      </w:r>
      <w:r>
        <w:fldChar w:fldCharType="end"/>
      </w:r>
      <w:r>
        <w:t>).</w:t>
      </w:r>
      <w:bookmarkEnd w:id="190"/>
    </w:p>
    <w:p w14:paraId="072D646E" w14:textId="77777777" w:rsidR="00032D19" w:rsidRDefault="00032D19" w:rsidP="001628AA">
      <w:pPr>
        <w:pStyle w:val="BodyText"/>
        <w:numPr>
          <w:ilvl w:val="0"/>
          <w:numId w:val="27"/>
        </w:numPr>
        <w:spacing w:before="80" w:after="80"/>
      </w:pPr>
      <w:r w:rsidRPr="006812CE">
        <w:t>The waste rock material (constituting the highwall emplacements) is expected to be principally non-acid forming (NAF), with excess acid neutralising capacity (ANC), and a negligible risk of developing acid conditions. The material is also predicted to generate relatively low-salinity surface run-off and seepage with low soluble metals concentrations. Where highly sodic and/or dispersive waste rock is identified, the material would be selectively handled so that it does not report to final landform surfaces of the permanent highwall emplacements.</w:t>
      </w:r>
    </w:p>
    <w:p w14:paraId="73729767" w14:textId="1142D542" w:rsidR="00032D19" w:rsidRDefault="00032D19" w:rsidP="001628AA">
      <w:pPr>
        <w:pStyle w:val="BodyText"/>
        <w:numPr>
          <w:ilvl w:val="0"/>
          <w:numId w:val="27"/>
        </w:numPr>
        <w:spacing w:before="80" w:after="80"/>
      </w:pPr>
      <w:r w:rsidRPr="00A97A66">
        <w:t xml:space="preserve">To improve water quality </w:t>
      </w:r>
      <w:r>
        <w:t xml:space="preserve">(reducing salinity) </w:t>
      </w:r>
      <w:r w:rsidRPr="00A97A66">
        <w:t>within the final void water bodies</w:t>
      </w:r>
      <w:r>
        <w:t xml:space="preserve"> for flora and fauna post-mining</w:t>
      </w:r>
      <w:r w:rsidRPr="00A97A66">
        <w:t xml:space="preserve">, </w:t>
      </w:r>
      <w:r>
        <w:t>the</w:t>
      </w:r>
      <w:r w:rsidRPr="00A97A66">
        <w:t xml:space="preserve"> basement</w:t>
      </w:r>
      <w:r>
        <w:t xml:space="preserve"> coal layer</w:t>
      </w:r>
      <w:r w:rsidRPr="00A97A66">
        <w:t xml:space="preserve"> </w:t>
      </w:r>
      <w:r>
        <w:t xml:space="preserve">from </w:t>
      </w:r>
      <w:r w:rsidRPr="00A97A66">
        <w:t xml:space="preserve">the floor of the ODS3, ODS7/8 and WIL5 open cut pits </w:t>
      </w:r>
      <w:r>
        <w:t xml:space="preserve">will be removed </w:t>
      </w:r>
      <w:r w:rsidRPr="00A97A66">
        <w:t>at the end of mining</w:t>
      </w:r>
      <w:r>
        <w:t xml:space="preserve"> (Section </w:t>
      </w:r>
      <w:r>
        <w:fldChar w:fldCharType="begin"/>
      </w:r>
      <w:r>
        <w:instrText xml:space="preserve"> REF _Ref56168480 \n \h </w:instrText>
      </w:r>
      <w:r>
        <w:fldChar w:fldCharType="separate"/>
      </w:r>
      <w:r w:rsidR="00937ADD">
        <w:t>5.1.3</w:t>
      </w:r>
      <w:r>
        <w:fldChar w:fldCharType="end"/>
      </w:r>
      <w:r>
        <w:t>)</w:t>
      </w:r>
      <w:r w:rsidRPr="00A97A66">
        <w:t>.</w:t>
      </w:r>
    </w:p>
    <w:p w14:paraId="474EA3D3" w14:textId="77777777" w:rsidR="0034542E" w:rsidRDefault="0034542E">
      <w:pPr>
        <w:rPr>
          <w:b/>
          <w:sz w:val="32"/>
          <w:szCs w:val="36"/>
        </w:rPr>
      </w:pPr>
      <w:r>
        <w:br w:type="page"/>
      </w:r>
    </w:p>
    <w:p w14:paraId="1036DD9C" w14:textId="5E41C11F" w:rsidR="00CB1E6D" w:rsidRDefault="00CB1E6D" w:rsidP="00CB1E6D">
      <w:pPr>
        <w:pStyle w:val="Heading2"/>
      </w:pPr>
      <w:bookmarkStart w:id="191" w:name="_Ref59102490"/>
      <w:bookmarkStart w:id="192" w:name="_Ref59367001"/>
      <w:bookmarkStart w:id="193" w:name="_Toc87278350"/>
      <w:r>
        <w:lastRenderedPageBreak/>
        <w:t>Middlemount</w:t>
      </w:r>
      <w:r w:rsidR="005D7F8B">
        <w:t xml:space="preserve"> coal mine</w:t>
      </w:r>
      <w:bookmarkEnd w:id="186"/>
      <w:bookmarkEnd w:id="191"/>
      <w:bookmarkEnd w:id="192"/>
      <w:bookmarkEnd w:id="193"/>
    </w:p>
    <w:p w14:paraId="289BF0CB" w14:textId="5C26375F" w:rsidR="00CB1E6D" w:rsidRDefault="00CB1E6D" w:rsidP="00CB1E6D">
      <w:pPr>
        <w:pStyle w:val="Heading3"/>
      </w:pPr>
      <w:bookmarkStart w:id="194" w:name="_Toc87278351"/>
      <w:r>
        <w:t>Project status</w:t>
      </w:r>
      <w:bookmarkEnd w:id="194"/>
    </w:p>
    <w:p w14:paraId="2BA4A392" w14:textId="23D3418D" w:rsidR="00EC3A5B" w:rsidRDefault="005D7F8B" w:rsidP="00EC3A5B">
      <w:pPr>
        <w:pStyle w:val="BodyText"/>
      </w:pPr>
      <w:bookmarkStart w:id="195" w:name="_Hlk56763934"/>
      <w:r w:rsidRPr="005D7F8B">
        <w:t xml:space="preserve">The Middlemount </w:t>
      </w:r>
      <w:r>
        <w:t>open-cut c</w:t>
      </w:r>
      <w:r w:rsidRPr="005D7F8B">
        <w:t xml:space="preserve">oal </w:t>
      </w:r>
      <w:r>
        <w:t>m</w:t>
      </w:r>
      <w:r w:rsidRPr="005D7F8B">
        <w:t>ine</w:t>
      </w:r>
      <w:r w:rsidR="00073CBF">
        <w:t xml:space="preserve">, </w:t>
      </w:r>
      <w:r>
        <w:t xml:space="preserve">operated by </w:t>
      </w:r>
      <w:r w:rsidRPr="005D7F8B">
        <w:t>Middlemount Coal Pty Ltd</w:t>
      </w:r>
      <w:r w:rsidR="006D5B9C">
        <w:t xml:space="preserve"> (M</w:t>
      </w:r>
      <w:r w:rsidR="000C0842">
        <w:t>CPL</w:t>
      </w:r>
      <w:r w:rsidR="00073CBF">
        <w:t xml:space="preserve">); </w:t>
      </w:r>
      <w:r>
        <w:t xml:space="preserve">an incorporated joint venture between </w:t>
      </w:r>
      <w:r w:rsidRPr="005D7F8B">
        <w:t>Peabody Energy Australia Pty Ltd and Yancoal Australia Ltd</w:t>
      </w:r>
      <w:r w:rsidR="00073CBF">
        <w:t>)</w:t>
      </w:r>
      <w:r>
        <w:t xml:space="preserve">, </w:t>
      </w:r>
      <w:r w:rsidRPr="005D7F8B">
        <w:t>is an exis</w:t>
      </w:r>
      <w:r>
        <w:t xml:space="preserve">ting </w:t>
      </w:r>
      <w:r w:rsidRPr="005D7F8B">
        <w:t>mine located approximately 90 k</w:t>
      </w:r>
      <w:r>
        <w:t xml:space="preserve">m </w:t>
      </w:r>
      <w:r w:rsidRPr="005D7F8B">
        <w:t xml:space="preserve">northeast of Emerald and 3 km to the southwest of the Middlemount </w:t>
      </w:r>
      <w:r>
        <w:t>t</w:t>
      </w:r>
      <w:r w:rsidRPr="005D7F8B">
        <w:t>ownship, Queensland</w:t>
      </w:r>
      <w:r w:rsidR="00373C0B">
        <w:t xml:space="preserve"> (</w:t>
      </w:r>
      <w:r w:rsidR="00373C0B">
        <w:fldChar w:fldCharType="begin"/>
      </w:r>
      <w:r w:rsidR="00373C0B">
        <w:instrText xml:space="preserve"> REF _Ref57289247 \h </w:instrText>
      </w:r>
      <w:r w:rsidR="00373C0B">
        <w:fldChar w:fldCharType="separate"/>
      </w:r>
      <w:r w:rsidR="00937ADD">
        <w:t xml:space="preserve">Figure </w:t>
      </w:r>
      <w:r w:rsidR="00937ADD">
        <w:rPr>
          <w:noProof/>
        </w:rPr>
        <w:t>4</w:t>
      </w:r>
      <w:r w:rsidR="00937ADD">
        <w:noBreakHyphen/>
      </w:r>
      <w:r w:rsidR="00937ADD">
        <w:rPr>
          <w:noProof/>
        </w:rPr>
        <w:t>1</w:t>
      </w:r>
      <w:r w:rsidR="00373C0B">
        <w:fldChar w:fldCharType="end"/>
      </w:r>
      <w:r w:rsidR="00373C0B">
        <w:t>)</w:t>
      </w:r>
      <w:r>
        <w:t>. The mine produces medium-volatile pulverized coal injection (PCI) coal and semi-hard coking coal for the export market. Full</w:t>
      </w:r>
      <w:r w:rsidR="005229F6">
        <w:t>-</w:t>
      </w:r>
      <w:r>
        <w:t xml:space="preserve">scale operations at the </w:t>
      </w:r>
      <w:r w:rsidR="006D5B9C">
        <w:t>open</w:t>
      </w:r>
      <w:r w:rsidR="004C52BE">
        <w:t>-</w:t>
      </w:r>
      <w:r w:rsidR="006D5B9C">
        <w:t>cut</w:t>
      </w:r>
      <w:r>
        <w:t xml:space="preserve"> mine commenced in November 2011 and the current mine life is estimated to be in excess of 20 years. Mining operations consist primarily of excavator and truck strip mining augmented by cast and doze. </w:t>
      </w:r>
      <w:r w:rsidR="00073CBF">
        <w:t>The</w:t>
      </w:r>
      <w:r w:rsidR="00EC3A5B">
        <w:t xml:space="preserve"> following is the</w:t>
      </w:r>
      <w:r w:rsidR="00073CBF">
        <w:t xml:space="preserve"> most </w:t>
      </w:r>
      <w:r w:rsidR="006D6D02">
        <w:t xml:space="preserve">recent approval process for the </w:t>
      </w:r>
      <w:r w:rsidR="006D6D02" w:rsidRPr="006D6D02">
        <w:t xml:space="preserve">Western Extension Project (herein in Section </w:t>
      </w:r>
      <w:r w:rsidR="006F006F">
        <w:fldChar w:fldCharType="begin"/>
      </w:r>
      <w:r w:rsidR="006F006F">
        <w:instrText xml:space="preserve"> REF _Ref59367001 \n \h </w:instrText>
      </w:r>
      <w:r w:rsidR="006F006F">
        <w:fldChar w:fldCharType="separate"/>
      </w:r>
      <w:r w:rsidR="00937ADD">
        <w:t>5.2</w:t>
      </w:r>
      <w:r w:rsidR="006F006F">
        <w:fldChar w:fldCharType="end"/>
      </w:r>
      <w:r w:rsidR="006D6D02" w:rsidRPr="006D6D02">
        <w:t xml:space="preserve"> referred to as the Project)</w:t>
      </w:r>
      <w:r w:rsidR="004D2379">
        <w:t>; a continuation of open</w:t>
      </w:r>
      <w:r w:rsidR="004C52BE">
        <w:t>-</w:t>
      </w:r>
      <w:r w:rsidR="004D2379">
        <w:t xml:space="preserve">cut coal mining operations </w:t>
      </w:r>
      <w:r w:rsidR="004D2379" w:rsidRPr="004D2379">
        <w:t>within the extended portion of ML 70379 and extension of the East Dump within MLA 700027</w:t>
      </w:r>
      <w:r w:rsidR="004C52BE">
        <w:t>.</w:t>
      </w:r>
    </w:p>
    <w:p w14:paraId="5AD47F05" w14:textId="497389DF" w:rsidR="000F479D" w:rsidRDefault="000F479D" w:rsidP="001628AA">
      <w:pPr>
        <w:pStyle w:val="BodyText"/>
        <w:numPr>
          <w:ilvl w:val="0"/>
          <w:numId w:val="48"/>
        </w:numPr>
        <w:spacing w:before="80" w:after="80"/>
      </w:pPr>
      <w:r w:rsidRPr="000F479D">
        <w:t>M</w:t>
      </w:r>
      <w:r w:rsidR="000C0842">
        <w:t>CPL</w:t>
      </w:r>
      <w:r w:rsidRPr="000F479D">
        <w:t xml:space="preserve"> </w:t>
      </w:r>
      <w:r>
        <w:t>sought approval for the</w:t>
      </w:r>
      <w:r w:rsidRPr="000F479D">
        <w:t xml:space="preserve"> Project</w:t>
      </w:r>
      <w:r>
        <w:t xml:space="preserve">; a </w:t>
      </w:r>
      <w:r w:rsidRPr="000F479D">
        <w:t>continuation of open</w:t>
      </w:r>
      <w:r w:rsidR="004C52BE">
        <w:t>-</w:t>
      </w:r>
      <w:r w:rsidRPr="000F479D">
        <w:t>cut coal mining operations</w:t>
      </w:r>
      <w:r>
        <w:t xml:space="preserve">, </w:t>
      </w:r>
      <w:r w:rsidRPr="000F479D">
        <w:t>through a major amendment of EA EPML00716913</w:t>
      </w:r>
      <w:r>
        <w:t>. In</w:t>
      </w:r>
      <w:r w:rsidRPr="000F479D">
        <w:t xml:space="preserve"> March 2018, DES issued a request for additional information from </w:t>
      </w:r>
      <w:r>
        <w:t>M</w:t>
      </w:r>
      <w:r w:rsidR="000C0842">
        <w:t>CPL</w:t>
      </w:r>
      <w:r>
        <w:t xml:space="preserve"> t</w:t>
      </w:r>
      <w:r w:rsidRPr="000F479D">
        <w:t>o enable</w:t>
      </w:r>
      <w:r>
        <w:t xml:space="preserve"> the </w:t>
      </w:r>
      <w:r w:rsidR="00073CBF">
        <w:t>De</w:t>
      </w:r>
      <w:r>
        <w:t>partment</w:t>
      </w:r>
      <w:r w:rsidRPr="000F479D">
        <w:t xml:space="preserve"> to make a decision on the application</w:t>
      </w:r>
      <w:r w:rsidR="006D6D02">
        <w:t xml:space="preserve"> and a</w:t>
      </w:r>
      <w:r>
        <w:t xml:space="preserve">n </w:t>
      </w:r>
      <w:r w:rsidRPr="000F479D">
        <w:t xml:space="preserve">Environmental Assessment Report (EAR) </w:t>
      </w:r>
      <w:r>
        <w:t>(</w:t>
      </w:r>
      <w:r w:rsidR="000C0842">
        <w:t>MCPL</w:t>
      </w:r>
      <w:r w:rsidR="00073CBF">
        <w:t>, 2018</w:t>
      </w:r>
      <w:r w:rsidR="005D5CCC">
        <w:t>a</w:t>
      </w:r>
      <w:r>
        <w:t>) was prepared</w:t>
      </w:r>
      <w:r w:rsidRPr="000F479D">
        <w:t>.</w:t>
      </w:r>
      <w:r w:rsidR="00EE6663">
        <w:t xml:space="preserve"> DES issued the EA for the Project, taking effect on 26 February 2020.</w:t>
      </w:r>
    </w:p>
    <w:p w14:paraId="76C0F960" w14:textId="5434F183" w:rsidR="00EE6663" w:rsidRPr="006D6D02" w:rsidRDefault="00EE6663" w:rsidP="001628AA">
      <w:pPr>
        <w:pStyle w:val="BodyText"/>
        <w:numPr>
          <w:ilvl w:val="0"/>
          <w:numId w:val="29"/>
        </w:numPr>
        <w:spacing w:before="80" w:after="80"/>
      </w:pPr>
      <w:r w:rsidRPr="00EE6663">
        <w:t>M</w:t>
      </w:r>
      <w:r w:rsidR="000C0842">
        <w:t>CPL</w:t>
      </w:r>
      <w:r w:rsidRPr="00EE6663">
        <w:t xml:space="preserve"> also </w:t>
      </w:r>
      <w:r>
        <w:t>sought</w:t>
      </w:r>
      <w:r w:rsidRPr="00EE6663">
        <w:t xml:space="preserve"> approval of the Action under the Commonwealth EPBC Act (EPBC 2017/8130). The Commonwealth </w:t>
      </w:r>
      <w:r w:rsidR="004C52BE">
        <w:t xml:space="preserve">Environment </w:t>
      </w:r>
      <w:r w:rsidRPr="00EE6663">
        <w:t xml:space="preserve">Minister declared the Action to be a </w:t>
      </w:r>
      <w:r w:rsidR="00EC3A5B">
        <w:t>‘</w:t>
      </w:r>
      <w:r w:rsidRPr="00EE6663">
        <w:t>controlled action</w:t>
      </w:r>
      <w:r w:rsidR="00EC3A5B">
        <w:t>’</w:t>
      </w:r>
      <w:r w:rsidRPr="00EE6663">
        <w:t xml:space="preserve"> for the purposes of the EPBC Act</w:t>
      </w:r>
      <w:r w:rsidR="002E1384">
        <w:t xml:space="preserve">. </w:t>
      </w:r>
      <w:r w:rsidR="00073CBF">
        <w:t>M</w:t>
      </w:r>
      <w:r w:rsidR="000C0842">
        <w:t>CPL</w:t>
      </w:r>
      <w:r w:rsidR="00073CBF">
        <w:t xml:space="preserve"> prepared p</w:t>
      </w:r>
      <w:r>
        <w:t xml:space="preserve">reliminary </w:t>
      </w:r>
      <w:r w:rsidR="00073CBF">
        <w:t>d</w:t>
      </w:r>
      <w:r>
        <w:t xml:space="preserve">ocumentation </w:t>
      </w:r>
      <w:r w:rsidR="00073CBF">
        <w:t>(M</w:t>
      </w:r>
      <w:r w:rsidR="000C0842">
        <w:t>CPL</w:t>
      </w:r>
      <w:r w:rsidR="00073CBF">
        <w:t xml:space="preserve">, 2019) </w:t>
      </w:r>
      <w:r>
        <w:t>to enable the Commonwealth</w:t>
      </w:r>
      <w:r w:rsidR="004C52BE">
        <w:t xml:space="preserve"> Environment</w:t>
      </w:r>
      <w:r>
        <w:t xml:space="preserve"> Minister and interested parties to understand the environmental consequences of the Action on Matters of National Environmental Significance</w:t>
      </w:r>
      <w:r w:rsidR="00EC3A5B">
        <w:t xml:space="preserve"> (MNES)</w:t>
      </w:r>
      <w:r>
        <w:t>.</w:t>
      </w:r>
      <w:r w:rsidR="00073CBF">
        <w:t xml:space="preserve"> </w:t>
      </w:r>
      <w:r w:rsidR="00073CBF" w:rsidRPr="00073CBF">
        <w:t xml:space="preserve">The </w:t>
      </w:r>
      <w:r w:rsidR="00073CBF">
        <w:t>Action</w:t>
      </w:r>
      <w:r w:rsidR="00073CBF" w:rsidRPr="00073CBF">
        <w:t xml:space="preserve"> received Federal approvals from the </w:t>
      </w:r>
      <w:r w:rsidR="00073CBF">
        <w:t xml:space="preserve">DAWE </w:t>
      </w:r>
      <w:r w:rsidR="00073CBF" w:rsidRPr="00073CBF">
        <w:t xml:space="preserve">under the EPBC Act </w:t>
      </w:r>
      <w:r w:rsidR="00073CBF">
        <w:t xml:space="preserve">(with conditions) </w:t>
      </w:r>
      <w:r w:rsidR="00073CBF" w:rsidRPr="00073CBF">
        <w:t xml:space="preserve">in </w:t>
      </w:r>
      <w:r w:rsidR="00073CBF">
        <w:t>October</w:t>
      </w:r>
      <w:r w:rsidR="00073CBF" w:rsidRPr="00073CBF">
        <w:t xml:space="preserve"> </w:t>
      </w:r>
      <w:r w:rsidR="00073CBF" w:rsidRPr="006D6D02">
        <w:t>2019.</w:t>
      </w:r>
    </w:p>
    <w:p w14:paraId="302201A4" w14:textId="7762EE6E" w:rsidR="005D7F8B" w:rsidRDefault="005D7F8B" w:rsidP="005D7F8B">
      <w:pPr>
        <w:pStyle w:val="BodyText"/>
      </w:pPr>
      <w:r w:rsidRPr="006D6D02">
        <w:t xml:space="preserve">The following section describe relevant information made </w:t>
      </w:r>
      <w:r w:rsidRPr="005A38BC">
        <w:t xml:space="preserve">available by </w:t>
      </w:r>
      <w:r w:rsidR="00E31A22" w:rsidRPr="005A38BC">
        <w:t>MCPL</w:t>
      </w:r>
      <w:r w:rsidRPr="005A38BC">
        <w:t xml:space="preserve"> </w:t>
      </w:r>
      <w:r w:rsidR="006D6D02" w:rsidRPr="005A38BC">
        <w:t>to support the State (</w:t>
      </w:r>
      <w:bookmarkStart w:id="196" w:name="_Hlk57304883"/>
      <w:r w:rsidR="006D6D02" w:rsidRPr="005A38BC">
        <w:t>M</w:t>
      </w:r>
      <w:r w:rsidR="000C0842" w:rsidRPr="005A38BC">
        <w:t>CPL</w:t>
      </w:r>
      <w:r w:rsidR="006D6D02" w:rsidRPr="005A38BC">
        <w:t>, 2018</w:t>
      </w:r>
      <w:bookmarkEnd w:id="196"/>
      <w:r w:rsidR="005D5CCC" w:rsidRPr="005A38BC">
        <w:t>a</w:t>
      </w:r>
      <w:r w:rsidR="006D6D02" w:rsidRPr="005A38BC">
        <w:t>) and Commonwealth (M</w:t>
      </w:r>
      <w:r w:rsidR="000C0842" w:rsidRPr="005A38BC">
        <w:t>CPL</w:t>
      </w:r>
      <w:r w:rsidR="006D6D02" w:rsidRPr="005A38BC">
        <w:t>, 2019) approval processes for the Project</w:t>
      </w:r>
      <w:r w:rsidRPr="005A38BC">
        <w:t>.</w:t>
      </w:r>
    </w:p>
    <w:p w14:paraId="516220BE" w14:textId="047CC568" w:rsidR="00CB1E6D" w:rsidRDefault="00CB1E6D" w:rsidP="00CB1E6D">
      <w:pPr>
        <w:pStyle w:val="Heading3"/>
      </w:pPr>
      <w:bookmarkStart w:id="197" w:name="_Toc87278352"/>
      <w:bookmarkEnd w:id="195"/>
      <w:r>
        <w:t>Physical setting</w:t>
      </w:r>
      <w:bookmarkEnd w:id="197"/>
    </w:p>
    <w:p w14:paraId="41ADE80B" w14:textId="3C950ED4" w:rsidR="002E1384" w:rsidRDefault="00701367" w:rsidP="002E1384">
      <w:pPr>
        <w:pStyle w:val="BodyText"/>
      </w:pPr>
      <w:r>
        <w:t xml:space="preserve">The </w:t>
      </w:r>
      <w:r w:rsidR="002E1384">
        <w:t xml:space="preserve">area of mine </w:t>
      </w:r>
      <w:r w:rsidR="002E1384" w:rsidRPr="002E1384">
        <w:t>has a semi-arid to sub-tropical climate, typical for Central Queensland</w:t>
      </w:r>
      <w:r w:rsidR="002E1384">
        <w:t xml:space="preserve">, with </w:t>
      </w:r>
      <w:r w:rsidR="002E1384" w:rsidRPr="002E1384">
        <w:t>mean evaporation and evapotranspiration rates exceed</w:t>
      </w:r>
      <w:r w:rsidR="002E1384">
        <w:t>ing</w:t>
      </w:r>
      <w:r w:rsidR="002E1384" w:rsidRPr="002E1384">
        <w:t xml:space="preserve"> rainfall for all months of the year.</w:t>
      </w:r>
    </w:p>
    <w:p w14:paraId="06631DFA" w14:textId="54A4D55A" w:rsidR="004D2379" w:rsidRDefault="004D2379" w:rsidP="004D2379">
      <w:pPr>
        <w:pStyle w:val="BodyText"/>
      </w:pPr>
      <w:r>
        <w:t xml:space="preserve">The mine site is located within the Roper Creek </w:t>
      </w:r>
      <w:r w:rsidR="003654C9">
        <w:t>C</w:t>
      </w:r>
      <w:r>
        <w:t xml:space="preserve">atchment, within the Mackenzie River </w:t>
      </w:r>
      <w:r w:rsidR="00EC3A5B">
        <w:t>s</w:t>
      </w:r>
      <w:r>
        <w:t>ub-basin of the greater Fitzroy Basin</w:t>
      </w:r>
      <w:r w:rsidR="00EC3A5B">
        <w:t xml:space="preserve"> (</w:t>
      </w:r>
      <w:r w:rsidR="00EC3A5B">
        <w:fldChar w:fldCharType="begin"/>
      </w:r>
      <w:r w:rsidR="00EC3A5B">
        <w:instrText xml:space="preserve"> REF _Ref57289247 \h </w:instrText>
      </w:r>
      <w:r w:rsidR="00EC3A5B">
        <w:fldChar w:fldCharType="separate"/>
      </w:r>
      <w:r w:rsidR="00937ADD">
        <w:t xml:space="preserve">Figure </w:t>
      </w:r>
      <w:r w:rsidR="00937ADD">
        <w:rPr>
          <w:noProof/>
        </w:rPr>
        <w:t>4</w:t>
      </w:r>
      <w:r w:rsidR="00937ADD">
        <w:noBreakHyphen/>
      </w:r>
      <w:r w:rsidR="00937ADD">
        <w:rPr>
          <w:noProof/>
        </w:rPr>
        <w:t>1</w:t>
      </w:r>
      <w:r w:rsidR="00EC3A5B">
        <w:fldChar w:fldCharType="end"/>
      </w:r>
      <w:r w:rsidR="00EC3A5B">
        <w:t>)</w:t>
      </w:r>
      <w:r>
        <w:t>. Local drainage includes:</w:t>
      </w:r>
    </w:p>
    <w:p w14:paraId="6BF1AB05" w14:textId="4D081828" w:rsidR="004D2379" w:rsidRDefault="004C52BE" w:rsidP="001628AA">
      <w:pPr>
        <w:pStyle w:val="BodyText"/>
        <w:numPr>
          <w:ilvl w:val="0"/>
          <w:numId w:val="30"/>
        </w:numPr>
        <w:spacing w:before="80" w:after="80"/>
      </w:pPr>
      <w:r>
        <w:t>the e</w:t>
      </w:r>
      <w:r w:rsidR="004D2379">
        <w:t>phemeral Roper Creek including its approved diversions</w:t>
      </w:r>
      <w:r>
        <w:t>;</w:t>
      </w:r>
    </w:p>
    <w:p w14:paraId="326C5B08" w14:textId="4A93A068" w:rsidR="004D2379" w:rsidRDefault="004D2379" w:rsidP="001628AA">
      <w:pPr>
        <w:pStyle w:val="BodyText"/>
        <w:numPr>
          <w:ilvl w:val="0"/>
          <w:numId w:val="30"/>
        </w:numPr>
        <w:spacing w:before="80" w:after="80"/>
      </w:pPr>
      <w:r>
        <w:t xml:space="preserve">Thirteen Mile Gully </w:t>
      </w:r>
      <w:r w:rsidR="00EC3A5B">
        <w:t>d</w:t>
      </w:r>
      <w:r>
        <w:t>iversion (including associated upstream drainage features) which diverts the upstream sub-catchments of Thirteen Mile Gully (north and west of the ML 70379 boundary) to Roper Creek</w:t>
      </w:r>
      <w:r w:rsidR="004C52BE">
        <w:t>; and</w:t>
      </w:r>
    </w:p>
    <w:p w14:paraId="35694AE1" w14:textId="1C7D8283" w:rsidR="004D2379" w:rsidRDefault="004C52BE" w:rsidP="001628AA">
      <w:pPr>
        <w:pStyle w:val="BodyText"/>
        <w:numPr>
          <w:ilvl w:val="0"/>
          <w:numId w:val="30"/>
        </w:numPr>
        <w:spacing w:before="80" w:after="80"/>
      </w:pPr>
      <w:r>
        <w:t>an u</w:t>
      </w:r>
      <w:r w:rsidR="004D2379">
        <w:t>nnamed tributary of Roper Creek located immediately east of the Project, which joins Roper Creek about 4.2 km downstream of Dysart Middlemount Road.</w:t>
      </w:r>
    </w:p>
    <w:p w14:paraId="6614EF31" w14:textId="027BDCA1" w:rsidR="005C5E6F" w:rsidRDefault="004D2379" w:rsidP="002E1384">
      <w:pPr>
        <w:pStyle w:val="BodyText"/>
      </w:pPr>
      <w:r w:rsidRPr="004D2379">
        <w:t xml:space="preserve">The </w:t>
      </w:r>
      <w:r w:rsidR="00701367">
        <w:t xml:space="preserve">regional scale </w:t>
      </w:r>
      <w:r w:rsidRPr="004D2379">
        <w:t>geology comprises a Quaternary and Tertiary sequence overlying older Permian coal measures</w:t>
      </w:r>
      <w:r w:rsidR="00D73722">
        <w:t xml:space="preserve"> of the Bowen Basin</w:t>
      </w:r>
      <w:r w:rsidR="005C5E6F">
        <w:t xml:space="preserve">. </w:t>
      </w:r>
      <w:r w:rsidR="005C5E6F" w:rsidRPr="005C5E6F">
        <w:t xml:space="preserve">These geological units </w:t>
      </w:r>
      <w:r w:rsidR="005C5E6F">
        <w:t xml:space="preserve">are </w:t>
      </w:r>
      <w:r w:rsidR="005C5E6F" w:rsidRPr="005C5E6F">
        <w:t>separated into three key hydrostratigraphic units based on their hydraulic properties and lithology</w:t>
      </w:r>
      <w:r w:rsidR="005C5E6F">
        <w:t>, and from youngest to oldest include:</w:t>
      </w:r>
    </w:p>
    <w:p w14:paraId="5FBD2DB7" w14:textId="177A17E2" w:rsidR="005C5E6F" w:rsidRDefault="005C5E6F" w:rsidP="001628AA">
      <w:pPr>
        <w:pStyle w:val="BodyText"/>
        <w:numPr>
          <w:ilvl w:val="0"/>
          <w:numId w:val="31"/>
        </w:numPr>
        <w:spacing w:before="80" w:after="80"/>
      </w:pPr>
      <w:r>
        <w:t>Quaternary units: a</w:t>
      </w:r>
      <w:r w:rsidRPr="005C5E6F">
        <w:t>lluvial aquifer</w:t>
      </w:r>
      <w:r>
        <w:t xml:space="preserve"> consisting </w:t>
      </w:r>
      <w:r w:rsidRPr="005C5E6F">
        <w:t>of localised stream channel deposits and associated flood plain deposits.</w:t>
      </w:r>
    </w:p>
    <w:p w14:paraId="16E731E1" w14:textId="16048F12" w:rsidR="005C5E6F" w:rsidRDefault="005C5E6F" w:rsidP="001628AA">
      <w:pPr>
        <w:pStyle w:val="BodyText"/>
        <w:numPr>
          <w:ilvl w:val="0"/>
          <w:numId w:val="31"/>
        </w:numPr>
        <w:spacing w:before="80" w:after="80"/>
      </w:pPr>
      <w:r>
        <w:t>Tertiary</w:t>
      </w:r>
      <w:r w:rsidR="004C52BE">
        <w:t>-</w:t>
      </w:r>
      <w:r>
        <w:t xml:space="preserve">aged units: Duaringa Formation, a low-yielding aquifer or aquitard, consisting of thick clay-rich laterite, sourced from highly weathered Permian sandstones and siltstones, and occasional basalt. </w:t>
      </w:r>
    </w:p>
    <w:p w14:paraId="5E1AD9A8" w14:textId="47F150D9" w:rsidR="005C5E6F" w:rsidRDefault="005C5E6F" w:rsidP="001628AA">
      <w:pPr>
        <w:pStyle w:val="BodyText"/>
        <w:numPr>
          <w:ilvl w:val="0"/>
          <w:numId w:val="31"/>
        </w:numPr>
        <w:spacing w:before="80" w:after="80"/>
      </w:pPr>
      <w:r>
        <w:t>Permian</w:t>
      </w:r>
      <w:r w:rsidR="004C52BE">
        <w:t>-</w:t>
      </w:r>
      <w:r>
        <w:t xml:space="preserve">aged units: </w:t>
      </w:r>
    </w:p>
    <w:p w14:paraId="1825BCA5" w14:textId="0B0C4EF0" w:rsidR="005C5E6F" w:rsidRDefault="004C52BE" w:rsidP="001628AA">
      <w:pPr>
        <w:pStyle w:val="BodyText"/>
        <w:numPr>
          <w:ilvl w:val="1"/>
          <w:numId w:val="31"/>
        </w:numPr>
        <w:spacing w:before="80" w:after="80"/>
      </w:pPr>
      <w:r>
        <w:lastRenderedPageBreak/>
        <w:t>i</w:t>
      </w:r>
      <w:r w:rsidR="005C5E6F">
        <w:t>nterburden/overburden consisting of sandstone, siltstone, and mudstone that typically have low permeability and generally form aquitards</w:t>
      </w:r>
      <w:r>
        <w:t>; and</w:t>
      </w:r>
    </w:p>
    <w:p w14:paraId="41F2F8B7" w14:textId="723CF293" w:rsidR="005C5E6F" w:rsidRDefault="004C52BE" w:rsidP="001628AA">
      <w:pPr>
        <w:pStyle w:val="BodyText"/>
        <w:numPr>
          <w:ilvl w:val="1"/>
          <w:numId w:val="31"/>
        </w:numPr>
        <w:spacing w:before="80" w:after="80"/>
      </w:pPr>
      <w:r>
        <w:t>c</w:t>
      </w:r>
      <w:r w:rsidR="005C5E6F">
        <w:t>oal seams (principally the Middlemount and Pisces Seams) constituting low to moderate yielding aquifers confined by interburden/overburden units.</w:t>
      </w:r>
    </w:p>
    <w:p w14:paraId="4492EE60" w14:textId="0AD0F735" w:rsidR="00EC3A5B" w:rsidRDefault="005C5E6F" w:rsidP="002E1384">
      <w:pPr>
        <w:pStyle w:val="BodyText"/>
      </w:pPr>
      <w:r w:rsidRPr="005C5E6F">
        <w:t xml:space="preserve">Three primary seams of the Rangal Coal Measures are targeted for </w:t>
      </w:r>
      <w:r>
        <w:t xml:space="preserve">coal </w:t>
      </w:r>
      <w:r w:rsidRPr="005C5E6F">
        <w:t>mining, specifically the Middlemount, Pisces and Tralee Seams.</w:t>
      </w:r>
      <w:r w:rsidR="00C61948">
        <w:t xml:space="preserve"> </w:t>
      </w:r>
      <w:r w:rsidR="0037154B">
        <w:t>G</w:t>
      </w:r>
      <w:r w:rsidR="0037154B" w:rsidRPr="0037154B">
        <w:t xml:space="preserve">roundwater </w:t>
      </w:r>
      <w:r w:rsidR="0037154B">
        <w:t xml:space="preserve">at the Project site is indicated to be </w:t>
      </w:r>
      <w:r w:rsidR="0037154B" w:rsidRPr="0037154B">
        <w:t>brackish to saline</w:t>
      </w:r>
      <w:r w:rsidR="0037154B">
        <w:t xml:space="preserve">, </w:t>
      </w:r>
      <w:r w:rsidR="0037154B" w:rsidRPr="0037154B">
        <w:t xml:space="preserve">averaging 13,071 </w:t>
      </w:r>
      <w:r w:rsidR="0037154B">
        <w:t xml:space="preserve">mg/L TDS </w:t>
      </w:r>
      <w:r w:rsidR="0037154B" w:rsidRPr="0037154B">
        <w:t xml:space="preserve">in </w:t>
      </w:r>
      <w:r w:rsidR="0037154B">
        <w:t xml:space="preserve">the </w:t>
      </w:r>
      <w:r w:rsidR="0037154B" w:rsidRPr="0037154B">
        <w:t xml:space="preserve">Tertiary aquifers and 9,758 mg/L </w:t>
      </w:r>
      <w:r w:rsidR="0037154B">
        <w:t xml:space="preserve">TDS </w:t>
      </w:r>
      <w:r w:rsidR="0037154B" w:rsidRPr="0037154B">
        <w:t xml:space="preserve">in </w:t>
      </w:r>
      <w:r w:rsidR="0037154B">
        <w:t xml:space="preserve">the </w:t>
      </w:r>
      <w:r w:rsidR="0037154B" w:rsidRPr="0037154B">
        <w:t>Permian aquifers</w:t>
      </w:r>
      <w:r w:rsidR="0037154B">
        <w:t>.</w:t>
      </w:r>
    </w:p>
    <w:p w14:paraId="0A378DBA" w14:textId="6B5D3561" w:rsidR="002C2798" w:rsidRDefault="00136801" w:rsidP="002C2798">
      <w:pPr>
        <w:pStyle w:val="BodyText"/>
      </w:pPr>
      <w:bookmarkStart w:id="198" w:name="_Hlk61946410"/>
      <w:r>
        <w:t>W</w:t>
      </w:r>
      <w:r w:rsidR="009F1464">
        <w:t>ater quality monitoring of</w:t>
      </w:r>
      <w:r w:rsidR="002C2798">
        <w:t xml:space="preserve"> </w:t>
      </w:r>
      <w:bookmarkStart w:id="199" w:name="_Hlk61963326"/>
      <w:r w:rsidR="00C96CE0">
        <w:t xml:space="preserve">fresh </w:t>
      </w:r>
      <w:r>
        <w:t xml:space="preserve">water </w:t>
      </w:r>
      <w:r w:rsidR="00C96CE0">
        <w:t>and/</w:t>
      </w:r>
      <w:r>
        <w:t xml:space="preserve">or </w:t>
      </w:r>
      <w:r w:rsidR="00C96CE0">
        <w:t>mine affected water</w:t>
      </w:r>
      <w:r>
        <w:t xml:space="preserve"> </w:t>
      </w:r>
      <w:bookmarkEnd w:id="199"/>
      <w:r>
        <w:t>that discharges to</w:t>
      </w:r>
      <w:r w:rsidR="001C7FDA">
        <w:t>,</w:t>
      </w:r>
      <w:r>
        <w:t xml:space="preserve"> or is </w:t>
      </w:r>
      <w:r w:rsidR="002C2798">
        <w:t xml:space="preserve">stored in </w:t>
      </w:r>
      <w:r>
        <w:t xml:space="preserve">the current </w:t>
      </w:r>
      <w:r w:rsidR="002C2798">
        <w:t>open</w:t>
      </w:r>
      <w:r w:rsidR="004C52BE">
        <w:t>-cut</w:t>
      </w:r>
      <w:r w:rsidR="002C2798">
        <w:t xml:space="preserve"> pits</w:t>
      </w:r>
      <w:r w:rsidR="001C7FDA">
        <w:t>,</w:t>
      </w:r>
      <w:r w:rsidR="002C2798">
        <w:t xml:space="preserve"> </w:t>
      </w:r>
      <w:r>
        <w:t>may be</w:t>
      </w:r>
      <w:r w:rsidR="002C2798">
        <w:t xml:space="preserve"> collected as part of MCPL’s compliance monitoring or environmental management commitments</w:t>
      </w:r>
      <w:r w:rsidR="001C7FDA">
        <w:t>; however, this data is</w:t>
      </w:r>
      <w:r w:rsidR="002C2798">
        <w:t xml:space="preserve"> not publicly accessible. </w:t>
      </w:r>
    </w:p>
    <w:bookmarkEnd w:id="198"/>
    <w:p w14:paraId="75134068" w14:textId="382E9567" w:rsidR="00A10769" w:rsidRPr="00A10769" w:rsidRDefault="00A10769" w:rsidP="00A10769">
      <w:pPr>
        <w:spacing w:before="200"/>
        <w:rPr>
          <w:szCs w:val="22"/>
        </w:rPr>
      </w:pPr>
      <w:r w:rsidRPr="00A10769">
        <w:rPr>
          <w:szCs w:val="22"/>
        </w:rPr>
        <w:t xml:space="preserve">The Project is situated within the Brigalow Belt North bioregion. The land within the Project area has been predominantly cleared for cattle grazing, most of which (66%) is pasture grasslands and regrowth vegetation (non-remnant). </w:t>
      </w:r>
    </w:p>
    <w:p w14:paraId="7E9AC259" w14:textId="77777777" w:rsidR="00A10769" w:rsidRPr="00A10769" w:rsidRDefault="00A10769" w:rsidP="00A10769">
      <w:pPr>
        <w:spacing w:before="200"/>
        <w:rPr>
          <w:szCs w:val="22"/>
        </w:rPr>
      </w:pPr>
      <w:r w:rsidRPr="00A10769">
        <w:rPr>
          <w:szCs w:val="22"/>
        </w:rPr>
        <w:t>Surveys conducted within the Project area identified six vegetation communities. Remaining vegetation areas area mostly associated with riparian areas. These communities consist of:</w:t>
      </w:r>
    </w:p>
    <w:p w14:paraId="121ED82E" w14:textId="65EF0ED4" w:rsidR="00A10769" w:rsidRPr="00A10769" w:rsidRDefault="00A10769" w:rsidP="001628AA">
      <w:pPr>
        <w:numPr>
          <w:ilvl w:val="0"/>
          <w:numId w:val="49"/>
        </w:numPr>
        <w:spacing w:before="80" w:after="80"/>
        <w:rPr>
          <w:szCs w:val="22"/>
        </w:rPr>
      </w:pPr>
      <w:r w:rsidRPr="00A10769">
        <w:rPr>
          <w:i/>
          <w:szCs w:val="22"/>
        </w:rPr>
        <w:t>Acacia harpophylla</w:t>
      </w:r>
      <w:r w:rsidRPr="00A10769">
        <w:rPr>
          <w:szCs w:val="22"/>
        </w:rPr>
        <w:t xml:space="preserve"> and/or </w:t>
      </w:r>
      <w:r w:rsidRPr="00A10769">
        <w:rPr>
          <w:i/>
          <w:szCs w:val="22"/>
        </w:rPr>
        <w:t>Casuarina cristata</w:t>
      </w:r>
      <w:r w:rsidRPr="00A10769">
        <w:rPr>
          <w:szCs w:val="22"/>
        </w:rPr>
        <w:t xml:space="preserve"> open forest on alluvial plains</w:t>
      </w:r>
      <w:r w:rsidR="00AB2F1B">
        <w:rPr>
          <w:szCs w:val="22"/>
        </w:rPr>
        <w:t>.</w:t>
      </w:r>
    </w:p>
    <w:p w14:paraId="44581C53" w14:textId="25989EB7" w:rsidR="00A10769" w:rsidRPr="00A10769" w:rsidRDefault="00A10769" w:rsidP="001628AA">
      <w:pPr>
        <w:numPr>
          <w:ilvl w:val="0"/>
          <w:numId w:val="49"/>
        </w:numPr>
        <w:spacing w:before="80" w:after="80"/>
        <w:rPr>
          <w:szCs w:val="22"/>
        </w:rPr>
      </w:pPr>
      <w:r w:rsidRPr="00A10769">
        <w:rPr>
          <w:i/>
          <w:szCs w:val="22"/>
        </w:rPr>
        <w:t>Eucalyptus populnea</w:t>
      </w:r>
      <w:r w:rsidRPr="00A10769">
        <w:rPr>
          <w:szCs w:val="22"/>
        </w:rPr>
        <w:t xml:space="preserve"> woodland on alluvial plains</w:t>
      </w:r>
      <w:r w:rsidR="00AB2F1B">
        <w:rPr>
          <w:szCs w:val="22"/>
        </w:rPr>
        <w:t>.</w:t>
      </w:r>
    </w:p>
    <w:p w14:paraId="03437E2A" w14:textId="77777777" w:rsidR="00A10769" w:rsidRPr="00A10769" w:rsidRDefault="00A10769" w:rsidP="001628AA">
      <w:pPr>
        <w:numPr>
          <w:ilvl w:val="0"/>
          <w:numId w:val="49"/>
        </w:numPr>
        <w:spacing w:before="80" w:after="80"/>
        <w:rPr>
          <w:szCs w:val="22"/>
        </w:rPr>
      </w:pPr>
      <w:r w:rsidRPr="00A10769">
        <w:rPr>
          <w:i/>
          <w:szCs w:val="22"/>
        </w:rPr>
        <w:t>Eucalyptus populnea</w:t>
      </w:r>
      <w:r w:rsidRPr="00A10769">
        <w:rPr>
          <w:szCs w:val="22"/>
        </w:rPr>
        <w:t xml:space="preserve"> woodland on alluvial plains / </w:t>
      </w:r>
      <w:r w:rsidRPr="00A10769">
        <w:rPr>
          <w:i/>
          <w:szCs w:val="22"/>
        </w:rPr>
        <w:t>Eucalyptus tereticornis</w:t>
      </w:r>
      <w:r w:rsidRPr="00A10769">
        <w:rPr>
          <w:szCs w:val="22"/>
        </w:rPr>
        <w:t xml:space="preserve"> and/or </w:t>
      </w:r>
      <w:r w:rsidRPr="00A10769">
        <w:rPr>
          <w:i/>
          <w:szCs w:val="22"/>
        </w:rPr>
        <w:t>Eucalyptus</w:t>
      </w:r>
      <w:r w:rsidRPr="00A10769">
        <w:rPr>
          <w:szCs w:val="22"/>
        </w:rPr>
        <w:t xml:space="preserve"> spp. woodland on alluvial plains.</w:t>
      </w:r>
    </w:p>
    <w:p w14:paraId="4F4BB4D9" w14:textId="0D716887" w:rsidR="00A10769" w:rsidRPr="00A10769" w:rsidRDefault="00A10769" w:rsidP="001628AA">
      <w:pPr>
        <w:numPr>
          <w:ilvl w:val="0"/>
          <w:numId w:val="49"/>
        </w:numPr>
        <w:spacing w:before="80" w:after="80"/>
        <w:rPr>
          <w:szCs w:val="22"/>
        </w:rPr>
      </w:pPr>
      <w:r w:rsidRPr="00A10769">
        <w:rPr>
          <w:i/>
          <w:szCs w:val="22"/>
        </w:rPr>
        <w:t>Eucalyptus camaldulensis</w:t>
      </w:r>
      <w:r w:rsidRPr="00A10769">
        <w:rPr>
          <w:szCs w:val="22"/>
        </w:rPr>
        <w:t xml:space="preserve"> and/or</w:t>
      </w:r>
      <w:r w:rsidRPr="00A10769">
        <w:rPr>
          <w:i/>
          <w:szCs w:val="22"/>
        </w:rPr>
        <w:t xml:space="preserve"> E. tereticornis</w:t>
      </w:r>
      <w:r w:rsidRPr="00A10769">
        <w:rPr>
          <w:szCs w:val="22"/>
        </w:rPr>
        <w:t xml:space="preserve"> woodland</w:t>
      </w:r>
      <w:r w:rsidR="00AB2F1B">
        <w:rPr>
          <w:szCs w:val="22"/>
        </w:rPr>
        <w:t>.</w:t>
      </w:r>
    </w:p>
    <w:p w14:paraId="2665CD64" w14:textId="0D3A5035" w:rsidR="00A10769" w:rsidRPr="00A10769" w:rsidRDefault="00A10769" w:rsidP="001628AA">
      <w:pPr>
        <w:numPr>
          <w:ilvl w:val="0"/>
          <w:numId w:val="49"/>
        </w:numPr>
        <w:spacing w:before="80" w:after="80"/>
        <w:rPr>
          <w:szCs w:val="22"/>
        </w:rPr>
      </w:pPr>
      <w:r w:rsidRPr="00A10769">
        <w:rPr>
          <w:i/>
          <w:szCs w:val="22"/>
        </w:rPr>
        <w:t>Acacia harpophylla</w:t>
      </w:r>
      <w:r w:rsidRPr="00A10769">
        <w:rPr>
          <w:szCs w:val="22"/>
        </w:rPr>
        <w:t xml:space="preserve"> shrubby woodland with </w:t>
      </w:r>
      <w:r w:rsidRPr="00A10769">
        <w:rPr>
          <w:i/>
          <w:szCs w:val="22"/>
        </w:rPr>
        <w:t>Terminalia oblongata</w:t>
      </w:r>
      <w:r w:rsidRPr="00A10769">
        <w:rPr>
          <w:szCs w:val="22"/>
        </w:rPr>
        <w:t xml:space="preserve"> on Cainozoic clay plains</w:t>
      </w:r>
      <w:r w:rsidR="00AB2F1B">
        <w:rPr>
          <w:szCs w:val="22"/>
        </w:rPr>
        <w:t>.</w:t>
      </w:r>
    </w:p>
    <w:p w14:paraId="2A8536AB" w14:textId="77777777" w:rsidR="00A10769" w:rsidRPr="00A10769" w:rsidRDefault="00A10769" w:rsidP="001628AA">
      <w:pPr>
        <w:numPr>
          <w:ilvl w:val="0"/>
          <w:numId w:val="49"/>
        </w:numPr>
        <w:spacing w:before="80" w:after="80"/>
        <w:rPr>
          <w:szCs w:val="22"/>
        </w:rPr>
      </w:pPr>
      <w:r w:rsidRPr="00A10769">
        <w:rPr>
          <w:i/>
          <w:szCs w:val="22"/>
        </w:rPr>
        <w:t>Eucalyptus populnea</w:t>
      </w:r>
      <w:r w:rsidRPr="00A10769">
        <w:rPr>
          <w:szCs w:val="22"/>
        </w:rPr>
        <w:t xml:space="preserve"> ± </w:t>
      </w:r>
      <w:r w:rsidRPr="00A10769">
        <w:rPr>
          <w:i/>
          <w:szCs w:val="22"/>
        </w:rPr>
        <w:t>E. melanophloia</w:t>
      </w:r>
      <w:r w:rsidRPr="00A10769">
        <w:rPr>
          <w:szCs w:val="22"/>
        </w:rPr>
        <w:t xml:space="preserve"> ± </w:t>
      </w:r>
      <w:r w:rsidRPr="00A10769">
        <w:rPr>
          <w:i/>
          <w:szCs w:val="22"/>
        </w:rPr>
        <w:t>Corymbia clarksoniana</w:t>
      </w:r>
      <w:r w:rsidRPr="00A10769">
        <w:rPr>
          <w:szCs w:val="22"/>
        </w:rPr>
        <w:t xml:space="preserve"> woodland on Cainozoic sand plains and/or remnant surfaces.</w:t>
      </w:r>
    </w:p>
    <w:p w14:paraId="303A6A60" w14:textId="77777777" w:rsidR="00373C0B" w:rsidRDefault="00373C0B" w:rsidP="00373C0B">
      <w:pPr>
        <w:pStyle w:val="Heading3"/>
      </w:pPr>
      <w:bookmarkStart w:id="200" w:name="_Ref56437794"/>
      <w:bookmarkStart w:id="201" w:name="_Toc87278353"/>
      <w:r>
        <w:t>Proposed design of residual voids</w:t>
      </w:r>
      <w:bookmarkEnd w:id="200"/>
      <w:bookmarkEnd w:id="201"/>
    </w:p>
    <w:p w14:paraId="4C0FC468" w14:textId="3B093155" w:rsidR="00373C0B" w:rsidRDefault="00373C0B" w:rsidP="00373C0B">
      <w:pPr>
        <w:pStyle w:val="BodyText"/>
      </w:pPr>
      <w:r w:rsidRPr="00701367">
        <w:t xml:space="preserve">The Project </w:t>
      </w:r>
      <w:r>
        <w:t xml:space="preserve">will </w:t>
      </w:r>
      <w:r w:rsidRPr="00701367">
        <w:t xml:space="preserve">require two final voids </w:t>
      </w:r>
      <w:r>
        <w:t xml:space="preserve">(totalling 595 ha in area) </w:t>
      </w:r>
      <w:r w:rsidRPr="00701367">
        <w:t>located at either end of the mine path</w:t>
      </w:r>
      <w:r>
        <w:t xml:space="preserve"> (</w:t>
      </w:r>
      <w:r w:rsidRPr="00B44160">
        <w:t>M</w:t>
      </w:r>
      <w:r>
        <w:t>CPL</w:t>
      </w:r>
      <w:r w:rsidRPr="00B44160">
        <w:t>, 2018</w:t>
      </w:r>
      <w:r w:rsidR="005D5CCC">
        <w:t>a</w:t>
      </w:r>
      <w:r>
        <w:t>) (</w:t>
      </w:r>
      <w:r>
        <w:fldChar w:fldCharType="begin"/>
      </w:r>
      <w:r>
        <w:instrText xml:space="preserve"> REF _Ref56426742 \h </w:instrText>
      </w:r>
      <w:r>
        <w:fldChar w:fldCharType="separate"/>
      </w:r>
      <w:r w:rsidR="00937ADD">
        <w:t xml:space="preserve">Figure </w:t>
      </w:r>
      <w:r w:rsidR="00937ADD">
        <w:rPr>
          <w:noProof/>
        </w:rPr>
        <w:t>5</w:t>
      </w:r>
      <w:r w:rsidR="00937ADD">
        <w:noBreakHyphen/>
      </w:r>
      <w:r w:rsidR="00937ADD">
        <w:rPr>
          <w:noProof/>
        </w:rPr>
        <w:t>2</w:t>
      </w:r>
      <w:r>
        <w:fldChar w:fldCharType="end"/>
      </w:r>
      <w:r>
        <w:t xml:space="preserve">). </w:t>
      </w:r>
      <w:r w:rsidRPr="00603454">
        <w:t xml:space="preserve">The geometrics of the final void designs are presented in </w:t>
      </w:r>
      <w:r>
        <w:fldChar w:fldCharType="begin"/>
      </w:r>
      <w:r>
        <w:instrText xml:space="preserve"> REF _Ref56431414 \h </w:instrText>
      </w:r>
      <w:r>
        <w:fldChar w:fldCharType="separate"/>
      </w:r>
      <w:r w:rsidR="00937ADD">
        <w:t xml:space="preserve">Table </w:t>
      </w:r>
      <w:r w:rsidR="00937ADD">
        <w:rPr>
          <w:noProof/>
        </w:rPr>
        <w:t>5</w:t>
      </w:r>
      <w:r w:rsidR="00937ADD">
        <w:noBreakHyphen/>
      </w:r>
      <w:r w:rsidR="00937ADD">
        <w:rPr>
          <w:noProof/>
        </w:rPr>
        <w:t>5</w:t>
      </w:r>
      <w:r>
        <w:fldChar w:fldCharType="end"/>
      </w:r>
      <w:r>
        <w:t>.</w:t>
      </w:r>
    </w:p>
    <w:p w14:paraId="13EEBA54" w14:textId="3BD339CC" w:rsidR="00373C0B" w:rsidRDefault="00373C0B" w:rsidP="00373C0B">
      <w:pPr>
        <w:pStyle w:val="Caption"/>
      </w:pPr>
      <w:bookmarkStart w:id="202" w:name="_Toc65140585"/>
      <w:r>
        <w:t xml:space="preserve">Table </w:t>
      </w:r>
      <w:fldSimple w:instr=" STYLEREF 1 \s ">
        <w:r w:rsidR="00937ADD">
          <w:rPr>
            <w:noProof/>
          </w:rPr>
          <w:t>5</w:t>
        </w:r>
      </w:fldSimple>
      <w:r w:rsidR="002714CC">
        <w:noBreakHyphen/>
      </w:r>
      <w:fldSimple w:instr=" SEQ Table \* ARABIC \s 1 ">
        <w:r w:rsidR="00937ADD">
          <w:rPr>
            <w:noProof/>
          </w:rPr>
          <w:t>4</w:t>
        </w:r>
      </w:fldSimple>
      <w:r>
        <w:t xml:space="preserve"> Geometrics of final void design (MCPL</w:t>
      </w:r>
      <w:r w:rsidRPr="003C5D94">
        <w:t>, 2018</w:t>
      </w:r>
      <w:r w:rsidR="005D5CCC">
        <w:t>a</w:t>
      </w:r>
      <w:r w:rsidRPr="003C5D94">
        <w:t>)</w:t>
      </w:r>
      <w:bookmarkEnd w:id="202"/>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692"/>
        <w:gridCol w:w="1110"/>
        <w:gridCol w:w="1347"/>
        <w:gridCol w:w="1658"/>
        <w:gridCol w:w="2000"/>
      </w:tblGrid>
      <w:tr w:rsidR="00373C0B" w14:paraId="663CA1A5" w14:textId="77777777" w:rsidTr="00EC3A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2" w:type="dxa"/>
          </w:tcPr>
          <w:p w14:paraId="486ED53F" w14:textId="77777777" w:rsidR="00373C0B" w:rsidRDefault="00373C0B" w:rsidP="00EC3A5B">
            <w:pPr>
              <w:pStyle w:val="BodyText"/>
              <w:spacing w:before="60" w:beforeAutospacing="0" w:after="60" w:afterAutospacing="0" w:line="300" w:lineRule="auto"/>
              <w:jc w:val="center"/>
            </w:pPr>
            <w:r>
              <w:t xml:space="preserve">Final void </w:t>
            </w:r>
            <w:r w:rsidRPr="00603454">
              <w:rPr>
                <w:vertAlign w:val="superscript"/>
              </w:rPr>
              <w:t>(1)</w:t>
            </w:r>
          </w:p>
        </w:tc>
        <w:tc>
          <w:tcPr>
            <w:tcW w:w="1110" w:type="dxa"/>
          </w:tcPr>
          <w:p w14:paraId="5EF7BC95" w14:textId="77777777" w:rsidR="00373C0B" w:rsidRDefault="00373C0B" w:rsidP="00EC3A5B">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Depth (m)</w:t>
            </w:r>
          </w:p>
        </w:tc>
        <w:tc>
          <w:tcPr>
            <w:tcW w:w="1347" w:type="dxa"/>
          </w:tcPr>
          <w:p w14:paraId="610A9324" w14:textId="77777777" w:rsidR="00373C0B" w:rsidRDefault="00373C0B" w:rsidP="00EC3A5B">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Area (ha)</w:t>
            </w:r>
          </w:p>
        </w:tc>
        <w:tc>
          <w:tcPr>
            <w:tcW w:w="1658" w:type="dxa"/>
          </w:tcPr>
          <w:p w14:paraId="6DBBC54F" w14:textId="77777777" w:rsidR="00373C0B" w:rsidRDefault="00373C0B" w:rsidP="00EC3A5B">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Full supply volume (ML)</w:t>
            </w:r>
          </w:p>
        </w:tc>
        <w:tc>
          <w:tcPr>
            <w:tcW w:w="2000" w:type="dxa"/>
          </w:tcPr>
          <w:p w14:paraId="578D63DB" w14:textId="77777777" w:rsidR="00373C0B" w:rsidRDefault="00373C0B" w:rsidP="00EC3A5B">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pPr>
            <w:r>
              <w:t>Contributing catchment area (ha)</w:t>
            </w:r>
          </w:p>
        </w:tc>
      </w:tr>
      <w:tr w:rsidR="00373C0B" w14:paraId="43E042A9" w14:textId="77777777" w:rsidTr="00EC3A5B">
        <w:trPr>
          <w:trHeight w:val="378"/>
        </w:trPr>
        <w:tc>
          <w:tcPr>
            <w:cnfStyle w:val="001000000000" w:firstRow="0" w:lastRow="0" w:firstColumn="1" w:lastColumn="0" w:oddVBand="0" w:evenVBand="0" w:oddHBand="0" w:evenHBand="0" w:firstRowFirstColumn="0" w:firstRowLastColumn="0" w:lastRowFirstColumn="0" w:lastRowLastColumn="0"/>
            <w:tcW w:w="1692" w:type="dxa"/>
          </w:tcPr>
          <w:p w14:paraId="3F123605" w14:textId="77777777" w:rsidR="00373C0B" w:rsidRPr="00F315EC" w:rsidRDefault="00373C0B" w:rsidP="00EC3A5B">
            <w:pPr>
              <w:pStyle w:val="BodyText"/>
              <w:spacing w:before="60" w:beforeAutospacing="0" w:after="60" w:afterAutospacing="0" w:line="300" w:lineRule="auto"/>
              <w:rPr>
                <w:b/>
                <w:bCs/>
              </w:rPr>
            </w:pPr>
            <w:r w:rsidRPr="00F315EC">
              <w:rPr>
                <w:b/>
                <w:bCs/>
              </w:rPr>
              <w:t>North void</w:t>
            </w:r>
          </w:p>
        </w:tc>
        <w:tc>
          <w:tcPr>
            <w:tcW w:w="1110" w:type="dxa"/>
          </w:tcPr>
          <w:p w14:paraId="38AF3A0E" w14:textId="77777777" w:rsidR="00373C0B" w:rsidRDefault="00373C0B" w:rsidP="00EC3A5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120</w:t>
            </w:r>
          </w:p>
        </w:tc>
        <w:tc>
          <w:tcPr>
            <w:tcW w:w="1347" w:type="dxa"/>
          </w:tcPr>
          <w:p w14:paraId="3552F591" w14:textId="77777777" w:rsidR="00373C0B" w:rsidRPr="00BC58FD" w:rsidRDefault="00373C0B" w:rsidP="00EC3A5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rsidRPr="00BC58FD">
              <w:t>373</w:t>
            </w:r>
          </w:p>
        </w:tc>
        <w:tc>
          <w:tcPr>
            <w:tcW w:w="1658" w:type="dxa"/>
          </w:tcPr>
          <w:p w14:paraId="4AA38448" w14:textId="77777777" w:rsidR="00373C0B" w:rsidRDefault="00373C0B" w:rsidP="00EC3A5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15,770</w:t>
            </w:r>
          </w:p>
        </w:tc>
        <w:tc>
          <w:tcPr>
            <w:tcW w:w="2000" w:type="dxa"/>
          </w:tcPr>
          <w:p w14:paraId="7E16985E" w14:textId="77777777" w:rsidR="00373C0B" w:rsidRDefault="00373C0B" w:rsidP="00EC3A5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390.5</w:t>
            </w:r>
          </w:p>
        </w:tc>
      </w:tr>
      <w:tr w:rsidR="00373C0B" w14:paraId="40E6F9D9" w14:textId="77777777" w:rsidTr="00EC3A5B">
        <w:tc>
          <w:tcPr>
            <w:cnfStyle w:val="001000000000" w:firstRow="0" w:lastRow="0" w:firstColumn="1" w:lastColumn="0" w:oddVBand="0" w:evenVBand="0" w:oddHBand="0" w:evenHBand="0" w:firstRowFirstColumn="0" w:firstRowLastColumn="0" w:lastRowFirstColumn="0" w:lastRowLastColumn="0"/>
            <w:tcW w:w="1692" w:type="dxa"/>
          </w:tcPr>
          <w:p w14:paraId="0D6A389F" w14:textId="77777777" w:rsidR="00373C0B" w:rsidRPr="00F315EC" w:rsidRDefault="00373C0B" w:rsidP="00EC3A5B">
            <w:pPr>
              <w:pStyle w:val="BodyText"/>
              <w:spacing w:before="60" w:beforeAutospacing="0" w:after="60" w:afterAutospacing="0" w:line="300" w:lineRule="auto"/>
              <w:rPr>
                <w:b/>
                <w:bCs/>
              </w:rPr>
            </w:pPr>
            <w:r w:rsidRPr="00F315EC">
              <w:rPr>
                <w:b/>
                <w:bCs/>
              </w:rPr>
              <w:t>South void</w:t>
            </w:r>
          </w:p>
        </w:tc>
        <w:tc>
          <w:tcPr>
            <w:tcW w:w="1110" w:type="dxa"/>
          </w:tcPr>
          <w:p w14:paraId="3F0ADC77" w14:textId="77777777" w:rsidR="00373C0B" w:rsidRDefault="00373C0B" w:rsidP="00EC3A5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240</w:t>
            </w:r>
          </w:p>
        </w:tc>
        <w:tc>
          <w:tcPr>
            <w:tcW w:w="1347" w:type="dxa"/>
          </w:tcPr>
          <w:p w14:paraId="1EB89D9F" w14:textId="77777777" w:rsidR="00373C0B" w:rsidRPr="00BC58FD" w:rsidRDefault="00373C0B" w:rsidP="00EC3A5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rsidRPr="00BC58FD">
              <w:t>222</w:t>
            </w:r>
          </w:p>
        </w:tc>
        <w:tc>
          <w:tcPr>
            <w:tcW w:w="1658" w:type="dxa"/>
          </w:tcPr>
          <w:p w14:paraId="2B838ED1" w14:textId="77777777" w:rsidR="00373C0B" w:rsidRDefault="00373C0B" w:rsidP="00EC3A5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12,100</w:t>
            </w:r>
          </w:p>
        </w:tc>
        <w:tc>
          <w:tcPr>
            <w:tcW w:w="2000" w:type="dxa"/>
          </w:tcPr>
          <w:p w14:paraId="710AA849" w14:textId="77777777" w:rsidR="00373C0B" w:rsidRDefault="00373C0B" w:rsidP="00EC3A5B">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pPr>
            <w:r>
              <w:t>345.5</w:t>
            </w:r>
          </w:p>
        </w:tc>
      </w:tr>
    </w:tbl>
    <w:p w14:paraId="780BC116" w14:textId="77777777" w:rsidR="00373C0B" w:rsidRPr="00603454" w:rsidRDefault="00373C0B" w:rsidP="00373C0B">
      <w:pPr>
        <w:pStyle w:val="BodyText"/>
        <w:spacing w:before="0" w:after="0"/>
        <w:rPr>
          <w:b/>
          <w:bCs/>
          <w:i/>
          <w:iCs/>
          <w:sz w:val="18"/>
          <w:szCs w:val="18"/>
        </w:rPr>
      </w:pPr>
      <w:r w:rsidRPr="00603454">
        <w:rPr>
          <w:b/>
          <w:bCs/>
          <w:i/>
          <w:iCs/>
          <w:sz w:val="18"/>
          <w:szCs w:val="18"/>
        </w:rPr>
        <w:t>Note:</w:t>
      </w:r>
    </w:p>
    <w:p w14:paraId="75FB5F3A" w14:textId="77777777" w:rsidR="00373C0B" w:rsidRPr="00603454" w:rsidRDefault="00373C0B" w:rsidP="00373C0B">
      <w:pPr>
        <w:pStyle w:val="BodyText"/>
        <w:spacing w:before="0" w:after="0"/>
        <w:rPr>
          <w:i/>
          <w:iCs/>
          <w:sz w:val="18"/>
          <w:szCs w:val="18"/>
        </w:rPr>
      </w:pPr>
      <w:r w:rsidRPr="003E1741">
        <w:rPr>
          <w:i/>
          <w:iCs/>
          <w:sz w:val="18"/>
          <w:szCs w:val="18"/>
        </w:rPr>
        <w:t>(1</w:t>
      </w:r>
      <w:r>
        <w:rPr>
          <w:i/>
          <w:iCs/>
          <w:sz w:val="18"/>
          <w:szCs w:val="18"/>
        </w:rPr>
        <w:t xml:space="preserve">) </w:t>
      </w:r>
      <w:r w:rsidRPr="00603454">
        <w:rPr>
          <w:i/>
          <w:iCs/>
          <w:sz w:val="18"/>
          <w:szCs w:val="18"/>
        </w:rPr>
        <w:t>The two voids are separated by spoil backfill that rises up to 180 m</w:t>
      </w:r>
      <w:r>
        <w:rPr>
          <w:i/>
          <w:iCs/>
          <w:sz w:val="18"/>
          <w:szCs w:val="18"/>
        </w:rPr>
        <w:t xml:space="preserve"> </w:t>
      </w:r>
      <w:r w:rsidRPr="00603454">
        <w:rPr>
          <w:i/>
          <w:iCs/>
          <w:sz w:val="18"/>
          <w:szCs w:val="18"/>
        </w:rPr>
        <w:t>AHD.</w:t>
      </w:r>
    </w:p>
    <w:p w14:paraId="32E58FC3" w14:textId="59D0773D" w:rsidR="00373C0B" w:rsidRDefault="0037154B" w:rsidP="002E1384">
      <w:pPr>
        <w:pStyle w:val="BodyText"/>
      </w:pPr>
      <w:r w:rsidRPr="0037154B">
        <w:t>The maximum slope range of the final voids is indicated to be 53-75%.</w:t>
      </w:r>
    </w:p>
    <w:p w14:paraId="07618678" w14:textId="3CED6592" w:rsidR="00373C0B" w:rsidRDefault="00373C0B">
      <w:pPr>
        <w:rPr>
          <w:szCs w:val="22"/>
        </w:rPr>
      </w:pPr>
      <w:r>
        <w:br w:type="page"/>
      </w:r>
    </w:p>
    <w:p w14:paraId="5ED8D056" w14:textId="3BA041BC" w:rsidR="004D2379" w:rsidRDefault="004D2379" w:rsidP="005E381F">
      <w:pPr>
        <w:pStyle w:val="Caption"/>
      </w:pPr>
      <w:bookmarkStart w:id="203" w:name="_Ref56426742"/>
      <w:bookmarkStart w:id="204" w:name="_Toc65140608"/>
      <w:bookmarkStart w:id="205" w:name="_Hlk57736272"/>
      <w:r>
        <w:lastRenderedPageBreak/>
        <w:t xml:space="preserve">Figure </w:t>
      </w:r>
      <w:fldSimple w:instr=" STYLEREF 1 \s ">
        <w:r w:rsidR="00937ADD">
          <w:rPr>
            <w:noProof/>
          </w:rPr>
          <w:t>5</w:t>
        </w:r>
      </w:fldSimple>
      <w:r w:rsidR="002706A0">
        <w:noBreakHyphen/>
      </w:r>
      <w:fldSimple w:instr=" SEQ Figure \* ARABIC \s 1 ">
        <w:r w:rsidR="00937ADD">
          <w:rPr>
            <w:noProof/>
          </w:rPr>
          <w:t>2</w:t>
        </w:r>
      </w:fldSimple>
      <w:bookmarkEnd w:id="203"/>
      <w:r>
        <w:t xml:space="preserve"> Layout of Middlemount coal mine – Western Extension Project</w:t>
      </w:r>
      <w:r w:rsidR="00373C0B" w:rsidRPr="00373C0B">
        <w:t xml:space="preserve"> </w:t>
      </w:r>
      <w:r w:rsidR="00373C0B">
        <w:t>(</w:t>
      </w:r>
      <w:r w:rsidR="00373C0B" w:rsidRPr="00373C0B">
        <w:t>MCPL, 2018</w:t>
      </w:r>
      <w:r w:rsidR="005D5CCC">
        <w:t>a</w:t>
      </w:r>
      <w:r w:rsidR="00373C0B">
        <w:t>)</w:t>
      </w:r>
      <w:bookmarkEnd w:id="204"/>
    </w:p>
    <w:bookmarkEnd w:id="205"/>
    <w:p w14:paraId="3D927234" w14:textId="37D7A6F3" w:rsidR="00373C0B" w:rsidRPr="00373C0B" w:rsidRDefault="00373C0B" w:rsidP="00373C0B">
      <w:pPr>
        <w:pStyle w:val="BodyText"/>
      </w:pPr>
      <w:r>
        <w:rPr>
          <w:noProof/>
        </w:rPr>
        <w:drawing>
          <wp:inline distT="0" distB="0" distL="0" distR="0" wp14:anchorId="672C9975" wp14:editId="7FBA00D3">
            <wp:extent cx="6024102" cy="8370916"/>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xtractPage1.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6031790" cy="8381599"/>
                    </a:xfrm>
                    <a:prstGeom prst="rect">
                      <a:avLst/>
                    </a:prstGeom>
                    <a:ln>
                      <a:noFill/>
                    </a:ln>
                    <a:extLst>
                      <a:ext uri="{53640926-AAD7-44D8-BBD7-CCE9431645EC}">
                        <a14:shadowObscured xmlns:a14="http://schemas.microsoft.com/office/drawing/2010/main"/>
                      </a:ext>
                    </a:extLst>
                  </pic:spPr>
                </pic:pic>
              </a:graphicData>
            </a:graphic>
          </wp:inline>
        </w:drawing>
      </w:r>
    </w:p>
    <w:p w14:paraId="39C952DD" w14:textId="443D664B" w:rsidR="003E0D29" w:rsidRPr="003C5D94" w:rsidRDefault="003E0D29" w:rsidP="003E0D29">
      <w:pPr>
        <w:pStyle w:val="BodyText"/>
      </w:pPr>
      <w:bookmarkStart w:id="206" w:name="_Hlk57983730"/>
      <w:r w:rsidRPr="003C5D94">
        <w:lastRenderedPageBreak/>
        <w:t>In reference to flood and overland flow protection</w:t>
      </w:r>
      <w:r>
        <w:t>,</w:t>
      </w:r>
      <w:r w:rsidRPr="003C5D94">
        <w:t xml:space="preserve"> the following design features of the </w:t>
      </w:r>
      <w:r>
        <w:t xml:space="preserve">residual </w:t>
      </w:r>
      <w:r w:rsidRPr="003C5D94">
        <w:t xml:space="preserve">voids are also reported </w:t>
      </w:r>
      <w:r>
        <w:t>(MCPL, 2018a)</w:t>
      </w:r>
      <w:r w:rsidR="004C52BE">
        <w:t>.</w:t>
      </w:r>
    </w:p>
    <w:p w14:paraId="7B7CC7D1" w14:textId="77777777" w:rsidR="003E0D29" w:rsidRDefault="003E0D29" w:rsidP="001628AA">
      <w:pPr>
        <w:pStyle w:val="BodyText"/>
        <w:numPr>
          <w:ilvl w:val="0"/>
          <w:numId w:val="31"/>
        </w:numPr>
        <w:spacing w:before="80" w:after="80"/>
      </w:pPr>
      <w:bookmarkStart w:id="207" w:name="_Hlk56503443"/>
      <w:r>
        <w:t>F</w:t>
      </w:r>
      <w:r w:rsidRPr="00894F43">
        <w:t xml:space="preserve">inal catchment </w:t>
      </w:r>
      <w:r>
        <w:t xml:space="preserve">areas </w:t>
      </w:r>
      <w:r w:rsidRPr="00894F43">
        <w:t xml:space="preserve">draining </w:t>
      </w:r>
      <w:r>
        <w:t xml:space="preserve">to </w:t>
      </w:r>
      <w:r w:rsidRPr="00894F43">
        <w:t>the voids will be minimised using upslope diversion drains</w:t>
      </w:r>
      <w:bookmarkEnd w:id="206"/>
      <w:r>
        <w:t xml:space="preserve">. </w:t>
      </w:r>
    </w:p>
    <w:p w14:paraId="7D0A8D77" w14:textId="77777777" w:rsidR="003E0D29" w:rsidRDefault="003E0D29" w:rsidP="001628AA">
      <w:pPr>
        <w:pStyle w:val="BodyText"/>
        <w:numPr>
          <w:ilvl w:val="0"/>
          <w:numId w:val="31"/>
        </w:numPr>
        <w:spacing w:before="80" w:after="80"/>
      </w:pPr>
      <w:r>
        <w:t xml:space="preserve">The southern void will be located on the pre-mine Roper Creek floodplain. The flood bund up to 100 m wide at the crest will be incorporated into the rehabilitated final landform of this void to prevent floodwater from entering and to form a self-sustaining structure that does not require long-term maintenance. </w:t>
      </w:r>
      <w:r w:rsidRPr="000855F2">
        <w:t xml:space="preserve">The bund will have a crest height above the PMF level from Roper Creek. </w:t>
      </w:r>
      <w:r>
        <w:t>The flood protection levees on the western side of the mine will also be removed such that the rehabilitated out-of-pit overburden areas will prevent floodwater from entering the pit. There is at least 150 m of out-of-pit overburden area and 1 km of in-</w:t>
      </w:r>
      <w:r w:rsidRPr="00D73722">
        <w:t>pit overburden between the floodplain and the final void, which is considered by the MCPL to be</w:t>
      </w:r>
      <w:r>
        <w:t xml:space="preserve"> more than adequate to prevent floodwater from entering the final void.</w:t>
      </w:r>
      <w:bookmarkEnd w:id="207"/>
    </w:p>
    <w:p w14:paraId="364B9F3D" w14:textId="61473C7D" w:rsidR="00CB1E6D" w:rsidRDefault="00CB1E6D" w:rsidP="00CB1E6D">
      <w:pPr>
        <w:pStyle w:val="Heading3"/>
      </w:pPr>
      <w:bookmarkStart w:id="208" w:name="_Toc87278354"/>
      <w:r>
        <w:t>Conceptualisation of flow regime</w:t>
      </w:r>
      <w:bookmarkEnd w:id="208"/>
    </w:p>
    <w:p w14:paraId="64B1678A" w14:textId="77777777" w:rsidR="000855F2" w:rsidRDefault="00D150ED" w:rsidP="00CB1E6D">
      <w:pPr>
        <w:pStyle w:val="BodyText"/>
      </w:pPr>
      <w:r>
        <w:t xml:space="preserve">Baseline and ongoing surface water and groundwater </w:t>
      </w:r>
      <w:r w:rsidRPr="00D150ED">
        <w:t xml:space="preserve">monitoring </w:t>
      </w:r>
      <w:r>
        <w:t>informed the impact assessments prepared for the EAR (MCPL, 2018</w:t>
      </w:r>
      <w:r w:rsidR="005D5CCC">
        <w:t>a</w:t>
      </w:r>
      <w:r>
        <w:t>).</w:t>
      </w:r>
    </w:p>
    <w:p w14:paraId="0D5701AA" w14:textId="0BB2B0B1" w:rsidR="00A12749" w:rsidRPr="00D150ED" w:rsidRDefault="000B6620" w:rsidP="00CB1E6D">
      <w:pPr>
        <w:pStyle w:val="BodyText"/>
        <w:rPr>
          <w:highlight w:val="yellow"/>
        </w:rPr>
      </w:pPr>
      <w:r w:rsidRPr="000B6620">
        <w:t xml:space="preserve">A </w:t>
      </w:r>
      <w:r w:rsidR="00863355">
        <w:t xml:space="preserve">GoldSim </w:t>
      </w:r>
      <w:r w:rsidRPr="000B6620">
        <w:t>model was used to assess the likely long-term water level behaviour of the final voids.</w:t>
      </w:r>
      <w:r w:rsidR="00894F43">
        <w:t xml:space="preserve"> The model relie</w:t>
      </w:r>
      <w:r w:rsidR="00C90D56">
        <w:t>d</w:t>
      </w:r>
      <w:r w:rsidR="00894F43">
        <w:t xml:space="preserve"> on predicted groundwater inflows developed as part of the groundwater assessment.</w:t>
      </w:r>
      <w:r w:rsidR="000855F2" w:rsidRPr="000855F2">
        <w:t xml:space="preserve"> </w:t>
      </w:r>
      <w:r w:rsidR="000855F2">
        <w:t>Climate data used in the model was generated from</w:t>
      </w:r>
      <w:r w:rsidR="000855F2" w:rsidRPr="00785418">
        <w:t xml:space="preserve"> historical rainfall and evaporation sequences (128 years</w:t>
      </w:r>
      <w:r w:rsidR="000855F2">
        <w:t xml:space="preserve"> in total, repeating 5 times</w:t>
      </w:r>
      <w:r w:rsidR="000855F2" w:rsidRPr="00785418">
        <w:t>).</w:t>
      </w:r>
    </w:p>
    <w:p w14:paraId="09022625" w14:textId="6D60BBDE" w:rsidR="009708A3" w:rsidRDefault="00B44160" w:rsidP="00B44160">
      <w:pPr>
        <w:pStyle w:val="BodyText"/>
      </w:pPr>
      <w:r>
        <w:t>Once mining operations cease, groundwater inflows to the final voids would no longer be collected and pumped out, and as a result, the final voids would gradually begin to fill with groundwater.</w:t>
      </w:r>
      <w:r w:rsidR="00A12749">
        <w:t xml:space="preserve"> </w:t>
      </w:r>
    </w:p>
    <w:p w14:paraId="4F376E23" w14:textId="476D1DB5" w:rsidR="009708A3" w:rsidRDefault="009708A3" w:rsidP="009708A3">
      <w:pPr>
        <w:pStyle w:val="BodyText"/>
      </w:pPr>
      <w:r>
        <w:t>The components of the equilibrated water balance of the two final voids are predicted to be:</w:t>
      </w:r>
    </w:p>
    <w:p w14:paraId="1C8907F6" w14:textId="11135EC5" w:rsidR="009708A3" w:rsidRDefault="009708A3" w:rsidP="001628AA">
      <w:pPr>
        <w:pStyle w:val="BodyText"/>
        <w:numPr>
          <w:ilvl w:val="0"/>
          <w:numId w:val="32"/>
        </w:numPr>
        <w:spacing w:before="80" w:after="80"/>
      </w:pPr>
      <w:r>
        <w:t>Inflows:</w:t>
      </w:r>
    </w:p>
    <w:p w14:paraId="472D6915" w14:textId="7A09EDD5" w:rsidR="009708A3" w:rsidRDefault="004C52BE" w:rsidP="001628AA">
      <w:pPr>
        <w:pStyle w:val="BodyText"/>
        <w:numPr>
          <w:ilvl w:val="1"/>
          <w:numId w:val="32"/>
        </w:numPr>
        <w:spacing w:before="80" w:after="80"/>
      </w:pPr>
      <w:r>
        <w:t>i</w:t>
      </w:r>
      <w:r w:rsidR="009708A3">
        <w:t>ncident rainfall</w:t>
      </w:r>
      <w:r>
        <w:t>;</w:t>
      </w:r>
    </w:p>
    <w:p w14:paraId="0EBA1431" w14:textId="1B1DFC47" w:rsidR="009708A3" w:rsidRDefault="004C52BE" w:rsidP="001628AA">
      <w:pPr>
        <w:pStyle w:val="BodyText"/>
        <w:numPr>
          <w:ilvl w:val="1"/>
          <w:numId w:val="32"/>
        </w:numPr>
        <w:spacing w:before="80" w:after="80"/>
      </w:pPr>
      <w:r>
        <w:t>r</w:t>
      </w:r>
      <w:r w:rsidR="009708A3">
        <w:t>unoff within the final void catchment area</w:t>
      </w:r>
      <w:r>
        <w:t>; and</w:t>
      </w:r>
    </w:p>
    <w:p w14:paraId="7D07E287" w14:textId="6863FFD0" w:rsidR="009708A3" w:rsidRDefault="004C52BE" w:rsidP="001628AA">
      <w:pPr>
        <w:pStyle w:val="BodyText"/>
        <w:numPr>
          <w:ilvl w:val="1"/>
          <w:numId w:val="32"/>
        </w:numPr>
        <w:spacing w:before="80" w:after="80"/>
      </w:pPr>
      <w:r>
        <w:t>g</w:t>
      </w:r>
      <w:r w:rsidR="009708A3">
        <w:t>roundwater inflows (including soil dump infiltration), declining over time.</w:t>
      </w:r>
    </w:p>
    <w:p w14:paraId="58BCC04A" w14:textId="77777777" w:rsidR="009708A3" w:rsidRDefault="009708A3" w:rsidP="001628AA">
      <w:pPr>
        <w:pStyle w:val="BodyText"/>
        <w:numPr>
          <w:ilvl w:val="0"/>
          <w:numId w:val="32"/>
        </w:numPr>
        <w:spacing w:before="80" w:after="80"/>
      </w:pPr>
      <w:r>
        <w:t>Outflows:</w:t>
      </w:r>
    </w:p>
    <w:p w14:paraId="33142AA3" w14:textId="5F59CE77" w:rsidR="009708A3" w:rsidRDefault="004C52BE" w:rsidP="001628AA">
      <w:pPr>
        <w:pStyle w:val="BodyText"/>
        <w:numPr>
          <w:ilvl w:val="1"/>
          <w:numId w:val="32"/>
        </w:numPr>
        <w:spacing w:before="80" w:after="80"/>
      </w:pPr>
      <w:r>
        <w:t>e</w:t>
      </w:r>
      <w:r w:rsidR="009708A3">
        <w:t>vaporation.</w:t>
      </w:r>
    </w:p>
    <w:p w14:paraId="488C2CEE" w14:textId="55B6E207" w:rsidR="003E1741" w:rsidRDefault="003E1741" w:rsidP="003E1741">
      <w:pPr>
        <w:pStyle w:val="BodyText"/>
      </w:pPr>
      <w:r>
        <w:t xml:space="preserve">The predicted </w:t>
      </w:r>
      <w:r w:rsidR="00B515A8">
        <w:t>quasi-</w:t>
      </w:r>
      <w:r>
        <w:t xml:space="preserve">equilibrated ‘pit lake’ water level and quality of the two final voids are reported in </w:t>
      </w:r>
      <w:r>
        <w:fldChar w:fldCharType="begin"/>
      </w:r>
      <w:r>
        <w:instrText xml:space="preserve"> REF _Ref56431414 \h </w:instrText>
      </w:r>
      <w:r>
        <w:fldChar w:fldCharType="separate"/>
      </w:r>
      <w:r w:rsidR="00937ADD">
        <w:t xml:space="preserve">Table </w:t>
      </w:r>
      <w:r w:rsidR="00937ADD">
        <w:rPr>
          <w:noProof/>
        </w:rPr>
        <w:t>5</w:t>
      </w:r>
      <w:r w:rsidR="00937ADD">
        <w:noBreakHyphen/>
      </w:r>
      <w:r w:rsidR="00937ADD">
        <w:rPr>
          <w:noProof/>
        </w:rPr>
        <w:t>5</w:t>
      </w:r>
      <w:r>
        <w:fldChar w:fldCharType="end"/>
      </w:r>
      <w:r w:rsidRPr="002C2834">
        <w:t>.</w:t>
      </w:r>
    </w:p>
    <w:p w14:paraId="0D08871D" w14:textId="1F513720" w:rsidR="000C340F" w:rsidRDefault="000C340F" w:rsidP="000C340F">
      <w:pPr>
        <w:pStyle w:val="Caption"/>
      </w:pPr>
      <w:bookmarkStart w:id="209" w:name="_Ref56431414"/>
      <w:bookmarkStart w:id="210" w:name="_Toc65140586"/>
      <w:r>
        <w:t xml:space="preserve">Table </w:t>
      </w:r>
      <w:fldSimple w:instr=" STYLEREF 1 \s ">
        <w:r w:rsidR="00937ADD">
          <w:rPr>
            <w:noProof/>
          </w:rPr>
          <w:t>5</w:t>
        </w:r>
      </w:fldSimple>
      <w:r w:rsidR="002714CC">
        <w:noBreakHyphen/>
      </w:r>
      <w:fldSimple w:instr=" SEQ Table \* ARABIC \s 1 ">
        <w:r w:rsidR="00937ADD">
          <w:rPr>
            <w:noProof/>
          </w:rPr>
          <w:t>5</w:t>
        </w:r>
      </w:fldSimple>
      <w:bookmarkEnd w:id="209"/>
      <w:r>
        <w:t xml:space="preserve"> Long-term water level and quality model simulation results of final voids (M</w:t>
      </w:r>
      <w:r w:rsidR="000C0842">
        <w:t>CPL</w:t>
      </w:r>
      <w:r w:rsidRPr="00B43E7C">
        <w:t>, 2018</w:t>
      </w:r>
      <w:r w:rsidR="005D5CCC">
        <w:t>a</w:t>
      </w:r>
      <w:r>
        <w:t>)</w:t>
      </w:r>
      <w:bookmarkEnd w:id="210"/>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696"/>
        <w:gridCol w:w="4315"/>
        <w:gridCol w:w="3006"/>
      </w:tblGrid>
      <w:tr w:rsidR="000C340F" w14:paraId="0E6B3415" w14:textId="77777777" w:rsidTr="0037154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3427CC" w14:textId="77777777" w:rsidR="000C340F" w:rsidRDefault="000C340F" w:rsidP="00603454">
            <w:pPr>
              <w:pStyle w:val="BodyText"/>
              <w:spacing w:before="60" w:beforeAutospacing="0" w:after="60" w:afterAutospacing="0" w:line="300" w:lineRule="auto"/>
            </w:pPr>
            <w:r>
              <w:t>Final void</w:t>
            </w:r>
          </w:p>
        </w:tc>
        <w:tc>
          <w:tcPr>
            <w:tcW w:w="43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E782CB" w14:textId="77777777" w:rsidR="000C340F" w:rsidRDefault="000C340F" w:rsidP="00603454">
            <w:pPr>
              <w:pStyle w:val="BodyText"/>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pPr>
            <w:r>
              <w:t>‘Pit lake’ water level</w:t>
            </w:r>
          </w:p>
        </w:tc>
        <w:tc>
          <w:tcPr>
            <w:tcW w:w="300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917CBC" w14:textId="77777777" w:rsidR="000C340F" w:rsidRDefault="000C340F" w:rsidP="00603454">
            <w:pPr>
              <w:pStyle w:val="BodyText"/>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pPr>
            <w:r>
              <w:t>‘Pit lake’ water quality</w:t>
            </w:r>
          </w:p>
        </w:tc>
      </w:tr>
      <w:tr w:rsidR="000C340F" w14:paraId="52874C6D" w14:textId="77777777" w:rsidTr="00603454">
        <w:tc>
          <w:tcPr>
            <w:cnfStyle w:val="001000000000" w:firstRow="0" w:lastRow="0" w:firstColumn="1" w:lastColumn="0" w:oddVBand="0" w:evenVBand="0" w:oddHBand="0" w:evenHBand="0" w:firstRowFirstColumn="0" w:firstRowLastColumn="0" w:lastRowFirstColumn="0" w:lastRowLastColumn="0"/>
            <w:tcW w:w="1696" w:type="dxa"/>
          </w:tcPr>
          <w:p w14:paraId="41B9BFCD" w14:textId="2EF8B4F9" w:rsidR="000C340F" w:rsidRPr="00F315EC" w:rsidRDefault="000C340F" w:rsidP="00603454">
            <w:pPr>
              <w:pStyle w:val="BodyText"/>
              <w:spacing w:before="60" w:beforeAutospacing="0" w:after="60" w:afterAutospacing="0" w:line="300" w:lineRule="auto"/>
              <w:rPr>
                <w:b/>
                <w:bCs/>
              </w:rPr>
            </w:pPr>
            <w:r w:rsidRPr="00F315EC">
              <w:rPr>
                <w:b/>
                <w:bCs/>
              </w:rPr>
              <w:t>North void</w:t>
            </w:r>
          </w:p>
        </w:tc>
        <w:tc>
          <w:tcPr>
            <w:tcW w:w="4315" w:type="dxa"/>
          </w:tcPr>
          <w:p w14:paraId="0E0001D4" w14:textId="5D531239" w:rsidR="000C340F" w:rsidRDefault="000C340F" w:rsidP="00603454">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pPr>
            <w:r>
              <w:t>The ‘pit lake’ water level reaches equilibrium between 60 m</w:t>
            </w:r>
            <w:r w:rsidR="004E61FD">
              <w:t xml:space="preserve"> </w:t>
            </w:r>
            <w:r>
              <w:t>AHD and 65 m</w:t>
            </w:r>
            <w:r w:rsidR="004E61FD">
              <w:t xml:space="preserve"> </w:t>
            </w:r>
            <w:r>
              <w:t>AHD relatively quickly and varies between these levels and empty throughout the simulation. The average stored volume is predicted to be 460 ML. The maximum modelled water level is ~ 95 m below full supply level.</w:t>
            </w:r>
          </w:p>
        </w:tc>
        <w:tc>
          <w:tcPr>
            <w:tcW w:w="3006" w:type="dxa"/>
          </w:tcPr>
          <w:p w14:paraId="3152DA23" w14:textId="75127596" w:rsidR="000C340F" w:rsidRDefault="000C340F" w:rsidP="00603454">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0C340F">
              <w:t>Salt accumulat</w:t>
            </w:r>
            <w:r>
              <w:t>es</w:t>
            </w:r>
            <w:r w:rsidRPr="000C340F">
              <w:t xml:space="preserve"> </w:t>
            </w:r>
            <w:r>
              <w:t xml:space="preserve">in the void </w:t>
            </w:r>
            <w:r w:rsidRPr="000C340F">
              <w:t>at an average rate of around 63 tonnes</w:t>
            </w:r>
            <w:r>
              <w:t>/year, becoming</w:t>
            </w:r>
            <w:r w:rsidRPr="000C340F">
              <w:t xml:space="preserve"> hyper-saline within </w:t>
            </w:r>
            <w:r>
              <w:t>approximately</w:t>
            </w:r>
            <w:r w:rsidRPr="000C340F">
              <w:t xml:space="preserve"> 100 years</w:t>
            </w:r>
            <w:r>
              <w:t>.</w:t>
            </w:r>
          </w:p>
        </w:tc>
      </w:tr>
      <w:tr w:rsidR="000C340F" w14:paraId="7E3C56D9" w14:textId="77777777" w:rsidTr="00603454">
        <w:tc>
          <w:tcPr>
            <w:cnfStyle w:val="001000000000" w:firstRow="0" w:lastRow="0" w:firstColumn="1" w:lastColumn="0" w:oddVBand="0" w:evenVBand="0" w:oddHBand="0" w:evenHBand="0" w:firstRowFirstColumn="0" w:firstRowLastColumn="0" w:lastRowFirstColumn="0" w:lastRowLastColumn="0"/>
            <w:tcW w:w="1696" w:type="dxa"/>
          </w:tcPr>
          <w:p w14:paraId="2B8BD807" w14:textId="01512D7F" w:rsidR="000C340F" w:rsidRPr="00F315EC" w:rsidRDefault="000C340F" w:rsidP="00603454">
            <w:pPr>
              <w:pStyle w:val="BodyText"/>
              <w:spacing w:before="60" w:beforeAutospacing="0" w:after="60" w:afterAutospacing="0" w:line="300" w:lineRule="auto"/>
              <w:rPr>
                <w:b/>
                <w:bCs/>
              </w:rPr>
            </w:pPr>
            <w:r w:rsidRPr="00F315EC">
              <w:rPr>
                <w:b/>
                <w:bCs/>
              </w:rPr>
              <w:t>South void</w:t>
            </w:r>
          </w:p>
        </w:tc>
        <w:tc>
          <w:tcPr>
            <w:tcW w:w="4315" w:type="dxa"/>
          </w:tcPr>
          <w:p w14:paraId="2EEB43A2" w14:textId="6D6C04B1" w:rsidR="000C340F" w:rsidRDefault="000C340F" w:rsidP="000C340F">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pPr>
            <w:r>
              <w:t>The ‘pit lake’ water level reaches equilibrium between -70 m</w:t>
            </w:r>
            <w:r w:rsidR="004E61FD">
              <w:t xml:space="preserve"> </w:t>
            </w:r>
            <w:r>
              <w:t>AHD and -30 m</w:t>
            </w:r>
            <w:r w:rsidR="004E61FD">
              <w:t xml:space="preserve"> </w:t>
            </w:r>
            <w:r>
              <w:t xml:space="preserve">AHD relatively quickly and generally varies between these levels throughout the simulation. The average stored volume is predicted to be 1,500 ML. The maximum </w:t>
            </w:r>
            <w:r>
              <w:lastRenderedPageBreak/>
              <w:t>modelled water level is ~ 175 m below full supply level.</w:t>
            </w:r>
          </w:p>
        </w:tc>
        <w:tc>
          <w:tcPr>
            <w:tcW w:w="3006" w:type="dxa"/>
          </w:tcPr>
          <w:p w14:paraId="128E7572" w14:textId="5705B24C" w:rsidR="000C340F" w:rsidRDefault="000C340F" w:rsidP="00603454">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0C340F">
              <w:lastRenderedPageBreak/>
              <w:t>Salt accumulat</w:t>
            </w:r>
            <w:r>
              <w:t>es</w:t>
            </w:r>
            <w:r w:rsidRPr="000C340F">
              <w:t xml:space="preserve"> </w:t>
            </w:r>
            <w:r>
              <w:t xml:space="preserve">in the void </w:t>
            </w:r>
            <w:r w:rsidRPr="000C340F">
              <w:t xml:space="preserve">at an average rate of around </w:t>
            </w:r>
            <w:r>
              <w:t>155</w:t>
            </w:r>
            <w:r w:rsidRPr="000C340F">
              <w:t xml:space="preserve"> tonnes</w:t>
            </w:r>
            <w:r>
              <w:t>/year, becoming</w:t>
            </w:r>
            <w:r w:rsidRPr="000C340F">
              <w:t xml:space="preserve"> hyper-saline within </w:t>
            </w:r>
            <w:r>
              <w:t>approximately</w:t>
            </w:r>
            <w:r w:rsidRPr="000C340F">
              <w:t xml:space="preserve"> 100 years</w:t>
            </w:r>
            <w:r>
              <w:t>.</w:t>
            </w:r>
          </w:p>
        </w:tc>
      </w:tr>
    </w:tbl>
    <w:p w14:paraId="29E05F32" w14:textId="75B3723C" w:rsidR="006A572C" w:rsidRDefault="007D6E4C" w:rsidP="000C340F">
      <w:pPr>
        <w:pStyle w:val="BodyText"/>
      </w:pPr>
      <w:r>
        <w:t xml:space="preserve">Modelling of the </w:t>
      </w:r>
      <w:r w:rsidR="000C340F">
        <w:t>final void</w:t>
      </w:r>
      <w:r>
        <w:t>s</w:t>
      </w:r>
      <w:r w:rsidR="000C340F">
        <w:t xml:space="preserve"> </w:t>
      </w:r>
      <w:r>
        <w:t>i</w:t>
      </w:r>
      <w:r w:rsidR="000C340F">
        <w:t>ndicate</w:t>
      </w:r>
      <w:r w:rsidR="004E61FD">
        <w:t>d</w:t>
      </w:r>
      <w:r w:rsidR="000C340F">
        <w:t xml:space="preserve"> that th</w:t>
      </w:r>
      <w:r w:rsidR="003F7144">
        <w:t>e</w:t>
      </w:r>
      <w:r w:rsidR="000C340F">
        <w:t xml:space="preserve"> </w:t>
      </w:r>
      <w:r w:rsidR="004E61FD">
        <w:t xml:space="preserve">‘pit lake’ </w:t>
      </w:r>
      <w:r w:rsidR="000C340F">
        <w:t xml:space="preserve">water levels </w:t>
      </w:r>
      <w:r>
        <w:t xml:space="preserve">are expected to </w:t>
      </w:r>
      <w:r w:rsidR="004E61FD">
        <w:t>be</w:t>
      </w:r>
      <w:r w:rsidR="000C340F">
        <w:t xml:space="preserve"> well below the full supply levels for each void and </w:t>
      </w:r>
      <w:r w:rsidR="003F7144">
        <w:t xml:space="preserve">that </w:t>
      </w:r>
      <w:r w:rsidR="000C340F">
        <w:t>the</w:t>
      </w:r>
      <w:r w:rsidR="003F7144">
        <w:t xml:space="preserve"> features </w:t>
      </w:r>
      <w:r w:rsidR="000C340F">
        <w:t>will remain as long-term groundwater sinks in perpetuity</w:t>
      </w:r>
      <w:r w:rsidR="004E61FD">
        <w:t xml:space="preserve"> (</w:t>
      </w:r>
      <w:r w:rsidR="00A50ED8">
        <w:t xml:space="preserve">i.e. </w:t>
      </w:r>
      <w:r w:rsidR="004E61FD" w:rsidRPr="00A50ED8">
        <w:rPr>
          <w:i/>
          <w:iCs/>
        </w:rPr>
        <w:t>terminal sink flow regime</w:t>
      </w:r>
      <w:r w:rsidR="004E61FD">
        <w:t>, S</w:t>
      </w:r>
      <w:r w:rsidR="00A50ED8">
        <w:t>e</w:t>
      </w:r>
      <w:r w:rsidR="004E61FD">
        <w:t>c</w:t>
      </w:r>
      <w:r w:rsidR="00A50ED8">
        <w:t xml:space="preserve">tion </w:t>
      </w:r>
      <w:r w:rsidR="00A50ED8">
        <w:fldChar w:fldCharType="begin"/>
      </w:r>
      <w:r w:rsidR="00A50ED8">
        <w:instrText xml:space="preserve"> REF _Ref55982230 \n \h </w:instrText>
      </w:r>
      <w:r w:rsidR="00A50ED8">
        <w:fldChar w:fldCharType="separate"/>
      </w:r>
      <w:r w:rsidR="00937ADD">
        <w:t>3.2.1</w:t>
      </w:r>
      <w:r w:rsidR="00A50ED8">
        <w:fldChar w:fldCharType="end"/>
      </w:r>
      <w:r w:rsidR="004E61FD">
        <w:t>),</w:t>
      </w:r>
      <w:r w:rsidR="000C340F">
        <w:t xml:space="preserve"> with no </w:t>
      </w:r>
      <w:r w:rsidR="00A50ED8">
        <w:t>potenti</w:t>
      </w:r>
      <w:r>
        <w:t xml:space="preserve">al for </w:t>
      </w:r>
      <w:r w:rsidR="00A50ED8">
        <w:t>migration</w:t>
      </w:r>
      <w:r w:rsidR="000C340F">
        <w:t xml:space="preserve"> of contained water into the </w:t>
      </w:r>
      <w:r w:rsidR="004E61FD">
        <w:t xml:space="preserve">surrounding </w:t>
      </w:r>
      <w:r w:rsidR="000C340F">
        <w:t>Rangal Coal Measures or Fort Cooper Coal Measures</w:t>
      </w:r>
      <w:r>
        <w:t xml:space="preserve"> (</w:t>
      </w:r>
      <w:r>
        <w:fldChar w:fldCharType="begin"/>
      </w:r>
      <w:r>
        <w:instrText xml:space="preserve"> REF _Ref56431414 \h </w:instrText>
      </w:r>
      <w:r>
        <w:fldChar w:fldCharType="separate"/>
      </w:r>
      <w:r w:rsidR="00937ADD">
        <w:t xml:space="preserve">Table </w:t>
      </w:r>
      <w:r w:rsidR="00937ADD">
        <w:rPr>
          <w:noProof/>
        </w:rPr>
        <w:t>5</w:t>
      </w:r>
      <w:r w:rsidR="00937ADD">
        <w:noBreakHyphen/>
      </w:r>
      <w:r w:rsidR="00937ADD">
        <w:rPr>
          <w:noProof/>
        </w:rPr>
        <w:t>5</w:t>
      </w:r>
      <w:r>
        <w:fldChar w:fldCharType="end"/>
      </w:r>
      <w:r>
        <w:t>)</w:t>
      </w:r>
      <w:r w:rsidR="000C340F">
        <w:t xml:space="preserve">. </w:t>
      </w:r>
      <w:r w:rsidR="006A572C" w:rsidRPr="006A572C">
        <w:t>The final voi</w:t>
      </w:r>
      <w:r w:rsidR="006A572C">
        <w:t>ds</w:t>
      </w:r>
      <w:r w:rsidR="006A572C" w:rsidRPr="006A572C">
        <w:t xml:space="preserve"> are not predicted to spill under any of the simulated climatic sequences</w:t>
      </w:r>
      <w:r w:rsidR="006A572C">
        <w:t>.</w:t>
      </w:r>
    </w:p>
    <w:p w14:paraId="02F21E6E" w14:textId="018908A9" w:rsidR="00A50ED8" w:rsidRDefault="00A50ED8" w:rsidP="000C340F">
      <w:pPr>
        <w:pStyle w:val="BodyText"/>
      </w:pPr>
      <w:r>
        <w:t xml:space="preserve">The predicted minor groundwater inflows relative to other inputs (i.e. rainfall) means that the water level response in the </w:t>
      </w:r>
      <w:r w:rsidR="007D6E4C">
        <w:t xml:space="preserve">equilibrated final </w:t>
      </w:r>
      <w:r>
        <w:t xml:space="preserve">voids </w:t>
      </w:r>
      <w:r w:rsidR="007D6E4C">
        <w:t>are likely to be</w:t>
      </w:r>
      <w:r>
        <w:t xml:space="preserve"> largely driven by climatic processes. </w:t>
      </w:r>
      <w:r w:rsidR="006A572C" w:rsidRPr="006A572C">
        <w:t xml:space="preserve">The modelling also </w:t>
      </w:r>
      <w:r w:rsidR="007D6E4C">
        <w:t>predicted</w:t>
      </w:r>
      <w:r w:rsidR="006A572C" w:rsidRPr="006A572C">
        <w:t xml:space="preserve"> that there would be no interaction between the long-term </w:t>
      </w:r>
      <w:r w:rsidR="007D6E4C">
        <w:t xml:space="preserve">‘pit lake’ </w:t>
      </w:r>
      <w:r w:rsidR="006A572C" w:rsidRPr="006A572C">
        <w:t>water levels within the northern and southern void</w:t>
      </w:r>
      <w:r w:rsidR="006A572C">
        <w:t>.</w:t>
      </w:r>
    </w:p>
    <w:p w14:paraId="68AE7650" w14:textId="2A002BFC" w:rsidR="006A572C" w:rsidRDefault="006A572C" w:rsidP="006A572C">
      <w:pPr>
        <w:pStyle w:val="BodyText"/>
      </w:pPr>
      <w:r>
        <w:t>With reference to potential flood risk, the northern</w:t>
      </w:r>
      <w:r w:rsidRPr="00BD0D66">
        <w:t xml:space="preserve"> final void is located well beyond the current floodplain of Roper Creek. The southern final void is located partially on the pre-mine floodplain of Roper </w:t>
      </w:r>
      <w:r w:rsidRPr="000855F2">
        <w:t>Creek</w:t>
      </w:r>
      <w:r w:rsidR="004C52BE">
        <w:t>;</w:t>
      </w:r>
      <w:r w:rsidRPr="000855F2">
        <w:t xml:space="preserve"> however</w:t>
      </w:r>
      <w:r w:rsidR="004C52BE">
        <w:t>,</w:t>
      </w:r>
      <w:r w:rsidRPr="000855F2">
        <w:t xml:space="preserve"> as described Section </w:t>
      </w:r>
      <w:r w:rsidRPr="000855F2">
        <w:fldChar w:fldCharType="begin"/>
      </w:r>
      <w:r w:rsidRPr="000855F2">
        <w:instrText xml:space="preserve"> REF _Ref56437794 \n \h </w:instrText>
      </w:r>
      <w:r w:rsidR="000855F2">
        <w:instrText xml:space="preserve"> \* MERGEFORMAT </w:instrText>
      </w:r>
      <w:r w:rsidRPr="000855F2">
        <w:fldChar w:fldCharType="separate"/>
      </w:r>
      <w:r w:rsidR="00937ADD">
        <w:t>5.2.3</w:t>
      </w:r>
      <w:r w:rsidRPr="000855F2">
        <w:fldChar w:fldCharType="end"/>
      </w:r>
      <w:r w:rsidRPr="000855F2">
        <w:t>, at the completion of mining the operational flood protection levee in the south would be incorporated into the final landform to provide flood immunity up to the PMF level from Roper Creek.</w:t>
      </w:r>
      <w:r w:rsidRPr="006A572C">
        <w:t xml:space="preserve"> </w:t>
      </w:r>
    </w:p>
    <w:p w14:paraId="4CADEC14" w14:textId="29A37CCC" w:rsidR="000C340F" w:rsidRDefault="006A572C" w:rsidP="00B44160">
      <w:pPr>
        <w:pStyle w:val="BodyText"/>
      </w:pPr>
      <w:r>
        <w:t>As there is no mechanism to lose salt within the closed void system</w:t>
      </w:r>
      <w:r w:rsidR="007D6E4C">
        <w:t>s</w:t>
      </w:r>
      <w:r>
        <w:t xml:space="preserve">, evaporation will cause the voids to continually accumulate salt over time, </w:t>
      </w:r>
      <w:r w:rsidR="007D6E4C">
        <w:t xml:space="preserve">with modelling indicating potentially </w:t>
      </w:r>
      <w:r>
        <w:t xml:space="preserve">hypersaline </w:t>
      </w:r>
      <w:r w:rsidR="007D6E4C">
        <w:t xml:space="preserve">conditions </w:t>
      </w:r>
      <w:r>
        <w:t>in approximately 100 years post-mine closure</w:t>
      </w:r>
      <w:r w:rsidR="007D6E4C">
        <w:t xml:space="preserve"> (</w:t>
      </w:r>
      <w:r w:rsidR="007D6E4C">
        <w:fldChar w:fldCharType="begin"/>
      </w:r>
      <w:r w:rsidR="007D6E4C">
        <w:instrText xml:space="preserve"> REF _Ref56431414 \h </w:instrText>
      </w:r>
      <w:r w:rsidR="007D6E4C">
        <w:fldChar w:fldCharType="separate"/>
      </w:r>
      <w:r w:rsidR="00937ADD">
        <w:t xml:space="preserve">Table </w:t>
      </w:r>
      <w:r w:rsidR="00937ADD">
        <w:rPr>
          <w:noProof/>
        </w:rPr>
        <w:t>5</w:t>
      </w:r>
      <w:r w:rsidR="00937ADD">
        <w:noBreakHyphen/>
      </w:r>
      <w:r w:rsidR="00937ADD">
        <w:rPr>
          <w:noProof/>
        </w:rPr>
        <w:t>5</w:t>
      </w:r>
      <w:r w:rsidR="007D6E4C">
        <w:fldChar w:fldCharType="end"/>
      </w:r>
      <w:r w:rsidR="007D6E4C">
        <w:t>)</w:t>
      </w:r>
      <w:r>
        <w:t>.</w:t>
      </w:r>
    </w:p>
    <w:p w14:paraId="3F5B5CF7" w14:textId="20B2F8A4" w:rsidR="00CB1E6D" w:rsidRDefault="00CB1E6D" w:rsidP="00CB1E6D">
      <w:pPr>
        <w:pStyle w:val="Heading3"/>
      </w:pPr>
      <w:bookmarkStart w:id="211" w:name="_Toc87278355"/>
      <w:r>
        <w:t>Potential impacts</w:t>
      </w:r>
      <w:bookmarkEnd w:id="211"/>
    </w:p>
    <w:p w14:paraId="2A72226B" w14:textId="6020F133" w:rsidR="007D6E4C" w:rsidRDefault="007D6E4C" w:rsidP="007D6E4C">
      <w:pPr>
        <w:pStyle w:val="BodyText"/>
      </w:pPr>
      <w:bookmarkStart w:id="212" w:name="_Hlk58932767"/>
      <w:r>
        <w:t xml:space="preserve">The </w:t>
      </w:r>
      <w:r w:rsidRPr="007D6E4C">
        <w:t>EAR</w:t>
      </w:r>
      <w:r>
        <w:t xml:space="preserve"> </w:t>
      </w:r>
      <w:r w:rsidRPr="007D6E4C">
        <w:t>(M</w:t>
      </w:r>
      <w:r w:rsidR="000C0842">
        <w:t>CPL</w:t>
      </w:r>
      <w:r w:rsidRPr="007D6E4C">
        <w:t>, 2018</w:t>
      </w:r>
      <w:r w:rsidR="005D5CCC">
        <w:t>a</w:t>
      </w:r>
      <w:r>
        <w:t>) made the following conclusions regarding potential water quantity and quality impacts as a consequence of the final voids remaining in the landscape following mining cessation</w:t>
      </w:r>
      <w:r w:rsidR="004C52BE">
        <w:t>.</w:t>
      </w:r>
      <w:r>
        <w:t xml:space="preserve"> </w:t>
      </w:r>
    </w:p>
    <w:bookmarkEnd w:id="212"/>
    <w:p w14:paraId="65558E42" w14:textId="3333E1BC" w:rsidR="007D6E4C" w:rsidRDefault="007D6E4C" w:rsidP="001628AA">
      <w:pPr>
        <w:pStyle w:val="BodyText"/>
        <w:numPr>
          <w:ilvl w:val="0"/>
          <w:numId w:val="27"/>
        </w:numPr>
        <w:spacing w:before="80" w:after="80"/>
      </w:pPr>
      <w:r w:rsidRPr="007D6E4C">
        <w:t xml:space="preserve">The increasing salinity </w:t>
      </w:r>
      <w:r w:rsidR="001150C9">
        <w:t>(</w:t>
      </w:r>
      <w:r w:rsidR="003F7144">
        <w:t xml:space="preserve">and </w:t>
      </w:r>
      <w:r w:rsidR="001150C9">
        <w:t xml:space="preserve">AMD generated from coal </w:t>
      </w:r>
      <w:r w:rsidR="001150C9" w:rsidRPr="001150C9">
        <w:t xml:space="preserve">rejects placed with overburden </w:t>
      </w:r>
      <w:r w:rsidR="001150C9">
        <w:t>within the open</w:t>
      </w:r>
      <w:r w:rsidR="004C52BE">
        <w:t>-</w:t>
      </w:r>
      <w:r w:rsidR="001150C9">
        <w:t xml:space="preserve">cuts) </w:t>
      </w:r>
      <w:r w:rsidRPr="007D6E4C">
        <w:t xml:space="preserve">would not pose a risk to </w:t>
      </w:r>
      <w:r w:rsidR="001150C9">
        <w:t xml:space="preserve">neighbouring </w:t>
      </w:r>
      <w:r w:rsidRPr="007D6E4C">
        <w:t>aquifers and surface water features as the final voids would remain a permanent sink.</w:t>
      </w:r>
    </w:p>
    <w:p w14:paraId="19CD0C99" w14:textId="70771BAD" w:rsidR="007D6E4C" w:rsidRDefault="007D6E4C" w:rsidP="001628AA">
      <w:pPr>
        <w:pStyle w:val="BodyText"/>
        <w:numPr>
          <w:ilvl w:val="0"/>
          <w:numId w:val="27"/>
        </w:numPr>
        <w:spacing w:before="80" w:after="80"/>
      </w:pPr>
      <w:r w:rsidRPr="007D6E4C">
        <w:t xml:space="preserve">No </w:t>
      </w:r>
      <w:r>
        <w:t xml:space="preserve">existing </w:t>
      </w:r>
      <w:r w:rsidRPr="007D6E4C">
        <w:t xml:space="preserve">landholder water supply bores are located within the predicted </w:t>
      </w:r>
      <w:r>
        <w:t xml:space="preserve">groundwater </w:t>
      </w:r>
      <w:r w:rsidRPr="007D6E4C">
        <w:t>drawdown</w:t>
      </w:r>
      <w:r>
        <w:t xml:space="preserve"> or </w:t>
      </w:r>
      <w:r w:rsidRPr="007D6E4C">
        <w:t xml:space="preserve">depressurisation extents attributable to </w:t>
      </w:r>
      <w:r>
        <w:t xml:space="preserve">dewatering of the coal measures during operation of the Project. </w:t>
      </w:r>
      <w:r w:rsidR="001150C9">
        <w:t xml:space="preserve">Post-mining, the extent and magnitude of groundwater drawdown or depressurisations impacts are expected to reduce. </w:t>
      </w:r>
    </w:p>
    <w:p w14:paraId="246DC186" w14:textId="2009887D" w:rsidR="001150C9" w:rsidRDefault="00A33331" w:rsidP="001628AA">
      <w:pPr>
        <w:pStyle w:val="BodyText"/>
        <w:numPr>
          <w:ilvl w:val="0"/>
          <w:numId w:val="27"/>
        </w:numPr>
        <w:spacing w:before="80" w:after="80"/>
      </w:pPr>
      <w:r>
        <w:t xml:space="preserve">Roper Creek is conceptualised as an ephemeral ‘losing’ stream with </w:t>
      </w:r>
      <w:r w:rsidRPr="00A33331">
        <w:t>limited to nil potential for a baseflow contribution from the Tertiary aquifer</w:t>
      </w:r>
      <w:r>
        <w:t xml:space="preserve">. </w:t>
      </w:r>
      <w:r w:rsidRPr="00683D42">
        <w:rPr>
          <w:i/>
          <w:iCs/>
        </w:rPr>
        <w:t xml:space="preserve">It is not clear whether the EAR assessed the potential for seepage losses from Roper Creek </w:t>
      </w:r>
      <w:r w:rsidR="00B515A8" w:rsidRPr="00683D42">
        <w:rPr>
          <w:i/>
          <w:iCs/>
        </w:rPr>
        <w:t xml:space="preserve">(or other surface water features) </w:t>
      </w:r>
      <w:r w:rsidRPr="00683D42">
        <w:rPr>
          <w:i/>
          <w:iCs/>
        </w:rPr>
        <w:t>as a consequence of the Project (both during operation and post-mining).</w:t>
      </w:r>
    </w:p>
    <w:p w14:paraId="1A74448A" w14:textId="463EAE82" w:rsidR="001150C9" w:rsidRDefault="001150C9" w:rsidP="001628AA">
      <w:pPr>
        <w:pStyle w:val="BodyText"/>
        <w:numPr>
          <w:ilvl w:val="0"/>
          <w:numId w:val="27"/>
        </w:numPr>
        <w:spacing w:before="80" w:after="80"/>
      </w:pPr>
      <w:r>
        <w:t xml:space="preserve">Operation of the </w:t>
      </w:r>
      <w:r w:rsidRPr="001150C9">
        <w:t xml:space="preserve">Project is not predicted to impact any aquatic or terrestrial GDEs </w:t>
      </w:r>
      <w:r>
        <w:t>on the basis that such</w:t>
      </w:r>
      <w:r w:rsidRPr="001150C9">
        <w:t xml:space="preserve"> GDEs </w:t>
      </w:r>
      <w:r>
        <w:t xml:space="preserve">were </w:t>
      </w:r>
      <w:r w:rsidRPr="001150C9">
        <w:t xml:space="preserve">assessed as being unlikely to occur within and surrounding the </w:t>
      </w:r>
      <w:r>
        <w:t xml:space="preserve">mine site. </w:t>
      </w:r>
    </w:p>
    <w:p w14:paraId="7956C173" w14:textId="3CFFFD45" w:rsidR="00D150ED" w:rsidRDefault="00AB2F1B" w:rsidP="00CB1E6D">
      <w:pPr>
        <w:pStyle w:val="BodyText"/>
      </w:pPr>
      <w:r w:rsidRPr="00AB2F1B">
        <w:t>Potential impacts and liabilities of final voids is to be considered within the Plan of Operations. Final assessment of rehabilitated landforms and vegetation will be undertaken at the practical completion of the works specified in the Plan of Operations. This assessment will provide a summary of results for each of success criteria (</w:t>
      </w:r>
      <w:r>
        <w:rPr>
          <w:highlight w:val="yellow"/>
        </w:rPr>
        <w:fldChar w:fldCharType="begin"/>
      </w:r>
      <w:r>
        <w:rPr>
          <w:highlight w:val="yellow"/>
        </w:rPr>
        <w:instrText xml:space="preserve"> REF _Ref57313793 \h </w:instrText>
      </w:r>
      <w:r>
        <w:rPr>
          <w:highlight w:val="yellow"/>
        </w:rPr>
      </w:r>
      <w:r>
        <w:rPr>
          <w:highlight w:val="yellow"/>
        </w:rPr>
        <w:fldChar w:fldCharType="separate"/>
      </w:r>
      <w:r w:rsidR="00937ADD">
        <w:t xml:space="preserve">Table </w:t>
      </w:r>
      <w:r w:rsidR="00937ADD">
        <w:rPr>
          <w:noProof/>
        </w:rPr>
        <w:t>5</w:t>
      </w:r>
      <w:r w:rsidR="00937ADD">
        <w:noBreakHyphen/>
      </w:r>
      <w:r w:rsidR="00937ADD">
        <w:rPr>
          <w:noProof/>
        </w:rPr>
        <w:t>7</w:t>
      </w:r>
      <w:r>
        <w:rPr>
          <w:highlight w:val="yellow"/>
        </w:rPr>
        <w:fldChar w:fldCharType="end"/>
      </w:r>
      <w:r w:rsidRPr="00AB2F1B">
        <w:t>) and will provide a basis for making arrangements for return of lease</w:t>
      </w:r>
      <w:r>
        <w:t>.</w:t>
      </w:r>
    </w:p>
    <w:p w14:paraId="0EC0C81B" w14:textId="6867AAB5" w:rsidR="00EF1DF6" w:rsidRPr="00FA1B52" w:rsidRDefault="00EF1DF6" w:rsidP="00EF1DF6">
      <w:pPr>
        <w:pStyle w:val="BodyText"/>
      </w:pPr>
      <w:r>
        <w:t>The IESC provided advice on the Project (IESC, 2018</w:t>
      </w:r>
      <w:r w:rsidR="005B767A">
        <w:t>b</w:t>
      </w:r>
      <w:r>
        <w:t xml:space="preserve">) in response to a request made by DoEE. The following key potential impacts associated with the Project’s residual voids were </w:t>
      </w:r>
      <w:r w:rsidRPr="00FA1B52">
        <w:t>identified by the IESC (2018</w:t>
      </w:r>
      <w:r w:rsidR="005B767A">
        <w:t>b</w:t>
      </w:r>
      <w:r w:rsidRPr="00FA1B52">
        <w:t>)</w:t>
      </w:r>
      <w:r w:rsidR="004C52BE">
        <w:t>.</w:t>
      </w:r>
    </w:p>
    <w:p w14:paraId="5EB96F0F" w14:textId="77777777" w:rsidR="005B767A" w:rsidRDefault="005B767A" w:rsidP="001628AA">
      <w:pPr>
        <w:pStyle w:val="BodyText"/>
        <w:numPr>
          <w:ilvl w:val="0"/>
          <w:numId w:val="85"/>
        </w:numPr>
        <w:spacing w:before="80" w:after="80"/>
      </w:pPr>
      <w:bookmarkStart w:id="213" w:name="_Hlk59548878"/>
      <w:r>
        <w:lastRenderedPageBreak/>
        <w:t>G</w:t>
      </w:r>
      <w:r w:rsidR="008317FB">
        <w:t>roundwater interaction/leakage from the final voids due to probable fracturing associated</w:t>
      </w:r>
      <w:r w:rsidR="00EF1DF6">
        <w:t xml:space="preserve"> </w:t>
      </w:r>
      <w:r w:rsidR="008317FB">
        <w:t>with the</w:t>
      </w:r>
      <w:r w:rsidR="00EF1DF6">
        <w:t xml:space="preserve"> </w:t>
      </w:r>
      <w:r w:rsidR="008317FB">
        <w:t>Jellinbah Fault that lies close to the eastern boundary of both voids</w:t>
      </w:r>
      <w:r>
        <w:t>.</w:t>
      </w:r>
    </w:p>
    <w:p w14:paraId="6813AA3C" w14:textId="09F9A027" w:rsidR="008317FB" w:rsidRDefault="005B767A" w:rsidP="001628AA">
      <w:pPr>
        <w:pStyle w:val="BodyText"/>
        <w:numPr>
          <w:ilvl w:val="0"/>
          <w:numId w:val="85"/>
        </w:numPr>
        <w:spacing w:before="80" w:after="80"/>
      </w:pPr>
      <w:r>
        <w:t>C</w:t>
      </w:r>
      <w:r w:rsidR="008317FB">
        <w:t>hanges to water quantity and quality within the floodplain from the two final voids as a result</w:t>
      </w:r>
      <w:r w:rsidR="00EF1DF6">
        <w:t xml:space="preserve"> </w:t>
      </w:r>
      <w:r w:rsidR="008317FB">
        <w:t>of potential overtopping and leakage into or from groundwater. There is also a risk of density</w:t>
      </w:r>
      <w:r w:rsidR="00EF1DF6">
        <w:t xml:space="preserve"> </w:t>
      </w:r>
      <w:r w:rsidR="008317FB">
        <w:t>driven groundwater flow arising from salinity build-up in the final voids</w:t>
      </w:r>
      <w:r>
        <w:t>.</w:t>
      </w:r>
    </w:p>
    <w:p w14:paraId="5FBEAD33" w14:textId="7E22697A" w:rsidR="00CB1E6D" w:rsidRDefault="00CB1E6D" w:rsidP="00CB1E6D">
      <w:pPr>
        <w:pStyle w:val="Heading3"/>
      </w:pPr>
      <w:bookmarkStart w:id="214" w:name="_Ref59181239"/>
      <w:bookmarkStart w:id="215" w:name="_Toc87278356"/>
      <w:bookmarkEnd w:id="213"/>
      <w:r>
        <w:t>Rehabilitation planning</w:t>
      </w:r>
      <w:bookmarkEnd w:id="214"/>
      <w:bookmarkEnd w:id="215"/>
    </w:p>
    <w:p w14:paraId="09357A57" w14:textId="0E1EB48B" w:rsidR="00AB2F1B" w:rsidRDefault="00AB2F1B" w:rsidP="00AB2F1B">
      <w:pPr>
        <w:pStyle w:val="BodyText"/>
      </w:pPr>
      <w:r w:rsidRPr="00AB2F1B">
        <w:t>A description of rehabilitation planning for the Project is described within the EAR (MCPL</w:t>
      </w:r>
      <w:r>
        <w:t>,</w:t>
      </w:r>
      <w:r w:rsidRPr="00AB2F1B">
        <w:t xml:space="preserve"> 2018</w:t>
      </w:r>
      <w:r w:rsidR="005D5CCC">
        <w:t>a</w:t>
      </w:r>
      <w:r w:rsidRPr="00AB2F1B">
        <w:t>), the Stage 2 Rehabilitation Management Plan (MCPL</w:t>
      </w:r>
      <w:r>
        <w:t>,</w:t>
      </w:r>
      <w:r w:rsidRPr="00AB2F1B">
        <w:t xml:space="preserve"> 2012) and the Middlemount Coal Rehabilitation Management Plan Addendum (MCPL</w:t>
      </w:r>
      <w:r>
        <w:t>,</w:t>
      </w:r>
      <w:r w:rsidRPr="00AB2F1B">
        <w:t xml:space="preserve"> 2018</w:t>
      </w:r>
      <w:r w:rsidR="005D5CCC">
        <w:t>b</w:t>
      </w:r>
      <w:r w:rsidRPr="00AB2F1B">
        <w:t>). The addendum has been developed to include the western extension area. These documents are summarised in the sections below, particularly where they apply to rehabilitation of final voids.</w:t>
      </w:r>
    </w:p>
    <w:p w14:paraId="16675FC6" w14:textId="77777777" w:rsidR="00AB2F1B" w:rsidRDefault="00AB2F1B" w:rsidP="00AB2F1B">
      <w:pPr>
        <w:pStyle w:val="Heading4"/>
      </w:pPr>
      <w:r>
        <w:t>Rehabilitation management and planning</w:t>
      </w:r>
    </w:p>
    <w:p w14:paraId="16D1FCA2" w14:textId="77777777" w:rsidR="00AB2F1B" w:rsidRDefault="00AB2F1B" w:rsidP="00AB2F1B">
      <w:pPr>
        <w:pStyle w:val="BodyText"/>
      </w:pPr>
      <w:r>
        <w:t>Rehabilitation goals at Middlemount Coal are consistent with Queensland guidelines, Rehabilitation Requirements for Mining Resource Activities (DES, 2014). These goals require post-mining landforms to be:</w:t>
      </w:r>
    </w:p>
    <w:p w14:paraId="75C5CDB8" w14:textId="42CFC200" w:rsidR="00AB2F1B" w:rsidRDefault="004C52BE" w:rsidP="001628AA">
      <w:pPr>
        <w:pStyle w:val="BodyText"/>
        <w:numPr>
          <w:ilvl w:val="0"/>
          <w:numId w:val="51"/>
        </w:numPr>
        <w:spacing w:before="80" w:after="80"/>
      </w:pPr>
      <w:r>
        <w:t>s</w:t>
      </w:r>
      <w:r w:rsidR="00AB2F1B">
        <w:t>afe to humans and wildlife</w:t>
      </w:r>
      <w:r>
        <w:t>;</w:t>
      </w:r>
    </w:p>
    <w:p w14:paraId="47D4099C" w14:textId="699E50D9" w:rsidR="00AB2F1B" w:rsidRDefault="004C52BE" w:rsidP="001628AA">
      <w:pPr>
        <w:pStyle w:val="BodyText"/>
        <w:numPr>
          <w:ilvl w:val="0"/>
          <w:numId w:val="51"/>
        </w:numPr>
        <w:spacing w:before="80" w:after="80"/>
      </w:pPr>
      <w:r>
        <w:t>n</w:t>
      </w:r>
      <w:r w:rsidR="00AB2F1B">
        <w:t>on-polluting</w:t>
      </w:r>
      <w:r>
        <w:t>;</w:t>
      </w:r>
      <w:r w:rsidR="00AB2F1B">
        <w:t xml:space="preserve"> </w:t>
      </w:r>
    </w:p>
    <w:p w14:paraId="47548587" w14:textId="38902484" w:rsidR="00AB2F1B" w:rsidRDefault="004C52BE" w:rsidP="001628AA">
      <w:pPr>
        <w:pStyle w:val="BodyText"/>
        <w:numPr>
          <w:ilvl w:val="0"/>
          <w:numId w:val="51"/>
        </w:numPr>
        <w:spacing w:before="80" w:after="80"/>
      </w:pPr>
      <w:r>
        <w:t>s</w:t>
      </w:r>
      <w:r w:rsidR="00AB2F1B">
        <w:t>table</w:t>
      </w:r>
      <w:r>
        <w:t>; and</w:t>
      </w:r>
    </w:p>
    <w:p w14:paraId="04AC70E8" w14:textId="0CD59EB8" w:rsidR="00AB2F1B" w:rsidRDefault="004C52BE" w:rsidP="001628AA">
      <w:pPr>
        <w:pStyle w:val="BodyText"/>
        <w:numPr>
          <w:ilvl w:val="0"/>
          <w:numId w:val="51"/>
        </w:numPr>
        <w:spacing w:before="80" w:after="80"/>
      </w:pPr>
      <w:r>
        <w:t>a</w:t>
      </w:r>
      <w:r w:rsidR="00AB2F1B">
        <w:t xml:space="preserve">ble to sustain an agreed post-mining land use. </w:t>
      </w:r>
    </w:p>
    <w:p w14:paraId="66742848" w14:textId="77777777" w:rsidR="00AB2F1B" w:rsidRDefault="00AB2F1B" w:rsidP="00AB2F1B">
      <w:pPr>
        <w:pStyle w:val="BodyText"/>
      </w:pPr>
      <w:r>
        <w:t>Final voids are one of eight domains that are to be rehabilitated. For each of these domains, rehabilitation management units (RMU) have been identified which reflect the differing rehabilitation works required (described below). The rehabilitation works differ based on soil preparation, successional plant communities and timing of activities.</w:t>
      </w:r>
    </w:p>
    <w:p w14:paraId="38F12BD1" w14:textId="27FAAE57" w:rsidR="00AB2F1B" w:rsidRDefault="00AB2F1B" w:rsidP="001339E3">
      <w:pPr>
        <w:pStyle w:val="BodyText"/>
      </w:pPr>
      <w:r>
        <w:t>Progressive rehabilitation will occur within the rehabilitation domains in order to achieve the proposed post-mine land uses. Whilst rehabilitation works have been planned for the final voids, there is currently no intended final land use for these areas, and they are to remain as voids (MCPL, 2018</w:t>
      </w:r>
      <w:r w:rsidR="005D5CCC">
        <w:t>b</w:t>
      </w:r>
      <w:r>
        <w:t>).</w:t>
      </w:r>
      <w:r w:rsidR="001339E3">
        <w:t xml:space="preserve"> </w:t>
      </w:r>
      <w:r w:rsidR="003F7144">
        <w:t xml:space="preserve">MCPL </w:t>
      </w:r>
      <w:r w:rsidRPr="00AB2F1B">
        <w:t>ha</w:t>
      </w:r>
      <w:r w:rsidR="003F7144">
        <w:t>s</w:t>
      </w:r>
      <w:r w:rsidRPr="00AB2F1B">
        <w:t xml:space="preserve"> assessed final voids as a single RMU, broken down into three sections</w:t>
      </w:r>
      <w:r>
        <w:t xml:space="preserve">; </w:t>
      </w:r>
      <w:r w:rsidRPr="00AB2F1B">
        <w:t xml:space="preserve">M, N &amp; O. Rehabilitation management intended for </w:t>
      </w:r>
      <w:r>
        <w:t xml:space="preserve">two </w:t>
      </w:r>
      <w:r w:rsidRPr="00AB2F1B">
        <w:t>final voids</w:t>
      </w:r>
      <w:r>
        <w:t xml:space="preserve"> within the western extension area </w:t>
      </w:r>
      <w:r w:rsidRPr="00AB2F1B">
        <w:t xml:space="preserve">are described in </w:t>
      </w:r>
      <w:r>
        <w:rPr>
          <w:b/>
        </w:rPr>
        <w:fldChar w:fldCharType="begin"/>
      </w:r>
      <w:r>
        <w:instrText xml:space="preserve"> REF _Ref57313558 \h </w:instrText>
      </w:r>
      <w:r>
        <w:rPr>
          <w:b/>
        </w:rPr>
      </w:r>
      <w:r>
        <w:rPr>
          <w:b/>
        </w:rPr>
        <w:fldChar w:fldCharType="separate"/>
      </w:r>
      <w:r w:rsidR="00937ADD">
        <w:t xml:space="preserve">Table </w:t>
      </w:r>
      <w:r w:rsidR="00937ADD">
        <w:rPr>
          <w:noProof/>
        </w:rPr>
        <w:t>5</w:t>
      </w:r>
      <w:r w:rsidR="00937ADD">
        <w:noBreakHyphen/>
      </w:r>
      <w:r w:rsidR="00937ADD">
        <w:rPr>
          <w:noProof/>
        </w:rPr>
        <w:t>6</w:t>
      </w:r>
      <w:r>
        <w:rPr>
          <w:b/>
        </w:rPr>
        <w:fldChar w:fldCharType="end"/>
      </w:r>
      <w:r>
        <w:rPr>
          <w:b/>
        </w:rPr>
        <w:t>.</w:t>
      </w:r>
    </w:p>
    <w:p w14:paraId="1A32D5C3" w14:textId="2F73DF7D" w:rsidR="00AB2F1B" w:rsidRPr="00AB2F1B" w:rsidRDefault="00AB2F1B" w:rsidP="00AB2F1B">
      <w:pPr>
        <w:pStyle w:val="Caption"/>
        <w:rPr>
          <w:szCs w:val="22"/>
        </w:rPr>
      </w:pPr>
      <w:bookmarkStart w:id="216" w:name="_Ref57313558"/>
      <w:bookmarkStart w:id="217" w:name="_Toc65140587"/>
      <w:r>
        <w:t xml:space="preserve">Table </w:t>
      </w:r>
      <w:fldSimple w:instr=" STYLEREF 1 \s ">
        <w:r w:rsidR="00937ADD">
          <w:rPr>
            <w:noProof/>
          </w:rPr>
          <w:t>5</w:t>
        </w:r>
      </w:fldSimple>
      <w:r w:rsidR="002714CC">
        <w:noBreakHyphen/>
      </w:r>
      <w:fldSimple w:instr=" SEQ Table \* ARABIC \s 1 ">
        <w:r w:rsidR="00937ADD">
          <w:rPr>
            <w:noProof/>
          </w:rPr>
          <w:t>6</w:t>
        </w:r>
      </w:fldSimple>
      <w:bookmarkEnd w:id="216"/>
      <w:r>
        <w:t xml:space="preserve"> </w:t>
      </w:r>
      <w:r w:rsidRPr="00AB2F1B">
        <w:t>Rehabilitation management of final void RMU</w:t>
      </w:r>
      <w:bookmarkEnd w:id="217"/>
    </w:p>
    <w:tbl>
      <w:tblPr>
        <w:tblStyle w:val="Plainblue"/>
        <w:tblW w:w="9085"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2335"/>
        <w:gridCol w:w="2250"/>
        <w:gridCol w:w="2250"/>
        <w:gridCol w:w="2250"/>
      </w:tblGrid>
      <w:tr w:rsidR="00AB2F1B" w:rsidRPr="00AB2F1B" w14:paraId="1EB0661D" w14:textId="77777777" w:rsidTr="00AB2F1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C66002" w14:textId="0DA6B01E" w:rsidR="00AB2F1B" w:rsidRPr="00AB2F1B" w:rsidRDefault="00AB2F1B" w:rsidP="00AB2F1B">
            <w:pPr>
              <w:spacing w:before="60" w:beforeAutospacing="0" w:after="60" w:afterAutospacing="0" w:line="300" w:lineRule="auto"/>
              <w:rPr>
                <w:rFonts w:cstheme="minorHAnsi"/>
                <w:szCs w:val="18"/>
              </w:rPr>
            </w:pPr>
            <w:r>
              <w:rPr>
                <w:rFonts w:cstheme="minorHAnsi"/>
                <w:szCs w:val="18"/>
              </w:rPr>
              <w:t>Parameter</w:t>
            </w:r>
          </w:p>
        </w:tc>
        <w:tc>
          <w:tcPr>
            <w:tcW w:w="225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5E18EC" w14:textId="77777777" w:rsidR="00AB2F1B" w:rsidRPr="00AB2F1B" w:rsidRDefault="00AB2F1B" w:rsidP="00AB2F1B">
            <w:pPr>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M</w:t>
            </w:r>
          </w:p>
        </w:tc>
        <w:tc>
          <w:tcPr>
            <w:tcW w:w="225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EEFAAB" w14:textId="77777777" w:rsidR="00AB2F1B" w:rsidRPr="00AB2F1B" w:rsidRDefault="00AB2F1B" w:rsidP="00AB2F1B">
            <w:pPr>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N</w:t>
            </w:r>
          </w:p>
        </w:tc>
        <w:tc>
          <w:tcPr>
            <w:tcW w:w="225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1318EF" w14:textId="77777777" w:rsidR="00AB2F1B" w:rsidRPr="00AB2F1B" w:rsidRDefault="00AB2F1B" w:rsidP="00AB2F1B">
            <w:pPr>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O</w:t>
            </w:r>
          </w:p>
        </w:tc>
      </w:tr>
      <w:tr w:rsidR="00AB2F1B" w:rsidRPr="00AB2F1B" w14:paraId="794E93F9"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704A1F7A" w14:textId="77777777"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t>Slope (%)</w:t>
            </w:r>
          </w:p>
        </w:tc>
        <w:tc>
          <w:tcPr>
            <w:tcW w:w="2250" w:type="dxa"/>
          </w:tcPr>
          <w:p w14:paraId="66A68D52"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&lt;18.5</w:t>
            </w:r>
          </w:p>
        </w:tc>
        <w:tc>
          <w:tcPr>
            <w:tcW w:w="2250" w:type="dxa"/>
          </w:tcPr>
          <w:p w14:paraId="1E886253"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&lt;18.5</w:t>
            </w:r>
          </w:p>
        </w:tc>
        <w:tc>
          <w:tcPr>
            <w:tcW w:w="2250" w:type="dxa"/>
          </w:tcPr>
          <w:p w14:paraId="7130D454"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&lt;18.5</w:t>
            </w:r>
          </w:p>
        </w:tc>
      </w:tr>
      <w:tr w:rsidR="00AB2F1B" w:rsidRPr="00AB2F1B" w14:paraId="5BC9F357"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568FA23B" w14:textId="77777777"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t xml:space="preserve">Weed removal </w:t>
            </w:r>
          </w:p>
        </w:tc>
        <w:tc>
          <w:tcPr>
            <w:tcW w:w="2250" w:type="dxa"/>
          </w:tcPr>
          <w:p w14:paraId="5F4F8520"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Selective spot spraying using knapsack type spray packs</w:t>
            </w:r>
          </w:p>
        </w:tc>
        <w:tc>
          <w:tcPr>
            <w:tcW w:w="2250" w:type="dxa"/>
          </w:tcPr>
          <w:p w14:paraId="08B318B6"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Selective spot spraying using knapsack type spray packs</w:t>
            </w:r>
          </w:p>
        </w:tc>
        <w:tc>
          <w:tcPr>
            <w:tcW w:w="2250" w:type="dxa"/>
          </w:tcPr>
          <w:p w14:paraId="59C7A9CD" w14:textId="77777777" w:rsidR="00AB2F1B" w:rsidRPr="00AB2F1B" w:rsidRDefault="00AB2F1B" w:rsidP="00AB2F1B">
            <w:pPr>
              <w:autoSpaceDE w:val="0"/>
              <w:autoSpaceDN w:val="0"/>
              <w:adjustRightInd w:val="0"/>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Broad scale removal of weeds using earthmoving equipment and machine mounted spraying</w:t>
            </w:r>
          </w:p>
        </w:tc>
      </w:tr>
      <w:tr w:rsidR="00AB2F1B" w:rsidRPr="00AB2F1B" w14:paraId="1428D007"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6D893096" w14:textId="47D732D1"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t>Soil cultivation/ripping</w:t>
            </w:r>
          </w:p>
        </w:tc>
        <w:tc>
          <w:tcPr>
            <w:tcW w:w="2250" w:type="dxa"/>
          </w:tcPr>
          <w:p w14:paraId="4319DE7B"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NA</w:t>
            </w:r>
          </w:p>
        </w:tc>
        <w:tc>
          <w:tcPr>
            <w:tcW w:w="2250" w:type="dxa"/>
          </w:tcPr>
          <w:p w14:paraId="5278F56A" w14:textId="651BE157" w:rsidR="00AB2F1B" w:rsidRPr="00AB2F1B" w:rsidRDefault="00AB2F1B" w:rsidP="00AB2F1B">
            <w:pPr>
              <w:autoSpaceDE w:val="0"/>
              <w:autoSpaceDN w:val="0"/>
              <w:adjustRightInd w:val="0"/>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Ripping of soil to a 200</w:t>
            </w:r>
            <w:r>
              <w:rPr>
                <w:rFonts w:cstheme="minorHAnsi"/>
                <w:szCs w:val="18"/>
              </w:rPr>
              <w:t xml:space="preserve"> </w:t>
            </w:r>
            <w:r w:rsidRPr="00AB2F1B">
              <w:rPr>
                <w:rFonts w:cstheme="minorHAnsi"/>
                <w:szCs w:val="18"/>
              </w:rPr>
              <w:t>mm depth – to undisturbed land or areas or areas covered by a capping material</w:t>
            </w:r>
          </w:p>
        </w:tc>
        <w:tc>
          <w:tcPr>
            <w:tcW w:w="2250" w:type="dxa"/>
          </w:tcPr>
          <w:p w14:paraId="056BD075" w14:textId="2360D681" w:rsidR="00AB2F1B" w:rsidRPr="00AB2F1B" w:rsidRDefault="00AB2F1B" w:rsidP="00AB2F1B">
            <w:pPr>
              <w:autoSpaceDE w:val="0"/>
              <w:autoSpaceDN w:val="0"/>
              <w:adjustRightInd w:val="0"/>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Deep ripping of soil to a 400</w:t>
            </w:r>
            <w:r>
              <w:rPr>
                <w:rFonts w:cstheme="minorHAnsi"/>
                <w:szCs w:val="18"/>
              </w:rPr>
              <w:t xml:space="preserve"> </w:t>
            </w:r>
            <w:r w:rsidRPr="00AB2F1B">
              <w:rPr>
                <w:rFonts w:cstheme="minorHAnsi"/>
                <w:szCs w:val="18"/>
              </w:rPr>
              <w:t>mm depth – applied to general site areas except for heavily compacted areas</w:t>
            </w:r>
          </w:p>
        </w:tc>
      </w:tr>
      <w:tr w:rsidR="00AB2F1B" w:rsidRPr="00AB2F1B" w14:paraId="105FA738"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7CC166DE" w14:textId="77777777"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lastRenderedPageBreak/>
              <w:t>Growing medium structure</w:t>
            </w:r>
          </w:p>
        </w:tc>
        <w:tc>
          <w:tcPr>
            <w:tcW w:w="2250" w:type="dxa"/>
          </w:tcPr>
          <w:p w14:paraId="22945A0C"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50% ameliorated topsoil and 50% rock mulch</w:t>
            </w:r>
          </w:p>
        </w:tc>
        <w:tc>
          <w:tcPr>
            <w:tcW w:w="2250" w:type="dxa"/>
          </w:tcPr>
          <w:p w14:paraId="304F3A87"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60% ameliorated topsoil and 40% rock mulch.</w:t>
            </w:r>
          </w:p>
        </w:tc>
        <w:tc>
          <w:tcPr>
            <w:tcW w:w="2250" w:type="dxa"/>
          </w:tcPr>
          <w:p w14:paraId="6A852169"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70% ameliorated topsoil and 30% rock mulch</w:t>
            </w:r>
          </w:p>
        </w:tc>
      </w:tr>
      <w:tr w:rsidR="00AB2F1B" w:rsidRPr="00AB2F1B" w14:paraId="43109145"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409EBC4D" w14:textId="77777777"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t>Growing medium mulch</w:t>
            </w:r>
          </w:p>
        </w:tc>
        <w:tc>
          <w:tcPr>
            <w:tcW w:w="6750" w:type="dxa"/>
            <w:gridSpan w:val="3"/>
          </w:tcPr>
          <w:p w14:paraId="24AAAF37"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A minimum of 50 mm depth of organic mulch to be installed over structured soils/ and tube-stock plantings</w:t>
            </w:r>
          </w:p>
        </w:tc>
      </w:tr>
      <w:tr w:rsidR="00AB2F1B" w:rsidRPr="00AB2F1B" w14:paraId="2DC41232"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6DA1D80F" w14:textId="77777777"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t>Initial planting schedule</w:t>
            </w:r>
          </w:p>
        </w:tc>
        <w:tc>
          <w:tcPr>
            <w:tcW w:w="2250" w:type="dxa"/>
          </w:tcPr>
          <w:p w14:paraId="74EAA90A"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Crop</w:t>
            </w:r>
          </w:p>
        </w:tc>
        <w:tc>
          <w:tcPr>
            <w:tcW w:w="2250" w:type="dxa"/>
          </w:tcPr>
          <w:p w14:paraId="6963CC8E"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Pasture / Crop</w:t>
            </w:r>
          </w:p>
        </w:tc>
        <w:tc>
          <w:tcPr>
            <w:tcW w:w="2250" w:type="dxa"/>
          </w:tcPr>
          <w:p w14:paraId="34AB6164"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Native Grass</w:t>
            </w:r>
          </w:p>
        </w:tc>
      </w:tr>
      <w:tr w:rsidR="00AB2F1B" w:rsidRPr="00AB2F1B" w14:paraId="7EFDE207"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55FACBF9" w14:textId="77777777"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t xml:space="preserve">Final planting schedule broad vegetation group </w:t>
            </w:r>
          </w:p>
        </w:tc>
        <w:tc>
          <w:tcPr>
            <w:tcW w:w="2250" w:type="dxa"/>
          </w:tcPr>
          <w:p w14:paraId="116FF80F"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24 Native</w:t>
            </w:r>
          </w:p>
        </w:tc>
        <w:tc>
          <w:tcPr>
            <w:tcW w:w="2250" w:type="dxa"/>
          </w:tcPr>
          <w:p w14:paraId="0F8C20CF"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18 Native</w:t>
            </w:r>
          </w:p>
        </w:tc>
        <w:tc>
          <w:tcPr>
            <w:tcW w:w="2250" w:type="dxa"/>
          </w:tcPr>
          <w:p w14:paraId="0DD35202"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17 Native</w:t>
            </w:r>
          </w:p>
        </w:tc>
      </w:tr>
      <w:tr w:rsidR="00AB2F1B" w:rsidRPr="00AB2F1B" w14:paraId="48C26F2C"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6CD5156F" w14:textId="77777777"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t>Primary planting method</w:t>
            </w:r>
          </w:p>
        </w:tc>
        <w:tc>
          <w:tcPr>
            <w:tcW w:w="6750" w:type="dxa"/>
            <w:gridSpan w:val="3"/>
          </w:tcPr>
          <w:p w14:paraId="45A43CEF"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Direct seeding</w:t>
            </w:r>
          </w:p>
        </w:tc>
      </w:tr>
      <w:tr w:rsidR="00AB2F1B" w:rsidRPr="00AB2F1B" w14:paraId="2AFD08A5" w14:textId="77777777" w:rsidTr="00AB2F1B">
        <w:tc>
          <w:tcPr>
            <w:cnfStyle w:val="001000000000" w:firstRow="0" w:lastRow="0" w:firstColumn="1" w:lastColumn="0" w:oddVBand="0" w:evenVBand="0" w:oddHBand="0" w:evenHBand="0" w:firstRowFirstColumn="0" w:firstRowLastColumn="0" w:lastRowFirstColumn="0" w:lastRowLastColumn="0"/>
            <w:tcW w:w="2335" w:type="dxa"/>
          </w:tcPr>
          <w:p w14:paraId="662FB65C" w14:textId="77777777" w:rsidR="00AB2F1B" w:rsidRPr="00AB2F1B" w:rsidRDefault="00AB2F1B" w:rsidP="00AB2F1B">
            <w:pPr>
              <w:spacing w:before="60" w:beforeAutospacing="0" w:after="60" w:afterAutospacing="0" w:line="300" w:lineRule="auto"/>
              <w:rPr>
                <w:rFonts w:cstheme="minorHAnsi"/>
                <w:b/>
                <w:szCs w:val="18"/>
              </w:rPr>
            </w:pPr>
            <w:r w:rsidRPr="00AB2F1B">
              <w:rPr>
                <w:rFonts w:cstheme="minorHAnsi"/>
                <w:b/>
                <w:szCs w:val="18"/>
              </w:rPr>
              <w:t>Supplementary planting method</w:t>
            </w:r>
          </w:p>
        </w:tc>
        <w:tc>
          <w:tcPr>
            <w:tcW w:w="6750" w:type="dxa"/>
            <w:gridSpan w:val="3"/>
          </w:tcPr>
          <w:p w14:paraId="4F73DD49" w14:textId="77777777" w:rsidR="00AB2F1B" w:rsidRPr="00AB2F1B" w:rsidRDefault="00AB2F1B" w:rsidP="00AB2F1B">
            <w:pPr>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Tube-stock</w:t>
            </w:r>
          </w:p>
        </w:tc>
      </w:tr>
    </w:tbl>
    <w:p w14:paraId="122285BF" w14:textId="58479D47" w:rsidR="00AB2F1B" w:rsidRPr="00AB2F1B" w:rsidRDefault="00AB2F1B" w:rsidP="00AB2F1B">
      <w:pPr>
        <w:spacing w:before="200"/>
        <w:rPr>
          <w:szCs w:val="22"/>
        </w:rPr>
      </w:pPr>
      <w:r w:rsidRPr="00AB2F1B">
        <w:rPr>
          <w:szCs w:val="22"/>
        </w:rPr>
        <w:t>The rehabilitation objectives and success criteria relevant to each domain have been developed and are described in the Rehabilitation Management Plan addendum (MCPL</w:t>
      </w:r>
      <w:r>
        <w:rPr>
          <w:szCs w:val="22"/>
        </w:rPr>
        <w:t>,</w:t>
      </w:r>
      <w:r w:rsidRPr="00AB2F1B">
        <w:rPr>
          <w:szCs w:val="22"/>
        </w:rPr>
        <w:t xml:space="preserve"> 2018</w:t>
      </w:r>
      <w:r w:rsidR="005D5CCC">
        <w:rPr>
          <w:szCs w:val="22"/>
        </w:rPr>
        <w:t>b</w:t>
      </w:r>
      <w:r w:rsidRPr="00AB2F1B">
        <w:rPr>
          <w:szCs w:val="22"/>
        </w:rPr>
        <w:t xml:space="preserve">) and the current EA (EPML00716913). The objectives and success criteria are used to measure the achievement of rehabilitation goals and are described in </w:t>
      </w:r>
      <w:r>
        <w:rPr>
          <w:szCs w:val="22"/>
        </w:rPr>
        <w:fldChar w:fldCharType="begin"/>
      </w:r>
      <w:r>
        <w:rPr>
          <w:szCs w:val="22"/>
        </w:rPr>
        <w:instrText xml:space="preserve"> REF _Ref57313793 \h </w:instrText>
      </w:r>
      <w:r>
        <w:rPr>
          <w:szCs w:val="22"/>
        </w:rPr>
      </w:r>
      <w:r>
        <w:rPr>
          <w:szCs w:val="22"/>
        </w:rPr>
        <w:fldChar w:fldCharType="separate"/>
      </w:r>
      <w:r w:rsidR="00937ADD">
        <w:t xml:space="preserve">Table </w:t>
      </w:r>
      <w:r w:rsidR="00937ADD">
        <w:rPr>
          <w:noProof/>
        </w:rPr>
        <w:t>5</w:t>
      </w:r>
      <w:r w:rsidR="00937ADD">
        <w:noBreakHyphen/>
      </w:r>
      <w:r w:rsidR="00937ADD">
        <w:rPr>
          <w:noProof/>
        </w:rPr>
        <w:t>7</w:t>
      </w:r>
      <w:r>
        <w:rPr>
          <w:szCs w:val="22"/>
        </w:rPr>
        <w:fldChar w:fldCharType="end"/>
      </w:r>
      <w:r w:rsidRPr="00AB2F1B">
        <w:rPr>
          <w:szCs w:val="22"/>
        </w:rPr>
        <w:t xml:space="preserve"> for the final void domain. </w:t>
      </w:r>
    </w:p>
    <w:p w14:paraId="585CFC67" w14:textId="285B7839" w:rsidR="00AB2F1B" w:rsidRDefault="00AB2F1B" w:rsidP="00AB2F1B">
      <w:pPr>
        <w:spacing w:before="200"/>
        <w:rPr>
          <w:szCs w:val="22"/>
        </w:rPr>
      </w:pPr>
      <w:r w:rsidRPr="00AB2F1B">
        <w:rPr>
          <w:szCs w:val="22"/>
        </w:rPr>
        <w:t>There are no rehabilitation objectives, indicators or completion criteria to measure the goal of sustaining agreed post mining land use, as there is currently no post mining land use commitment for final voids.</w:t>
      </w:r>
    </w:p>
    <w:p w14:paraId="0FB32497" w14:textId="77777777" w:rsidR="003E0D29" w:rsidRDefault="003E0D29" w:rsidP="003E0D29">
      <w:pPr>
        <w:pStyle w:val="Heading4"/>
      </w:pPr>
      <w:r>
        <w:t>Final void post mining land use</w:t>
      </w:r>
    </w:p>
    <w:p w14:paraId="668F74FE" w14:textId="77777777" w:rsidR="003E0D29" w:rsidRPr="000855F2" w:rsidRDefault="003E0D29" w:rsidP="003E0D29">
      <w:pPr>
        <w:pStyle w:val="BodyText"/>
      </w:pPr>
      <w:r>
        <w:t xml:space="preserve">There is currently no post mining land use commitment for final voids at the Middlemount Coal mine. The </w:t>
      </w:r>
      <w:r w:rsidRPr="000855F2">
        <w:t>western extension will have two final voids that MCPL has indicated will be rehabilitated to a safe, stable, non-polluting landform.</w:t>
      </w:r>
    </w:p>
    <w:p w14:paraId="28882E5A" w14:textId="77777777" w:rsidR="003E0D29" w:rsidRPr="000855F2" w:rsidRDefault="003E0D29" w:rsidP="003E0D29">
      <w:pPr>
        <w:pStyle w:val="Heading4"/>
      </w:pPr>
      <w:r w:rsidRPr="000855F2">
        <w:t>Future management plans</w:t>
      </w:r>
    </w:p>
    <w:p w14:paraId="0B67008D" w14:textId="77777777" w:rsidR="003E0D29" w:rsidRDefault="003E0D29" w:rsidP="003E0D29">
      <w:pPr>
        <w:pStyle w:val="BodyText"/>
      </w:pPr>
      <w:r w:rsidRPr="000855F2">
        <w:t>A void hazard management plan will be developed by MCPL to consider geotechnical risks identified within the rehabilitation management plan addendum. A progressive</w:t>
      </w:r>
      <w:r>
        <w:t xml:space="preserve"> rehabilitation and closure plan will also be developed that will include enforceable milestones that relate to progressive rehabilitation and identify suitable post mining land use.</w:t>
      </w:r>
    </w:p>
    <w:p w14:paraId="711EB5A0" w14:textId="77777777" w:rsidR="00AB2F1B" w:rsidRDefault="00AB2F1B" w:rsidP="00AB2F1B">
      <w:pPr>
        <w:spacing w:before="200"/>
        <w:rPr>
          <w:szCs w:val="22"/>
        </w:rPr>
        <w:sectPr w:rsidR="00AB2F1B" w:rsidSect="00B528CA">
          <w:headerReference w:type="default" r:id="rId28"/>
          <w:footerReference w:type="default" r:id="rId29"/>
          <w:pgSz w:w="11907" w:h="16839" w:code="9"/>
          <w:pgMar w:top="1440" w:right="1440" w:bottom="1134" w:left="1440" w:header="340" w:footer="340" w:gutter="0"/>
          <w:cols w:space="708"/>
          <w:docGrid w:linePitch="360"/>
        </w:sectPr>
      </w:pPr>
    </w:p>
    <w:p w14:paraId="1F935CBF" w14:textId="7336BEB4" w:rsidR="00AB2F1B" w:rsidRDefault="00AB2F1B" w:rsidP="00AB2F1B">
      <w:pPr>
        <w:pStyle w:val="Caption"/>
        <w:rPr>
          <w:szCs w:val="22"/>
        </w:rPr>
      </w:pPr>
      <w:bookmarkStart w:id="218" w:name="_Ref57313793"/>
      <w:bookmarkStart w:id="219" w:name="_Toc65140588"/>
      <w:r>
        <w:lastRenderedPageBreak/>
        <w:t xml:space="preserve">Table </w:t>
      </w:r>
      <w:fldSimple w:instr=" STYLEREF 1 \s ">
        <w:r w:rsidR="00937ADD">
          <w:rPr>
            <w:noProof/>
          </w:rPr>
          <w:t>5</w:t>
        </w:r>
      </w:fldSimple>
      <w:r w:rsidR="002714CC">
        <w:noBreakHyphen/>
      </w:r>
      <w:fldSimple w:instr=" SEQ Table \* ARABIC \s 1 ">
        <w:r w:rsidR="00937ADD">
          <w:rPr>
            <w:noProof/>
          </w:rPr>
          <w:t>7</w:t>
        </w:r>
      </w:fldSimple>
      <w:bookmarkEnd w:id="218"/>
      <w:r>
        <w:t xml:space="preserve"> Rehabilitation</w:t>
      </w:r>
      <w:r w:rsidRPr="00AB2F1B">
        <w:t xml:space="preserve"> objectives, success criteria and corrective actions for final voids</w:t>
      </w:r>
      <w:r w:rsidR="005D5CCC" w:rsidRPr="005D5CCC">
        <w:t xml:space="preserve"> </w:t>
      </w:r>
      <w:r w:rsidR="005D5CCC">
        <w:t>(</w:t>
      </w:r>
      <w:r w:rsidR="005D5CCC" w:rsidRPr="005D5CCC">
        <w:t>MCPL, 2018</w:t>
      </w:r>
      <w:r w:rsidR="005D5CCC">
        <w:t>b)</w:t>
      </w:r>
      <w:bookmarkEnd w:id="219"/>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838"/>
        <w:gridCol w:w="2410"/>
        <w:gridCol w:w="1984"/>
        <w:gridCol w:w="5172"/>
        <w:gridCol w:w="2851"/>
      </w:tblGrid>
      <w:tr w:rsidR="005D5CCC" w:rsidRPr="00AB2F1B" w14:paraId="370A9CB8" w14:textId="77777777" w:rsidTr="00FD053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38" w:type="dxa"/>
          </w:tcPr>
          <w:p w14:paraId="159FD84A" w14:textId="73AC4550" w:rsidR="00AB2F1B" w:rsidRPr="00AB2F1B" w:rsidRDefault="00AB2F1B" w:rsidP="00AB2F1B">
            <w:pPr>
              <w:spacing w:before="60" w:beforeAutospacing="0" w:after="60" w:afterAutospacing="0" w:line="300" w:lineRule="auto"/>
              <w:rPr>
                <w:rFonts w:cstheme="minorHAnsi"/>
                <w:szCs w:val="18"/>
              </w:rPr>
            </w:pPr>
            <w:r w:rsidRPr="00AB2F1B">
              <w:rPr>
                <w:rFonts w:cstheme="minorHAnsi"/>
                <w:szCs w:val="18"/>
              </w:rPr>
              <w:t xml:space="preserve">Rehabilitation </w:t>
            </w:r>
            <w:r>
              <w:rPr>
                <w:rFonts w:cstheme="minorHAnsi"/>
                <w:szCs w:val="18"/>
              </w:rPr>
              <w:t>g</w:t>
            </w:r>
            <w:r w:rsidRPr="00AB2F1B">
              <w:rPr>
                <w:rFonts w:cstheme="minorHAnsi"/>
                <w:szCs w:val="18"/>
              </w:rPr>
              <w:t>oal</w:t>
            </w:r>
          </w:p>
        </w:tc>
        <w:tc>
          <w:tcPr>
            <w:tcW w:w="2410" w:type="dxa"/>
          </w:tcPr>
          <w:p w14:paraId="30394B47" w14:textId="77777777" w:rsidR="00AB2F1B" w:rsidRPr="00AB2F1B" w:rsidRDefault="00AB2F1B" w:rsidP="00AB2F1B">
            <w:pPr>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Objectives</w:t>
            </w:r>
          </w:p>
        </w:tc>
        <w:tc>
          <w:tcPr>
            <w:tcW w:w="1984" w:type="dxa"/>
          </w:tcPr>
          <w:p w14:paraId="2109A5B5" w14:textId="77777777" w:rsidR="00AB2F1B" w:rsidRPr="00AB2F1B" w:rsidRDefault="00AB2F1B" w:rsidP="00AB2F1B">
            <w:pPr>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Indicators</w:t>
            </w:r>
          </w:p>
        </w:tc>
        <w:tc>
          <w:tcPr>
            <w:tcW w:w="5172" w:type="dxa"/>
          </w:tcPr>
          <w:p w14:paraId="0A26CC1A" w14:textId="5009F40C" w:rsidR="00AB2F1B" w:rsidRPr="00AB2F1B" w:rsidRDefault="00AB2F1B" w:rsidP="00AB2F1B">
            <w:pPr>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 xml:space="preserve">Success </w:t>
            </w:r>
            <w:r>
              <w:rPr>
                <w:rFonts w:cstheme="minorHAnsi"/>
                <w:szCs w:val="18"/>
              </w:rPr>
              <w:t>c</w:t>
            </w:r>
            <w:r w:rsidRPr="00AB2F1B">
              <w:rPr>
                <w:rFonts w:cstheme="minorHAnsi"/>
                <w:szCs w:val="18"/>
              </w:rPr>
              <w:t>riteria</w:t>
            </w:r>
          </w:p>
        </w:tc>
        <w:tc>
          <w:tcPr>
            <w:tcW w:w="2851" w:type="dxa"/>
          </w:tcPr>
          <w:p w14:paraId="0D70AF88" w14:textId="004EFA66" w:rsidR="00AB2F1B" w:rsidRPr="00AB2F1B" w:rsidRDefault="00AB2F1B" w:rsidP="00AB2F1B">
            <w:pPr>
              <w:spacing w:before="60" w:beforeAutospacing="0" w:after="60" w:afterAutospacing="0" w:line="300" w:lineRule="auto"/>
              <w:cnfStyle w:val="100000000000" w:firstRow="1"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 xml:space="preserve">Corrective </w:t>
            </w:r>
            <w:r>
              <w:rPr>
                <w:rFonts w:cstheme="minorHAnsi"/>
                <w:szCs w:val="18"/>
              </w:rPr>
              <w:t>a</w:t>
            </w:r>
            <w:r w:rsidRPr="00AB2F1B">
              <w:rPr>
                <w:rFonts w:cstheme="minorHAnsi"/>
                <w:szCs w:val="18"/>
              </w:rPr>
              <w:t>ctions</w:t>
            </w:r>
          </w:p>
        </w:tc>
      </w:tr>
      <w:tr w:rsidR="00AB2F1B" w:rsidRPr="00AB2F1B" w14:paraId="68C6D6AA" w14:textId="77777777" w:rsidTr="005D5CCC">
        <w:tc>
          <w:tcPr>
            <w:cnfStyle w:val="001000000000" w:firstRow="0" w:lastRow="0" w:firstColumn="1" w:lastColumn="0" w:oddVBand="0" w:evenVBand="0" w:oddHBand="0" w:evenHBand="0" w:firstRowFirstColumn="0" w:firstRowLastColumn="0" w:lastRowFirstColumn="0" w:lastRowLastColumn="0"/>
            <w:tcW w:w="1838" w:type="dxa"/>
          </w:tcPr>
          <w:p w14:paraId="2D2B0E0B" w14:textId="77777777" w:rsidR="00AB2F1B" w:rsidRPr="00AB2F1B" w:rsidRDefault="00AB2F1B" w:rsidP="00AB2F1B">
            <w:pPr>
              <w:spacing w:before="60" w:beforeAutospacing="0" w:after="60" w:afterAutospacing="0" w:line="300" w:lineRule="auto"/>
              <w:rPr>
                <w:b/>
                <w:bCs/>
              </w:rPr>
            </w:pPr>
            <w:r w:rsidRPr="00AB2F1B">
              <w:rPr>
                <w:rFonts w:cstheme="minorHAnsi"/>
                <w:b/>
                <w:bCs/>
                <w:szCs w:val="18"/>
              </w:rPr>
              <w:t xml:space="preserve">Safe to humans and </w:t>
            </w:r>
            <w:r w:rsidRPr="00AB2F1B">
              <w:rPr>
                <w:b/>
                <w:bCs/>
              </w:rPr>
              <w:t>wildlife</w:t>
            </w:r>
          </w:p>
        </w:tc>
        <w:tc>
          <w:tcPr>
            <w:tcW w:w="2410" w:type="dxa"/>
          </w:tcPr>
          <w:p w14:paraId="67C6959C"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Structurally safe with very low probability of subsidence or rock fails with serious consequences</w:t>
            </w:r>
          </w:p>
        </w:tc>
        <w:tc>
          <w:tcPr>
            <w:tcW w:w="1984" w:type="dxa"/>
          </w:tcPr>
          <w:p w14:paraId="486664CD"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Safety assessment of landform stability.</w:t>
            </w:r>
          </w:p>
        </w:tc>
        <w:tc>
          <w:tcPr>
            <w:tcW w:w="5172" w:type="dxa"/>
          </w:tcPr>
          <w:p w14:paraId="1B35F23A"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pPr>
            <w:r w:rsidRPr="00AB2F1B">
              <w:rPr>
                <w:rFonts w:cstheme="minorHAnsi"/>
                <w:szCs w:val="18"/>
              </w:rPr>
              <w:t>Certification by an appropriately qualified person, that final voids are stable, including:</w:t>
            </w:r>
          </w:p>
          <w:p w14:paraId="7F9A682B" w14:textId="1D94C1F0"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c</w:t>
            </w:r>
            <w:r w:rsidR="00AB2F1B" w:rsidRPr="00AB2F1B">
              <w:rPr>
                <w:rFonts w:cstheme="minorHAnsi"/>
                <w:szCs w:val="18"/>
              </w:rPr>
              <w:t>ertification that slopes are as per Table F3: Residual Void Design (of the EA) and are geotechnically stable for the foreseeable future</w:t>
            </w:r>
            <w:r>
              <w:rPr>
                <w:rFonts w:cstheme="minorHAnsi"/>
                <w:szCs w:val="18"/>
              </w:rPr>
              <w:t>;</w:t>
            </w:r>
          </w:p>
          <w:p w14:paraId="619B364D" w14:textId="445228A6"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c</w:t>
            </w:r>
            <w:r w:rsidR="00AB2F1B" w:rsidRPr="00AB2F1B">
              <w:rPr>
                <w:rFonts w:cstheme="minorHAnsi"/>
                <w:szCs w:val="18"/>
              </w:rPr>
              <w:t>ertification that drainage structures are sufficiently designed and implemented for operation into the foreseeable future, and direct surface water flow away from residual voids</w:t>
            </w:r>
            <w:r>
              <w:rPr>
                <w:rFonts w:cstheme="minorHAnsi"/>
                <w:szCs w:val="18"/>
              </w:rPr>
              <w:t>;</w:t>
            </w:r>
          </w:p>
          <w:p w14:paraId="1A7F0B68" w14:textId="3532D9B3"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c</w:t>
            </w:r>
            <w:r w:rsidR="00AB2F1B" w:rsidRPr="00AB2F1B">
              <w:rPr>
                <w:rFonts w:cstheme="minorHAnsi"/>
                <w:szCs w:val="18"/>
              </w:rPr>
              <w:t>ertification that erosion and sediment controls are sufficiently designed and implemented for operation into the foreseeable future</w:t>
            </w:r>
            <w:r>
              <w:rPr>
                <w:rFonts w:cstheme="minorHAnsi"/>
                <w:szCs w:val="18"/>
              </w:rPr>
              <w:t>;</w:t>
            </w:r>
          </w:p>
          <w:p w14:paraId="16E549AF" w14:textId="130A2A45"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A s</w:t>
            </w:r>
            <w:r w:rsidR="00AB2F1B" w:rsidRPr="00AB2F1B">
              <w:rPr>
                <w:rFonts w:cstheme="minorHAnsi"/>
                <w:szCs w:val="18"/>
              </w:rPr>
              <w:t xml:space="preserve">afety assessment </w:t>
            </w:r>
            <w:r>
              <w:rPr>
                <w:rFonts w:cstheme="minorHAnsi"/>
                <w:szCs w:val="18"/>
              </w:rPr>
              <w:t xml:space="preserve">to be </w:t>
            </w:r>
            <w:r w:rsidR="00AB2F1B" w:rsidRPr="00AB2F1B">
              <w:rPr>
                <w:rFonts w:cstheme="minorHAnsi"/>
                <w:szCs w:val="18"/>
              </w:rPr>
              <w:t>conducted and included in Post Closure Management Plan</w:t>
            </w:r>
            <w:r>
              <w:rPr>
                <w:rFonts w:cstheme="minorHAnsi"/>
                <w:szCs w:val="18"/>
              </w:rPr>
              <w:t>; and</w:t>
            </w:r>
          </w:p>
          <w:p w14:paraId="75487B30" w14:textId="08045E87"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g</w:t>
            </w:r>
            <w:r w:rsidR="00AB2F1B" w:rsidRPr="00AB2F1B">
              <w:rPr>
                <w:rFonts w:cstheme="minorHAnsi"/>
                <w:szCs w:val="18"/>
              </w:rPr>
              <w:t>eotechnical stability of the high wall, low wall and end walls has been achieved and geotechnical investigations demonstrating this have been undertaken and reported.</w:t>
            </w:r>
          </w:p>
        </w:tc>
        <w:tc>
          <w:tcPr>
            <w:tcW w:w="2851" w:type="dxa"/>
          </w:tcPr>
          <w:p w14:paraId="78AADE9D"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 xml:space="preserve">Re-work site to a stable state and monitor erosion and sediment mitigation measures. </w:t>
            </w:r>
          </w:p>
          <w:p w14:paraId="4E2B28BE"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Assessment by a geotechnical professional and cut back landforms if necessary.</w:t>
            </w:r>
          </w:p>
        </w:tc>
      </w:tr>
      <w:tr w:rsidR="00AB2F1B" w:rsidRPr="00AB2F1B" w14:paraId="019A3B64" w14:textId="77777777" w:rsidTr="005D5CCC">
        <w:tc>
          <w:tcPr>
            <w:cnfStyle w:val="001000000000" w:firstRow="0" w:lastRow="0" w:firstColumn="1" w:lastColumn="0" w:oddVBand="0" w:evenVBand="0" w:oddHBand="0" w:evenHBand="0" w:firstRowFirstColumn="0" w:firstRowLastColumn="0" w:lastRowFirstColumn="0" w:lastRowLastColumn="0"/>
            <w:tcW w:w="1838" w:type="dxa"/>
          </w:tcPr>
          <w:p w14:paraId="2F262933" w14:textId="77777777" w:rsidR="00AB2F1B" w:rsidRPr="00AB2F1B" w:rsidRDefault="00AB2F1B" w:rsidP="00AB2F1B">
            <w:pPr>
              <w:spacing w:before="60" w:beforeAutospacing="0" w:after="60" w:afterAutospacing="0" w:line="300" w:lineRule="auto"/>
              <w:rPr>
                <w:rFonts w:cstheme="minorHAnsi"/>
                <w:b/>
                <w:bCs/>
                <w:szCs w:val="18"/>
              </w:rPr>
            </w:pPr>
          </w:p>
        </w:tc>
        <w:tc>
          <w:tcPr>
            <w:tcW w:w="2410" w:type="dxa"/>
          </w:tcPr>
          <w:p w14:paraId="66076384"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Hazardous materials adequately managed</w:t>
            </w:r>
          </w:p>
        </w:tc>
        <w:tc>
          <w:tcPr>
            <w:tcW w:w="1984" w:type="dxa"/>
          </w:tcPr>
          <w:p w14:paraId="44819E90"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Contaminated land assessment.</w:t>
            </w:r>
          </w:p>
          <w:p w14:paraId="3BACCB76"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p w14:paraId="6F063CD7"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Risk to humans and animals.</w:t>
            </w:r>
          </w:p>
        </w:tc>
        <w:tc>
          <w:tcPr>
            <w:tcW w:w="5172" w:type="dxa"/>
          </w:tcPr>
          <w:p w14:paraId="5D58EF2D" w14:textId="6FAB6FF2"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 xml:space="preserve">Evidence which has been certified by an appropriately qualified person </w:t>
            </w:r>
            <w:r w:rsidR="004C52BE">
              <w:rPr>
                <w:rFonts w:cstheme="minorHAnsi"/>
                <w:szCs w:val="18"/>
              </w:rPr>
              <w:t xml:space="preserve">will include </w:t>
            </w:r>
            <w:r w:rsidRPr="00AB2F1B">
              <w:rPr>
                <w:rFonts w:cstheme="minorHAnsi"/>
                <w:szCs w:val="18"/>
              </w:rPr>
              <w:t>that:</w:t>
            </w:r>
          </w:p>
          <w:p w14:paraId="37DC80EB" w14:textId="026F8AC6"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h</w:t>
            </w:r>
            <w:r w:rsidR="00AB2F1B" w:rsidRPr="00AB2F1B">
              <w:rPr>
                <w:rFonts w:cstheme="minorHAnsi"/>
                <w:szCs w:val="18"/>
              </w:rPr>
              <w:t>ydrocarbon, heavy metal or other contamination levels are within allowable departmental limits</w:t>
            </w:r>
            <w:r>
              <w:rPr>
                <w:rFonts w:cstheme="minorHAnsi"/>
                <w:szCs w:val="18"/>
              </w:rPr>
              <w:t>;</w:t>
            </w:r>
          </w:p>
          <w:p w14:paraId="214A7C9B" w14:textId="7C4CA1BC"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w:t>
            </w:r>
            <w:r w:rsidR="00AB2F1B" w:rsidRPr="00AB2F1B">
              <w:rPr>
                <w:rFonts w:cstheme="minorHAnsi"/>
                <w:szCs w:val="18"/>
              </w:rPr>
              <w:t>o acid rock drainage is occurring or has the potential to occur</w:t>
            </w:r>
            <w:r>
              <w:rPr>
                <w:rFonts w:cstheme="minorHAnsi"/>
                <w:szCs w:val="18"/>
              </w:rPr>
              <w:t>; and</w:t>
            </w:r>
          </w:p>
          <w:p w14:paraId="419B19DB" w14:textId="22E5B63B"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f</w:t>
            </w:r>
            <w:r w:rsidR="00AB2F1B" w:rsidRPr="00AB2F1B">
              <w:rPr>
                <w:rFonts w:cstheme="minorHAnsi"/>
                <w:szCs w:val="18"/>
              </w:rPr>
              <w:t>encing and/or safety bunding and prominent signage is installed around the perimeter of the final voids to restrict access.</w:t>
            </w:r>
          </w:p>
        </w:tc>
        <w:tc>
          <w:tcPr>
            <w:tcW w:w="2851" w:type="dxa"/>
          </w:tcPr>
          <w:p w14:paraId="763BAE56"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 xml:space="preserve">Undertake additional contaminated land assessment by an appropriately qualified person to determine source and extent of potential issue. Ensure fencing, separation infrastructure and signage is in place. </w:t>
            </w:r>
          </w:p>
          <w:p w14:paraId="6A9C19E4"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Remediation as required.</w:t>
            </w:r>
          </w:p>
        </w:tc>
      </w:tr>
      <w:tr w:rsidR="00AB2F1B" w:rsidRPr="00AB2F1B" w14:paraId="1418E8E4" w14:textId="77777777" w:rsidTr="005D5CCC">
        <w:trPr>
          <w:trHeight w:val="1349"/>
        </w:trPr>
        <w:tc>
          <w:tcPr>
            <w:cnfStyle w:val="001000000000" w:firstRow="0" w:lastRow="0" w:firstColumn="1" w:lastColumn="0" w:oddVBand="0" w:evenVBand="0" w:oddHBand="0" w:evenHBand="0" w:firstRowFirstColumn="0" w:firstRowLastColumn="0" w:lastRowFirstColumn="0" w:lastRowLastColumn="0"/>
            <w:tcW w:w="1838" w:type="dxa"/>
            <w:vMerge w:val="restart"/>
          </w:tcPr>
          <w:p w14:paraId="14E50C99" w14:textId="77777777" w:rsidR="00AB2F1B" w:rsidRPr="00AB2F1B" w:rsidRDefault="00AB2F1B" w:rsidP="00AB2F1B">
            <w:pPr>
              <w:spacing w:before="60" w:beforeAutospacing="0" w:after="60" w:afterAutospacing="0" w:line="300" w:lineRule="auto"/>
              <w:rPr>
                <w:rFonts w:cstheme="minorHAnsi"/>
                <w:b/>
                <w:bCs/>
                <w:szCs w:val="18"/>
              </w:rPr>
            </w:pPr>
            <w:r w:rsidRPr="00AB2F1B">
              <w:rPr>
                <w:rFonts w:cstheme="minorHAnsi"/>
                <w:b/>
                <w:bCs/>
                <w:szCs w:val="18"/>
              </w:rPr>
              <w:lastRenderedPageBreak/>
              <w:t>Non-polluting</w:t>
            </w:r>
          </w:p>
        </w:tc>
        <w:tc>
          <w:tcPr>
            <w:tcW w:w="2410" w:type="dxa"/>
          </w:tcPr>
          <w:p w14:paraId="322115F0"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Polluted water contained on site or treated</w:t>
            </w:r>
          </w:p>
        </w:tc>
        <w:tc>
          <w:tcPr>
            <w:tcW w:w="1984" w:type="dxa"/>
            <w:vMerge w:val="restart"/>
          </w:tcPr>
          <w:p w14:paraId="3A535AB0"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Residual void water quality</w:t>
            </w:r>
          </w:p>
        </w:tc>
        <w:tc>
          <w:tcPr>
            <w:tcW w:w="5172" w:type="dxa"/>
            <w:vMerge w:val="restart"/>
          </w:tcPr>
          <w:p w14:paraId="2ACAE080" w14:textId="030941C9"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Evidence which is certified by an appropriately qualified person</w:t>
            </w:r>
            <w:r w:rsidR="004C52BE">
              <w:rPr>
                <w:rFonts w:cstheme="minorHAnsi"/>
                <w:szCs w:val="18"/>
              </w:rPr>
              <w:t xml:space="preserve"> includes that</w:t>
            </w:r>
            <w:r w:rsidRPr="00AB2F1B">
              <w:rPr>
                <w:rFonts w:cstheme="minorHAnsi"/>
                <w:szCs w:val="18"/>
              </w:rPr>
              <w:t xml:space="preserve"> that:</w:t>
            </w:r>
          </w:p>
          <w:p w14:paraId="44136677" w14:textId="6DC57278"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w:t>
            </w:r>
            <w:r w:rsidR="00AB2F1B" w:rsidRPr="00AB2F1B">
              <w:rPr>
                <w:rFonts w:cstheme="minorHAnsi"/>
                <w:szCs w:val="18"/>
              </w:rPr>
              <w:t>he low, high and end walls drain internally to the final void</w:t>
            </w:r>
            <w:r>
              <w:rPr>
                <w:rFonts w:cstheme="minorHAnsi"/>
                <w:szCs w:val="18"/>
              </w:rPr>
              <w:t>; and</w:t>
            </w:r>
          </w:p>
          <w:p w14:paraId="374EC683" w14:textId="4AC545BA" w:rsidR="00AB2F1B" w:rsidRPr="00AB2F1B" w:rsidRDefault="004C52BE" w:rsidP="006604FA">
            <w:pPr>
              <w:numPr>
                <w:ilvl w:val="0"/>
                <w:numId w:val="50"/>
              </w:numPr>
              <w:autoSpaceDE w:val="0"/>
              <w:autoSpaceDN w:val="0"/>
              <w:adjustRightInd w:val="0"/>
              <w:spacing w:before="60" w:beforeAutospacing="0" w:after="60" w:afterAutospacing="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f</w:t>
            </w:r>
            <w:r w:rsidR="00AB2F1B" w:rsidRPr="00AB2F1B">
              <w:rPr>
                <w:rFonts w:cstheme="minorHAnsi"/>
                <w:szCs w:val="18"/>
              </w:rPr>
              <w:t>inal void waters comply with specifications detailed in the Residual Void Water Quality Management Plan</w:t>
            </w:r>
            <w:r w:rsidR="005D5CCC">
              <w:rPr>
                <w:rFonts w:cstheme="minorHAnsi"/>
                <w:szCs w:val="18"/>
              </w:rPr>
              <w:t>.</w:t>
            </w:r>
          </w:p>
        </w:tc>
        <w:tc>
          <w:tcPr>
            <w:tcW w:w="2851" w:type="dxa"/>
            <w:vMerge w:val="restart"/>
          </w:tcPr>
          <w:p w14:paraId="64225CEA"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 xml:space="preserve">Undertake additional contaminated land assessment by an appropriately qualified person to Ensure any residual to determine source and extent of potential issue. </w:t>
            </w:r>
          </w:p>
          <w:p w14:paraId="1553683C"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p w14:paraId="3BD27680"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Remediation as required.</w:t>
            </w:r>
          </w:p>
        </w:tc>
      </w:tr>
      <w:tr w:rsidR="00AB2F1B" w:rsidRPr="00AB2F1B" w14:paraId="355CBBFF" w14:textId="77777777" w:rsidTr="005D5CCC">
        <w:tc>
          <w:tcPr>
            <w:cnfStyle w:val="001000000000" w:firstRow="0" w:lastRow="0" w:firstColumn="1" w:lastColumn="0" w:oddVBand="0" w:evenVBand="0" w:oddHBand="0" w:evenHBand="0" w:firstRowFirstColumn="0" w:firstRowLastColumn="0" w:lastRowFirstColumn="0" w:lastRowLastColumn="0"/>
            <w:tcW w:w="1838" w:type="dxa"/>
            <w:vMerge/>
          </w:tcPr>
          <w:p w14:paraId="1AAB24E2" w14:textId="77777777" w:rsidR="00AB2F1B" w:rsidRPr="00AB2F1B" w:rsidRDefault="00AB2F1B" w:rsidP="00AB2F1B">
            <w:pPr>
              <w:spacing w:before="60" w:beforeAutospacing="0" w:after="60" w:afterAutospacing="0" w:line="300" w:lineRule="auto"/>
              <w:rPr>
                <w:rFonts w:cstheme="minorHAnsi"/>
                <w:b/>
                <w:bCs/>
                <w:szCs w:val="18"/>
              </w:rPr>
            </w:pPr>
          </w:p>
        </w:tc>
        <w:tc>
          <w:tcPr>
            <w:tcW w:w="2410" w:type="dxa"/>
          </w:tcPr>
          <w:p w14:paraId="32B2B277"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Ensure any residual water bodies have a low risk of environmental harm</w:t>
            </w:r>
          </w:p>
        </w:tc>
        <w:tc>
          <w:tcPr>
            <w:tcW w:w="1984" w:type="dxa"/>
            <w:vMerge/>
          </w:tcPr>
          <w:p w14:paraId="0C755A32"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5172" w:type="dxa"/>
            <w:vMerge/>
          </w:tcPr>
          <w:p w14:paraId="0D11F746"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851" w:type="dxa"/>
            <w:vMerge/>
          </w:tcPr>
          <w:p w14:paraId="0547FA5F"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AB2F1B" w:rsidRPr="00AB2F1B" w14:paraId="43865F2E" w14:textId="77777777" w:rsidTr="005D5CCC">
        <w:tc>
          <w:tcPr>
            <w:cnfStyle w:val="001000000000" w:firstRow="0" w:lastRow="0" w:firstColumn="1" w:lastColumn="0" w:oddVBand="0" w:evenVBand="0" w:oddHBand="0" w:evenHBand="0" w:firstRowFirstColumn="0" w:firstRowLastColumn="0" w:lastRowFirstColumn="0" w:lastRowLastColumn="0"/>
            <w:tcW w:w="1838" w:type="dxa"/>
            <w:vMerge/>
          </w:tcPr>
          <w:p w14:paraId="41A4E2EE" w14:textId="77777777" w:rsidR="00AB2F1B" w:rsidRPr="00AB2F1B" w:rsidRDefault="00AB2F1B" w:rsidP="00AB2F1B">
            <w:pPr>
              <w:spacing w:before="60" w:beforeAutospacing="0" w:after="60" w:afterAutospacing="0" w:line="300" w:lineRule="auto"/>
              <w:rPr>
                <w:rFonts w:cstheme="minorHAnsi"/>
                <w:b/>
                <w:bCs/>
                <w:szCs w:val="18"/>
              </w:rPr>
            </w:pPr>
          </w:p>
        </w:tc>
        <w:tc>
          <w:tcPr>
            <w:tcW w:w="2410" w:type="dxa"/>
          </w:tcPr>
          <w:p w14:paraId="6DA28E43"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No contamination of surface water and groundwater resources</w:t>
            </w:r>
          </w:p>
        </w:tc>
        <w:tc>
          <w:tcPr>
            <w:tcW w:w="1984" w:type="dxa"/>
          </w:tcPr>
          <w:p w14:paraId="10389D53"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Upstream and downstream surface and ground water quality (e.g. sediment load, pH, heavy metal content, etc) meet EA conditions</w:t>
            </w:r>
          </w:p>
        </w:tc>
        <w:tc>
          <w:tcPr>
            <w:tcW w:w="5172" w:type="dxa"/>
          </w:tcPr>
          <w:p w14:paraId="66F82BBA" w14:textId="12BE7613"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 xml:space="preserve">Evidence which is certified by an appropriately qualified person </w:t>
            </w:r>
            <w:r w:rsidR="004C52BE">
              <w:rPr>
                <w:rFonts w:cstheme="minorHAnsi"/>
                <w:szCs w:val="18"/>
              </w:rPr>
              <w:t xml:space="preserve">includes </w:t>
            </w:r>
            <w:r w:rsidRPr="00AB2F1B">
              <w:rPr>
                <w:rFonts w:cstheme="minorHAnsi"/>
                <w:szCs w:val="18"/>
              </w:rPr>
              <w:t>that:</w:t>
            </w:r>
          </w:p>
          <w:p w14:paraId="59B26FB6" w14:textId="5876ECB6" w:rsidR="00AB2F1B" w:rsidRPr="005D5CCC" w:rsidRDefault="004C52BE" w:rsidP="006604FA">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g</w:t>
            </w:r>
            <w:r w:rsidR="00AB2F1B" w:rsidRPr="005D5CCC">
              <w:rPr>
                <w:rFonts w:cstheme="minorHAnsi"/>
                <w:szCs w:val="18"/>
              </w:rPr>
              <w:t>roundwater and monitoring bores have parameters consistent with those specified in Table C8 of the EA, for the period of the Post Closure Management Plan</w:t>
            </w:r>
            <w:r>
              <w:rPr>
                <w:rFonts w:cstheme="minorHAnsi"/>
                <w:szCs w:val="18"/>
              </w:rPr>
              <w:t>;</w:t>
            </w:r>
          </w:p>
          <w:p w14:paraId="2D747D99" w14:textId="4555BC84" w:rsidR="00AB2F1B" w:rsidRPr="005D5CCC" w:rsidRDefault="004C52BE" w:rsidP="006604FA">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b</w:t>
            </w:r>
            <w:r w:rsidR="00AB2F1B" w:rsidRPr="005D5CCC">
              <w:rPr>
                <w:rFonts w:cstheme="minorHAnsi"/>
                <w:szCs w:val="18"/>
              </w:rPr>
              <w:t>ased on up to date groundwater modelling, that any residual void water will not overflow nor potentially contaminate any other surface water bodies</w:t>
            </w:r>
            <w:r>
              <w:rPr>
                <w:rFonts w:cstheme="minorHAnsi"/>
                <w:szCs w:val="18"/>
              </w:rPr>
              <w:t>; and</w:t>
            </w:r>
          </w:p>
          <w:p w14:paraId="6903204F" w14:textId="052DFE48" w:rsidR="00AB2F1B" w:rsidRPr="005D5CCC" w:rsidRDefault="004C52BE" w:rsidP="006604FA">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v</w:t>
            </w:r>
            <w:r w:rsidR="00AB2F1B" w:rsidRPr="005D5CCC">
              <w:rPr>
                <w:rFonts w:cstheme="minorHAnsi"/>
                <w:szCs w:val="18"/>
              </w:rPr>
              <w:t>oids do not discharge to any receiving waters, including surface water and groundwater.</w:t>
            </w:r>
          </w:p>
        </w:tc>
        <w:tc>
          <w:tcPr>
            <w:tcW w:w="2851" w:type="dxa"/>
            <w:vMerge/>
          </w:tcPr>
          <w:p w14:paraId="37FB6CB6"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AB2F1B" w:rsidRPr="00AB2F1B" w14:paraId="0BB7A394" w14:textId="77777777" w:rsidTr="005D5CCC">
        <w:tc>
          <w:tcPr>
            <w:cnfStyle w:val="001000000000" w:firstRow="0" w:lastRow="0" w:firstColumn="1" w:lastColumn="0" w:oddVBand="0" w:evenVBand="0" w:oddHBand="0" w:evenHBand="0" w:firstRowFirstColumn="0" w:firstRowLastColumn="0" w:lastRowFirstColumn="0" w:lastRowLastColumn="0"/>
            <w:tcW w:w="1838" w:type="dxa"/>
            <w:vMerge w:val="restart"/>
          </w:tcPr>
          <w:p w14:paraId="14FE321E" w14:textId="77777777" w:rsidR="00AB2F1B" w:rsidRPr="00AB2F1B" w:rsidRDefault="00AB2F1B" w:rsidP="00AB2F1B">
            <w:pPr>
              <w:spacing w:before="60" w:beforeAutospacing="0" w:after="60" w:afterAutospacing="0" w:line="300" w:lineRule="auto"/>
              <w:rPr>
                <w:rFonts w:cstheme="minorHAnsi"/>
                <w:b/>
                <w:bCs/>
                <w:szCs w:val="18"/>
              </w:rPr>
            </w:pPr>
            <w:r w:rsidRPr="00AB2F1B">
              <w:rPr>
                <w:rFonts w:cstheme="minorHAnsi"/>
                <w:b/>
                <w:bCs/>
                <w:szCs w:val="18"/>
              </w:rPr>
              <w:t>Stable</w:t>
            </w:r>
          </w:p>
        </w:tc>
        <w:tc>
          <w:tcPr>
            <w:tcW w:w="2410" w:type="dxa"/>
          </w:tcPr>
          <w:p w14:paraId="76D56A88"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Very low probability of subsidence or rock fails with serious consequences</w:t>
            </w:r>
          </w:p>
        </w:tc>
        <w:tc>
          <w:tcPr>
            <w:tcW w:w="1984" w:type="dxa"/>
            <w:vMerge w:val="restart"/>
          </w:tcPr>
          <w:p w14:paraId="7464E81A"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Safety assessment of landform stability including slope angle, length and profile.</w:t>
            </w:r>
          </w:p>
        </w:tc>
        <w:tc>
          <w:tcPr>
            <w:tcW w:w="5172" w:type="dxa"/>
            <w:vMerge w:val="restart"/>
          </w:tcPr>
          <w:p w14:paraId="5E2921A8"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Certification from an appropriately qualified person that the final voids are stable into the foreseeable future and have been constructed in accordance with RPEQ designs and the criteria defined in Table F3: Residual Void Design of the EA.</w:t>
            </w:r>
          </w:p>
        </w:tc>
        <w:tc>
          <w:tcPr>
            <w:tcW w:w="2851" w:type="dxa"/>
            <w:vMerge w:val="restart"/>
          </w:tcPr>
          <w:p w14:paraId="6AFD1FBE"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Re-work site to a stable state and monitor erosion and sediment mitigation measures. Residual void design to be reassessed. Assessment by geotechnical professional and cut back landforms if necessary.</w:t>
            </w:r>
          </w:p>
        </w:tc>
      </w:tr>
      <w:tr w:rsidR="00AB2F1B" w:rsidRPr="00AB2F1B" w14:paraId="7EF71CE7" w14:textId="77777777" w:rsidTr="005D5CCC">
        <w:tc>
          <w:tcPr>
            <w:cnfStyle w:val="001000000000" w:firstRow="0" w:lastRow="0" w:firstColumn="1" w:lastColumn="0" w:oddVBand="0" w:evenVBand="0" w:oddHBand="0" w:evenHBand="0" w:firstRowFirstColumn="0" w:firstRowLastColumn="0" w:lastRowFirstColumn="0" w:lastRowLastColumn="0"/>
            <w:tcW w:w="1838" w:type="dxa"/>
            <w:vMerge/>
          </w:tcPr>
          <w:p w14:paraId="1F0B1971" w14:textId="77777777" w:rsidR="00AB2F1B" w:rsidRPr="00AB2F1B" w:rsidRDefault="00AB2F1B" w:rsidP="00AB2F1B">
            <w:pPr>
              <w:spacing w:before="60" w:beforeAutospacing="0" w:after="60" w:afterAutospacing="0" w:line="300" w:lineRule="auto"/>
              <w:rPr>
                <w:rFonts w:cstheme="minorHAnsi"/>
                <w:szCs w:val="18"/>
              </w:rPr>
            </w:pPr>
          </w:p>
        </w:tc>
        <w:tc>
          <w:tcPr>
            <w:tcW w:w="2410" w:type="dxa"/>
          </w:tcPr>
          <w:p w14:paraId="07DBD221"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Very low probability of slope slippage with serious consequences</w:t>
            </w:r>
          </w:p>
        </w:tc>
        <w:tc>
          <w:tcPr>
            <w:tcW w:w="1984" w:type="dxa"/>
            <w:vMerge/>
          </w:tcPr>
          <w:p w14:paraId="1718F9CF"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5172" w:type="dxa"/>
            <w:vMerge/>
          </w:tcPr>
          <w:p w14:paraId="3434280E"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851" w:type="dxa"/>
            <w:vMerge/>
          </w:tcPr>
          <w:p w14:paraId="4FF18138"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AB2F1B" w:rsidRPr="00AB2F1B" w14:paraId="00F3FAC3" w14:textId="77777777" w:rsidTr="005D5CCC">
        <w:tc>
          <w:tcPr>
            <w:cnfStyle w:val="001000000000" w:firstRow="0" w:lastRow="0" w:firstColumn="1" w:lastColumn="0" w:oddVBand="0" w:evenVBand="0" w:oddHBand="0" w:evenHBand="0" w:firstRowFirstColumn="0" w:firstRowLastColumn="0" w:lastRowFirstColumn="0" w:lastRowLastColumn="0"/>
            <w:tcW w:w="1838" w:type="dxa"/>
            <w:vMerge/>
          </w:tcPr>
          <w:p w14:paraId="691CC8C5" w14:textId="77777777" w:rsidR="00AB2F1B" w:rsidRPr="00AB2F1B" w:rsidRDefault="00AB2F1B" w:rsidP="00AB2F1B">
            <w:pPr>
              <w:spacing w:before="60" w:beforeAutospacing="0" w:after="60" w:afterAutospacing="0" w:line="300" w:lineRule="auto"/>
              <w:rPr>
                <w:rFonts w:cstheme="minorHAnsi"/>
                <w:szCs w:val="18"/>
              </w:rPr>
            </w:pPr>
          </w:p>
        </w:tc>
        <w:tc>
          <w:tcPr>
            <w:tcW w:w="2410" w:type="dxa"/>
          </w:tcPr>
          <w:p w14:paraId="104F1B57"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Landform design achieves appropriate erosion rates.</w:t>
            </w:r>
          </w:p>
        </w:tc>
        <w:tc>
          <w:tcPr>
            <w:tcW w:w="1984" w:type="dxa"/>
          </w:tcPr>
          <w:p w14:paraId="45D8900D"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B2F1B">
              <w:rPr>
                <w:rFonts w:cstheme="minorHAnsi"/>
                <w:szCs w:val="18"/>
              </w:rPr>
              <w:t>Erosion rates and gully formation</w:t>
            </w:r>
          </w:p>
        </w:tc>
        <w:tc>
          <w:tcPr>
            <w:tcW w:w="5172" w:type="dxa"/>
            <w:vMerge/>
          </w:tcPr>
          <w:p w14:paraId="201B2C73" w14:textId="77777777" w:rsidR="00AB2F1B" w:rsidRPr="00AB2F1B" w:rsidRDefault="00AB2F1B" w:rsidP="00AB2F1B">
            <w:pPr>
              <w:autoSpaceDE w:val="0"/>
              <w:autoSpaceDN w:val="0"/>
              <w:adjustRightInd w:val="0"/>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851" w:type="dxa"/>
            <w:vMerge/>
          </w:tcPr>
          <w:p w14:paraId="4D84F691" w14:textId="77777777" w:rsidR="00AB2F1B" w:rsidRPr="00AB2F1B" w:rsidRDefault="00AB2F1B" w:rsidP="00AB2F1B">
            <w:pPr>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r>
    </w:tbl>
    <w:p w14:paraId="682E1044" w14:textId="77777777" w:rsidR="00AB2F1B" w:rsidRDefault="00AB2F1B" w:rsidP="00AB2F1B">
      <w:pPr>
        <w:spacing w:before="200"/>
        <w:rPr>
          <w:szCs w:val="22"/>
        </w:rPr>
        <w:sectPr w:rsidR="00AB2F1B" w:rsidSect="00B528CA">
          <w:pgSz w:w="16839" w:h="11907" w:orient="landscape" w:code="9"/>
          <w:pgMar w:top="1440" w:right="1134" w:bottom="1440" w:left="1440" w:header="340" w:footer="340" w:gutter="0"/>
          <w:cols w:space="708"/>
          <w:docGrid w:linePitch="360"/>
        </w:sectPr>
      </w:pPr>
    </w:p>
    <w:p w14:paraId="6EF30B0E" w14:textId="67CDA724" w:rsidR="00CB1E6D" w:rsidRDefault="00CB1E6D" w:rsidP="00CB1E6D">
      <w:pPr>
        <w:pStyle w:val="Heading3"/>
      </w:pPr>
      <w:bookmarkStart w:id="220" w:name="_Toc87278357"/>
      <w:r>
        <w:lastRenderedPageBreak/>
        <w:t>Risk mitigation and management</w:t>
      </w:r>
      <w:bookmarkEnd w:id="220"/>
    </w:p>
    <w:p w14:paraId="60B87B78" w14:textId="5080B9F7" w:rsidR="00FE476D" w:rsidRDefault="00FE476D" w:rsidP="00FE476D">
      <w:pPr>
        <w:pStyle w:val="BodyText"/>
      </w:pPr>
      <w:bookmarkStart w:id="221" w:name="_Hlk57988790"/>
      <w:r>
        <w:t>According to the EAR and preliminary documentation (MCPL, 2018</w:t>
      </w:r>
      <w:r w:rsidR="005D5CCC">
        <w:t>a</w:t>
      </w:r>
      <w:r>
        <w:t xml:space="preserve"> &amp; 2019), the north and south voids are anticipated to equilibrate as </w:t>
      </w:r>
      <w:r w:rsidRPr="00FE476D">
        <w:rPr>
          <w:i/>
          <w:iCs/>
        </w:rPr>
        <w:t>terminal sink flow regimes</w:t>
      </w:r>
      <w:r>
        <w:t>, with ‘pit lake’ levels that will remain below overflow levels. The assessment concluded the final voids pose a low risk of environmental harm, with commitments to implementing the following key risk mitigation and management measures</w:t>
      </w:r>
      <w:r w:rsidR="004C52BE">
        <w:t>.</w:t>
      </w:r>
    </w:p>
    <w:p w14:paraId="049B5A20" w14:textId="214B833F" w:rsidR="00FE476D" w:rsidRPr="00A83B70" w:rsidRDefault="00477D65" w:rsidP="001628AA">
      <w:pPr>
        <w:pStyle w:val="BodyText"/>
        <w:numPr>
          <w:ilvl w:val="0"/>
          <w:numId w:val="33"/>
        </w:numPr>
        <w:spacing w:before="80" w:after="80"/>
      </w:pPr>
      <w:r w:rsidRPr="00A83B70">
        <w:t xml:space="preserve">Minimisation of out-of-pit waste emplacements via backfilling of </w:t>
      </w:r>
      <w:r w:rsidR="005A6C1B" w:rsidRPr="00A83B70">
        <w:t xml:space="preserve">the </w:t>
      </w:r>
      <w:r w:rsidRPr="00A83B70">
        <w:t xml:space="preserve">open cut pit void. </w:t>
      </w:r>
    </w:p>
    <w:p w14:paraId="05FB4894" w14:textId="3A73D131" w:rsidR="00D150ED" w:rsidRDefault="00D150ED" w:rsidP="001628AA">
      <w:pPr>
        <w:pStyle w:val="BodyText"/>
        <w:numPr>
          <w:ilvl w:val="0"/>
          <w:numId w:val="33"/>
        </w:numPr>
        <w:spacing w:before="80" w:after="80"/>
      </w:pPr>
      <w:r w:rsidRPr="00D150ED">
        <w:t>Final catchment areas draining to the voids will be minimised using upslope diversion drains</w:t>
      </w:r>
      <w:r>
        <w:t xml:space="preserve"> (Section </w:t>
      </w:r>
      <w:r>
        <w:fldChar w:fldCharType="begin"/>
      </w:r>
      <w:r>
        <w:instrText xml:space="preserve"> REF _Ref56437794 \n \h </w:instrText>
      </w:r>
      <w:r>
        <w:fldChar w:fldCharType="separate"/>
      </w:r>
      <w:r w:rsidR="00937ADD">
        <w:t>5.2.3</w:t>
      </w:r>
      <w:r>
        <w:fldChar w:fldCharType="end"/>
      </w:r>
      <w:r>
        <w:t>).</w:t>
      </w:r>
    </w:p>
    <w:p w14:paraId="01450916" w14:textId="44D258B3" w:rsidR="00D150ED" w:rsidRDefault="00D150ED" w:rsidP="001628AA">
      <w:pPr>
        <w:pStyle w:val="BodyText"/>
        <w:numPr>
          <w:ilvl w:val="0"/>
          <w:numId w:val="33"/>
        </w:numPr>
        <w:spacing w:before="80" w:after="80"/>
      </w:pPr>
      <w:r>
        <w:t>For the southern void (partially located on the Roper Creek floodplain), a</w:t>
      </w:r>
      <w:r w:rsidRPr="00D150ED">
        <w:t xml:space="preserve"> flood bund </w:t>
      </w:r>
      <w:r>
        <w:t>wil</w:t>
      </w:r>
      <w:r w:rsidRPr="00D150ED">
        <w:t>l be incorporated into the rehabilitated final landform of this void to prevent floodwater from entering and to form a self-sustaining structure that does not require long term maintenance</w:t>
      </w:r>
      <w:r w:rsidR="005E1F4F">
        <w:t>.</w:t>
      </w:r>
      <w:r>
        <w:t xml:space="preserve"> </w:t>
      </w:r>
      <w:r w:rsidR="000855F2" w:rsidRPr="000855F2">
        <w:t>The bund will have a crest height above the PMF level from Roper Creek</w:t>
      </w:r>
      <w:r w:rsidR="005E1F4F">
        <w:t>.</w:t>
      </w:r>
      <w:r w:rsidR="005E1F4F" w:rsidRPr="005E1F4F">
        <w:t xml:space="preserve"> </w:t>
      </w:r>
      <w:r w:rsidR="005E1F4F">
        <w:t xml:space="preserve">The flood protection levees on the western side of the mine will also be removed such that the rehabilitated out-of-pit overburden areas will prevent floodwater from entering the pit (Section </w:t>
      </w:r>
      <w:r w:rsidR="005E1F4F">
        <w:fldChar w:fldCharType="begin"/>
      </w:r>
      <w:r w:rsidR="005E1F4F">
        <w:instrText xml:space="preserve"> REF _Ref56437794 \n \h </w:instrText>
      </w:r>
      <w:r w:rsidR="005E1F4F">
        <w:fldChar w:fldCharType="separate"/>
      </w:r>
      <w:r w:rsidR="00937ADD">
        <w:t>5.2.3</w:t>
      </w:r>
      <w:r w:rsidR="005E1F4F">
        <w:fldChar w:fldCharType="end"/>
      </w:r>
      <w:r w:rsidR="005E1F4F">
        <w:t>).</w:t>
      </w:r>
    </w:p>
    <w:p w14:paraId="61F68303" w14:textId="77777777" w:rsidR="001A52A3" w:rsidRDefault="001A52A3">
      <w:pPr>
        <w:rPr>
          <w:b/>
          <w:sz w:val="32"/>
          <w:szCs w:val="36"/>
        </w:rPr>
      </w:pPr>
      <w:bookmarkStart w:id="222" w:name="_Ref57713341"/>
      <w:bookmarkEnd w:id="221"/>
      <w:r>
        <w:br w:type="page"/>
      </w:r>
    </w:p>
    <w:p w14:paraId="6AC2AAF3" w14:textId="3EBFDFB9" w:rsidR="00046725" w:rsidRDefault="00046725" w:rsidP="00046725">
      <w:pPr>
        <w:pStyle w:val="Heading2"/>
      </w:pPr>
      <w:bookmarkStart w:id="223" w:name="_Ref62138253"/>
      <w:bookmarkStart w:id="224" w:name="_Toc87278358"/>
      <w:r>
        <w:lastRenderedPageBreak/>
        <w:t>Jellinbah coal mine</w:t>
      </w:r>
      <w:bookmarkEnd w:id="222"/>
      <w:bookmarkEnd w:id="223"/>
      <w:bookmarkEnd w:id="224"/>
    </w:p>
    <w:p w14:paraId="5EF9D7BE" w14:textId="55BC9BD9" w:rsidR="004C1EFD" w:rsidRDefault="004C1EFD" w:rsidP="004C1EFD">
      <w:pPr>
        <w:pStyle w:val="Heading3"/>
      </w:pPr>
      <w:bookmarkStart w:id="225" w:name="_Toc87278359"/>
      <w:r>
        <w:t>Project status</w:t>
      </w:r>
      <w:bookmarkEnd w:id="225"/>
    </w:p>
    <w:p w14:paraId="38633FA9" w14:textId="72E2F6D0" w:rsidR="001C0DB7" w:rsidRDefault="004C1EFD" w:rsidP="002C0D90">
      <w:pPr>
        <w:pStyle w:val="BodyText"/>
      </w:pPr>
      <w:r>
        <w:t>The Jellinbah coal mine</w:t>
      </w:r>
      <w:r w:rsidR="005478EB">
        <w:t>,</w:t>
      </w:r>
      <w:r>
        <w:t xml:space="preserve"> situated in the Bowen Basin at Jellinbah in Central Queensland</w:t>
      </w:r>
      <w:r w:rsidR="002C0D90">
        <w:t>, approximately 30 km northeast of Blackwater and 180 km west of Rockhampton (</w:t>
      </w:r>
      <w:r>
        <w:fldChar w:fldCharType="begin"/>
      </w:r>
      <w:r>
        <w:instrText xml:space="preserve"> REF _Ref57289247 \h </w:instrText>
      </w:r>
      <w:r>
        <w:fldChar w:fldCharType="separate"/>
      </w:r>
      <w:r w:rsidR="00937ADD">
        <w:t xml:space="preserve">Figure </w:t>
      </w:r>
      <w:r w:rsidR="00937ADD">
        <w:rPr>
          <w:noProof/>
        </w:rPr>
        <w:t>4</w:t>
      </w:r>
      <w:r w:rsidR="00937ADD">
        <w:noBreakHyphen/>
      </w:r>
      <w:r w:rsidR="00937ADD">
        <w:rPr>
          <w:noProof/>
        </w:rPr>
        <w:t>1</w:t>
      </w:r>
      <w:r>
        <w:fldChar w:fldCharType="end"/>
      </w:r>
      <w:r>
        <w:t>), commenced operation in 1989. It is an open</w:t>
      </w:r>
      <w:r w:rsidR="004C52BE">
        <w:t>-</w:t>
      </w:r>
      <w:r>
        <w:t>cut operation with overburden drilling and blasting, followed by conventional removal with truck and shovel and dozer push. The reserves are low volatile bituminous coal with high specific energy and low ash</w:t>
      </w:r>
      <w:r w:rsidR="001C0DB7">
        <w:t xml:space="preserve"> and th</w:t>
      </w:r>
      <w:r>
        <w:t>e mine has a current production capacity of approximately 5 Mtpa. Jellinbah East Joint Venture (JEJV)</w:t>
      </w:r>
      <w:r w:rsidR="001C0DB7">
        <w:t xml:space="preserve"> own the mine</w:t>
      </w:r>
      <w:r>
        <w:t>,</w:t>
      </w:r>
      <w:r w:rsidR="001C0DB7">
        <w:t xml:space="preserve"> with shared ownership between J</w:t>
      </w:r>
      <w:r>
        <w:t xml:space="preserve">ellinbah Group (70%), Marubeni Coal (15%) and Sojitz Coal (15%). </w:t>
      </w:r>
    </w:p>
    <w:p w14:paraId="780AB819" w14:textId="476A0FC0" w:rsidR="004C1EFD" w:rsidRDefault="004C1EFD" w:rsidP="002C0D90">
      <w:pPr>
        <w:pStyle w:val="BodyText"/>
      </w:pPr>
      <w:r>
        <w:t xml:space="preserve">The most recent approval process for the Central North Extension (CNE) </w:t>
      </w:r>
      <w:r w:rsidR="00E31A22">
        <w:t>p</w:t>
      </w:r>
      <w:r>
        <w:t>roject</w:t>
      </w:r>
      <w:r w:rsidR="00D969F4">
        <w:t xml:space="preserve"> entails</w:t>
      </w:r>
      <w:r>
        <w:t xml:space="preserve"> the addition of three mining leases to the existing mine for the purpose of extending approved mining activities further to the east and expanding the area available for spoil dumping and topsoil placement</w:t>
      </w:r>
      <w:r w:rsidR="00D969F4">
        <w:t>. The process</w:t>
      </w:r>
      <w:r>
        <w:t xml:space="preserve"> is as follows</w:t>
      </w:r>
      <w:r w:rsidR="004C52BE">
        <w:t>.</w:t>
      </w:r>
    </w:p>
    <w:p w14:paraId="7A492923" w14:textId="2A220944" w:rsidR="00A22527" w:rsidRDefault="004C1EFD" w:rsidP="001628AA">
      <w:pPr>
        <w:pStyle w:val="BodyText"/>
        <w:numPr>
          <w:ilvl w:val="0"/>
          <w:numId w:val="61"/>
        </w:numPr>
        <w:spacing w:before="80" w:after="80"/>
      </w:pPr>
      <w:r>
        <w:t xml:space="preserve">JEJV sought approval for the CNE </w:t>
      </w:r>
      <w:r w:rsidR="00E31A22">
        <w:t>p</w:t>
      </w:r>
      <w:r>
        <w:t xml:space="preserve">roject through a major amendment of EA EPML00516813 in August 2015. An </w:t>
      </w:r>
      <w:r w:rsidR="00E31A22">
        <w:t>‘</w:t>
      </w:r>
      <w:r>
        <w:t>Information Request</w:t>
      </w:r>
      <w:r w:rsidR="00E31A22">
        <w:t>’</w:t>
      </w:r>
      <w:r>
        <w:t xml:space="preserve"> from DES was received in September 2015, and a ‘Response to Information Request’ was submitted in September 2016</w:t>
      </w:r>
      <w:r w:rsidR="009F6C36">
        <w:t xml:space="preserve"> </w:t>
      </w:r>
      <w:r w:rsidR="000B48A0" w:rsidRPr="000B48A0">
        <w:t>(AARC, 2015</w:t>
      </w:r>
      <w:r w:rsidR="009F6C36" w:rsidRPr="000B48A0">
        <w:t>)</w:t>
      </w:r>
      <w:r w:rsidRPr="000B48A0">
        <w:t>. Following</w:t>
      </w:r>
      <w:r>
        <w:t xml:space="preserve"> a public notice period, the EA Amendment Application was approved on 10 January 2017, and ML 700011, ML 700012, and ML 700013 were granted in July 2017. Site-specific conditions were included for management and mitigation of impacts on environmental values.</w:t>
      </w:r>
    </w:p>
    <w:p w14:paraId="3FB3C3B3" w14:textId="39CAB545" w:rsidR="004C1EFD" w:rsidRPr="004C1EFD" w:rsidRDefault="004C1EFD" w:rsidP="001628AA">
      <w:pPr>
        <w:pStyle w:val="BodyText"/>
        <w:numPr>
          <w:ilvl w:val="0"/>
          <w:numId w:val="61"/>
        </w:numPr>
        <w:spacing w:before="80" w:after="80"/>
      </w:pPr>
      <w:r>
        <w:t xml:space="preserve">JEJV also sought approval of the Action under the Commonwealth EPBC Act (EPBC 2018/8139). The Commonwealth </w:t>
      </w:r>
      <w:r w:rsidR="004C52BE">
        <w:t xml:space="preserve">Environment </w:t>
      </w:r>
      <w:r>
        <w:t xml:space="preserve">Minister declared the Action to be a </w:t>
      </w:r>
      <w:r w:rsidR="00E31A22">
        <w:t>‘</w:t>
      </w:r>
      <w:r>
        <w:t>controlled action</w:t>
      </w:r>
      <w:r w:rsidR="00E31A22">
        <w:t>’</w:t>
      </w:r>
      <w:r>
        <w:t xml:space="preserve"> for the purposes of the EPBC Act. JEJV prepared preliminary documentation (</w:t>
      </w:r>
      <w:r w:rsidR="00587690">
        <w:t>AARC, 2019</w:t>
      </w:r>
      <w:r>
        <w:t xml:space="preserve">) to enable the Commonwealth </w:t>
      </w:r>
      <w:r w:rsidR="004C52BE">
        <w:t xml:space="preserve">Environment </w:t>
      </w:r>
      <w:r>
        <w:t xml:space="preserve">Minister and interested parties to understand the environmental consequences of the Action on </w:t>
      </w:r>
      <w:r w:rsidR="00052E34">
        <w:t>MNES</w:t>
      </w:r>
      <w:r>
        <w:t>. In April 2020, the Action received Federal approvals from the DAWE under the EPBC Act (with conditions).</w:t>
      </w:r>
    </w:p>
    <w:p w14:paraId="7BF74E17" w14:textId="382BF794" w:rsidR="004C1EFD" w:rsidRDefault="00052E34" w:rsidP="004C1EFD">
      <w:pPr>
        <w:pStyle w:val="BodyText"/>
      </w:pPr>
      <w:r w:rsidRPr="000B48A0">
        <w:t>The following section</w:t>
      </w:r>
      <w:r w:rsidR="00E31A22">
        <w:t>s</w:t>
      </w:r>
      <w:r w:rsidRPr="000B48A0">
        <w:t xml:space="preserve"> describe relevant information made available by </w:t>
      </w:r>
      <w:r w:rsidR="00E31A22">
        <w:t>JEJV</w:t>
      </w:r>
      <w:r w:rsidRPr="000B48A0">
        <w:t xml:space="preserve"> to support the State (</w:t>
      </w:r>
      <w:r w:rsidR="000B48A0" w:rsidRPr="000B48A0">
        <w:t xml:space="preserve">AARC, </w:t>
      </w:r>
      <w:r w:rsidRPr="000B48A0">
        <w:t>20</w:t>
      </w:r>
      <w:r w:rsidR="000B48A0" w:rsidRPr="000B48A0">
        <w:t>15</w:t>
      </w:r>
      <w:r w:rsidRPr="000B48A0">
        <w:t>) and Commonwealth (</w:t>
      </w:r>
      <w:bookmarkStart w:id="226" w:name="_Hlk57991753"/>
      <w:r w:rsidR="000B48A0" w:rsidRPr="000B48A0">
        <w:t>AARC</w:t>
      </w:r>
      <w:r w:rsidRPr="000B48A0">
        <w:t xml:space="preserve">, </w:t>
      </w:r>
      <w:r w:rsidR="001C0DB7">
        <w:t xml:space="preserve">2018 &amp; </w:t>
      </w:r>
      <w:r w:rsidRPr="000B48A0">
        <w:t>2019</w:t>
      </w:r>
      <w:bookmarkEnd w:id="226"/>
      <w:r w:rsidRPr="000B48A0">
        <w:t xml:space="preserve">) approval processes </w:t>
      </w:r>
      <w:r w:rsidR="00B225E1">
        <w:t>for</w:t>
      </w:r>
      <w:r w:rsidRPr="000B48A0">
        <w:t xml:space="preserve"> the </w:t>
      </w:r>
      <w:r w:rsidR="004D0F71">
        <w:t xml:space="preserve">CNE </w:t>
      </w:r>
      <w:r w:rsidR="00B225E1">
        <w:t>p</w:t>
      </w:r>
      <w:r w:rsidRPr="000B48A0">
        <w:t>roject.</w:t>
      </w:r>
    </w:p>
    <w:p w14:paraId="09B3D1C8" w14:textId="6AA430B5" w:rsidR="000B48A0" w:rsidRDefault="000B48A0" w:rsidP="000B48A0">
      <w:pPr>
        <w:pStyle w:val="Heading3"/>
      </w:pPr>
      <w:bookmarkStart w:id="227" w:name="_Toc87278360"/>
      <w:r>
        <w:t>Physical setting</w:t>
      </w:r>
      <w:bookmarkEnd w:id="227"/>
    </w:p>
    <w:p w14:paraId="23C64DEF" w14:textId="78DD6280" w:rsidR="00F8022D" w:rsidRPr="00F8022D" w:rsidRDefault="00D969F4" w:rsidP="00F8022D">
      <w:pPr>
        <w:pStyle w:val="BodyText"/>
      </w:pPr>
      <w:r>
        <w:t xml:space="preserve">The </w:t>
      </w:r>
      <w:r w:rsidR="00004E71">
        <w:t>Jellinbah mine</w:t>
      </w:r>
      <w:r w:rsidR="00004E71" w:rsidRPr="00004E71">
        <w:t xml:space="preserve"> </w:t>
      </w:r>
      <w:r>
        <w:t xml:space="preserve">area </w:t>
      </w:r>
      <w:r w:rsidR="00004E71" w:rsidRPr="00004E71">
        <w:t>has a sub-tropical climate, dominated by a wet humid summer and dry winter</w:t>
      </w:r>
      <w:r w:rsidR="001C0DB7">
        <w:t xml:space="preserve">, </w:t>
      </w:r>
      <w:r w:rsidR="001C0DB7" w:rsidRPr="001C0DB7">
        <w:t>with mean evaporation and evapotranspiration rates exceeding rainfall for all months of the year.</w:t>
      </w:r>
    </w:p>
    <w:p w14:paraId="426C7DE1" w14:textId="6F225A13" w:rsidR="000B48A0" w:rsidRPr="000B48A0" w:rsidRDefault="00F8022D" w:rsidP="00F8022D">
      <w:pPr>
        <w:pStyle w:val="BodyText"/>
      </w:pPr>
      <w:r>
        <w:t>The</w:t>
      </w:r>
      <w:r w:rsidR="00C33673">
        <w:t xml:space="preserve"> mine</w:t>
      </w:r>
      <w:r>
        <w:t xml:space="preserve"> </w:t>
      </w:r>
      <w:r w:rsidR="00004E71">
        <w:t xml:space="preserve">site </w:t>
      </w:r>
      <w:r>
        <w:t xml:space="preserve">is located within the Blackwater Creek and the Mackenzie River catchments of </w:t>
      </w:r>
      <w:r w:rsidR="00CA239D">
        <w:t xml:space="preserve">the </w:t>
      </w:r>
      <w:r>
        <w:t>Fitzroy (drainage) Basin (</w:t>
      </w:r>
      <w:r>
        <w:fldChar w:fldCharType="begin"/>
      </w:r>
      <w:r>
        <w:instrText xml:space="preserve"> REF _Ref57289247 \h </w:instrText>
      </w:r>
      <w:r>
        <w:fldChar w:fldCharType="separate"/>
      </w:r>
      <w:r w:rsidR="00937ADD">
        <w:t xml:space="preserve">Figure </w:t>
      </w:r>
      <w:r w:rsidR="00937ADD">
        <w:rPr>
          <w:noProof/>
        </w:rPr>
        <w:t>4</w:t>
      </w:r>
      <w:r w:rsidR="00937ADD">
        <w:noBreakHyphen/>
      </w:r>
      <w:r w:rsidR="00937ADD">
        <w:rPr>
          <w:noProof/>
        </w:rPr>
        <w:t>1</w:t>
      </w:r>
      <w:r>
        <w:fldChar w:fldCharType="end"/>
      </w:r>
      <w:r>
        <w:t xml:space="preserve">). Blackwater Creek runs parallel to the western boundaries of the existing Jellinbah Central </w:t>
      </w:r>
      <w:r w:rsidR="00C33673">
        <w:t xml:space="preserve">mining lease </w:t>
      </w:r>
      <w:r>
        <w:t xml:space="preserve">area, while the Mackenzie River traverses the </w:t>
      </w:r>
      <w:r w:rsidR="00C33673">
        <w:t>mine area</w:t>
      </w:r>
      <w:r>
        <w:t xml:space="preserve"> between the Mackenzie North </w:t>
      </w:r>
      <w:r w:rsidR="00C33673">
        <w:t xml:space="preserve">mining lease </w:t>
      </w:r>
      <w:r>
        <w:t>area and the existing mining operations at Jellinbah Plains and Jellinbah Central.</w:t>
      </w:r>
    </w:p>
    <w:p w14:paraId="5CC9FB24" w14:textId="17AE0137" w:rsidR="00F8022D" w:rsidRDefault="00F8022D" w:rsidP="00F8022D">
      <w:pPr>
        <w:pStyle w:val="BodyText"/>
      </w:pPr>
      <w:r>
        <w:t>Watercourses within the region are ephemeral with the exception of the Mackenzie River</w:t>
      </w:r>
      <w:r w:rsidR="00D969F4">
        <w:t>,</w:t>
      </w:r>
      <w:r>
        <w:t xml:space="preserve"> which carries controlled releases from Fairbairn Dam, along the Nogoa River, upstream of the </w:t>
      </w:r>
      <w:r w:rsidR="00C33673">
        <w:t>mine site</w:t>
      </w:r>
      <w:r>
        <w:t xml:space="preserve">. </w:t>
      </w:r>
      <w:r w:rsidR="00C33673">
        <w:t>A</w:t>
      </w:r>
      <w:r>
        <w:t xml:space="preserve"> number of minor ephemeral streams</w:t>
      </w:r>
      <w:r w:rsidR="00C33673">
        <w:t xml:space="preserve"> are present in the mine area and some have </w:t>
      </w:r>
      <w:r>
        <w:t>been disturbed by</w:t>
      </w:r>
      <w:r w:rsidR="00C33673">
        <w:t xml:space="preserve"> the operations.</w:t>
      </w:r>
    </w:p>
    <w:p w14:paraId="61C8CC3C" w14:textId="4AEB17FC" w:rsidR="00072FAB" w:rsidRDefault="00EE6F8E" w:rsidP="00072FAB">
      <w:pPr>
        <w:pStyle w:val="BodyText"/>
      </w:pPr>
      <w:r w:rsidRPr="00EE6F8E">
        <w:t xml:space="preserve">The </w:t>
      </w:r>
      <w:r w:rsidR="001C0DB7">
        <w:t xml:space="preserve">mining operation </w:t>
      </w:r>
      <w:r w:rsidR="00B23380">
        <w:t xml:space="preserve">(within the Bowen Basin) </w:t>
      </w:r>
      <w:r w:rsidR="00A853D9">
        <w:t xml:space="preserve">targets the </w:t>
      </w:r>
      <w:r w:rsidRPr="00EE6F8E">
        <w:t xml:space="preserve">Rangal Coal Measures </w:t>
      </w:r>
      <w:r w:rsidR="00A853D9">
        <w:t xml:space="preserve">where the unit </w:t>
      </w:r>
      <w:r w:rsidRPr="00EE6F8E">
        <w:t>sub</w:t>
      </w:r>
      <w:r w:rsidR="00C33673">
        <w:t>-</w:t>
      </w:r>
      <w:r w:rsidRPr="00EE6F8E">
        <w:t>crop</w:t>
      </w:r>
      <w:r w:rsidR="00B225E1">
        <w:t>s</w:t>
      </w:r>
      <w:r w:rsidRPr="00EE6F8E">
        <w:t xml:space="preserve"> </w:t>
      </w:r>
      <w:r w:rsidR="001C0DB7">
        <w:t xml:space="preserve">at shallow depths </w:t>
      </w:r>
      <w:r w:rsidRPr="00EE6F8E">
        <w:t>beneath the Tertiary cover</w:t>
      </w:r>
      <w:r>
        <w:t>.</w:t>
      </w:r>
      <w:r w:rsidRPr="00EE6F8E">
        <w:t xml:space="preserve"> </w:t>
      </w:r>
      <w:r w:rsidR="00C33673">
        <w:t>The r</w:t>
      </w:r>
      <w:r w:rsidR="00072FAB">
        <w:t xml:space="preserve">egional </w:t>
      </w:r>
      <w:r w:rsidR="00C33673">
        <w:t xml:space="preserve">scale </w:t>
      </w:r>
      <w:r w:rsidR="00072FAB">
        <w:t xml:space="preserve">stratigraphy </w:t>
      </w:r>
      <w:r w:rsidR="005E5A0E">
        <w:t>and hydrostratigraphy of</w:t>
      </w:r>
      <w:r w:rsidR="00072FAB">
        <w:t xml:space="preserve"> </w:t>
      </w:r>
      <w:r w:rsidR="005E5A0E">
        <w:t xml:space="preserve">the </w:t>
      </w:r>
      <w:r w:rsidR="004D0F71">
        <w:t>mine</w:t>
      </w:r>
      <w:r w:rsidR="00072FAB">
        <w:t xml:space="preserve"> </w:t>
      </w:r>
      <w:r w:rsidR="005E5A0E">
        <w:t>area</w:t>
      </w:r>
      <w:r w:rsidR="00072FAB">
        <w:t xml:space="preserve"> </w:t>
      </w:r>
      <w:r w:rsidR="00C33673">
        <w:t xml:space="preserve">is </w:t>
      </w:r>
      <w:r w:rsidR="00072FAB">
        <w:t>summarised as follows (from youngest to oldest)</w:t>
      </w:r>
      <w:r w:rsidR="00A853D9">
        <w:t xml:space="preserve"> (AARC, 2019)</w:t>
      </w:r>
      <w:r w:rsidR="004C52BE">
        <w:t>.</w:t>
      </w:r>
      <w:r w:rsidR="00C920E1">
        <w:t xml:space="preserve"> </w:t>
      </w:r>
    </w:p>
    <w:p w14:paraId="6F4FF834" w14:textId="1320120F" w:rsidR="00072FAB" w:rsidRDefault="00072FAB" w:rsidP="001628AA">
      <w:pPr>
        <w:pStyle w:val="BodyText"/>
        <w:numPr>
          <w:ilvl w:val="0"/>
          <w:numId w:val="62"/>
        </w:numPr>
        <w:spacing w:before="80" w:after="80"/>
      </w:pPr>
      <w:r w:rsidRPr="00A853D9">
        <w:rPr>
          <w:i/>
          <w:iCs/>
        </w:rPr>
        <w:t>Quaternary</w:t>
      </w:r>
      <w:r w:rsidR="00C33673" w:rsidRPr="00A853D9">
        <w:rPr>
          <w:i/>
          <w:iCs/>
        </w:rPr>
        <w:t xml:space="preserve"> </w:t>
      </w:r>
      <w:r w:rsidRPr="00A853D9">
        <w:rPr>
          <w:i/>
          <w:iCs/>
        </w:rPr>
        <w:t>alluvium</w:t>
      </w:r>
      <w:r w:rsidR="001C0DB7">
        <w:t xml:space="preserve"> </w:t>
      </w:r>
      <w:r w:rsidR="00A853D9">
        <w:t xml:space="preserve">consisting </w:t>
      </w:r>
      <w:r w:rsidR="00B225E1">
        <w:t xml:space="preserve">of </w:t>
      </w:r>
      <w:r w:rsidR="00A853D9" w:rsidRPr="00A853D9">
        <w:t xml:space="preserve">consolidated soil, silt clay, sand and gravel </w:t>
      </w:r>
      <w:r w:rsidR="00A853D9">
        <w:t>is l</w:t>
      </w:r>
      <w:r w:rsidR="001A208D">
        <w:t>imited in lateral extent</w:t>
      </w:r>
      <w:r w:rsidR="00A853D9">
        <w:t xml:space="preserve"> and </w:t>
      </w:r>
      <w:r w:rsidR="00B225E1">
        <w:t xml:space="preserve">is </w:t>
      </w:r>
      <w:r w:rsidR="00A853D9">
        <w:t>generally</w:t>
      </w:r>
      <w:r w:rsidR="001A208D">
        <w:t xml:space="preserve"> </w:t>
      </w:r>
      <w:r>
        <w:t xml:space="preserve">associated with </w:t>
      </w:r>
      <w:r w:rsidR="00B225E1">
        <w:t xml:space="preserve">the </w:t>
      </w:r>
      <w:r w:rsidR="005E5A0E">
        <w:t xml:space="preserve">larger </w:t>
      </w:r>
      <w:r>
        <w:t>surface drainage</w:t>
      </w:r>
      <w:r w:rsidR="00B225E1">
        <w:t>s</w:t>
      </w:r>
      <w:r w:rsidR="00A853D9">
        <w:t xml:space="preserve">. </w:t>
      </w:r>
      <w:r w:rsidR="00B225E1">
        <w:t>Groundwater in t</w:t>
      </w:r>
      <w:r w:rsidR="004D0F71">
        <w:t>he unit has an electrical conductivity (E</w:t>
      </w:r>
      <w:r w:rsidR="004D0F71" w:rsidRPr="004D0F71">
        <w:t>C</w:t>
      </w:r>
      <w:r w:rsidR="004D0F71">
        <w:t>)</w:t>
      </w:r>
      <w:r w:rsidR="004D0F71" w:rsidRPr="004D0F71">
        <w:t xml:space="preserve"> rang</w:t>
      </w:r>
      <w:r w:rsidR="004D0F71">
        <w:t>e</w:t>
      </w:r>
      <w:r w:rsidR="004D0F71" w:rsidRPr="004D0F71">
        <w:t xml:space="preserve"> </w:t>
      </w:r>
      <w:r w:rsidR="004D0F71">
        <w:t xml:space="preserve">of </w:t>
      </w:r>
      <w:r w:rsidR="004D0F71" w:rsidRPr="004D0F71">
        <w:t>between 456 and 5,410 μS/cm</w:t>
      </w:r>
      <w:r w:rsidR="00C33673">
        <w:t xml:space="preserve"> (</w:t>
      </w:r>
      <w:r w:rsidR="004D0F71">
        <w:t xml:space="preserve">averaging </w:t>
      </w:r>
      <w:r w:rsidR="004D0F71" w:rsidRPr="004D0F71">
        <w:t>1,620 μS/cm</w:t>
      </w:r>
      <w:r w:rsidR="00C33673">
        <w:t>)</w:t>
      </w:r>
      <w:r w:rsidR="005E5A0E">
        <w:t xml:space="preserve">. </w:t>
      </w:r>
    </w:p>
    <w:p w14:paraId="69F1DDFF" w14:textId="535C8839" w:rsidR="00072FAB" w:rsidRDefault="00072FAB" w:rsidP="001628AA">
      <w:pPr>
        <w:pStyle w:val="BodyText"/>
        <w:numPr>
          <w:ilvl w:val="0"/>
          <w:numId w:val="62"/>
        </w:numPr>
        <w:spacing w:before="80" w:after="80"/>
      </w:pPr>
      <w:r w:rsidRPr="00A853D9">
        <w:rPr>
          <w:i/>
          <w:iCs/>
        </w:rPr>
        <w:lastRenderedPageBreak/>
        <w:t>Tertiary deposits</w:t>
      </w:r>
      <w:r>
        <w:t xml:space="preserve"> compris</w:t>
      </w:r>
      <w:r w:rsidR="00A853D9">
        <w:t>ing</w:t>
      </w:r>
      <w:r>
        <w:t xml:space="preserve"> mudstone, sandstone, siltstone, and conglomerate of the Duaringa Formation a</w:t>
      </w:r>
      <w:r w:rsidR="00C33673">
        <w:t>nd</w:t>
      </w:r>
      <w:r>
        <w:t xml:space="preserve"> sediments </w:t>
      </w:r>
      <w:r w:rsidR="004D0F71">
        <w:t>d</w:t>
      </w:r>
      <w:r>
        <w:t>erived from weathering and remobilisation of older units</w:t>
      </w:r>
      <w:r w:rsidR="00A853D9">
        <w:t xml:space="preserve"> occur th</w:t>
      </w:r>
      <w:r w:rsidR="00675A89">
        <w:t>roughout the</w:t>
      </w:r>
      <w:r w:rsidR="00A853D9">
        <w:t xml:space="preserve"> mine area.</w:t>
      </w:r>
      <w:r w:rsidR="005E5A0E" w:rsidRPr="005E5A0E">
        <w:t xml:space="preserve"> </w:t>
      </w:r>
      <w:r w:rsidR="004D0F71">
        <w:t>Where the unit outcrops or sub</w:t>
      </w:r>
      <w:r w:rsidR="00EE6F8E">
        <w:t>-</w:t>
      </w:r>
      <w:r w:rsidR="004D0F71">
        <w:t>crops</w:t>
      </w:r>
      <w:r w:rsidR="00EE6F8E">
        <w:t xml:space="preserve"> it is </w:t>
      </w:r>
      <w:r w:rsidR="00C920E1">
        <w:t>likely to be generally dry.</w:t>
      </w:r>
      <w:r w:rsidR="00C33673">
        <w:t xml:space="preserve"> </w:t>
      </w:r>
      <w:r w:rsidR="00EE6F8E">
        <w:t xml:space="preserve">Groundwater EC within the unit ranges between </w:t>
      </w:r>
      <w:r w:rsidR="00EE6F8E" w:rsidRPr="00EE6F8E">
        <w:t xml:space="preserve">900 </w:t>
      </w:r>
      <w:r w:rsidR="00EE6F8E">
        <w:t>and</w:t>
      </w:r>
      <w:r w:rsidR="00EE6F8E" w:rsidRPr="00EE6F8E">
        <w:t xml:space="preserve"> 16,100 μS/cm.</w:t>
      </w:r>
    </w:p>
    <w:p w14:paraId="388CFC17" w14:textId="057EFA62" w:rsidR="00072FAB" w:rsidRDefault="00072FAB" w:rsidP="001628AA">
      <w:pPr>
        <w:pStyle w:val="BodyText"/>
        <w:numPr>
          <w:ilvl w:val="0"/>
          <w:numId w:val="62"/>
        </w:numPr>
        <w:spacing w:before="80" w:after="80"/>
      </w:pPr>
      <w:r w:rsidRPr="00A853D9">
        <w:rPr>
          <w:i/>
          <w:iCs/>
        </w:rPr>
        <w:t>Triassic sediments of the Rewan Group</w:t>
      </w:r>
      <w:r w:rsidR="00C33673">
        <w:t xml:space="preserve"> c</w:t>
      </w:r>
      <w:r>
        <w:t>ompris</w:t>
      </w:r>
      <w:r w:rsidR="00C33673">
        <w:t>ing</w:t>
      </w:r>
      <w:r>
        <w:t xml:space="preserve"> lithic sandstone and green to reddish brown mudstone</w:t>
      </w:r>
      <w:r w:rsidR="00C33673">
        <w:t xml:space="preserve"> </w:t>
      </w:r>
      <w:r w:rsidR="00C920E1">
        <w:t>o</w:t>
      </w:r>
      <w:r w:rsidR="00C920E1" w:rsidRPr="00C920E1">
        <w:t>ccur in the eastern</w:t>
      </w:r>
      <w:r w:rsidR="00EE6F8E">
        <w:t xml:space="preserve"> sections of the mine area. Groundwater</w:t>
      </w:r>
      <w:r w:rsidR="00C33673">
        <w:t xml:space="preserve"> in the sediments </w:t>
      </w:r>
      <w:r w:rsidR="001C0DB7">
        <w:t>is</w:t>
      </w:r>
      <w:r w:rsidR="00C33673">
        <w:t xml:space="preserve"> generally</w:t>
      </w:r>
      <w:r w:rsidR="00C920E1">
        <w:t xml:space="preserve"> </w:t>
      </w:r>
      <w:r w:rsidR="001C0DB7">
        <w:t xml:space="preserve">of </w:t>
      </w:r>
      <w:r w:rsidR="00C920E1">
        <w:t xml:space="preserve">poor quality, with </w:t>
      </w:r>
      <w:r w:rsidR="004D0F71">
        <w:t xml:space="preserve">an </w:t>
      </w:r>
      <w:r w:rsidR="00C920E1">
        <w:t>EC r</w:t>
      </w:r>
      <w:r w:rsidR="00C920E1" w:rsidRPr="00C920E1">
        <w:t xml:space="preserve">ange </w:t>
      </w:r>
      <w:r w:rsidR="001C0DB7">
        <w:t xml:space="preserve">of </w:t>
      </w:r>
      <w:r w:rsidR="00C920E1">
        <w:t xml:space="preserve">between </w:t>
      </w:r>
      <w:r w:rsidR="00C920E1" w:rsidRPr="00C920E1">
        <w:t xml:space="preserve">6,500 </w:t>
      </w:r>
      <w:r w:rsidR="004D0F71">
        <w:t>and</w:t>
      </w:r>
      <w:r w:rsidR="00C920E1" w:rsidRPr="00C920E1">
        <w:t xml:space="preserve"> 30,000 μS/cm</w:t>
      </w:r>
      <w:r w:rsidR="00C33673">
        <w:t xml:space="preserve"> (a</w:t>
      </w:r>
      <w:r w:rsidR="00C920E1">
        <w:t xml:space="preserve">veraging </w:t>
      </w:r>
      <w:r w:rsidR="00C920E1" w:rsidRPr="00C920E1">
        <w:t>19,118</w:t>
      </w:r>
      <w:r w:rsidR="00C920E1">
        <w:t xml:space="preserve"> </w:t>
      </w:r>
      <w:r w:rsidR="00C920E1" w:rsidRPr="00C920E1">
        <w:t>μS/cm</w:t>
      </w:r>
      <w:r w:rsidR="00C33673">
        <w:t>)</w:t>
      </w:r>
      <w:r w:rsidR="00C920E1" w:rsidRPr="00C920E1">
        <w:t>.</w:t>
      </w:r>
    </w:p>
    <w:p w14:paraId="1CFAE505" w14:textId="0AD939AB" w:rsidR="004D0F71" w:rsidRDefault="00C33673" w:rsidP="001628AA">
      <w:pPr>
        <w:pStyle w:val="BodyText"/>
        <w:numPr>
          <w:ilvl w:val="0"/>
          <w:numId w:val="62"/>
        </w:numPr>
        <w:spacing w:before="80" w:after="80"/>
      </w:pPr>
      <w:r w:rsidRPr="00A853D9">
        <w:rPr>
          <w:i/>
          <w:iCs/>
        </w:rPr>
        <w:t>Late Permian Blackwater Group c</w:t>
      </w:r>
      <w:r w:rsidR="00072FAB" w:rsidRPr="00A853D9">
        <w:rPr>
          <w:i/>
          <w:iCs/>
        </w:rPr>
        <w:t>oal-bearing sediments</w:t>
      </w:r>
      <w:r w:rsidR="00072FAB">
        <w:t>, including the Rangal Coal Measures</w:t>
      </w:r>
      <w:r w:rsidR="00675A89">
        <w:t xml:space="preserve"> (</w:t>
      </w:r>
      <w:r w:rsidR="00072FAB">
        <w:t xml:space="preserve">the target coal seam for mining </w:t>
      </w:r>
      <w:r>
        <w:t>at the site</w:t>
      </w:r>
      <w:r w:rsidR="00675A89">
        <w:t>) occur at shallow depths in the mine area</w:t>
      </w:r>
      <w:r w:rsidR="00072FAB">
        <w:t>.</w:t>
      </w:r>
      <w:r w:rsidR="004D0F71">
        <w:t xml:space="preserve"> </w:t>
      </w:r>
      <w:r w:rsidR="00EE6F8E">
        <w:t xml:space="preserve">The unit comprises </w:t>
      </w:r>
      <w:r w:rsidR="00EE6F8E" w:rsidRPr="00EE6F8E">
        <w:t xml:space="preserve">interbedded siltstone, sandstone, shale (interburden), and coal. The Permian interburden is hydrogeologically </w:t>
      </w:r>
      <w:r w:rsidR="00E31A22">
        <w:t>‘t</w:t>
      </w:r>
      <w:r w:rsidR="00EE6F8E" w:rsidRPr="00EE6F8E">
        <w:t>ight</w:t>
      </w:r>
      <w:r w:rsidR="00E31A22">
        <w:t>’</w:t>
      </w:r>
      <w:r w:rsidR="00EE6F8E" w:rsidRPr="00EE6F8E">
        <w:t xml:space="preserve"> </w:t>
      </w:r>
      <w:r w:rsidR="00EE6F8E">
        <w:t>(</w:t>
      </w:r>
      <w:r w:rsidR="001C0DB7">
        <w:t xml:space="preserve">i.e. </w:t>
      </w:r>
      <w:r w:rsidR="00EE6F8E" w:rsidRPr="00EE6F8E">
        <w:t>very low yielding</w:t>
      </w:r>
      <w:r w:rsidR="00EE6F8E">
        <w:t>)</w:t>
      </w:r>
      <w:r w:rsidR="00EE6F8E" w:rsidRPr="00EE6F8E">
        <w:t xml:space="preserve">, with </w:t>
      </w:r>
      <w:r w:rsidR="00D969F4">
        <w:t xml:space="preserve">significant </w:t>
      </w:r>
      <w:r w:rsidR="001C0DB7">
        <w:t>groundwater flow</w:t>
      </w:r>
      <w:r w:rsidR="00EE6F8E" w:rsidRPr="00EE6F8E">
        <w:t xml:space="preserve"> </w:t>
      </w:r>
      <w:r w:rsidR="001C0DB7">
        <w:t xml:space="preserve">generally </w:t>
      </w:r>
      <w:r w:rsidR="00EE6F8E" w:rsidRPr="00EE6F8E">
        <w:t>occurring within the coal seams.</w:t>
      </w:r>
      <w:r w:rsidR="00EE6F8E">
        <w:t xml:space="preserve"> </w:t>
      </w:r>
      <w:r w:rsidR="004D0F71">
        <w:t xml:space="preserve">Groundwater </w:t>
      </w:r>
      <w:r>
        <w:t xml:space="preserve">in the unit </w:t>
      </w:r>
      <w:r w:rsidR="004D0F71">
        <w:t xml:space="preserve">is </w:t>
      </w:r>
      <w:r w:rsidR="001C0DB7">
        <w:t xml:space="preserve">generally of </w:t>
      </w:r>
      <w:r w:rsidR="004D0F71">
        <w:t xml:space="preserve">poor quality, with </w:t>
      </w:r>
      <w:r w:rsidR="004D0F71" w:rsidRPr="004D0F71">
        <w:t xml:space="preserve">an EC </w:t>
      </w:r>
      <w:r w:rsidR="004D0F71">
        <w:t>r</w:t>
      </w:r>
      <w:r w:rsidR="004D0F71" w:rsidRPr="004D0F71">
        <w:t>ange</w:t>
      </w:r>
      <w:r w:rsidR="004D0F71">
        <w:t xml:space="preserve"> </w:t>
      </w:r>
      <w:r w:rsidR="001C0DB7">
        <w:t xml:space="preserve">of </w:t>
      </w:r>
      <w:r w:rsidR="004D0F71">
        <w:t xml:space="preserve">between </w:t>
      </w:r>
      <w:r w:rsidR="004D0F71" w:rsidRPr="004D0F71">
        <w:t xml:space="preserve">1,328 </w:t>
      </w:r>
      <w:r w:rsidR="004D0F71">
        <w:t xml:space="preserve">and </w:t>
      </w:r>
      <w:r w:rsidR="004D0F71" w:rsidRPr="004D0F71">
        <w:t>38,400 μS/cm</w:t>
      </w:r>
      <w:r w:rsidR="004D0F71">
        <w:t xml:space="preserve">, averaging </w:t>
      </w:r>
      <w:r w:rsidR="004D0F71" w:rsidRPr="004D0F71">
        <w:t>9,951 μS/cm</w:t>
      </w:r>
      <w:r w:rsidR="004D0F71">
        <w:t>.</w:t>
      </w:r>
    </w:p>
    <w:p w14:paraId="1A82EF9E" w14:textId="25DD9C55" w:rsidR="00072FAB" w:rsidRDefault="00D969F4" w:rsidP="00A85213">
      <w:pPr>
        <w:pStyle w:val="BodyText"/>
      </w:pPr>
      <w:r>
        <w:t>Structurally, t</w:t>
      </w:r>
      <w:r w:rsidR="005E5A0E">
        <w:t xml:space="preserve">he </w:t>
      </w:r>
      <w:r w:rsidR="00C33673">
        <w:t>mine site</w:t>
      </w:r>
      <w:r w:rsidR="005E5A0E">
        <w:t xml:space="preserve"> occurs </w:t>
      </w:r>
      <w:r w:rsidR="00072FAB" w:rsidRPr="00072FAB">
        <w:t>within the Jellinbah Thrust Belt, which lies between the Jellinbah Fault to the west and the Yarrabee Fault to the eas</w:t>
      </w:r>
      <w:r w:rsidR="00C33673">
        <w:t>t. T</w:t>
      </w:r>
      <w:r w:rsidR="00072FAB" w:rsidRPr="00072FAB">
        <w:t>he faults act to compartmentalise the various groundwater units in the area of the</w:t>
      </w:r>
      <w:r w:rsidR="005E5A0E">
        <w:t xml:space="preserve"> mine site.</w:t>
      </w:r>
    </w:p>
    <w:p w14:paraId="38101639" w14:textId="5FCAF04A" w:rsidR="00072FAB" w:rsidRDefault="00854689" w:rsidP="00A85213">
      <w:pPr>
        <w:pStyle w:val="BodyText"/>
      </w:pPr>
      <w:r>
        <w:t xml:space="preserve">The two groundwater bearing units at the mine site are the </w:t>
      </w:r>
      <w:r w:rsidR="001C0DB7">
        <w:t>spatially</w:t>
      </w:r>
      <w:r w:rsidR="009D7E78">
        <w:t xml:space="preserve"> </w:t>
      </w:r>
      <w:r w:rsidR="001C0DB7">
        <w:t xml:space="preserve">limited </w:t>
      </w:r>
      <w:r>
        <w:t xml:space="preserve">Quaternary alluvium and the low yielding Permian coal measures. Current pit </w:t>
      </w:r>
      <w:r w:rsidR="00072FAB" w:rsidRPr="00072FAB">
        <w:t xml:space="preserve">developments associated with the </w:t>
      </w:r>
      <w:r>
        <w:t xml:space="preserve">mine site </w:t>
      </w:r>
      <w:r w:rsidR="00072FAB" w:rsidRPr="00072FAB">
        <w:t xml:space="preserve">have encountered negligible groundwater </w:t>
      </w:r>
      <w:r w:rsidR="00D969F4">
        <w:t>ingress</w:t>
      </w:r>
      <w:r w:rsidR="00732FB4">
        <w:t>, with the rate of evaporation greater than the rate of groundwater inflow</w:t>
      </w:r>
      <w:r w:rsidR="00524797">
        <w:t>.</w:t>
      </w:r>
    </w:p>
    <w:p w14:paraId="358DA804" w14:textId="3803F337" w:rsidR="001C7FDA" w:rsidRDefault="001C7FDA" w:rsidP="001C7FDA">
      <w:pPr>
        <w:pStyle w:val="BodyText"/>
      </w:pPr>
      <w:r>
        <w:t xml:space="preserve">Water quality monitoring of </w:t>
      </w:r>
      <w:r w:rsidR="00C96CE0" w:rsidRPr="00C96CE0">
        <w:t xml:space="preserve">fresh water and/or mine affected water </w:t>
      </w:r>
      <w:r>
        <w:t>that discharges to, or is stored in</w:t>
      </w:r>
      <w:r w:rsidR="004C52BE">
        <w:t>,</w:t>
      </w:r>
      <w:r>
        <w:t xml:space="preserve"> the current open pits may be collected as part of JEJV’s compliance monitoring or environmental management commitments; however, this data is not publicly accessible. </w:t>
      </w:r>
    </w:p>
    <w:p w14:paraId="007EB8A2" w14:textId="6C41ABD2" w:rsidR="00113DBB" w:rsidRDefault="00113DBB" w:rsidP="00113DBB">
      <w:pPr>
        <w:spacing w:before="200"/>
        <w:rPr>
          <w:szCs w:val="22"/>
        </w:rPr>
      </w:pPr>
      <w:r w:rsidRPr="00A10769">
        <w:rPr>
          <w:szCs w:val="22"/>
        </w:rPr>
        <w:t xml:space="preserve">The </w:t>
      </w:r>
      <w:r>
        <w:rPr>
          <w:szCs w:val="22"/>
        </w:rPr>
        <w:t xml:space="preserve">mine site </w:t>
      </w:r>
      <w:r w:rsidRPr="00A10769">
        <w:rPr>
          <w:szCs w:val="22"/>
        </w:rPr>
        <w:t xml:space="preserve">is situated within the Brigalow Belt North bioregion </w:t>
      </w:r>
      <w:r w:rsidR="00B225E1">
        <w:rPr>
          <w:szCs w:val="22"/>
        </w:rPr>
        <w:t xml:space="preserve">of </w:t>
      </w:r>
      <w:r>
        <w:rPr>
          <w:szCs w:val="22"/>
        </w:rPr>
        <w:t>the Isaac–Comet Downs sub-bioregion</w:t>
      </w:r>
      <w:r w:rsidRPr="00A10769">
        <w:rPr>
          <w:szCs w:val="22"/>
        </w:rPr>
        <w:t>.</w:t>
      </w:r>
      <w:r>
        <w:rPr>
          <w:szCs w:val="22"/>
        </w:rPr>
        <w:t xml:space="preserve"> Land within the mine site ha</w:t>
      </w:r>
      <w:r w:rsidR="00D969F4">
        <w:rPr>
          <w:szCs w:val="22"/>
        </w:rPr>
        <w:t>d</w:t>
      </w:r>
      <w:r>
        <w:rPr>
          <w:szCs w:val="22"/>
        </w:rPr>
        <w:t xml:space="preserve"> been predominantly cleared for grazing prior to mining. Remnant vegetation typically remains along watercourses and roads, or in isolated patches of limited connectivity. </w:t>
      </w:r>
    </w:p>
    <w:p w14:paraId="187DC764" w14:textId="77777777" w:rsidR="00113DBB" w:rsidRPr="00A10769" w:rsidRDefault="00113DBB" w:rsidP="00113DBB">
      <w:pPr>
        <w:spacing w:before="200"/>
        <w:rPr>
          <w:szCs w:val="22"/>
        </w:rPr>
      </w:pPr>
      <w:r w:rsidRPr="00A10769">
        <w:rPr>
          <w:szCs w:val="22"/>
        </w:rPr>
        <w:t xml:space="preserve">Surveys conducted within the </w:t>
      </w:r>
      <w:r>
        <w:rPr>
          <w:szCs w:val="22"/>
        </w:rPr>
        <w:t>p</w:t>
      </w:r>
      <w:r w:rsidRPr="00A10769">
        <w:rPr>
          <w:szCs w:val="22"/>
        </w:rPr>
        <w:t xml:space="preserve">roject area identified </w:t>
      </w:r>
      <w:r>
        <w:rPr>
          <w:szCs w:val="22"/>
        </w:rPr>
        <w:t>ten</w:t>
      </w:r>
      <w:r w:rsidRPr="00A10769">
        <w:rPr>
          <w:szCs w:val="22"/>
        </w:rPr>
        <w:t xml:space="preserve"> vegetation communities. These communities consist of:</w:t>
      </w:r>
    </w:p>
    <w:p w14:paraId="2C570512" w14:textId="55FBDEF9" w:rsidR="00113DBB" w:rsidRPr="008A35A3" w:rsidRDefault="00113DBB" w:rsidP="001628AA">
      <w:pPr>
        <w:pStyle w:val="BodyText"/>
        <w:numPr>
          <w:ilvl w:val="0"/>
          <w:numId w:val="51"/>
        </w:numPr>
        <w:spacing w:before="80" w:after="80"/>
        <w:rPr>
          <w:rFonts w:ascii="Arial" w:hAnsi="Arial" w:cs="Arial"/>
        </w:rPr>
      </w:pPr>
      <w:r w:rsidRPr="00AB30A6">
        <w:t>Brigalow</w:t>
      </w:r>
      <w:r w:rsidRPr="008A35A3">
        <w:rPr>
          <w:rFonts w:ascii="Arial" w:hAnsi="Arial" w:cs="Arial"/>
        </w:rPr>
        <w:t xml:space="preserve"> Woodland 1 </w:t>
      </w:r>
      <w:r w:rsidRPr="008A35A3">
        <w:rPr>
          <w:rFonts w:ascii="ArialMT" w:hAnsi="ArialMT" w:cs="ArialMT"/>
        </w:rPr>
        <w:t>– R</w:t>
      </w:r>
      <w:r w:rsidR="000C7472">
        <w:rPr>
          <w:rFonts w:ascii="ArialMT" w:hAnsi="ArialMT" w:cs="ArialMT"/>
        </w:rPr>
        <w:t xml:space="preserve">egional </w:t>
      </w:r>
      <w:r w:rsidRPr="008A35A3">
        <w:rPr>
          <w:rFonts w:ascii="ArialMT" w:hAnsi="ArialMT" w:cs="ArialMT"/>
        </w:rPr>
        <w:t>E</w:t>
      </w:r>
      <w:r w:rsidR="000C7472">
        <w:rPr>
          <w:rFonts w:ascii="ArialMT" w:hAnsi="ArialMT" w:cs="ArialMT"/>
        </w:rPr>
        <w:t>cosystem (RE)</w:t>
      </w:r>
      <w:r w:rsidRPr="008A35A3">
        <w:rPr>
          <w:rFonts w:ascii="ArialMT" w:hAnsi="ArialMT" w:cs="ArialMT"/>
        </w:rPr>
        <w:t xml:space="preserve"> </w:t>
      </w:r>
      <w:r w:rsidRPr="008A35A3">
        <w:rPr>
          <w:rFonts w:ascii="Arial" w:hAnsi="Arial" w:cs="Arial"/>
        </w:rPr>
        <w:t xml:space="preserve">11.3.1, </w:t>
      </w:r>
      <w:r w:rsidRPr="008A35A3">
        <w:rPr>
          <w:rFonts w:ascii="Arial" w:hAnsi="Arial" w:cs="Arial"/>
          <w:i/>
          <w:iCs/>
        </w:rPr>
        <w:t xml:space="preserve">Acacia harpophylla </w:t>
      </w:r>
      <w:r w:rsidRPr="008A35A3">
        <w:rPr>
          <w:rFonts w:ascii="Arial" w:hAnsi="Arial" w:cs="Arial"/>
        </w:rPr>
        <w:t xml:space="preserve">and/or </w:t>
      </w:r>
      <w:r w:rsidRPr="008A35A3">
        <w:rPr>
          <w:rFonts w:ascii="Arial" w:hAnsi="Arial" w:cs="Arial"/>
          <w:i/>
          <w:iCs/>
        </w:rPr>
        <w:t xml:space="preserve">Casurina cristata </w:t>
      </w:r>
      <w:r w:rsidRPr="008A35A3">
        <w:rPr>
          <w:rFonts w:ascii="Arial" w:hAnsi="Arial" w:cs="Arial"/>
        </w:rPr>
        <w:t>open forest on</w:t>
      </w:r>
      <w:r>
        <w:rPr>
          <w:rFonts w:ascii="Arial" w:hAnsi="Arial" w:cs="Arial"/>
        </w:rPr>
        <w:t xml:space="preserve"> </w:t>
      </w:r>
      <w:r w:rsidRPr="008A35A3">
        <w:rPr>
          <w:rFonts w:ascii="Arial" w:hAnsi="Arial" w:cs="Arial"/>
        </w:rPr>
        <w:t>alluvial plains.</w:t>
      </w:r>
    </w:p>
    <w:p w14:paraId="216A5C4B" w14:textId="77777777" w:rsidR="00113DBB" w:rsidRPr="008A35A3" w:rsidRDefault="00113DBB" w:rsidP="001628AA">
      <w:pPr>
        <w:pStyle w:val="BodyText"/>
        <w:numPr>
          <w:ilvl w:val="0"/>
          <w:numId w:val="51"/>
        </w:numPr>
        <w:spacing w:before="80" w:after="80"/>
        <w:rPr>
          <w:rFonts w:ascii="Arial" w:hAnsi="Arial" w:cs="Arial"/>
        </w:rPr>
      </w:pPr>
      <w:r w:rsidRPr="00AB30A6">
        <w:t>Poplar</w:t>
      </w:r>
      <w:r w:rsidRPr="008A35A3">
        <w:rPr>
          <w:rFonts w:ascii="Arial" w:hAnsi="Arial" w:cs="Arial"/>
        </w:rPr>
        <w:t xml:space="preserve"> Box Woodland </w:t>
      </w:r>
      <w:r w:rsidRPr="008A35A3">
        <w:rPr>
          <w:rFonts w:ascii="ArialMT" w:hAnsi="ArialMT" w:cs="ArialMT"/>
        </w:rPr>
        <w:t xml:space="preserve">– </w:t>
      </w:r>
      <w:r>
        <w:rPr>
          <w:rFonts w:ascii="ArialMT" w:hAnsi="ArialMT" w:cs="ArialMT"/>
        </w:rPr>
        <w:t xml:space="preserve">RE </w:t>
      </w:r>
      <w:r w:rsidRPr="008A35A3">
        <w:rPr>
          <w:rFonts w:ascii="Arial" w:hAnsi="Arial" w:cs="Arial"/>
        </w:rPr>
        <w:t xml:space="preserve">11.3.2, </w:t>
      </w:r>
      <w:r w:rsidRPr="008A35A3">
        <w:rPr>
          <w:rFonts w:ascii="Arial" w:hAnsi="Arial" w:cs="Arial"/>
          <w:i/>
          <w:iCs/>
        </w:rPr>
        <w:t xml:space="preserve">Eucalytpus populnea </w:t>
      </w:r>
      <w:r w:rsidRPr="008A35A3">
        <w:rPr>
          <w:rFonts w:ascii="Arial" w:hAnsi="Arial" w:cs="Arial"/>
        </w:rPr>
        <w:t>open woodland on alluvial plains.</w:t>
      </w:r>
    </w:p>
    <w:p w14:paraId="086375CA" w14:textId="77777777" w:rsidR="00113DBB" w:rsidRPr="008A35A3" w:rsidRDefault="00113DBB" w:rsidP="001628AA">
      <w:pPr>
        <w:pStyle w:val="BodyText"/>
        <w:numPr>
          <w:ilvl w:val="0"/>
          <w:numId w:val="51"/>
        </w:numPr>
        <w:spacing w:before="80" w:after="80"/>
        <w:rPr>
          <w:rFonts w:ascii="Arial" w:hAnsi="Arial" w:cs="Arial"/>
        </w:rPr>
      </w:pPr>
      <w:r w:rsidRPr="00AB30A6">
        <w:t>Red</w:t>
      </w:r>
      <w:r w:rsidRPr="008A35A3">
        <w:rPr>
          <w:rFonts w:ascii="Arial" w:hAnsi="Arial" w:cs="Arial"/>
        </w:rPr>
        <w:t xml:space="preserve"> Gum Riparian Woodland </w:t>
      </w:r>
      <w:r w:rsidRPr="008A35A3">
        <w:rPr>
          <w:rFonts w:ascii="ArialMT" w:hAnsi="ArialMT" w:cs="ArialMT"/>
        </w:rPr>
        <w:t xml:space="preserve">– </w:t>
      </w:r>
      <w:r>
        <w:rPr>
          <w:rFonts w:ascii="ArialMT" w:hAnsi="ArialMT" w:cs="ArialMT"/>
        </w:rPr>
        <w:t xml:space="preserve">RE </w:t>
      </w:r>
      <w:r w:rsidRPr="008A35A3">
        <w:rPr>
          <w:rFonts w:ascii="Arial" w:hAnsi="Arial" w:cs="Arial"/>
        </w:rPr>
        <w:t xml:space="preserve">11.3.25, </w:t>
      </w:r>
      <w:r w:rsidRPr="008A35A3">
        <w:rPr>
          <w:rFonts w:ascii="Arial" w:hAnsi="Arial" w:cs="Arial"/>
          <w:i/>
          <w:iCs/>
        </w:rPr>
        <w:t xml:space="preserve">Eucalyptus camaldulensis </w:t>
      </w:r>
      <w:r w:rsidRPr="008A35A3">
        <w:rPr>
          <w:rFonts w:ascii="Arial" w:hAnsi="Arial" w:cs="Arial"/>
        </w:rPr>
        <w:t>woodland fringing drainage</w:t>
      </w:r>
      <w:r>
        <w:rPr>
          <w:rFonts w:ascii="Arial" w:hAnsi="Arial" w:cs="Arial"/>
        </w:rPr>
        <w:t xml:space="preserve"> </w:t>
      </w:r>
      <w:r w:rsidRPr="008A35A3">
        <w:rPr>
          <w:rFonts w:ascii="Arial" w:hAnsi="Arial" w:cs="Arial"/>
        </w:rPr>
        <w:t>lines.</w:t>
      </w:r>
    </w:p>
    <w:p w14:paraId="6AAA7B9E" w14:textId="77777777" w:rsidR="00113DBB" w:rsidRPr="008A35A3" w:rsidRDefault="00113DBB" w:rsidP="001628AA">
      <w:pPr>
        <w:pStyle w:val="BodyText"/>
        <w:numPr>
          <w:ilvl w:val="0"/>
          <w:numId w:val="51"/>
        </w:numPr>
        <w:spacing w:before="80" w:after="80"/>
        <w:rPr>
          <w:rFonts w:ascii="Arial" w:hAnsi="Arial" w:cs="Arial"/>
        </w:rPr>
      </w:pPr>
      <w:r w:rsidRPr="00AB30A6">
        <w:t>Coolabah</w:t>
      </w:r>
      <w:r w:rsidRPr="008A35A3">
        <w:rPr>
          <w:rFonts w:ascii="Arial" w:hAnsi="Arial" w:cs="Arial"/>
        </w:rPr>
        <w:t xml:space="preserve"> Grassy Woodland </w:t>
      </w:r>
      <w:r w:rsidRPr="008A35A3">
        <w:rPr>
          <w:rFonts w:ascii="ArialMT" w:hAnsi="ArialMT" w:cs="ArialMT"/>
        </w:rPr>
        <w:t xml:space="preserve">– </w:t>
      </w:r>
      <w:r>
        <w:rPr>
          <w:rFonts w:ascii="ArialMT" w:hAnsi="ArialMT" w:cs="ArialMT"/>
        </w:rPr>
        <w:t>RE</w:t>
      </w:r>
      <w:r w:rsidRPr="008A35A3">
        <w:rPr>
          <w:rFonts w:ascii="Arial" w:hAnsi="Arial" w:cs="Arial"/>
        </w:rPr>
        <w:t xml:space="preserve">11.3.3, </w:t>
      </w:r>
      <w:r w:rsidRPr="008A35A3">
        <w:rPr>
          <w:rFonts w:ascii="Arial" w:hAnsi="Arial" w:cs="Arial"/>
          <w:i/>
          <w:iCs/>
        </w:rPr>
        <w:t xml:space="preserve">Eucalyptus coolabah </w:t>
      </w:r>
      <w:r w:rsidRPr="008A35A3">
        <w:rPr>
          <w:rFonts w:ascii="Arial" w:hAnsi="Arial" w:cs="Arial"/>
        </w:rPr>
        <w:t>open woodland on alluvial plains.</w:t>
      </w:r>
    </w:p>
    <w:p w14:paraId="29554B8E" w14:textId="77777777" w:rsidR="00113DBB" w:rsidRPr="008A35A3" w:rsidRDefault="00113DBB" w:rsidP="001628AA">
      <w:pPr>
        <w:pStyle w:val="BodyText"/>
        <w:numPr>
          <w:ilvl w:val="0"/>
          <w:numId w:val="51"/>
        </w:numPr>
        <w:spacing w:before="80" w:after="80"/>
        <w:rPr>
          <w:rFonts w:ascii="Arial" w:hAnsi="Arial" w:cs="Arial"/>
        </w:rPr>
      </w:pPr>
      <w:r w:rsidRPr="00AB30A6">
        <w:t>Coolabah</w:t>
      </w:r>
      <w:r w:rsidRPr="008A35A3">
        <w:rPr>
          <w:rFonts w:ascii="Arial" w:hAnsi="Arial" w:cs="Arial"/>
        </w:rPr>
        <w:t xml:space="preserve"> Palustrine Wetlands </w:t>
      </w:r>
      <w:r w:rsidRPr="008A35A3">
        <w:rPr>
          <w:rFonts w:ascii="ArialMT" w:hAnsi="ArialMT" w:cs="ArialMT"/>
        </w:rPr>
        <w:t xml:space="preserve">– </w:t>
      </w:r>
      <w:r>
        <w:rPr>
          <w:rFonts w:ascii="ArialMT" w:hAnsi="ArialMT" w:cs="ArialMT"/>
        </w:rPr>
        <w:t xml:space="preserve">RE </w:t>
      </w:r>
      <w:r w:rsidRPr="008A35A3">
        <w:rPr>
          <w:rFonts w:ascii="Arial" w:hAnsi="Arial" w:cs="Arial"/>
        </w:rPr>
        <w:t xml:space="preserve">11.3.3c, </w:t>
      </w:r>
      <w:r w:rsidRPr="008A35A3">
        <w:rPr>
          <w:rFonts w:ascii="Arial" w:hAnsi="Arial" w:cs="Arial"/>
          <w:i/>
          <w:iCs/>
        </w:rPr>
        <w:t xml:space="preserve">Eucalyptus coolabah </w:t>
      </w:r>
      <w:r w:rsidRPr="008A35A3">
        <w:rPr>
          <w:rFonts w:ascii="Arial" w:hAnsi="Arial" w:cs="Arial"/>
        </w:rPr>
        <w:t>open woodland to woodland with a sedge or grass understory in back swamps and old channels.</w:t>
      </w:r>
    </w:p>
    <w:p w14:paraId="48405F00" w14:textId="77777777" w:rsidR="00113DBB" w:rsidRPr="008A35A3" w:rsidRDefault="00113DBB" w:rsidP="001628AA">
      <w:pPr>
        <w:pStyle w:val="BodyText"/>
        <w:numPr>
          <w:ilvl w:val="0"/>
          <w:numId w:val="51"/>
        </w:numPr>
        <w:spacing w:before="80" w:after="80"/>
        <w:rPr>
          <w:rFonts w:ascii="Arial" w:hAnsi="Arial" w:cs="Arial"/>
        </w:rPr>
      </w:pPr>
      <w:r w:rsidRPr="00AB30A6">
        <w:t>Dawson</w:t>
      </w:r>
      <w:r w:rsidRPr="008A35A3">
        <w:rPr>
          <w:rFonts w:ascii="Arial" w:hAnsi="Arial" w:cs="Arial"/>
        </w:rPr>
        <w:t xml:space="preserve"> Gum Woodland </w:t>
      </w:r>
      <w:r w:rsidRPr="008A35A3">
        <w:rPr>
          <w:rFonts w:ascii="ArialMT" w:hAnsi="ArialMT" w:cs="ArialMT"/>
        </w:rPr>
        <w:t xml:space="preserve">– </w:t>
      </w:r>
      <w:r>
        <w:rPr>
          <w:rFonts w:ascii="ArialMT" w:hAnsi="ArialMT" w:cs="ArialMT"/>
        </w:rPr>
        <w:t xml:space="preserve">RE </w:t>
      </w:r>
      <w:r w:rsidRPr="008A35A3">
        <w:rPr>
          <w:rFonts w:ascii="Arial" w:hAnsi="Arial" w:cs="Arial"/>
        </w:rPr>
        <w:t xml:space="preserve">11.4.8, </w:t>
      </w:r>
      <w:r w:rsidRPr="008A35A3">
        <w:rPr>
          <w:rFonts w:ascii="Arial" w:hAnsi="Arial" w:cs="Arial"/>
          <w:i/>
          <w:iCs/>
        </w:rPr>
        <w:t xml:space="preserve">Eucalyptus cambageana </w:t>
      </w:r>
      <w:r w:rsidRPr="008A35A3">
        <w:rPr>
          <w:rFonts w:ascii="Arial" w:hAnsi="Arial" w:cs="Arial"/>
        </w:rPr>
        <w:t xml:space="preserve">woodland to open forest with </w:t>
      </w:r>
      <w:r w:rsidRPr="008A35A3">
        <w:rPr>
          <w:rFonts w:ascii="Arial" w:hAnsi="Arial" w:cs="Arial"/>
          <w:i/>
          <w:iCs/>
        </w:rPr>
        <w:t xml:space="preserve">Acacia harpophylla </w:t>
      </w:r>
      <w:r w:rsidRPr="008A35A3">
        <w:rPr>
          <w:rFonts w:ascii="Arial" w:hAnsi="Arial" w:cs="Arial"/>
        </w:rPr>
        <w:t>on Cainozoic clay plains.</w:t>
      </w:r>
    </w:p>
    <w:p w14:paraId="688969B9" w14:textId="77777777" w:rsidR="00113DBB" w:rsidRPr="008A35A3" w:rsidRDefault="00113DBB" w:rsidP="001628AA">
      <w:pPr>
        <w:pStyle w:val="BodyText"/>
        <w:numPr>
          <w:ilvl w:val="0"/>
          <w:numId w:val="51"/>
        </w:numPr>
        <w:spacing w:before="80" w:after="80"/>
        <w:rPr>
          <w:rFonts w:ascii="Arial" w:hAnsi="Arial" w:cs="Arial"/>
        </w:rPr>
      </w:pPr>
      <w:r w:rsidRPr="00AB30A6">
        <w:t>Brigalow</w:t>
      </w:r>
      <w:r w:rsidRPr="008A35A3">
        <w:rPr>
          <w:rFonts w:ascii="Arial" w:hAnsi="Arial" w:cs="Arial"/>
        </w:rPr>
        <w:t xml:space="preserve"> Palustrine Wetlands </w:t>
      </w:r>
      <w:r w:rsidRPr="008A35A3">
        <w:rPr>
          <w:rFonts w:ascii="ArialMT" w:hAnsi="ArialMT" w:cs="ArialMT"/>
        </w:rPr>
        <w:t xml:space="preserve">– </w:t>
      </w:r>
      <w:r>
        <w:rPr>
          <w:rFonts w:ascii="ArialMT" w:hAnsi="ArialMT" w:cs="ArialMT"/>
        </w:rPr>
        <w:t xml:space="preserve">RE </w:t>
      </w:r>
      <w:r w:rsidRPr="008A35A3">
        <w:rPr>
          <w:rFonts w:ascii="Arial" w:hAnsi="Arial" w:cs="Arial"/>
        </w:rPr>
        <w:t xml:space="preserve">11.4.8a, Gilgai and small depressions on clay plains usually associated with </w:t>
      </w:r>
      <w:r w:rsidRPr="008A35A3">
        <w:rPr>
          <w:rFonts w:ascii="Arial" w:hAnsi="Arial" w:cs="Arial"/>
          <w:i/>
          <w:iCs/>
        </w:rPr>
        <w:t>Acacia harpophylla</w:t>
      </w:r>
      <w:r w:rsidRPr="008A35A3">
        <w:rPr>
          <w:rFonts w:ascii="Arial" w:hAnsi="Arial" w:cs="Arial"/>
        </w:rPr>
        <w:t>.</w:t>
      </w:r>
    </w:p>
    <w:p w14:paraId="7AA9DF88" w14:textId="77777777" w:rsidR="00113DBB" w:rsidRPr="008A35A3" w:rsidRDefault="00113DBB" w:rsidP="001628AA">
      <w:pPr>
        <w:pStyle w:val="BodyText"/>
        <w:numPr>
          <w:ilvl w:val="0"/>
          <w:numId w:val="51"/>
        </w:numPr>
        <w:spacing w:before="80" w:after="80"/>
        <w:rPr>
          <w:rFonts w:ascii="Arial" w:hAnsi="Arial" w:cs="Arial"/>
        </w:rPr>
      </w:pPr>
      <w:r w:rsidRPr="00AB30A6">
        <w:t>Brigalow</w:t>
      </w:r>
      <w:r w:rsidRPr="008A35A3">
        <w:rPr>
          <w:rFonts w:ascii="Arial" w:hAnsi="Arial" w:cs="Arial"/>
        </w:rPr>
        <w:t xml:space="preserve"> Woodland 2 </w:t>
      </w:r>
      <w:r w:rsidRPr="008A35A3">
        <w:rPr>
          <w:rFonts w:ascii="ArialMT" w:hAnsi="ArialMT" w:cs="ArialMT"/>
        </w:rPr>
        <w:t xml:space="preserve">– </w:t>
      </w:r>
      <w:r>
        <w:rPr>
          <w:rFonts w:ascii="ArialMT" w:hAnsi="ArialMT" w:cs="ArialMT"/>
        </w:rPr>
        <w:t xml:space="preserve">RE </w:t>
      </w:r>
      <w:r w:rsidRPr="008A35A3">
        <w:rPr>
          <w:rFonts w:ascii="Arial" w:hAnsi="Arial" w:cs="Arial"/>
        </w:rPr>
        <w:t xml:space="preserve">11.4.9, </w:t>
      </w:r>
      <w:r w:rsidRPr="008A35A3">
        <w:rPr>
          <w:rFonts w:ascii="Arial" w:hAnsi="Arial" w:cs="Arial"/>
          <w:i/>
          <w:iCs/>
        </w:rPr>
        <w:t xml:space="preserve">Acacia harpohylla </w:t>
      </w:r>
      <w:r w:rsidRPr="008A35A3">
        <w:rPr>
          <w:rFonts w:ascii="Arial" w:hAnsi="Arial" w:cs="Arial"/>
        </w:rPr>
        <w:t xml:space="preserve">shrubby woodland with </w:t>
      </w:r>
      <w:r w:rsidRPr="008A35A3">
        <w:rPr>
          <w:rFonts w:ascii="Arial" w:hAnsi="Arial" w:cs="Arial"/>
          <w:i/>
          <w:iCs/>
        </w:rPr>
        <w:t xml:space="preserve">Terminalia oblongata </w:t>
      </w:r>
      <w:r w:rsidRPr="008A35A3">
        <w:rPr>
          <w:rFonts w:ascii="Arial" w:hAnsi="Arial" w:cs="Arial"/>
        </w:rPr>
        <w:t>on Cainozoic clay plains.</w:t>
      </w:r>
    </w:p>
    <w:p w14:paraId="61F151E0" w14:textId="77777777" w:rsidR="00113DBB" w:rsidRPr="008A35A3" w:rsidRDefault="00113DBB" w:rsidP="001628AA">
      <w:pPr>
        <w:pStyle w:val="BodyText"/>
        <w:numPr>
          <w:ilvl w:val="0"/>
          <w:numId w:val="51"/>
        </w:numPr>
        <w:spacing w:before="80" w:after="80"/>
        <w:rPr>
          <w:rFonts w:ascii="Arial" w:hAnsi="Arial" w:cs="Arial"/>
        </w:rPr>
      </w:pPr>
      <w:r w:rsidRPr="00AB30A6">
        <w:t>Brigalow</w:t>
      </w:r>
      <w:r w:rsidRPr="008A35A3">
        <w:rPr>
          <w:rFonts w:ascii="Arial" w:hAnsi="Arial" w:cs="Arial"/>
        </w:rPr>
        <w:t xml:space="preserve"> and Dawson Gum Open Forest </w:t>
      </w:r>
      <w:r w:rsidRPr="008A35A3">
        <w:rPr>
          <w:rFonts w:ascii="ArialMT" w:hAnsi="ArialMT" w:cs="ArialMT"/>
        </w:rPr>
        <w:t xml:space="preserve">– </w:t>
      </w:r>
      <w:r>
        <w:rPr>
          <w:rFonts w:ascii="ArialMT" w:hAnsi="ArialMT" w:cs="ArialMT"/>
        </w:rPr>
        <w:t xml:space="preserve">RE </w:t>
      </w:r>
      <w:r w:rsidRPr="008A35A3">
        <w:rPr>
          <w:rFonts w:ascii="Arial" w:hAnsi="Arial" w:cs="Arial"/>
        </w:rPr>
        <w:t xml:space="preserve">11.4.9b, </w:t>
      </w:r>
      <w:r w:rsidRPr="008A35A3">
        <w:rPr>
          <w:rFonts w:ascii="Arial" w:hAnsi="Arial" w:cs="Arial"/>
          <w:i/>
          <w:iCs/>
        </w:rPr>
        <w:t xml:space="preserve">Acacia harpophylla </w:t>
      </w:r>
      <w:r w:rsidRPr="008A35A3">
        <w:rPr>
          <w:rFonts w:ascii="Arial" w:hAnsi="Arial" w:cs="Arial"/>
        </w:rPr>
        <w:t xml:space="preserve">and </w:t>
      </w:r>
      <w:r w:rsidRPr="008A35A3">
        <w:rPr>
          <w:rFonts w:ascii="Arial" w:hAnsi="Arial" w:cs="Arial"/>
          <w:i/>
          <w:iCs/>
        </w:rPr>
        <w:t xml:space="preserve">Eucalyptus cambageana </w:t>
      </w:r>
      <w:r w:rsidRPr="008A35A3">
        <w:rPr>
          <w:rFonts w:ascii="Arial" w:hAnsi="Arial" w:cs="Arial"/>
        </w:rPr>
        <w:t>open forest to woodland on Cainozoic clay plains.</w:t>
      </w:r>
    </w:p>
    <w:p w14:paraId="01DEE6C1" w14:textId="77777777" w:rsidR="00113DBB" w:rsidRPr="008A35A3" w:rsidRDefault="00113DBB" w:rsidP="001628AA">
      <w:pPr>
        <w:pStyle w:val="BodyText"/>
        <w:numPr>
          <w:ilvl w:val="0"/>
          <w:numId w:val="51"/>
        </w:numPr>
        <w:spacing w:before="80" w:after="80"/>
      </w:pPr>
      <w:r w:rsidRPr="00AB30A6">
        <w:t>Narrow</w:t>
      </w:r>
      <w:r w:rsidRPr="008A35A3">
        <w:rPr>
          <w:rFonts w:ascii="Arial" w:hAnsi="Arial" w:cs="Arial"/>
        </w:rPr>
        <w:t xml:space="preserve">-leaved Ironbark Woodland </w:t>
      </w:r>
      <w:r w:rsidRPr="008A35A3">
        <w:rPr>
          <w:rFonts w:ascii="ArialMT" w:hAnsi="ArialMT" w:cs="ArialMT"/>
        </w:rPr>
        <w:t xml:space="preserve">– </w:t>
      </w:r>
      <w:r>
        <w:rPr>
          <w:rFonts w:ascii="ArialMT" w:hAnsi="ArialMT" w:cs="ArialMT"/>
        </w:rPr>
        <w:t xml:space="preserve">RE </w:t>
      </w:r>
      <w:r w:rsidRPr="008A35A3">
        <w:rPr>
          <w:rFonts w:ascii="Arial" w:hAnsi="Arial" w:cs="Arial"/>
        </w:rPr>
        <w:t xml:space="preserve">11.5.2, </w:t>
      </w:r>
      <w:r w:rsidRPr="008A35A3">
        <w:rPr>
          <w:rFonts w:ascii="Arial" w:hAnsi="Arial" w:cs="Arial"/>
          <w:i/>
          <w:iCs/>
        </w:rPr>
        <w:t xml:space="preserve">Eucalyptus crebra </w:t>
      </w:r>
      <w:r w:rsidRPr="008A35A3">
        <w:rPr>
          <w:rFonts w:ascii="Arial" w:hAnsi="Arial" w:cs="Arial"/>
        </w:rPr>
        <w:t>on lower slopes of Cainozoic sand plains.</w:t>
      </w:r>
    </w:p>
    <w:p w14:paraId="24196B97" w14:textId="0E5F790A" w:rsidR="00072FAB" w:rsidRDefault="00854689" w:rsidP="00854689">
      <w:pPr>
        <w:pStyle w:val="Heading3"/>
      </w:pPr>
      <w:bookmarkStart w:id="228" w:name="_Ref57989014"/>
      <w:bookmarkStart w:id="229" w:name="_Toc87278361"/>
      <w:r>
        <w:lastRenderedPageBreak/>
        <w:t>Proposed design of residual voids</w:t>
      </w:r>
      <w:bookmarkEnd w:id="228"/>
      <w:bookmarkEnd w:id="229"/>
    </w:p>
    <w:p w14:paraId="51895C44" w14:textId="77777777" w:rsidR="00937ADD" w:rsidRPr="0058518C" w:rsidRDefault="00026994" w:rsidP="00732FB4">
      <w:pPr>
        <w:pStyle w:val="Caption"/>
        <w:rPr>
          <w:bCs w:val="0"/>
          <w:sz w:val="20"/>
          <w:szCs w:val="20"/>
        </w:rPr>
      </w:pPr>
      <w:r w:rsidRPr="00701367">
        <w:t>The</w:t>
      </w:r>
      <w:r w:rsidR="0001528F">
        <w:t xml:space="preserve"> Jellinbah mine operation</w:t>
      </w:r>
      <w:r w:rsidRPr="00701367">
        <w:t xml:space="preserve"> </w:t>
      </w:r>
      <w:r>
        <w:t xml:space="preserve">will </w:t>
      </w:r>
      <w:r w:rsidR="00D969F4">
        <w:t>result in</w:t>
      </w:r>
      <w:r w:rsidR="00D969F4" w:rsidRPr="00ED705F">
        <w:t xml:space="preserve"> </w:t>
      </w:r>
      <w:r w:rsidR="00ED705F" w:rsidRPr="00ED705F">
        <w:t>eight</w:t>
      </w:r>
      <w:r w:rsidRPr="00ED705F">
        <w:t xml:space="preserve"> final voids (totalling</w:t>
      </w:r>
      <w:r>
        <w:t xml:space="preserve"> </w:t>
      </w:r>
      <w:r w:rsidR="006601EB">
        <w:t>744</w:t>
      </w:r>
      <w:r>
        <w:t xml:space="preserve"> ha in area</w:t>
      </w:r>
      <w:r w:rsidR="006601EB">
        <w:t>)</w:t>
      </w:r>
      <w:r w:rsidR="00B225E1">
        <w:t xml:space="preserve">. </w:t>
      </w:r>
      <w:r w:rsidR="005E381F">
        <w:fldChar w:fldCharType="begin"/>
      </w:r>
      <w:r w:rsidR="005E381F">
        <w:instrText xml:space="preserve"> REF _Ref57736127 \h </w:instrText>
      </w:r>
      <w:r w:rsidR="005E381F">
        <w:fldChar w:fldCharType="separate"/>
      </w:r>
      <w:r w:rsidR="00937ADD">
        <w:t xml:space="preserve">Table </w:t>
      </w:r>
      <w:r w:rsidR="00937ADD">
        <w:rPr>
          <w:noProof/>
        </w:rPr>
        <w:t>5</w:t>
      </w:r>
      <w:r w:rsidR="00937ADD">
        <w:noBreakHyphen/>
      </w:r>
      <w:r w:rsidR="00937ADD">
        <w:rPr>
          <w:noProof/>
        </w:rPr>
        <w:t>8</w:t>
      </w:r>
      <w:r w:rsidR="005E381F">
        <w:fldChar w:fldCharType="end"/>
      </w:r>
      <w:r w:rsidR="006601EB">
        <w:t xml:space="preserve"> </w:t>
      </w:r>
      <w:r w:rsidR="006601EB" w:rsidRPr="006601EB">
        <w:t xml:space="preserve">defines the residual void design parameters adopted in the final landform design. </w:t>
      </w:r>
      <w:r w:rsidR="00CD4E87">
        <w:t xml:space="preserve">The </w:t>
      </w:r>
      <w:r w:rsidR="001F0CF8">
        <w:t xml:space="preserve">location of the final voids is presented in </w:t>
      </w:r>
      <w:r w:rsidR="001F0CF8">
        <w:fldChar w:fldCharType="begin"/>
      </w:r>
      <w:r w:rsidR="001F0CF8">
        <w:instrText xml:space="preserve"> REF _Ref57893988 \h </w:instrText>
      </w:r>
      <w:r w:rsidR="001F0CF8">
        <w:fldChar w:fldCharType="separate"/>
      </w:r>
    </w:p>
    <w:p w14:paraId="1DA57712" w14:textId="77777777" w:rsidR="00937ADD" w:rsidRDefault="00937ADD" w:rsidP="00732FB4">
      <w:pPr>
        <w:pStyle w:val="Caption"/>
        <w:rPr>
          <w:bCs w:val="0"/>
          <w:sz w:val="20"/>
          <w:szCs w:val="20"/>
        </w:rPr>
      </w:pPr>
    </w:p>
    <w:p w14:paraId="6AB7B80F" w14:textId="03E726ED" w:rsidR="006601EB" w:rsidRDefault="00937ADD" w:rsidP="00026994">
      <w:pPr>
        <w:pStyle w:val="BodyText"/>
      </w:pPr>
      <w:r>
        <w:t xml:space="preserve">Figure </w:t>
      </w:r>
      <w:r>
        <w:rPr>
          <w:noProof/>
        </w:rPr>
        <w:t>5</w:t>
      </w:r>
      <w:r>
        <w:noBreakHyphen/>
      </w:r>
      <w:r>
        <w:rPr>
          <w:noProof/>
        </w:rPr>
        <w:t>3</w:t>
      </w:r>
      <w:r w:rsidR="001F0CF8">
        <w:fldChar w:fldCharType="end"/>
      </w:r>
      <w:r w:rsidR="001F0CF8">
        <w:t xml:space="preserve">, and their </w:t>
      </w:r>
      <w:r w:rsidR="00CD4E87">
        <w:t xml:space="preserve">layout </w:t>
      </w:r>
      <w:r w:rsidR="001F0CF8">
        <w:t xml:space="preserve">is shown in more detail </w:t>
      </w:r>
      <w:r w:rsidR="00CD4E87">
        <w:t xml:space="preserve">in </w:t>
      </w:r>
      <w:r w:rsidR="00CD4E87">
        <w:fldChar w:fldCharType="begin"/>
      </w:r>
      <w:r w:rsidR="00CD4E87">
        <w:instrText xml:space="preserve"> REF _Ref57737286 \h </w:instrText>
      </w:r>
      <w:r w:rsidR="00CD4E87">
        <w:fldChar w:fldCharType="separate"/>
      </w:r>
      <w:r>
        <w:t xml:space="preserve">Figure </w:t>
      </w:r>
      <w:r>
        <w:rPr>
          <w:noProof/>
        </w:rPr>
        <w:t>5</w:t>
      </w:r>
      <w:r>
        <w:noBreakHyphen/>
      </w:r>
      <w:r>
        <w:rPr>
          <w:noProof/>
        </w:rPr>
        <w:t>4</w:t>
      </w:r>
      <w:r w:rsidR="00CD4E87">
        <w:fldChar w:fldCharType="end"/>
      </w:r>
      <w:r w:rsidR="00CD4E87">
        <w:t xml:space="preserve"> (</w:t>
      </w:r>
      <w:r w:rsidR="00CD4E87" w:rsidRPr="00CD4E87">
        <w:t>MacKenzie North and Plains</w:t>
      </w:r>
      <w:r w:rsidR="00CD4E87">
        <w:t>)</w:t>
      </w:r>
      <w:r w:rsidR="00ED705F">
        <w:t xml:space="preserve"> and </w:t>
      </w:r>
      <w:r w:rsidR="00CD4E87">
        <w:fldChar w:fldCharType="begin"/>
      </w:r>
      <w:r w:rsidR="00CD4E87">
        <w:instrText xml:space="preserve"> REF _Ref57737287 \h </w:instrText>
      </w:r>
      <w:r w:rsidR="00CD4E87">
        <w:fldChar w:fldCharType="separate"/>
      </w:r>
      <w:r>
        <w:t xml:space="preserve">Figure </w:t>
      </w:r>
      <w:r>
        <w:rPr>
          <w:noProof/>
        </w:rPr>
        <w:t>5</w:t>
      </w:r>
      <w:r>
        <w:noBreakHyphen/>
      </w:r>
      <w:r>
        <w:rPr>
          <w:noProof/>
        </w:rPr>
        <w:t>5</w:t>
      </w:r>
      <w:r w:rsidR="00CD4E87">
        <w:fldChar w:fldCharType="end"/>
      </w:r>
      <w:r w:rsidR="00CD4E87" w:rsidRPr="00CD4E87">
        <w:t xml:space="preserve"> </w:t>
      </w:r>
      <w:r w:rsidR="00CD4E87">
        <w:t>(</w:t>
      </w:r>
      <w:r w:rsidR="00ED705F" w:rsidRPr="00ED705F">
        <w:t xml:space="preserve">Central </w:t>
      </w:r>
      <w:r w:rsidR="00C86C6B">
        <w:t>N</w:t>
      </w:r>
      <w:r w:rsidR="00ED705F" w:rsidRPr="00ED705F">
        <w:t>orth, Central, Central South and Jellinbah South</w:t>
      </w:r>
      <w:r w:rsidR="00CD4E87">
        <w:t>)</w:t>
      </w:r>
      <w:r w:rsidR="00ED705F">
        <w:t>.</w:t>
      </w:r>
    </w:p>
    <w:p w14:paraId="07E0E38C" w14:textId="4087A95C" w:rsidR="00026994" w:rsidRDefault="00026994" w:rsidP="00026994">
      <w:pPr>
        <w:pStyle w:val="Caption"/>
      </w:pPr>
      <w:bookmarkStart w:id="230" w:name="_Ref57736127"/>
      <w:bookmarkStart w:id="231" w:name="_Ref57736124"/>
      <w:bookmarkStart w:id="232" w:name="_Toc65140589"/>
      <w:r>
        <w:t xml:space="preserve">Table </w:t>
      </w:r>
      <w:fldSimple w:instr=" STYLEREF 1 \s ">
        <w:r w:rsidR="00937ADD">
          <w:rPr>
            <w:noProof/>
          </w:rPr>
          <w:t>5</w:t>
        </w:r>
      </w:fldSimple>
      <w:r w:rsidR="002714CC">
        <w:noBreakHyphen/>
      </w:r>
      <w:fldSimple w:instr=" SEQ Table \* ARABIC \s 1 ">
        <w:r w:rsidR="00937ADD">
          <w:rPr>
            <w:noProof/>
          </w:rPr>
          <w:t>8</w:t>
        </w:r>
      </w:fldSimple>
      <w:bookmarkEnd w:id="230"/>
      <w:r>
        <w:t xml:space="preserve"> Geometrics of final void design (AARC</w:t>
      </w:r>
      <w:r w:rsidRPr="003C5D94">
        <w:t>, 201</w:t>
      </w:r>
      <w:r w:rsidR="00691C61">
        <w:t>8</w:t>
      </w:r>
      <w:r w:rsidRPr="003C5D94">
        <w:t>)</w:t>
      </w:r>
      <w:bookmarkEnd w:id="231"/>
      <w:bookmarkEnd w:id="232"/>
    </w:p>
    <w:tbl>
      <w:tblPr>
        <w:tblStyle w:val="Plainblue"/>
        <w:tblW w:w="9397"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372"/>
        <w:gridCol w:w="2681"/>
        <w:gridCol w:w="1942"/>
        <w:gridCol w:w="2142"/>
        <w:gridCol w:w="630"/>
        <w:gridCol w:w="630"/>
      </w:tblGrid>
      <w:tr w:rsidR="00691C61" w:rsidRPr="00691C61" w14:paraId="68A6F890" w14:textId="1D1EC84E" w:rsidTr="008C36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vAlign w:val="center"/>
          </w:tcPr>
          <w:p w14:paraId="4919EADB" w14:textId="575839FD" w:rsidR="00691C61" w:rsidRPr="00691C61" w:rsidRDefault="00691C61" w:rsidP="00691C61">
            <w:pPr>
              <w:pStyle w:val="BodyText"/>
              <w:spacing w:before="60" w:beforeAutospacing="0" w:after="60" w:afterAutospacing="0" w:line="300" w:lineRule="auto"/>
              <w:jc w:val="center"/>
              <w:rPr>
                <w:rFonts w:asciiTheme="minorHAnsi" w:hAnsiTheme="minorHAnsi" w:cstheme="minorHAnsi"/>
                <w:szCs w:val="18"/>
              </w:rPr>
            </w:pPr>
            <w:bookmarkStart w:id="233" w:name="_Hlk59535278"/>
            <w:r w:rsidRPr="00691C61">
              <w:rPr>
                <w:rFonts w:asciiTheme="minorHAnsi" w:hAnsiTheme="minorHAnsi" w:cstheme="minorHAnsi"/>
                <w:szCs w:val="18"/>
              </w:rPr>
              <w:t xml:space="preserve">Void </w:t>
            </w:r>
            <w:r w:rsidR="006601EB">
              <w:rPr>
                <w:rFonts w:asciiTheme="minorHAnsi" w:hAnsiTheme="minorHAnsi" w:cstheme="minorHAnsi"/>
                <w:szCs w:val="18"/>
              </w:rPr>
              <w:t>name</w:t>
            </w:r>
          </w:p>
        </w:tc>
        <w:tc>
          <w:tcPr>
            <w:tcW w:w="2152" w:type="dxa"/>
            <w:vAlign w:val="center"/>
          </w:tcPr>
          <w:p w14:paraId="368C9E0C" w14:textId="77777777" w:rsidR="0001528F" w:rsidRDefault="00691C61" w:rsidP="00691C61">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cstheme="minorHAnsi"/>
                <w:b w:val="0"/>
                <w:szCs w:val="18"/>
              </w:rPr>
            </w:pPr>
            <w:r w:rsidRPr="00691C61">
              <w:rPr>
                <w:rFonts w:asciiTheme="minorHAnsi" w:hAnsiTheme="minorHAnsi" w:cstheme="minorHAnsi"/>
                <w:szCs w:val="18"/>
              </w:rPr>
              <w:t>Void ID</w:t>
            </w:r>
            <w:r w:rsidR="006601EB">
              <w:rPr>
                <w:rFonts w:asciiTheme="minorHAnsi" w:hAnsiTheme="minorHAnsi" w:cstheme="minorHAnsi"/>
                <w:szCs w:val="18"/>
              </w:rPr>
              <w:t xml:space="preserve"> </w:t>
            </w:r>
          </w:p>
          <w:p w14:paraId="0253BF89" w14:textId="434E868D" w:rsidR="00691C61" w:rsidRPr="00691C61" w:rsidRDefault="006601EB" w:rsidP="00691C61">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(as per EA)</w:t>
            </w:r>
          </w:p>
        </w:tc>
        <w:tc>
          <w:tcPr>
            <w:tcW w:w="1559" w:type="dxa"/>
            <w:tcBorders>
              <w:bottom w:val="single" w:sz="4" w:space="0" w:color="97ABB6" w:themeColor="accent1"/>
            </w:tcBorders>
            <w:vAlign w:val="center"/>
          </w:tcPr>
          <w:p w14:paraId="61E7946E" w14:textId="681445CE" w:rsidR="00691C61" w:rsidRPr="00691C61" w:rsidRDefault="00691C61" w:rsidP="00691C61">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91C61">
              <w:rPr>
                <w:rFonts w:asciiTheme="minorHAnsi" w:hAnsiTheme="minorHAnsi" w:cstheme="minorHAnsi"/>
                <w:szCs w:val="18"/>
              </w:rPr>
              <w:t>Void wall comp</w:t>
            </w:r>
            <w:r>
              <w:rPr>
                <w:rFonts w:asciiTheme="minorHAnsi" w:hAnsiTheme="minorHAnsi" w:cstheme="minorHAnsi"/>
                <w:szCs w:val="18"/>
              </w:rPr>
              <w:t xml:space="preserve">etent </w:t>
            </w:r>
            <w:r w:rsidRPr="00691C61">
              <w:rPr>
                <w:rFonts w:asciiTheme="minorHAnsi" w:hAnsiTheme="minorHAnsi" w:cstheme="minorHAnsi"/>
                <w:szCs w:val="18"/>
              </w:rPr>
              <w:t>rock max slope (°)</w:t>
            </w:r>
          </w:p>
        </w:tc>
        <w:tc>
          <w:tcPr>
            <w:tcW w:w="1720" w:type="dxa"/>
            <w:tcBorders>
              <w:bottom w:val="single" w:sz="4" w:space="0" w:color="97ABB6" w:themeColor="accent1"/>
            </w:tcBorders>
            <w:vAlign w:val="center"/>
          </w:tcPr>
          <w:p w14:paraId="0C361982" w14:textId="48CFC7B8" w:rsidR="00691C61" w:rsidRPr="00691C61" w:rsidRDefault="00691C61" w:rsidP="00691C61">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91C61">
              <w:rPr>
                <w:rFonts w:asciiTheme="minorHAnsi" w:hAnsiTheme="minorHAnsi" w:cstheme="minorHAnsi"/>
                <w:szCs w:val="18"/>
              </w:rPr>
              <w:t>Void wall incomp</w:t>
            </w:r>
            <w:r>
              <w:rPr>
                <w:rFonts w:asciiTheme="minorHAnsi" w:hAnsiTheme="minorHAnsi" w:cstheme="minorHAnsi"/>
                <w:szCs w:val="18"/>
              </w:rPr>
              <w:t xml:space="preserve">etent </w:t>
            </w:r>
            <w:r w:rsidRPr="00691C61">
              <w:rPr>
                <w:rFonts w:asciiTheme="minorHAnsi" w:hAnsiTheme="minorHAnsi" w:cstheme="minorHAnsi"/>
                <w:szCs w:val="18"/>
              </w:rPr>
              <w:t>rock max slope (°)</w:t>
            </w:r>
          </w:p>
        </w:tc>
        <w:tc>
          <w:tcPr>
            <w:tcW w:w="0" w:type="dxa"/>
            <w:gridSpan w:val="2"/>
            <w:vAlign w:val="center"/>
          </w:tcPr>
          <w:p w14:paraId="40F71B8C" w14:textId="1EC2937C" w:rsidR="00691C61" w:rsidRPr="00691C61" w:rsidRDefault="00691C61" w:rsidP="00691C61">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691C61">
              <w:rPr>
                <w:rFonts w:asciiTheme="minorHAnsi" w:hAnsiTheme="minorHAnsi" w:cstheme="minorHAnsi"/>
                <w:szCs w:val="18"/>
              </w:rPr>
              <w:t>Void maximum surface area (ha)</w:t>
            </w:r>
          </w:p>
        </w:tc>
      </w:tr>
      <w:tr w:rsidR="00BD2846" w:rsidRPr="00691C61" w14:paraId="2F73BEA1" w14:textId="62E8A113" w:rsidTr="008C363B">
        <w:tc>
          <w:tcPr>
            <w:cnfStyle w:val="001000000000" w:firstRow="0" w:lastRow="0" w:firstColumn="1" w:lastColumn="0" w:oddVBand="0" w:evenVBand="0" w:oddHBand="0" w:evenHBand="0" w:firstRowFirstColumn="0" w:firstRowLastColumn="0" w:lastRowFirstColumn="0" w:lastRowLastColumn="0"/>
            <w:tcW w:w="0" w:type="dxa"/>
            <w:vAlign w:val="center"/>
          </w:tcPr>
          <w:p w14:paraId="689AA039" w14:textId="3436C59F"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r w:rsidRPr="003119C2">
              <w:rPr>
                <w:rFonts w:asciiTheme="minorHAnsi" w:hAnsiTheme="minorHAnsi" w:cstheme="minorHAnsi"/>
                <w:b/>
                <w:bCs/>
                <w:szCs w:val="18"/>
              </w:rPr>
              <w:t xml:space="preserve">MacKenzie </w:t>
            </w:r>
            <w:r>
              <w:rPr>
                <w:rFonts w:asciiTheme="minorHAnsi" w:hAnsiTheme="minorHAnsi" w:cstheme="minorHAnsi"/>
                <w:b/>
                <w:bCs/>
                <w:szCs w:val="18"/>
              </w:rPr>
              <w:t>N</w:t>
            </w:r>
            <w:r w:rsidRPr="003119C2">
              <w:rPr>
                <w:rFonts w:asciiTheme="minorHAnsi" w:hAnsiTheme="minorHAnsi" w:cstheme="minorHAnsi"/>
                <w:b/>
                <w:bCs/>
                <w:szCs w:val="18"/>
              </w:rPr>
              <w:t xml:space="preserve">orth </w:t>
            </w:r>
            <w:r>
              <w:rPr>
                <w:rFonts w:asciiTheme="minorHAnsi" w:hAnsiTheme="minorHAnsi" w:cstheme="minorHAnsi"/>
                <w:b/>
                <w:bCs/>
                <w:szCs w:val="18"/>
              </w:rPr>
              <w:t>V</w:t>
            </w:r>
            <w:r w:rsidRPr="003119C2">
              <w:rPr>
                <w:rFonts w:asciiTheme="minorHAnsi" w:hAnsiTheme="minorHAnsi" w:cstheme="minorHAnsi"/>
                <w:b/>
                <w:bCs/>
                <w:szCs w:val="18"/>
              </w:rPr>
              <w:t>oid</w:t>
            </w:r>
          </w:p>
        </w:tc>
        <w:tc>
          <w:tcPr>
            <w:tcW w:w="2152" w:type="dxa"/>
            <w:vAlign w:val="center"/>
          </w:tcPr>
          <w:p w14:paraId="0F01AAD6" w14:textId="0A0ACB27"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 xml:space="preserve">MacKenzie </w:t>
            </w:r>
            <w:r>
              <w:rPr>
                <w:rFonts w:cstheme="minorHAnsi"/>
                <w:szCs w:val="18"/>
              </w:rPr>
              <w:t>N</w:t>
            </w:r>
            <w:r w:rsidRPr="00691C61">
              <w:rPr>
                <w:rFonts w:cstheme="minorHAnsi"/>
                <w:szCs w:val="18"/>
              </w:rPr>
              <w:t>orth</w:t>
            </w:r>
          </w:p>
        </w:tc>
        <w:tc>
          <w:tcPr>
            <w:tcW w:w="1559" w:type="dxa"/>
            <w:vMerge w:val="restart"/>
            <w:vAlign w:val="center"/>
          </w:tcPr>
          <w:p w14:paraId="4E039E72" w14:textId="0C24F604"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70</w:t>
            </w:r>
          </w:p>
        </w:tc>
        <w:tc>
          <w:tcPr>
            <w:tcW w:w="1720" w:type="dxa"/>
            <w:vMerge w:val="restart"/>
            <w:vAlign w:val="center"/>
          </w:tcPr>
          <w:p w14:paraId="7BE258EC" w14:textId="04B34244"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45</w:t>
            </w:r>
          </w:p>
        </w:tc>
        <w:tc>
          <w:tcPr>
            <w:tcW w:w="0" w:type="dxa"/>
            <w:gridSpan w:val="2"/>
            <w:vAlign w:val="center"/>
          </w:tcPr>
          <w:p w14:paraId="1178403B" w14:textId="50F71341"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149</w:t>
            </w:r>
          </w:p>
        </w:tc>
      </w:tr>
      <w:tr w:rsidR="00BD2846" w:rsidRPr="00691C61" w14:paraId="76C6F68C" w14:textId="4D44C13E" w:rsidTr="008C363B">
        <w:tc>
          <w:tcPr>
            <w:cnfStyle w:val="001000000000" w:firstRow="0" w:lastRow="0" w:firstColumn="1" w:lastColumn="0" w:oddVBand="0" w:evenVBand="0" w:oddHBand="0" w:evenHBand="0" w:firstRowFirstColumn="0" w:firstRowLastColumn="0" w:lastRowFirstColumn="0" w:lastRowLastColumn="0"/>
            <w:tcW w:w="0" w:type="dxa"/>
            <w:vMerge w:val="restart"/>
            <w:vAlign w:val="center"/>
          </w:tcPr>
          <w:p w14:paraId="0664E7AE" w14:textId="6C2198B3"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r w:rsidRPr="003119C2">
              <w:rPr>
                <w:rFonts w:asciiTheme="minorHAnsi" w:hAnsiTheme="minorHAnsi" w:cstheme="minorHAnsi"/>
                <w:b/>
                <w:bCs/>
                <w:szCs w:val="18"/>
              </w:rPr>
              <w:t xml:space="preserve">Plains </w:t>
            </w:r>
            <w:r>
              <w:rPr>
                <w:rFonts w:asciiTheme="minorHAnsi" w:hAnsiTheme="minorHAnsi" w:cstheme="minorHAnsi"/>
                <w:b/>
                <w:bCs/>
                <w:szCs w:val="18"/>
              </w:rPr>
              <w:t>V</w:t>
            </w:r>
            <w:r w:rsidRPr="003119C2">
              <w:rPr>
                <w:rFonts w:asciiTheme="minorHAnsi" w:hAnsiTheme="minorHAnsi" w:cstheme="minorHAnsi"/>
                <w:b/>
                <w:bCs/>
                <w:szCs w:val="18"/>
              </w:rPr>
              <w:t>oid</w:t>
            </w:r>
            <w:r>
              <w:rPr>
                <w:rFonts w:asciiTheme="minorHAnsi" w:hAnsiTheme="minorHAnsi" w:cstheme="minorHAnsi"/>
                <w:b/>
                <w:bCs/>
                <w:szCs w:val="18"/>
              </w:rPr>
              <w:t xml:space="preserve"> (N</w:t>
            </w:r>
            <w:r w:rsidRPr="003119C2">
              <w:rPr>
                <w:rFonts w:asciiTheme="minorHAnsi" w:hAnsiTheme="minorHAnsi" w:cstheme="minorHAnsi"/>
                <w:b/>
                <w:bCs/>
                <w:szCs w:val="18"/>
              </w:rPr>
              <w:t>orth</w:t>
            </w:r>
            <w:r>
              <w:rPr>
                <w:rFonts w:asciiTheme="minorHAnsi" w:hAnsiTheme="minorHAnsi" w:cstheme="minorHAnsi"/>
                <w:b/>
                <w:bCs/>
                <w:szCs w:val="18"/>
              </w:rPr>
              <w:t xml:space="preserve"> and South</w:t>
            </w:r>
            <w:r w:rsidRPr="003119C2">
              <w:rPr>
                <w:rFonts w:asciiTheme="minorHAnsi" w:hAnsiTheme="minorHAnsi" w:cstheme="minorHAnsi"/>
                <w:b/>
                <w:bCs/>
                <w:szCs w:val="18"/>
              </w:rPr>
              <w:t>)</w:t>
            </w:r>
          </w:p>
        </w:tc>
        <w:tc>
          <w:tcPr>
            <w:tcW w:w="2152" w:type="dxa"/>
            <w:vAlign w:val="center"/>
          </w:tcPr>
          <w:p w14:paraId="6818B2BC" w14:textId="264A0CB8"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 xml:space="preserve">MacKenzie </w:t>
            </w:r>
            <w:r>
              <w:rPr>
                <w:rFonts w:cstheme="minorHAnsi"/>
                <w:szCs w:val="18"/>
              </w:rPr>
              <w:t>S</w:t>
            </w:r>
            <w:r w:rsidRPr="00691C61">
              <w:rPr>
                <w:rFonts w:cstheme="minorHAnsi"/>
                <w:szCs w:val="18"/>
              </w:rPr>
              <w:t>outh</w:t>
            </w:r>
          </w:p>
        </w:tc>
        <w:tc>
          <w:tcPr>
            <w:tcW w:w="1559" w:type="dxa"/>
            <w:vMerge/>
            <w:vAlign w:val="center"/>
          </w:tcPr>
          <w:p w14:paraId="168DBCCD"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5690CA88"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0BB696E1" w14:textId="3424DED2"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30</w:t>
            </w:r>
          </w:p>
        </w:tc>
        <w:tc>
          <w:tcPr>
            <w:tcW w:w="0" w:type="dxa"/>
            <w:vMerge w:val="restart"/>
            <w:vAlign w:val="center"/>
          </w:tcPr>
          <w:p w14:paraId="61B64EFF" w14:textId="0E77BBD9" w:rsidR="00BD2846" w:rsidRPr="00691C61" w:rsidRDefault="00BD2846" w:rsidP="00691C61">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147</w:t>
            </w:r>
          </w:p>
        </w:tc>
      </w:tr>
      <w:tr w:rsidR="00BD2846" w:rsidRPr="00691C61" w14:paraId="74BD1A1B" w14:textId="2A0186EC" w:rsidTr="008C363B">
        <w:tc>
          <w:tcPr>
            <w:cnfStyle w:val="001000000000" w:firstRow="0" w:lastRow="0" w:firstColumn="1" w:lastColumn="0" w:oddVBand="0" w:evenVBand="0" w:oddHBand="0" w:evenHBand="0" w:firstRowFirstColumn="0" w:firstRowLastColumn="0" w:lastRowFirstColumn="0" w:lastRowLastColumn="0"/>
            <w:tcW w:w="0" w:type="dxa"/>
            <w:vMerge/>
            <w:vAlign w:val="center"/>
          </w:tcPr>
          <w:p w14:paraId="49ED5DA2" w14:textId="77777777"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p>
        </w:tc>
        <w:tc>
          <w:tcPr>
            <w:tcW w:w="2152" w:type="dxa"/>
            <w:vAlign w:val="center"/>
          </w:tcPr>
          <w:p w14:paraId="322DE499" w14:textId="7747457F"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 xml:space="preserve">Plains </w:t>
            </w:r>
            <w:r>
              <w:rPr>
                <w:rFonts w:cstheme="minorHAnsi"/>
                <w:szCs w:val="18"/>
              </w:rPr>
              <w:t>N</w:t>
            </w:r>
            <w:r w:rsidRPr="00691C61">
              <w:rPr>
                <w:rFonts w:cstheme="minorHAnsi"/>
                <w:szCs w:val="18"/>
              </w:rPr>
              <w:t>orth</w:t>
            </w:r>
          </w:p>
        </w:tc>
        <w:tc>
          <w:tcPr>
            <w:tcW w:w="1559" w:type="dxa"/>
            <w:vMerge/>
            <w:vAlign w:val="center"/>
          </w:tcPr>
          <w:p w14:paraId="25A785C5"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26C39549"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3842C645" w14:textId="400A0D1C"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52</w:t>
            </w:r>
          </w:p>
        </w:tc>
        <w:tc>
          <w:tcPr>
            <w:tcW w:w="0" w:type="dxa"/>
            <w:vMerge/>
            <w:vAlign w:val="center"/>
          </w:tcPr>
          <w:p w14:paraId="17A1CFFF" w14:textId="087F15E6" w:rsidR="00BD2846" w:rsidRPr="00691C61" w:rsidRDefault="00BD2846" w:rsidP="00691C61">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BD2846" w:rsidRPr="00691C61" w14:paraId="720131C0" w14:textId="35B52F52" w:rsidTr="008C363B">
        <w:tc>
          <w:tcPr>
            <w:cnfStyle w:val="001000000000" w:firstRow="0" w:lastRow="0" w:firstColumn="1" w:lastColumn="0" w:oddVBand="0" w:evenVBand="0" w:oddHBand="0" w:evenHBand="0" w:firstRowFirstColumn="0" w:firstRowLastColumn="0" w:lastRowFirstColumn="0" w:lastRowLastColumn="0"/>
            <w:tcW w:w="0" w:type="dxa"/>
            <w:vMerge/>
            <w:vAlign w:val="center"/>
          </w:tcPr>
          <w:p w14:paraId="159F843C" w14:textId="77777777"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p>
        </w:tc>
        <w:tc>
          <w:tcPr>
            <w:tcW w:w="2152" w:type="dxa"/>
            <w:vAlign w:val="center"/>
          </w:tcPr>
          <w:p w14:paraId="23A0A02E" w14:textId="331CA6F7"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 xml:space="preserve">Plains </w:t>
            </w:r>
            <w:r>
              <w:rPr>
                <w:rFonts w:cstheme="minorHAnsi"/>
                <w:szCs w:val="18"/>
              </w:rPr>
              <w:t>S</w:t>
            </w:r>
            <w:r w:rsidRPr="00691C61">
              <w:rPr>
                <w:rFonts w:cstheme="minorHAnsi"/>
                <w:szCs w:val="18"/>
              </w:rPr>
              <w:t>outh</w:t>
            </w:r>
          </w:p>
        </w:tc>
        <w:tc>
          <w:tcPr>
            <w:tcW w:w="1559" w:type="dxa"/>
            <w:vMerge/>
            <w:vAlign w:val="center"/>
          </w:tcPr>
          <w:p w14:paraId="642DC8E5"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4B80DE45"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29DBD82E" w14:textId="2AB4D8CE"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65</w:t>
            </w:r>
          </w:p>
        </w:tc>
        <w:tc>
          <w:tcPr>
            <w:tcW w:w="0" w:type="dxa"/>
            <w:vMerge/>
            <w:vAlign w:val="center"/>
          </w:tcPr>
          <w:p w14:paraId="02E533C9" w14:textId="5D3D3F27"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BD2846" w:rsidRPr="00691C61" w14:paraId="459690DE" w14:textId="2E005513" w:rsidTr="008C363B">
        <w:tc>
          <w:tcPr>
            <w:cnfStyle w:val="001000000000" w:firstRow="0" w:lastRow="0" w:firstColumn="1" w:lastColumn="0" w:oddVBand="0" w:evenVBand="0" w:oddHBand="0" w:evenHBand="0" w:firstRowFirstColumn="0" w:firstRowLastColumn="0" w:lastRowFirstColumn="0" w:lastRowLastColumn="0"/>
            <w:tcW w:w="0" w:type="dxa"/>
            <w:vMerge w:val="restart"/>
            <w:vAlign w:val="center"/>
          </w:tcPr>
          <w:p w14:paraId="32DE992C" w14:textId="066FE46E"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r w:rsidRPr="003119C2">
              <w:rPr>
                <w:rFonts w:asciiTheme="minorHAnsi" w:hAnsiTheme="minorHAnsi" w:cstheme="minorHAnsi"/>
                <w:b/>
                <w:bCs/>
                <w:szCs w:val="18"/>
              </w:rPr>
              <w:t xml:space="preserve">Central </w:t>
            </w:r>
            <w:r>
              <w:rPr>
                <w:rFonts w:asciiTheme="minorHAnsi" w:hAnsiTheme="minorHAnsi" w:cstheme="minorHAnsi"/>
                <w:b/>
                <w:bCs/>
                <w:szCs w:val="18"/>
              </w:rPr>
              <w:t>V</w:t>
            </w:r>
            <w:r w:rsidRPr="003119C2">
              <w:rPr>
                <w:rFonts w:asciiTheme="minorHAnsi" w:hAnsiTheme="minorHAnsi" w:cstheme="minorHAnsi"/>
                <w:b/>
                <w:bCs/>
                <w:szCs w:val="18"/>
              </w:rPr>
              <w:t>oid</w:t>
            </w:r>
            <w:r>
              <w:rPr>
                <w:rFonts w:asciiTheme="minorHAnsi" w:hAnsiTheme="minorHAnsi" w:cstheme="minorHAnsi"/>
                <w:b/>
                <w:bCs/>
                <w:szCs w:val="18"/>
              </w:rPr>
              <w:t xml:space="preserve"> North and Central Void </w:t>
            </w:r>
          </w:p>
        </w:tc>
        <w:tc>
          <w:tcPr>
            <w:tcW w:w="2152" w:type="dxa"/>
            <w:vAlign w:val="center"/>
          </w:tcPr>
          <w:p w14:paraId="20A701BB" w14:textId="154224E4"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 xml:space="preserve">Central </w:t>
            </w:r>
            <w:r>
              <w:rPr>
                <w:rFonts w:cstheme="minorHAnsi"/>
                <w:szCs w:val="18"/>
              </w:rPr>
              <w:t>N</w:t>
            </w:r>
            <w:r w:rsidRPr="00691C61">
              <w:rPr>
                <w:rFonts w:cstheme="minorHAnsi"/>
                <w:szCs w:val="18"/>
              </w:rPr>
              <w:t xml:space="preserve">orth </w:t>
            </w:r>
            <w:r>
              <w:rPr>
                <w:rFonts w:cstheme="minorHAnsi"/>
                <w:szCs w:val="18"/>
              </w:rPr>
              <w:t>E</w:t>
            </w:r>
            <w:r w:rsidRPr="00691C61">
              <w:rPr>
                <w:rFonts w:cstheme="minorHAnsi"/>
                <w:szCs w:val="18"/>
              </w:rPr>
              <w:t>xtension (CNE)</w:t>
            </w:r>
          </w:p>
        </w:tc>
        <w:tc>
          <w:tcPr>
            <w:tcW w:w="1559" w:type="dxa"/>
            <w:vMerge/>
            <w:vAlign w:val="center"/>
          </w:tcPr>
          <w:p w14:paraId="41FA271E"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34BB8EFA"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1A68E7F0" w14:textId="59C432EC"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95</w:t>
            </w:r>
          </w:p>
        </w:tc>
        <w:tc>
          <w:tcPr>
            <w:tcW w:w="0" w:type="dxa"/>
            <w:vMerge w:val="restart"/>
            <w:vAlign w:val="center"/>
          </w:tcPr>
          <w:p w14:paraId="5DCC9671" w14:textId="03CB4B59" w:rsidR="00BD2846" w:rsidRPr="00691C61" w:rsidRDefault="00BD2846" w:rsidP="00691C61">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330</w:t>
            </w:r>
          </w:p>
        </w:tc>
      </w:tr>
      <w:tr w:rsidR="00BD2846" w:rsidRPr="00691C61" w14:paraId="4543BBF6" w14:textId="0CB4440C" w:rsidTr="008C363B">
        <w:tc>
          <w:tcPr>
            <w:cnfStyle w:val="001000000000" w:firstRow="0" w:lastRow="0" w:firstColumn="1" w:lastColumn="0" w:oddVBand="0" w:evenVBand="0" w:oddHBand="0" w:evenHBand="0" w:firstRowFirstColumn="0" w:firstRowLastColumn="0" w:lastRowFirstColumn="0" w:lastRowLastColumn="0"/>
            <w:tcW w:w="0" w:type="dxa"/>
            <w:vMerge/>
            <w:vAlign w:val="center"/>
          </w:tcPr>
          <w:p w14:paraId="3C4074B5" w14:textId="77777777"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p>
        </w:tc>
        <w:tc>
          <w:tcPr>
            <w:tcW w:w="2152" w:type="dxa"/>
            <w:vAlign w:val="center"/>
          </w:tcPr>
          <w:p w14:paraId="0FCA185A" w14:textId="50D8C870"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 xml:space="preserve">Central </w:t>
            </w:r>
            <w:r>
              <w:rPr>
                <w:rFonts w:cstheme="minorHAnsi"/>
                <w:szCs w:val="18"/>
              </w:rPr>
              <w:t>N</w:t>
            </w:r>
            <w:r w:rsidRPr="00691C61">
              <w:rPr>
                <w:rFonts w:cstheme="minorHAnsi"/>
                <w:szCs w:val="18"/>
              </w:rPr>
              <w:t>orth</w:t>
            </w:r>
          </w:p>
        </w:tc>
        <w:tc>
          <w:tcPr>
            <w:tcW w:w="1559" w:type="dxa"/>
            <w:vMerge/>
            <w:vAlign w:val="center"/>
          </w:tcPr>
          <w:p w14:paraId="5714EAF1"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58860CDF"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29A8A160" w14:textId="2BEAB6FE"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140</w:t>
            </w:r>
          </w:p>
        </w:tc>
        <w:tc>
          <w:tcPr>
            <w:tcW w:w="0" w:type="dxa"/>
            <w:vMerge/>
            <w:vAlign w:val="center"/>
          </w:tcPr>
          <w:p w14:paraId="7AA32F69" w14:textId="0F31C7D1" w:rsidR="00BD2846" w:rsidRPr="00691C61" w:rsidRDefault="00BD2846" w:rsidP="00691C61">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BD2846" w:rsidRPr="00691C61" w14:paraId="2980A8A5" w14:textId="77777777" w:rsidTr="008C363B">
        <w:tc>
          <w:tcPr>
            <w:cnfStyle w:val="001000000000" w:firstRow="0" w:lastRow="0" w:firstColumn="1" w:lastColumn="0" w:oddVBand="0" w:evenVBand="0" w:oddHBand="0" w:evenHBand="0" w:firstRowFirstColumn="0" w:firstRowLastColumn="0" w:lastRowFirstColumn="0" w:lastRowLastColumn="0"/>
            <w:tcW w:w="0" w:type="dxa"/>
            <w:vMerge/>
            <w:vAlign w:val="center"/>
          </w:tcPr>
          <w:p w14:paraId="7B4A3702" w14:textId="77777777"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p>
        </w:tc>
        <w:tc>
          <w:tcPr>
            <w:tcW w:w="2152" w:type="dxa"/>
            <w:vAlign w:val="center"/>
          </w:tcPr>
          <w:p w14:paraId="692D48AD" w14:textId="61589E5E"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Central</w:t>
            </w:r>
          </w:p>
        </w:tc>
        <w:tc>
          <w:tcPr>
            <w:tcW w:w="1559" w:type="dxa"/>
            <w:vMerge/>
            <w:vAlign w:val="center"/>
          </w:tcPr>
          <w:p w14:paraId="094A05EB"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77D1BF84"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44AD1F2B" w14:textId="4E330854"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45</w:t>
            </w:r>
          </w:p>
        </w:tc>
        <w:tc>
          <w:tcPr>
            <w:tcW w:w="0" w:type="dxa"/>
            <w:vMerge/>
            <w:vAlign w:val="center"/>
          </w:tcPr>
          <w:p w14:paraId="409183F8" w14:textId="01578C0B" w:rsidR="00BD2846" w:rsidRPr="00691C61" w:rsidRDefault="00BD2846" w:rsidP="00691C61">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BD2846" w:rsidRPr="00691C61" w14:paraId="451D4598" w14:textId="77777777" w:rsidTr="008C363B">
        <w:tc>
          <w:tcPr>
            <w:cnfStyle w:val="001000000000" w:firstRow="0" w:lastRow="0" w:firstColumn="1" w:lastColumn="0" w:oddVBand="0" w:evenVBand="0" w:oddHBand="0" w:evenHBand="0" w:firstRowFirstColumn="0" w:firstRowLastColumn="0" w:lastRowFirstColumn="0" w:lastRowLastColumn="0"/>
            <w:tcW w:w="0" w:type="dxa"/>
            <w:vMerge/>
            <w:vAlign w:val="center"/>
          </w:tcPr>
          <w:p w14:paraId="6A51F9F3" w14:textId="77777777"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p>
        </w:tc>
        <w:tc>
          <w:tcPr>
            <w:tcW w:w="2152" w:type="dxa"/>
            <w:vAlign w:val="center"/>
          </w:tcPr>
          <w:p w14:paraId="65EED2E4" w14:textId="2C53BC6A"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 xml:space="preserve">Central </w:t>
            </w:r>
            <w:r>
              <w:rPr>
                <w:rFonts w:cstheme="minorHAnsi"/>
                <w:szCs w:val="18"/>
              </w:rPr>
              <w:t>E</w:t>
            </w:r>
            <w:r w:rsidRPr="00691C61">
              <w:rPr>
                <w:rFonts w:cstheme="minorHAnsi"/>
                <w:szCs w:val="18"/>
              </w:rPr>
              <w:t>ast</w:t>
            </w:r>
          </w:p>
        </w:tc>
        <w:tc>
          <w:tcPr>
            <w:tcW w:w="1559" w:type="dxa"/>
            <w:vMerge/>
            <w:vAlign w:val="center"/>
          </w:tcPr>
          <w:p w14:paraId="161D5916"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7EEF55D0"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3EBC0EF0" w14:textId="0FBA29CA"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50</w:t>
            </w:r>
          </w:p>
        </w:tc>
        <w:tc>
          <w:tcPr>
            <w:tcW w:w="0" w:type="dxa"/>
            <w:vMerge/>
            <w:vAlign w:val="center"/>
          </w:tcPr>
          <w:p w14:paraId="4F95E920" w14:textId="54E9D3DE"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r>
      <w:tr w:rsidR="00BD2846" w:rsidRPr="00691C61" w14:paraId="0DE39658" w14:textId="77777777" w:rsidTr="008C363B">
        <w:tc>
          <w:tcPr>
            <w:cnfStyle w:val="001000000000" w:firstRow="0" w:lastRow="0" w:firstColumn="1" w:lastColumn="0" w:oddVBand="0" w:evenVBand="0" w:oddHBand="0" w:evenHBand="0" w:firstRowFirstColumn="0" w:firstRowLastColumn="0" w:lastRowFirstColumn="0" w:lastRowLastColumn="0"/>
            <w:tcW w:w="0" w:type="dxa"/>
            <w:vAlign w:val="center"/>
          </w:tcPr>
          <w:p w14:paraId="7500F03D" w14:textId="6AB776D5" w:rsidR="00BD2846" w:rsidRPr="003119C2" w:rsidRDefault="00BD2846" w:rsidP="00691C61">
            <w:pPr>
              <w:pStyle w:val="BodyText"/>
              <w:spacing w:before="60" w:after="60" w:line="300" w:lineRule="auto"/>
              <w:jc w:val="center"/>
              <w:rPr>
                <w:rFonts w:cstheme="minorHAnsi"/>
                <w:b/>
                <w:bCs/>
                <w:szCs w:val="18"/>
              </w:rPr>
            </w:pPr>
            <w:r>
              <w:rPr>
                <w:rFonts w:cstheme="minorHAnsi"/>
                <w:b/>
                <w:bCs/>
                <w:szCs w:val="18"/>
              </w:rPr>
              <w:t>Max Pit Void</w:t>
            </w:r>
          </w:p>
        </w:tc>
        <w:tc>
          <w:tcPr>
            <w:tcW w:w="2152" w:type="dxa"/>
            <w:vAlign w:val="center"/>
          </w:tcPr>
          <w:p w14:paraId="400D393D" w14:textId="78867AE3" w:rsidR="00BD2846" w:rsidRPr="00691C61" w:rsidRDefault="00BD2846" w:rsidP="00691C61">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Max Pit</w:t>
            </w:r>
          </w:p>
        </w:tc>
        <w:tc>
          <w:tcPr>
            <w:tcW w:w="1559" w:type="dxa"/>
            <w:vMerge/>
            <w:vAlign w:val="center"/>
          </w:tcPr>
          <w:p w14:paraId="5659B459" w14:textId="77777777" w:rsidR="00BD2846" w:rsidRPr="00691C61" w:rsidRDefault="00BD2846" w:rsidP="00691C61">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4A689658" w14:textId="77777777" w:rsidR="00BD2846" w:rsidRPr="00691C61" w:rsidRDefault="00BD2846" w:rsidP="00691C61">
            <w:pPr>
              <w:pStyle w:val="BodyText"/>
              <w:spacing w:before="60" w:after="6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295C89E8" w14:textId="7616973E" w:rsidR="00BD2846" w:rsidRPr="00691C61" w:rsidRDefault="00BD2846" w:rsidP="00691C61">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18</w:t>
            </w:r>
          </w:p>
        </w:tc>
        <w:tc>
          <w:tcPr>
            <w:tcW w:w="0" w:type="dxa"/>
            <w:vAlign w:val="center"/>
          </w:tcPr>
          <w:p w14:paraId="5E235E40" w14:textId="4F56FCE2" w:rsidR="00BD2846" w:rsidRPr="00691C61" w:rsidRDefault="00BD2846" w:rsidP="00691C61">
            <w:pPr>
              <w:pStyle w:val="BodyText"/>
              <w:spacing w:before="60" w:after="6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18</w:t>
            </w:r>
          </w:p>
        </w:tc>
      </w:tr>
      <w:tr w:rsidR="00BD2846" w:rsidRPr="00691C61" w14:paraId="287F04E0" w14:textId="77777777" w:rsidTr="008C363B">
        <w:tc>
          <w:tcPr>
            <w:cnfStyle w:val="001000000000" w:firstRow="0" w:lastRow="0" w:firstColumn="1" w:lastColumn="0" w:oddVBand="0" w:evenVBand="0" w:oddHBand="0" w:evenHBand="0" w:firstRowFirstColumn="0" w:firstRowLastColumn="0" w:lastRowFirstColumn="0" w:lastRowLastColumn="0"/>
            <w:tcW w:w="0" w:type="dxa"/>
            <w:vAlign w:val="center"/>
          </w:tcPr>
          <w:p w14:paraId="2357723A" w14:textId="69C1B7F2"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r w:rsidRPr="003119C2">
              <w:rPr>
                <w:rFonts w:asciiTheme="minorHAnsi" w:hAnsiTheme="minorHAnsi" w:cstheme="minorHAnsi"/>
                <w:b/>
                <w:bCs/>
                <w:szCs w:val="18"/>
              </w:rPr>
              <w:t xml:space="preserve">Central </w:t>
            </w:r>
            <w:r>
              <w:rPr>
                <w:rFonts w:asciiTheme="minorHAnsi" w:hAnsiTheme="minorHAnsi" w:cstheme="minorHAnsi"/>
                <w:b/>
                <w:bCs/>
                <w:szCs w:val="18"/>
              </w:rPr>
              <w:t>V</w:t>
            </w:r>
            <w:r w:rsidRPr="003119C2">
              <w:rPr>
                <w:rFonts w:asciiTheme="minorHAnsi" w:hAnsiTheme="minorHAnsi" w:cstheme="minorHAnsi"/>
                <w:b/>
                <w:bCs/>
                <w:szCs w:val="18"/>
              </w:rPr>
              <w:t xml:space="preserve">oid </w:t>
            </w:r>
            <w:r>
              <w:rPr>
                <w:rFonts w:asciiTheme="minorHAnsi" w:hAnsiTheme="minorHAnsi" w:cstheme="minorHAnsi"/>
                <w:b/>
                <w:bCs/>
                <w:szCs w:val="18"/>
              </w:rPr>
              <w:t>S</w:t>
            </w:r>
            <w:r w:rsidRPr="003119C2">
              <w:rPr>
                <w:rFonts w:asciiTheme="minorHAnsi" w:hAnsiTheme="minorHAnsi" w:cstheme="minorHAnsi"/>
                <w:b/>
                <w:bCs/>
                <w:szCs w:val="18"/>
              </w:rPr>
              <w:t>outh</w:t>
            </w:r>
          </w:p>
        </w:tc>
        <w:tc>
          <w:tcPr>
            <w:tcW w:w="2152" w:type="dxa"/>
            <w:vAlign w:val="center"/>
          </w:tcPr>
          <w:p w14:paraId="6CC5F116" w14:textId="1194E42E"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 xml:space="preserve">Central </w:t>
            </w:r>
            <w:r>
              <w:rPr>
                <w:rFonts w:cstheme="minorHAnsi"/>
                <w:szCs w:val="18"/>
              </w:rPr>
              <w:t>S</w:t>
            </w:r>
            <w:r w:rsidRPr="00691C61">
              <w:rPr>
                <w:rFonts w:cstheme="minorHAnsi"/>
                <w:szCs w:val="18"/>
              </w:rPr>
              <w:t>outh</w:t>
            </w:r>
          </w:p>
        </w:tc>
        <w:tc>
          <w:tcPr>
            <w:tcW w:w="1559" w:type="dxa"/>
            <w:vMerge/>
            <w:vAlign w:val="center"/>
          </w:tcPr>
          <w:p w14:paraId="00BEC6EB"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31E1C478"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3D3AF1AF" w14:textId="72DF3F9A"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70</w:t>
            </w:r>
          </w:p>
        </w:tc>
        <w:tc>
          <w:tcPr>
            <w:tcW w:w="0" w:type="dxa"/>
            <w:vAlign w:val="center"/>
          </w:tcPr>
          <w:p w14:paraId="19568D7F" w14:textId="22CB16DA"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70</w:t>
            </w:r>
          </w:p>
        </w:tc>
      </w:tr>
      <w:tr w:rsidR="00BD2846" w:rsidRPr="00691C61" w14:paraId="6036A859" w14:textId="77777777" w:rsidTr="008C363B">
        <w:tc>
          <w:tcPr>
            <w:cnfStyle w:val="001000000000" w:firstRow="0" w:lastRow="0" w:firstColumn="1" w:lastColumn="0" w:oddVBand="0" w:evenVBand="0" w:oddHBand="0" w:evenHBand="0" w:firstRowFirstColumn="0" w:firstRowLastColumn="0" w:lastRowFirstColumn="0" w:lastRowLastColumn="0"/>
            <w:tcW w:w="0" w:type="dxa"/>
            <w:vAlign w:val="center"/>
          </w:tcPr>
          <w:p w14:paraId="6605E25E" w14:textId="7E51A8C4" w:rsidR="00BD2846" w:rsidRPr="003119C2" w:rsidRDefault="00BD2846" w:rsidP="00691C61">
            <w:pPr>
              <w:pStyle w:val="BodyText"/>
              <w:spacing w:before="60" w:beforeAutospacing="0" w:after="60" w:afterAutospacing="0" w:line="300" w:lineRule="auto"/>
              <w:jc w:val="center"/>
              <w:rPr>
                <w:rFonts w:asciiTheme="minorHAnsi" w:hAnsiTheme="minorHAnsi" w:cstheme="minorHAnsi"/>
                <w:b/>
                <w:bCs/>
                <w:szCs w:val="18"/>
              </w:rPr>
            </w:pPr>
            <w:r w:rsidRPr="003119C2">
              <w:rPr>
                <w:rFonts w:asciiTheme="minorHAnsi" w:hAnsiTheme="minorHAnsi" w:cstheme="minorHAnsi"/>
                <w:b/>
                <w:bCs/>
                <w:szCs w:val="18"/>
              </w:rPr>
              <w:t xml:space="preserve">Jellinbah </w:t>
            </w:r>
            <w:r>
              <w:rPr>
                <w:rFonts w:asciiTheme="minorHAnsi" w:hAnsiTheme="minorHAnsi" w:cstheme="minorHAnsi"/>
                <w:b/>
                <w:bCs/>
                <w:szCs w:val="18"/>
              </w:rPr>
              <w:t>S</w:t>
            </w:r>
            <w:r w:rsidRPr="003119C2">
              <w:rPr>
                <w:rFonts w:asciiTheme="minorHAnsi" w:hAnsiTheme="minorHAnsi" w:cstheme="minorHAnsi"/>
                <w:b/>
                <w:bCs/>
                <w:szCs w:val="18"/>
              </w:rPr>
              <w:t>outh</w:t>
            </w:r>
            <w:r>
              <w:rPr>
                <w:rFonts w:asciiTheme="minorHAnsi" w:hAnsiTheme="minorHAnsi" w:cstheme="minorHAnsi"/>
                <w:b/>
                <w:bCs/>
                <w:szCs w:val="18"/>
              </w:rPr>
              <w:t xml:space="preserve"> Void</w:t>
            </w:r>
          </w:p>
        </w:tc>
        <w:tc>
          <w:tcPr>
            <w:tcW w:w="2152" w:type="dxa"/>
            <w:vAlign w:val="center"/>
          </w:tcPr>
          <w:p w14:paraId="0ACA1767" w14:textId="7DE1FB2B"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South</w:t>
            </w:r>
          </w:p>
        </w:tc>
        <w:tc>
          <w:tcPr>
            <w:tcW w:w="1559" w:type="dxa"/>
            <w:vMerge/>
            <w:vAlign w:val="center"/>
          </w:tcPr>
          <w:p w14:paraId="05F08970"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1720" w:type="dxa"/>
            <w:vMerge/>
            <w:vAlign w:val="center"/>
          </w:tcPr>
          <w:p w14:paraId="77D537F2" w14:textId="77777777" w:rsidR="00BD2846" w:rsidRPr="00691C61" w:rsidRDefault="00BD2846" w:rsidP="00691C61">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0" w:type="dxa"/>
            <w:vAlign w:val="center"/>
          </w:tcPr>
          <w:p w14:paraId="49D029D6" w14:textId="25F3BD9D"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30</w:t>
            </w:r>
          </w:p>
        </w:tc>
        <w:tc>
          <w:tcPr>
            <w:tcW w:w="0" w:type="dxa"/>
            <w:vAlign w:val="center"/>
          </w:tcPr>
          <w:p w14:paraId="51E1D85F" w14:textId="0BD5EE2F" w:rsidR="00BD2846" w:rsidRPr="00691C61" w:rsidRDefault="00BD2846" w:rsidP="00691C6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691C61">
              <w:rPr>
                <w:rFonts w:cstheme="minorHAnsi"/>
                <w:szCs w:val="18"/>
              </w:rPr>
              <w:t>30</w:t>
            </w:r>
          </w:p>
        </w:tc>
      </w:tr>
    </w:tbl>
    <w:p w14:paraId="089D1057" w14:textId="105B8D12" w:rsidR="006E5EA2" w:rsidRDefault="006E5EA2" w:rsidP="00E94A55">
      <w:pPr>
        <w:pStyle w:val="BodyText"/>
      </w:pPr>
      <w:bookmarkStart w:id="234" w:name="_Hlk57988927"/>
      <w:bookmarkEnd w:id="233"/>
      <w:r w:rsidRPr="006E5EA2">
        <w:t xml:space="preserve">At the northern-most extent, the Plains </w:t>
      </w:r>
      <w:r>
        <w:t xml:space="preserve">Void North </w:t>
      </w:r>
      <w:r w:rsidRPr="006E5EA2">
        <w:t>will be located approximately 250 m south of the Mackenzie River and the final void will be located within the Mackenzie River floodplain</w:t>
      </w:r>
      <w:r>
        <w:t xml:space="preserve">. </w:t>
      </w:r>
      <w:r w:rsidRPr="006E5EA2">
        <w:t xml:space="preserve">The </w:t>
      </w:r>
      <w:r>
        <w:t>MacKenzie North Void will</w:t>
      </w:r>
      <w:r w:rsidRPr="006E5EA2">
        <w:t xml:space="preserve"> </w:t>
      </w:r>
      <w:r>
        <w:t xml:space="preserve">be </w:t>
      </w:r>
      <w:r w:rsidRPr="006E5EA2">
        <w:t>located on the northern floodplain of the Mackenzie River</w:t>
      </w:r>
      <w:r>
        <w:t xml:space="preserve"> (</w:t>
      </w:r>
      <w:r w:rsidR="00690904">
        <w:t>AARC, 2018)</w:t>
      </w:r>
      <w:r w:rsidRPr="006E5EA2">
        <w:t>.</w:t>
      </w:r>
    </w:p>
    <w:p w14:paraId="050E1CC6" w14:textId="0A966890" w:rsidR="00E94A55" w:rsidRPr="00C244E1" w:rsidRDefault="009674A2" w:rsidP="00E94A55">
      <w:pPr>
        <w:pStyle w:val="BodyText"/>
      </w:pPr>
      <w:r>
        <w:t>AARC (2018) indicate</w:t>
      </w:r>
      <w:r w:rsidR="003952EF">
        <w:t>s</w:t>
      </w:r>
      <w:r>
        <w:t xml:space="preserve"> that </w:t>
      </w:r>
      <w:r w:rsidRPr="00C244E1">
        <w:t>t</w:t>
      </w:r>
      <w:r w:rsidR="00004E71" w:rsidRPr="00C244E1">
        <w:t>he f</w:t>
      </w:r>
      <w:r w:rsidR="00E94A55" w:rsidRPr="00C244E1">
        <w:t xml:space="preserve">inal voids at mine closure </w:t>
      </w:r>
      <w:r w:rsidR="00004E71" w:rsidRPr="00C244E1">
        <w:t xml:space="preserve">will be designed to </w:t>
      </w:r>
      <w:r w:rsidR="00E94A55" w:rsidRPr="00C244E1">
        <w:t xml:space="preserve">have flood immunity to extreme weather events </w:t>
      </w:r>
      <w:r w:rsidR="0001528F" w:rsidRPr="00C244E1">
        <w:t xml:space="preserve">and </w:t>
      </w:r>
      <w:r w:rsidRPr="00C244E1">
        <w:t xml:space="preserve">for the purposes of minimising </w:t>
      </w:r>
      <w:r w:rsidR="00E94A55" w:rsidRPr="00C244E1">
        <w:t>clean water capture and long</w:t>
      </w:r>
      <w:r w:rsidR="00004E71" w:rsidRPr="00C244E1">
        <w:t>-</w:t>
      </w:r>
      <w:r w:rsidR="00E94A55" w:rsidRPr="00C244E1">
        <w:t>term storage of floodwater</w:t>
      </w:r>
      <w:r w:rsidR="00004E71" w:rsidRPr="00C244E1">
        <w:t xml:space="preserve">. A </w:t>
      </w:r>
      <w:r w:rsidR="00E94A55" w:rsidRPr="00C244E1">
        <w:t>1:1000 AEP design flood immunity</w:t>
      </w:r>
      <w:r w:rsidR="00004E71" w:rsidRPr="00C244E1">
        <w:t xml:space="preserve"> </w:t>
      </w:r>
      <w:r w:rsidRPr="00C244E1">
        <w:t xml:space="preserve">was </w:t>
      </w:r>
      <w:r w:rsidR="00E94A55" w:rsidRPr="00C244E1">
        <w:t>adopted as a minimum</w:t>
      </w:r>
      <w:r w:rsidR="00004E71" w:rsidRPr="00C244E1">
        <w:t xml:space="preserve"> design reference</w:t>
      </w:r>
      <w:r w:rsidRPr="00C244E1">
        <w:t xml:space="preserve">, with the following </w:t>
      </w:r>
      <w:r w:rsidR="00E94A55" w:rsidRPr="00C244E1">
        <w:t xml:space="preserve">three flood protection landforms </w:t>
      </w:r>
      <w:r w:rsidRPr="00C244E1">
        <w:t xml:space="preserve">proposed </w:t>
      </w:r>
      <w:r w:rsidR="00E94A55" w:rsidRPr="00C244E1">
        <w:t xml:space="preserve">to prevent flood ingress to </w:t>
      </w:r>
      <w:r w:rsidR="00004E71" w:rsidRPr="00C244E1">
        <w:t xml:space="preserve">the </w:t>
      </w:r>
      <w:r w:rsidR="00E94A55" w:rsidRPr="00C244E1">
        <w:t>final voids</w:t>
      </w:r>
      <w:r w:rsidR="0001528F" w:rsidRPr="00C244E1">
        <w:t xml:space="preserve"> (AARC, 2018)</w:t>
      </w:r>
      <w:r w:rsidR="004C52BE">
        <w:t>.</w:t>
      </w:r>
    </w:p>
    <w:p w14:paraId="1756F53D" w14:textId="15F0AE27" w:rsidR="00004E71" w:rsidRDefault="00E94A55" w:rsidP="001628AA">
      <w:pPr>
        <w:pStyle w:val="BodyText"/>
        <w:numPr>
          <w:ilvl w:val="0"/>
          <w:numId w:val="63"/>
        </w:numPr>
        <w:spacing w:before="80" w:after="80"/>
      </w:pPr>
      <w:r w:rsidRPr="00C244E1">
        <w:rPr>
          <w:u w:val="single"/>
        </w:rPr>
        <w:t>Plain North levee</w:t>
      </w:r>
      <w:r w:rsidRPr="00C244E1">
        <w:t>: the existing levee crest levels will be maintained to continue to provide 1:1000 AEP flood immunity from Mackenzie</w:t>
      </w:r>
      <w:r w:rsidR="00BD2846" w:rsidRPr="00C244E1">
        <w:t xml:space="preserve"> River</w:t>
      </w:r>
      <w:r w:rsidR="003952EF" w:rsidRPr="00C244E1">
        <w:t xml:space="preserve"> (</w:t>
      </w:r>
      <w:r w:rsidR="003952EF" w:rsidRPr="00C244E1">
        <w:fldChar w:fldCharType="begin"/>
      </w:r>
      <w:r w:rsidR="003952EF" w:rsidRPr="00C244E1">
        <w:instrText xml:space="preserve"> REF _Ref57737286 \h </w:instrText>
      </w:r>
      <w:r w:rsidR="00C244E1">
        <w:instrText xml:space="preserve"> \* MERGEFORMAT </w:instrText>
      </w:r>
      <w:r w:rsidR="003952EF" w:rsidRPr="00C244E1">
        <w:fldChar w:fldCharType="separate"/>
      </w:r>
      <w:r w:rsidR="00937ADD">
        <w:t xml:space="preserve">Figure </w:t>
      </w:r>
      <w:r w:rsidR="00937ADD">
        <w:rPr>
          <w:noProof/>
        </w:rPr>
        <w:t>5</w:t>
      </w:r>
      <w:r w:rsidR="00937ADD">
        <w:rPr>
          <w:noProof/>
        </w:rPr>
        <w:noBreakHyphen/>
        <w:t>4</w:t>
      </w:r>
      <w:r w:rsidR="003952EF" w:rsidRPr="00C244E1">
        <w:fldChar w:fldCharType="end"/>
      </w:r>
      <w:r w:rsidR="003952EF" w:rsidRPr="00C244E1">
        <w:t>)</w:t>
      </w:r>
      <w:r w:rsidR="00BD2846" w:rsidRPr="00C244E1">
        <w:t>. The long-term geotechnical stability of the levees, and potential reshaping requirements</w:t>
      </w:r>
      <w:r w:rsidR="00BD2846">
        <w:t xml:space="preserve">, will require investigation. </w:t>
      </w:r>
    </w:p>
    <w:p w14:paraId="5E87E775" w14:textId="6F094932" w:rsidR="00004E71" w:rsidRDefault="00E94A55" w:rsidP="001628AA">
      <w:pPr>
        <w:pStyle w:val="BodyText"/>
        <w:numPr>
          <w:ilvl w:val="0"/>
          <w:numId w:val="63"/>
        </w:numPr>
        <w:spacing w:before="80" w:after="80"/>
      </w:pPr>
      <w:r w:rsidRPr="009674A2">
        <w:rPr>
          <w:u w:val="single"/>
        </w:rPr>
        <w:lastRenderedPageBreak/>
        <w:t>Mackenzie North levee</w:t>
      </w:r>
      <w:r>
        <w:t>: proposed landform to provide pit protection from the Mackenzie River anabranch</w:t>
      </w:r>
      <w:r w:rsidR="003952EF">
        <w:t xml:space="preserve"> (</w:t>
      </w:r>
      <w:r w:rsidR="003952EF">
        <w:fldChar w:fldCharType="begin"/>
      </w:r>
      <w:r w:rsidR="003952EF">
        <w:instrText xml:space="preserve"> REF _Ref57737286 \h </w:instrText>
      </w:r>
      <w:r w:rsidR="003952EF">
        <w:fldChar w:fldCharType="separate"/>
      </w:r>
      <w:r w:rsidR="00937ADD">
        <w:t xml:space="preserve">Figure </w:t>
      </w:r>
      <w:r w:rsidR="00937ADD">
        <w:rPr>
          <w:noProof/>
        </w:rPr>
        <w:t>5</w:t>
      </w:r>
      <w:r w:rsidR="00937ADD">
        <w:noBreakHyphen/>
      </w:r>
      <w:r w:rsidR="00937ADD">
        <w:rPr>
          <w:noProof/>
        </w:rPr>
        <w:t>4</w:t>
      </w:r>
      <w:r w:rsidR="003952EF">
        <w:fldChar w:fldCharType="end"/>
      </w:r>
      <w:r w:rsidR="003952EF">
        <w:t>)</w:t>
      </w:r>
      <w:r w:rsidR="00004E71">
        <w:t>.</w:t>
      </w:r>
    </w:p>
    <w:p w14:paraId="1DA31A8B" w14:textId="77777777" w:rsidR="0058518C" w:rsidRDefault="0058518C" w:rsidP="0058518C">
      <w:pPr>
        <w:pStyle w:val="BodyText"/>
        <w:numPr>
          <w:ilvl w:val="0"/>
          <w:numId w:val="63"/>
        </w:numPr>
        <w:spacing w:before="80" w:after="80"/>
      </w:pPr>
      <w:r w:rsidRPr="009674A2">
        <w:rPr>
          <w:u w:val="single"/>
        </w:rPr>
        <w:t>Levees between Plains North and Plains South</w:t>
      </w:r>
      <w:r>
        <w:rPr>
          <w:u w:val="single"/>
        </w:rPr>
        <w:t>:</w:t>
      </w:r>
      <w:r>
        <w:t xml:space="preserve"> to prevent ingress from the re-established Three Mile Lagoon flow path.</w:t>
      </w:r>
    </w:p>
    <w:p w14:paraId="664A3AA5" w14:textId="77777777" w:rsidR="0058518C" w:rsidRPr="0058518C" w:rsidRDefault="0058518C" w:rsidP="00732FB4">
      <w:pPr>
        <w:pStyle w:val="Caption"/>
        <w:rPr>
          <w:bCs w:val="0"/>
          <w:sz w:val="20"/>
          <w:szCs w:val="20"/>
        </w:rPr>
      </w:pPr>
      <w:r w:rsidRPr="00683D42">
        <w:rPr>
          <w:sz w:val="20"/>
          <w:szCs w:val="20"/>
        </w:rPr>
        <w:t xml:space="preserve">In reference to overland flow protection, AARC (2018) also report that final landform drains were incorporated to divert external catchments where possible to reduce the volume of runoff reporting to the residual voids. </w:t>
      </w:r>
      <w:bookmarkStart w:id="235" w:name="_Ref57893988"/>
      <w:bookmarkStart w:id="236" w:name="_Toc65140609"/>
      <w:bookmarkEnd w:id="234"/>
    </w:p>
    <w:p w14:paraId="5979D8E0" w14:textId="77777777" w:rsidR="0058518C" w:rsidRDefault="0058518C" w:rsidP="00732FB4">
      <w:pPr>
        <w:pStyle w:val="Caption"/>
        <w:rPr>
          <w:bCs w:val="0"/>
          <w:sz w:val="20"/>
          <w:szCs w:val="20"/>
        </w:rPr>
      </w:pPr>
    </w:p>
    <w:p w14:paraId="32338073" w14:textId="1E0F6E00" w:rsidR="00732FB4" w:rsidRDefault="00732FB4" w:rsidP="00732FB4">
      <w:pPr>
        <w:pStyle w:val="Caption"/>
      </w:pPr>
      <w:r>
        <w:t xml:space="preserve">Figure </w:t>
      </w:r>
      <w:fldSimple w:instr=" STYLEREF 1 \s ">
        <w:r w:rsidR="00937ADD">
          <w:rPr>
            <w:noProof/>
          </w:rPr>
          <w:t>5</w:t>
        </w:r>
      </w:fldSimple>
      <w:r w:rsidR="002706A0">
        <w:noBreakHyphen/>
      </w:r>
      <w:fldSimple w:instr=" SEQ Figure \* ARABIC \s 1 ">
        <w:r w:rsidR="00937ADD">
          <w:rPr>
            <w:noProof/>
          </w:rPr>
          <w:t>3</w:t>
        </w:r>
      </w:fldSimple>
      <w:bookmarkEnd w:id="235"/>
      <w:r>
        <w:t xml:space="preserve"> Location of residual voids at the Jellinbah coal mine (AARC, 2018)</w:t>
      </w:r>
      <w:bookmarkEnd w:id="236"/>
    </w:p>
    <w:p w14:paraId="5DFD144A" w14:textId="0DE27616" w:rsidR="00732FB4" w:rsidRPr="00732FB4" w:rsidRDefault="00732FB4" w:rsidP="00732FB4">
      <w:pPr>
        <w:pStyle w:val="BodyText"/>
      </w:pPr>
      <w:r>
        <w:rPr>
          <w:noProof/>
        </w:rPr>
        <w:lastRenderedPageBreak/>
        <w:drawing>
          <wp:inline distT="0" distB="0" distL="0" distR="0" wp14:anchorId="43D8D992" wp14:editId="31A460C5">
            <wp:extent cx="5366657" cy="7484113"/>
            <wp:effectExtent l="0" t="0" r="8255" b="3175"/>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xtractPage_overall.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366657" cy="7484113"/>
                    </a:xfrm>
                    <a:prstGeom prst="rect">
                      <a:avLst/>
                    </a:prstGeom>
                    <a:ln>
                      <a:noFill/>
                    </a:ln>
                    <a:extLst>
                      <a:ext uri="{53640926-AAD7-44D8-BBD7-CCE9431645EC}">
                        <a14:shadowObscured xmlns:a14="http://schemas.microsoft.com/office/drawing/2010/main"/>
                      </a:ext>
                    </a:extLst>
                  </pic:spPr>
                </pic:pic>
              </a:graphicData>
            </a:graphic>
          </wp:inline>
        </w:drawing>
      </w:r>
    </w:p>
    <w:p w14:paraId="0F3E637C" w14:textId="5A3688F9" w:rsidR="005E381F" w:rsidRDefault="005E381F" w:rsidP="00732FB4">
      <w:pPr>
        <w:pStyle w:val="Caption"/>
        <w:sectPr w:rsidR="005E381F" w:rsidSect="00F66109">
          <w:pgSz w:w="11907" w:h="16839" w:code="9"/>
          <w:pgMar w:top="1440" w:right="1440" w:bottom="1134" w:left="1440" w:header="340" w:footer="340" w:gutter="0"/>
          <w:cols w:space="708"/>
          <w:docGrid w:linePitch="360"/>
        </w:sectPr>
      </w:pPr>
    </w:p>
    <w:p w14:paraId="467F4768" w14:textId="41F77D44" w:rsidR="005E381F" w:rsidRDefault="00B41CF0" w:rsidP="005E381F">
      <w:pPr>
        <w:pStyle w:val="Caption"/>
      </w:pPr>
      <w:bookmarkStart w:id="237" w:name="_Ref57737286"/>
      <w:bookmarkStart w:id="238" w:name="_Toc65140610"/>
      <w:r>
        <w:rPr>
          <w:noProof/>
        </w:rPr>
        <w:lastRenderedPageBreak/>
        <w:drawing>
          <wp:anchor distT="0" distB="0" distL="114300" distR="114300" simplePos="0" relativeHeight="251658244" behindDoc="1" locked="0" layoutInCell="1" allowOverlap="1" wp14:anchorId="57E4760B" wp14:editId="647C5B5B">
            <wp:simplePos x="0" y="0"/>
            <wp:positionH relativeFrom="column">
              <wp:posOffset>0</wp:posOffset>
            </wp:positionH>
            <wp:positionV relativeFrom="paragraph">
              <wp:posOffset>307340</wp:posOffset>
            </wp:positionV>
            <wp:extent cx="3852000" cy="5400000"/>
            <wp:effectExtent l="0" t="0" r="0" b="0"/>
            <wp:wrapTight wrapText="bothSides">
              <wp:wrapPolygon edited="0">
                <wp:start x="0" y="0"/>
                <wp:lineTo x="0" y="21491"/>
                <wp:lineTo x="21472" y="21491"/>
                <wp:lineTo x="21472" y="0"/>
                <wp:lineTo x="0" y="0"/>
              </wp:wrapPolygon>
            </wp:wrapTight>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xtractPage2.jp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3852000" cy="54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5" behindDoc="1" locked="0" layoutInCell="1" allowOverlap="1" wp14:anchorId="3C51A552" wp14:editId="11C991AC">
            <wp:simplePos x="0" y="0"/>
            <wp:positionH relativeFrom="column">
              <wp:posOffset>4105910</wp:posOffset>
            </wp:positionH>
            <wp:positionV relativeFrom="paragraph">
              <wp:posOffset>306705</wp:posOffset>
            </wp:positionV>
            <wp:extent cx="3848400" cy="5400000"/>
            <wp:effectExtent l="0" t="0" r="0" b="0"/>
            <wp:wrapTight wrapText="bothSides">
              <wp:wrapPolygon edited="0">
                <wp:start x="0" y="0"/>
                <wp:lineTo x="0" y="21491"/>
                <wp:lineTo x="21493" y="21491"/>
                <wp:lineTo x="21493" y="0"/>
                <wp:lineTo x="0" y="0"/>
              </wp:wrapPolygon>
            </wp:wrapTight>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xtractPage3.jp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3848400" cy="54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381F">
        <w:t xml:space="preserve">Figure </w:t>
      </w:r>
      <w:fldSimple w:instr=" STYLEREF 1 \s ">
        <w:r w:rsidR="00937ADD">
          <w:rPr>
            <w:noProof/>
          </w:rPr>
          <w:t>5</w:t>
        </w:r>
      </w:fldSimple>
      <w:r w:rsidR="002706A0">
        <w:noBreakHyphen/>
      </w:r>
      <w:fldSimple w:instr=" SEQ Figure \* ARABIC \s 1 ">
        <w:r w:rsidR="00937ADD">
          <w:rPr>
            <w:noProof/>
          </w:rPr>
          <w:t>4</w:t>
        </w:r>
      </w:fldSimple>
      <w:bookmarkEnd w:id="237"/>
      <w:r w:rsidR="005E381F">
        <w:t xml:space="preserve"> </w:t>
      </w:r>
      <w:bookmarkStart w:id="239" w:name="_Hlk57736538"/>
      <w:r w:rsidR="005E381F">
        <w:t>Final landform of the Jellinbah coal mine - MacKenzie North and Plains (AARC, 2018)</w:t>
      </w:r>
      <w:bookmarkEnd w:id="238"/>
      <w:bookmarkEnd w:id="239"/>
    </w:p>
    <w:p w14:paraId="6FE2F940" w14:textId="46B6C40B" w:rsidR="005E381F" w:rsidRDefault="005E381F" w:rsidP="00854689">
      <w:pPr>
        <w:pStyle w:val="BodyText"/>
      </w:pPr>
    </w:p>
    <w:p w14:paraId="09DED975" w14:textId="101C75DA" w:rsidR="005E381F" w:rsidRDefault="005E381F" w:rsidP="00854689">
      <w:pPr>
        <w:pStyle w:val="BodyText"/>
      </w:pPr>
    </w:p>
    <w:p w14:paraId="2EE1ECEF" w14:textId="5A3EABB4" w:rsidR="005E381F" w:rsidRDefault="005E381F" w:rsidP="00854689">
      <w:pPr>
        <w:pStyle w:val="BodyText"/>
      </w:pPr>
    </w:p>
    <w:p w14:paraId="314E009E" w14:textId="5748160F" w:rsidR="005E381F" w:rsidRDefault="005E381F" w:rsidP="00854689">
      <w:pPr>
        <w:pStyle w:val="BodyText"/>
      </w:pPr>
    </w:p>
    <w:p w14:paraId="03832D19" w14:textId="219152A1" w:rsidR="00CD4E87" w:rsidRDefault="00CD4E87" w:rsidP="00854689">
      <w:pPr>
        <w:pStyle w:val="BodyText"/>
      </w:pPr>
    </w:p>
    <w:p w14:paraId="5F1BAF45" w14:textId="7D6352C6" w:rsidR="00CD4E87" w:rsidRDefault="00CD4E87" w:rsidP="00854689">
      <w:pPr>
        <w:pStyle w:val="BodyText"/>
      </w:pPr>
    </w:p>
    <w:p w14:paraId="666B802C" w14:textId="32B446CB" w:rsidR="00CD4E87" w:rsidRDefault="00CD4E87" w:rsidP="00854689">
      <w:pPr>
        <w:pStyle w:val="BodyText"/>
      </w:pPr>
    </w:p>
    <w:p w14:paraId="2E76929C" w14:textId="0D4A93CB" w:rsidR="00CD4E87" w:rsidRDefault="00CD4E87" w:rsidP="00854689">
      <w:pPr>
        <w:pStyle w:val="BodyText"/>
      </w:pPr>
    </w:p>
    <w:p w14:paraId="1FC06ACB" w14:textId="19CE3245" w:rsidR="00CD4E87" w:rsidRDefault="00CD4E87" w:rsidP="00854689">
      <w:pPr>
        <w:pStyle w:val="BodyText"/>
      </w:pPr>
    </w:p>
    <w:p w14:paraId="166B451B" w14:textId="196A9E69" w:rsidR="00CD4E87" w:rsidRDefault="00CD4E87" w:rsidP="00854689">
      <w:pPr>
        <w:pStyle w:val="BodyText"/>
      </w:pPr>
    </w:p>
    <w:p w14:paraId="2A4BD2B3" w14:textId="0B06C03A" w:rsidR="00CD4E87" w:rsidRDefault="00CD4E87" w:rsidP="00854689">
      <w:pPr>
        <w:pStyle w:val="BodyText"/>
      </w:pPr>
    </w:p>
    <w:p w14:paraId="1D092DD7" w14:textId="6379079E" w:rsidR="00CD4E87" w:rsidRDefault="00CD4E87" w:rsidP="00854689">
      <w:pPr>
        <w:pStyle w:val="BodyText"/>
      </w:pPr>
    </w:p>
    <w:p w14:paraId="39A9F755" w14:textId="1CA408D6" w:rsidR="00CD4E87" w:rsidRDefault="00CD4E87" w:rsidP="00854689">
      <w:pPr>
        <w:pStyle w:val="BodyText"/>
      </w:pPr>
    </w:p>
    <w:p w14:paraId="5BF3B1A3" w14:textId="15FE824F" w:rsidR="00CD4E87" w:rsidRDefault="00CD4E87" w:rsidP="00854689">
      <w:pPr>
        <w:pStyle w:val="BodyText"/>
      </w:pPr>
    </w:p>
    <w:p w14:paraId="5FD9BCFB" w14:textId="06E484CB" w:rsidR="00CD4E87" w:rsidRDefault="00CD4E87" w:rsidP="00854689">
      <w:pPr>
        <w:pStyle w:val="BodyText"/>
      </w:pPr>
    </w:p>
    <w:p w14:paraId="07C71EB1" w14:textId="35C3AF5C" w:rsidR="00CD4E87" w:rsidRDefault="00CD4E87" w:rsidP="00854689">
      <w:pPr>
        <w:pStyle w:val="BodyText"/>
      </w:pPr>
    </w:p>
    <w:p w14:paraId="2F2B19B7" w14:textId="4D2702E5" w:rsidR="00CD4E87" w:rsidRDefault="00CD4E87" w:rsidP="00854689">
      <w:pPr>
        <w:pStyle w:val="BodyText"/>
      </w:pPr>
    </w:p>
    <w:p w14:paraId="6CA6D9DD" w14:textId="706131EA" w:rsidR="00CD4E87" w:rsidRDefault="00CD4E87" w:rsidP="00854689">
      <w:pPr>
        <w:pStyle w:val="BodyText"/>
      </w:pPr>
    </w:p>
    <w:p w14:paraId="5BC4C9D4" w14:textId="1F0CE87E" w:rsidR="00CD4E87" w:rsidRDefault="00CD4E87" w:rsidP="00854689">
      <w:pPr>
        <w:pStyle w:val="BodyText"/>
      </w:pPr>
    </w:p>
    <w:p w14:paraId="4D3FEB09" w14:textId="0F04A158" w:rsidR="00CD4E87" w:rsidRDefault="00CD4E87" w:rsidP="00854689">
      <w:pPr>
        <w:pStyle w:val="BodyText"/>
      </w:pPr>
    </w:p>
    <w:p w14:paraId="72B26538" w14:textId="5E616A19" w:rsidR="00CD4E87" w:rsidRDefault="00B41CF0" w:rsidP="00CD4E87">
      <w:pPr>
        <w:pStyle w:val="Caption"/>
      </w:pPr>
      <w:bookmarkStart w:id="240" w:name="_Ref57737287"/>
      <w:bookmarkStart w:id="241" w:name="_Hlk57736507"/>
      <w:bookmarkStart w:id="242" w:name="_Toc65140611"/>
      <w:r>
        <w:rPr>
          <w:noProof/>
        </w:rPr>
        <w:lastRenderedPageBreak/>
        <w:drawing>
          <wp:anchor distT="0" distB="0" distL="114300" distR="114300" simplePos="0" relativeHeight="251658246" behindDoc="1" locked="0" layoutInCell="1" allowOverlap="1" wp14:anchorId="411D9F0F" wp14:editId="076087CC">
            <wp:simplePos x="0" y="0"/>
            <wp:positionH relativeFrom="column">
              <wp:posOffset>21590</wp:posOffset>
            </wp:positionH>
            <wp:positionV relativeFrom="paragraph">
              <wp:posOffset>295275</wp:posOffset>
            </wp:positionV>
            <wp:extent cx="3858895" cy="5399405"/>
            <wp:effectExtent l="0" t="0" r="8255" b="0"/>
            <wp:wrapTight wrapText="bothSides">
              <wp:wrapPolygon edited="0">
                <wp:start x="0" y="0"/>
                <wp:lineTo x="0" y="21491"/>
                <wp:lineTo x="21540" y="21491"/>
                <wp:lineTo x="21540" y="0"/>
                <wp:lineTo x="0" y="0"/>
              </wp:wrapPolygon>
            </wp:wrapTight>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xtractPage4.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3858895" cy="5399405"/>
                    </a:xfrm>
                    <a:prstGeom prst="rect">
                      <a:avLst/>
                    </a:prstGeom>
                    <a:ln>
                      <a:noFill/>
                    </a:ln>
                    <a:extLst>
                      <a:ext uri="{53640926-AAD7-44D8-BBD7-CCE9431645EC}">
                        <a14:shadowObscured xmlns:a14="http://schemas.microsoft.com/office/drawing/2010/main"/>
                      </a:ext>
                    </a:extLst>
                  </pic:spPr>
                </pic:pic>
              </a:graphicData>
            </a:graphic>
          </wp:anchor>
        </w:drawing>
      </w:r>
      <w:r w:rsidR="005E381F">
        <w:t xml:space="preserve">Figure </w:t>
      </w:r>
      <w:fldSimple w:instr=" STYLEREF 1 \s ">
        <w:r w:rsidR="00937ADD">
          <w:rPr>
            <w:noProof/>
          </w:rPr>
          <w:t>5</w:t>
        </w:r>
      </w:fldSimple>
      <w:r w:rsidR="002706A0">
        <w:noBreakHyphen/>
      </w:r>
      <w:fldSimple w:instr=" SEQ Figure \* ARABIC \s 1 ">
        <w:r w:rsidR="00937ADD">
          <w:rPr>
            <w:noProof/>
          </w:rPr>
          <w:t>5</w:t>
        </w:r>
      </w:fldSimple>
      <w:bookmarkEnd w:id="240"/>
      <w:r w:rsidR="005E381F">
        <w:t xml:space="preserve"> </w:t>
      </w:r>
      <w:r w:rsidR="00CD4E87" w:rsidRPr="00CD4E87">
        <w:t xml:space="preserve">Final landform of the Jellinbah coal mine </w:t>
      </w:r>
      <w:bookmarkStart w:id="243" w:name="_Hlk57905378"/>
      <w:r w:rsidR="00CD4E87">
        <w:t>–</w:t>
      </w:r>
      <w:r w:rsidR="00CD4E87" w:rsidRPr="00CD4E87">
        <w:t xml:space="preserve"> </w:t>
      </w:r>
      <w:r w:rsidR="00CD4E87">
        <w:t xml:space="preserve">Central </w:t>
      </w:r>
      <w:r w:rsidR="00C86C6B">
        <w:t>N</w:t>
      </w:r>
      <w:r w:rsidR="00CD4E87">
        <w:t>orth</w:t>
      </w:r>
      <w:r>
        <w:t>, Central</w:t>
      </w:r>
      <w:r w:rsidR="00B62A98">
        <w:t xml:space="preserve">, Jellinbah Central South and Jellinbah South </w:t>
      </w:r>
      <w:r w:rsidR="00CD4E87" w:rsidRPr="00CD4E87">
        <w:t>(AARC</w:t>
      </w:r>
      <w:bookmarkEnd w:id="243"/>
      <w:r w:rsidR="00CD4E87" w:rsidRPr="00CD4E87">
        <w:t>, 2018)</w:t>
      </w:r>
      <w:bookmarkEnd w:id="241"/>
      <w:bookmarkEnd w:id="242"/>
    </w:p>
    <w:p w14:paraId="0BD7AADE" w14:textId="089503E7" w:rsidR="005E381F" w:rsidRDefault="00B41CF0" w:rsidP="00854689">
      <w:pPr>
        <w:pStyle w:val="BodyText"/>
      </w:pPr>
      <w:r>
        <w:rPr>
          <w:noProof/>
        </w:rPr>
        <w:drawing>
          <wp:anchor distT="0" distB="0" distL="114300" distR="114300" simplePos="0" relativeHeight="251658247" behindDoc="1" locked="0" layoutInCell="1" allowOverlap="1" wp14:anchorId="53F0CA6D" wp14:editId="1B0E1C4D">
            <wp:simplePos x="0" y="0"/>
            <wp:positionH relativeFrom="column">
              <wp:posOffset>4206240</wp:posOffset>
            </wp:positionH>
            <wp:positionV relativeFrom="paragraph">
              <wp:posOffset>-10160</wp:posOffset>
            </wp:positionV>
            <wp:extent cx="3862800" cy="5400000"/>
            <wp:effectExtent l="0" t="0" r="4445" b="0"/>
            <wp:wrapTight wrapText="bothSides">
              <wp:wrapPolygon edited="0">
                <wp:start x="0" y="0"/>
                <wp:lineTo x="0" y="21491"/>
                <wp:lineTo x="21518" y="21491"/>
                <wp:lineTo x="21518" y="0"/>
                <wp:lineTo x="0" y="0"/>
              </wp:wrapPolygon>
            </wp:wrapTight>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xtractPage5.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3862800" cy="54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BF5B4A" w14:textId="72E17FBF" w:rsidR="005E381F" w:rsidRDefault="005E381F" w:rsidP="00854689">
      <w:pPr>
        <w:pStyle w:val="BodyText"/>
      </w:pPr>
    </w:p>
    <w:p w14:paraId="3FACDE71" w14:textId="77777777" w:rsidR="00CD4E87" w:rsidRDefault="00CD4E87" w:rsidP="00CD4E87">
      <w:pPr>
        <w:pStyle w:val="Caption"/>
      </w:pPr>
    </w:p>
    <w:p w14:paraId="62F0FF8D" w14:textId="77777777" w:rsidR="00CD4E87" w:rsidRDefault="00CD4E87" w:rsidP="00CD4E87">
      <w:pPr>
        <w:pStyle w:val="Caption"/>
      </w:pPr>
    </w:p>
    <w:p w14:paraId="54D54CFA" w14:textId="77777777" w:rsidR="00CD4E87" w:rsidRDefault="00CD4E87" w:rsidP="00CD4E87">
      <w:pPr>
        <w:pStyle w:val="Caption"/>
      </w:pPr>
    </w:p>
    <w:p w14:paraId="43212086" w14:textId="77777777" w:rsidR="00CD4E87" w:rsidRDefault="00CD4E87" w:rsidP="00CD4E87">
      <w:pPr>
        <w:pStyle w:val="Caption"/>
      </w:pPr>
    </w:p>
    <w:p w14:paraId="10267CB4" w14:textId="77777777" w:rsidR="00CD4E87" w:rsidRDefault="00CD4E87" w:rsidP="00CD4E87">
      <w:pPr>
        <w:pStyle w:val="Caption"/>
      </w:pPr>
    </w:p>
    <w:p w14:paraId="2C6CDB68" w14:textId="77777777" w:rsidR="00CD4E87" w:rsidRDefault="00CD4E87" w:rsidP="00CD4E87">
      <w:pPr>
        <w:pStyle w:val="Caption"/>
      </w:pPr>
    </w:p>
    <w:p w14:paraId="2AA369C7" w14:textId="77777777" w:rsidR="00CD4E87" w:rsidRDefault="00CD4E87" w:rsidP="00CD4E87">
      <w:pPr>
        <w:pStyle w:val="Caption"/>
      </w:pPr>
    </w:p>
    <w:p w14:paraId="341280EB" w14:textId="77777777" w:rsidR="00CD4E87" w:rsidRDefault="00CD4E87" w:rsidP="00CD4E87">
      <w:pPr>
        <w:pStyle w:val="Caption"/>
      </w:pPr>
    </w:p>
    <w:p w14:paraId="04BF5948" w14:textId="6A92AD7A" w:rsidR="00CD4E87" w:rsidRDefault="00CD4E87" w:rsidP="00CD4E87">
      <w:pPr>
        <w:pStyle w:val="Caption"/>
      </w:pPr>
    </w:p>
    <w:p w14:paraId="18160FC4" w14:textId="181E87FC" w:rsidR="00CD4E87" w:rsidRDefault="00CD4E87" w:rsidP="00CD4E87">
      <w:pPr>
        <w:pStyle w:val="BodyText"/>
      </w:pPr>
    </w:p>
    <w:p w14:paraId="66538ED5" w14:textId="7CA78A96" w:rsidR="00CD4E87" w:rsidRDefault="00CD4E87" w:rsidP="00CD4E87">
      <w:pPr>
        <w:pStyle w:val="BodyText"/>
      </w:pPr>
    </w:p>
    <w:p w14:paraId="427C992C" w14:textId="178C4B3E" w:rsidR="00CD4E87" w:rsidRDefault="00CD4E87" w:rsidP="00CD4E87">
      <w:pPr>
        <w:pStyle w:val="BodyText"/>
      </w:pPr>
    </w:p>
    <w:p w14:paraId="6B744E60" w14:textId="7931B654" w:rsidR="00CD4E87" w:rsidRDefault="00CD4E87" w:rsidP="00CD4E87">
      <w:pPr>
        <w:pStyle w:val="BodyText"/>
      </w:pPr>
    </w:p>
    <w:p w14:paraId="79DD389D" w14:textId="30768F29" w:rsidR="00CD4E87" w:rsidRDefault="00CD4E87" w:rsidP="00CD4E87">
      <w:pPr>
        <w:pStyle w:val="BodyText"/>
      </w:pPr>
    </w:p>
    <w:p w14:paraId="6C0F181C" w14:textId="390237A4" w:rsidR="00CD4E87" w:rsidRDefault="00CD4E87" w:rsidP="00CD4E87">
      <w:pPr>
        <w:pStyle w:val="BodyText"/>
      </w:pPr>
    </w:p>
    <w:p w14:paraId="251D5ADC" w14:textId="10011942" w:rsidR="00CD4E87" w:rsidRDefault="00CD4E87" w:rsidP="00CD4E87">
      <w:pPr>
        <w:pStyle w:val="BodyText"/>
      </w:pPr>
    </w:p>
    <w:p w14:paraId="1532AEDA" w14:textId="74E6DE1B" w:rsidR="00CD4E87" w:rsidRDefault="00CD4E87" w:rsidP="00CD4E87">
      <w:pPr>
        <w:pStyle w:val="BodyText"/>
      </w:pPr>
    </w:p>
    <w:p w14:paraId="57E3A51F" w14:textId="5C77D0E9" w:rsidR="00CD4E87" w:rsidRDefault="00CD4E87" w:rsidP="00CD4E87">
      <w:pPr>
        <w:pStyle w:val="BodyText"/>
      </w:pPr>
    </w:p>
    <w:p w14:paraId="7B966DF5" w14:textId="7CFC5120" w:rsidR="00CD4E87" w:rsidRDefault="00CD4E87" w:rsidP="00CD4E87">
      <w:pPr>
        <w:pStyle w:val="BodyText"/>
      </w:pPr>
    </w:p>
    <w:p w14:paraId="76C13959" w14:textId="014638CB" w:rsidR="00CD4E87" w:rsidRDefault="00CD4E87" w:rsidP="00CD4E87">
      <w:pPr>
        <w:pStyle w:val="BodyText"/>
      </w:pPr>
    </w:p>
    <w:p w14:paraId="7DFD7619" w14:textId="3CECE6EF" w:rsidR="00CD4E87" w:rsidRDefault="00CD4E87" w:rsidP="00CD4E87">
      <w:pPr>
        <w:pStyle w:val="BodyText"/>
      </w:pPr>
    </w:p>
    <w:p w14:paraId="67643391" w14:textId="5B246857" w:rsidR="00CD4E87" w:rsidRDefault="00CD4E87" w:rsidP="00CD4E87">
      <w:pPr>
        <w:pStyle w:val="BodyText"/>
      </w:pPr>
    </w:p>
    <w:p w14:paraId="692B9A47" w14:textId="77777777" w:rsidR="005E381F" w:rsidRDefault="005E381F" w:rsidP="00854689">
      <w:pPr>
        <w:pStyle w:val="BodyText"/>
        <w:sectPr w:rsidR="005E381F" w:rsidSect="005E381F">
          <w:pgSz w:w="16839" w:h="11907" w:orient="landscape" w:code="9"/>
          <w:pgMar w:top="1440" w:right="1134" w:bottom="1440" w:left="1440" w:header="340" w:footer="340" w:gutter="0"/>
          <w:cols w:space="708"/>
          <w:docGrid w:linePitch="360"/>
        </w:sectPr>
      </w:pPr>
    </w:p>
    <w:p w14:paraId="6DE0C7FD" w14:textId="20782638" w:rsidR="00322A9C" w:rsidRDefault="00322A9C" w:rsidP="00355411">
      <w:pPr>
        <w:pStyle w:val="Heading3"/>
      </w:pPr>
      <w:bookmarkStart w:id="244" w:name="_Ref57988952"/>
      <w:bookmarkStart w:id="245" w:name="_Ref62138111"/>
      <w:bookmarkStart w:id="246" w:name="_Toc87278362"/>
      <w:r>
        <w:lastRenderedPageBreak/>
        <w:t>Conceptualisation of flow regime</w:t>
      </w:r>
      <w:bookmarkEnd w:id="244"/>
      <w:bookmarkEnd w:id="245"/>
      <w:bookmarkEnd w:id="246"/>
    </w:p>
    <w:p w14:paraId="73062199" w14:textId="64E7D2FD" w:rsidR="002B74BE" w:rsidRDefault="002B74BE" w:rsidP="002B74BE">
      <w:pPr>
        <w:pStyle w:val="BodyText"/>
      </w:pPr>
      <w:r>
        <w:t xml:space="preserve">Potential groundwater inflow to the residual voids was estimated for each residual void </w:t>
      </w:r>
      <w:r w:rsidR="00E84BF9">
        <w:t xml:space="preserve">using </w:t>
      </w:r>
      <w:r>
        <w:t>numerical groundwater modelling (MacKenzie North), 2-dimesnional f</w:t>
      </w:r>
      <w:r w:rsidRPr="002B74BE">
        <w:t xml:space="preserve">inite element </w:t>
      </w:r>
      <w:r>
        <w:t>modelling (Plains North), analytical modelling (Central and Central North</w:t>
      </w:r>
      <w:r w:rsidR="003412DE">
        <w:t>) or assu</w:t>
      </w:r>
      <w:r w:rsidR="00E84BF9">
        <w:t xml:space="preserve">mptions </w:t>
      </w:r>
      <w:r w:rsidR="003412DE">
        <w:t>(Central South, Jellinbah South, Max Pit, Plains)</w:t>
      </w:r>
      <w:r w:rsidR="003F6B3C">
        <w:t xml:space="preserve"> (AARC, 2018)</w:t>
      </w:r>
      <w:r w:rsidR="003412DE">
        <w:t>.</w:t>
      </w:r>
    </w:p>
    <w:p w14:paraId="3F9DFCBF" w14:textId="74413663" w:rsidR="003412DE" w:rsidRDefault="00E84BF9" w:rsidP="003412DE">
      <w:pPr>
        <w:pStyle w:val="BodyText"/>
      </w:pPr>
      <w:r>
        <w:t>The potential groundwater inflow estimates informed t</w:t>
      </w:r>
      <w:r w:rsidR="003412DE">
        <w:t xml:space="preserve">he long-term ‘pit water’ level and salt balance of the residual voids </w:t>
      </w:r>
      <w:r>
        <w:t xml:space="preserve">which </w:t>
      </w:r>
      <w:r w:rsidR="003412DE">
        <w:t>was simulated using the GoldSim software</w:t>
      </w:r>
      <w:r>
        <w:t>,</w:t>
      </w:r>
      <w:r w:rsidR="003412DE">
        <w:t xml:space="preserve"> utilis</w:t>
      </w:r>
      <w:r>
        <w:t>ing</w:t>
      </w:r>
      <w:r w:rsidR="003412DE">
        <w:t xml:space="preserve"> daily time step</w:t>
      </w:r>
      <w:r w:rsidR="003F6B3C">
        <w:t>s</w:t>
      </w:r>
      <w:r w:rsidR="003412DE">
        <w:t xml:space="preserve">. The GoldSim model was simulated by looping the 129 years of available </w:t>
      </w:r>
      <w:r w:rsidR="003F6B3C" w:rsidRPr="003F6B3C">
        <w:t>Scientific Information for Land Owners</w:t>
      </w:r>
      <w:r w:rsidR="003F6B3C">
        <w:t xml:space="preserve"> (SILO) </w:t>
      </w:r>
      <w:r w:rsidR="003412DE">
        <w:t>climate data, until the volume of each void was observed to reach an equilibrium state</w:t>
      </w:r>
      <w:r w:rsidR="003F6B3C">
        <w:t xml:space="preserve"> (AARC, 2018)</w:t>
      </w:r>
      <w:r w:rsidR="003412DE">
        <w:t>.</w:t>
      </w:r>
      <w:r w:rsidR="00B23380">
        <w:t xml:space="preserve"> </w:t>
      </w:r>
      <w:r w:rsidR="00B23380" w:rsidRPr="00B23380">
        <w:t xml:space="preserve">The final voids </w:t>
      </w:r>
      <w:r w:rsidR="00B23380">
        <w:t xml:space="preserve">‘pit lake’ </w:t>
      </w:r>
      <w:r w:rsidR="00B23380" w:rsidRPr="00B23380">
        <w:t>water level and salinity</w:t>
      </w:r>
      <w:r w:rsidR="00D90B69">
        <w:t xml:space="preserve"> conditions</w:t>
      </w:r>
      <w:r w:rsidR="00B23380" w:rsidRPr="00B23380">
        <w:t xml:space="preserve"> were also assessed under</w:t>
      </w:r>
      <w:r w:rsidR="003400ED">
        <w:t xml:space="preserve"> a</w:t>
      </w:r>
      <w:r w:rsidR="00B23380" w:rsidRPr="00B23380">
        <w:t xml:space="preserve"> future climate change scenario</w:t>
      </w:r>
      <w:r w:rsidR="00D90B69">
        <w:t>.</w:t>
      </w:r>
    </w:p>
    <w:p w14:paraId="3C6E0AC7" w14:textId="7794B878" w:rsidR="00E84BF9" w:rsidRDefault="003412DE" w:rsidP="007A0716">
      <w:pPr>
        <w:pStyle w:val="BodyText"/>
      </w:pPr>
      <w:r>
        <w:fldChar w:fldCharType="begin"/>
      </w:r>
      <w:r>
        <w:instrText xml:space="preserve"> REF _Ref57898136 \h </w:instrText>
      </w:r>
      <w:r>
        <w:fldChar w:fldCharType="separate"/>
      </w:r>
      <w:r w:rsidR="00937ADD">
        <w:t xml:space="preserve">Table </w:t>
      </w:r>
      <w:r w:rsidR="00937ADD">
        <w:rPr>
          <w:noProof/>
        </w:rPr>
        <w:t>5</w:t>
      </w:r>
      <w:r w:rsidR="00937ADD">
        <w:noBreakHyphen/>
      </w:r>
      <w:r w:rsidR="00937ADD">
        <w:rPr>
          <w:noProof/>
        </w:rPr>
        <w:t>9</w:t>
      </w:r>
      <w:r>
        <w:fldChar w:fldCharType="end"/>
      </w:r>
      <w:r>
        <w:t xml:space="preserve"> </w:t>
      </w:r>
      <w:r w:rsidRPr="003412DE">
        <w:t xml:space="preserve">summarises the final void water </w:t>
      </w:r>
      <w:r>
        <w:t xml:space="preserve">and salt </w:t>
      </w:r>
      <w:r w:rsidRPr="003412DE">
        <w:t xml:space="preserve">balance </w:t>
      </w:r>
      <w:r>
        <w:t xml:space="preserve">simulation </w:t>
      </w:r>
      <w:r w:rsidRPr="003412DE">
        <w:t>results.</w:t>
      </w:r>
      <w:r>
        <w:t xml:space="preserve"> </w:t>
      </w:r>
      <w:r w:rsidR="007A0716" w:rsidRPr="007A0716">
        <w:t xml:space="preserve">Modelling of the final voids indicated that the </w:t>
      </w:r>
      <w:r w:rsidR="003F6B3C">
        <w:t xml:space="preserve">equilibrated </w:t>
      </w:r>
      <w:r w:rsidR="007A0716" w:rsidRPr="007A0716">
        <w:t>‘pit lake’ water levels are expected to be below the full supply levels for each void and that the features will remain as long-term groundwater sinks in perpetuity (i.e</w:t>
      </w:r>
      <w:r w:rsidR="007A0716" w:rsidRPr="00E84BF9">
        <w:rPr>
          <w:i/>
          <w:iCs/>
        </w:rPr>
        <w:t>. terminal sink flow regime</w:t>
      </w:r>
      <w:r w:rsidR="007A0716" w:rsidRPr="007A0716">
        <w:t xml:space="preserve">, Section </w:t>
      </w:r>
      <w:r w:rsidR="007A0716">
        <w:fldChar w:fldCharType="begin"/>
      </w:r>
      <w:r w:rsidR="007A0716">
        <w:instrText xml:space="preserve"> REF _Ref55982230 \n \h </w:instrText>
      </w:r>
      <w:r w:rsidR="007A0716">
        <w:fldChar w:fldCharType="separate"/>
      </w:r>
      <w:r w:rsidR="00937ADD">
        <w:t>3.2.1</w:t>
      </w:r>
      <w:r w:rsidR="007A0716">
        <w:fldChar w:fldCharType="end"/>
      </w:r>
      <w:r w:rsidR="007A0716" w:rsidRPr="007A0716">
        <w:t>), with no potential for migration of contained water into the surrounding</w:t>
      </w:r>
      <w:r w:rsidR="007A0716">
        <w:t xml:space="preserve"> aquifers</w:t>
      </w:r>
      <w:r w:rsidR="007A0716" w:rsidRPr="007A0716">
        <w:t xml:space="preserve">. All </w:t>
      </w:r>
      <w:r w:rsidR="00A31346">
        <w:t xml:space="preserve">modelled </w:t>
      </w:r>
      <w:r w:rsidR="007A0716" w:rsidRPr="007A0716">
        <w:t xml:space="preserve">final void equilibrium volumes </w:t>
      </w:r>
      <w:r w:rsidR="00E84BF9">
        <w:t xml:space="preserve">remain </w:t>
      </w:r>
      <w:r w:rsidR="007A0716" w:rsidRPr="007A0716">
        <w:t>under 25% total void capacity</w:t>
      </w:r>
      <w:r w:rsidR="007A0716">
        <w:t xml:space="preserve"> </w:t>
      </w:r>
      <w:r w:rsidR="007A0716" w:rsidRPr="007A0716">
        <w:t>(</w:t>
      </w:r>
      <w:r w:rsidR="007A0716">
        <w:fldChar w:fldCharType="begin"/>
      </w:r>
      <w:r w:rsidR="007A0716">
        <w:instrText xml:space="preserve"> REF _Ref57898136 \h </w:instrText>
      </w:r>
      <w:r w:rsidR="007A0716">
        <w:fldChar w:fldCharType="separate"/>
      </w:r>
      <w:r w:rsidR="00937ADD">
        <w:t xml:space="preserve">Table </w:t>
      </w:r>
      <w:r w:rsidR="00937ADD">
        <w:rPr>
          <w:noProof/>
        </w:rPr>
        <w:t>5</w:t>
      </w:r>
      <w:r w:rsidR="00937ADD">
        <w:noBreakHyphen/>
      </w:r>
      <w:r w:rsidR="00937ADD">
        <w:rPr>
          <w:noProof/>
        </w:rPr>
        <w:t>9</w:t>
      </w:r>
      <w:r w:rsidR="007A0716">
        <w:fldChar w:fldCharType="end"/>
      </w:r>
      <w:r w:rsidR="007A0716">
        <w:t>).</w:t>
      </w:r>
      <w:r w:rsidR="00E84BF9">
        <w:t xml:space="preserve"> </w:t>
      </w:r>
      <w:r w:rsidR="007A0716">
        <w:t xml:space="preserve">The salinity of the final voids </w:t>
      </w:r>
      <w:r w:rsidR="001C79E2">
        <w:t xml:space="preserve">is predicted to </w:t>
      </w:r>
      <w:r w:rsidR="007A0716">
        <w:t xml:space="preserve">slowly increase over time </w:t>
      </w:r>
      <w:r w:rsidR="003F6B3C">
        <w:t>as a consequence of</w:t>
      </w:r>
      <w:r w:rsidR="00E84BF9">
        <w:t xml:space="preserve"> evaporative processes, and </w:t>
      </w:r>
      <w:r w:rsidR="007A0716">
        <w:t xml:space="preserve">with no significant clean water flushing from rainfall runoff </w:t>
      </w:r>
      <w:r w:rsidR="001C79E2">
        <w:t>(</w:t>
      </w:r>
      <w:r w:rsidR="001C79E2">
        <w:fldChar w:fldCharType="begin"/>
      </w:r>
      <w:r w:rsidR="001C79E2">
        <w:instrText xml:space="preserve"> REF _Ref57898136 \h </w:instrText>
      </w:r>
      <w:r w:rsidR="001C79E2">
        <w:fldChar w:fldCharType="separate"/>
      </w:r>
      <w:r w:rsidR="00937ADD">
        <w:t xml:space="preserve">Table </w:t>
      </w:r>
      <w:r w:rsidR="00937ADD">
        <w:rPr>
          <w:noProof/>
        </w:rPr>
        <w:t>5</w:t>
      </w:r>
      <w:r w:rsidR="00937ADD">
        <w:noBreakHyphen/>
      </w:r>
      <w:r w:rsidR="00937ADD">
        <w:rPr>
          <w:noProof/>
        </w:rPr>
        <w:t>9</w:t>
      </w:r>
      <w:r w:rsidR="001C79E2">
        <w:fldChar w:fldCharType="end"/>
      </w:r>
      <w:r w:rsidR="001C79E2">
        <w:t>)</w:t>
      </w:r>
      <w:r w:rsidR="00E84BF9">
        <w:t>.</w:t>
      </w:r>
      <w:r w:rsidR="001C79E2">
        <w:t xml:space="preserve"> </w:t>
      </w:r>
    </w:p>
    <w:p w14:paraId="2A5F8E4C" w14:textId="2249F2FF" w:rsidR="00E84BF9" w:rsidRDefault="00E84BF9" w:rsidP="007A0716">
      <w:pPr>
        <w:pStyle w:val="BodyText"/>
      </w:pPr>
      <w:r>
        <w:t>AARC (2018)</w:t>
      </w:r>
      <w:r w:rsidR="00355411">
        <w:t xml:space="preserve"> and Engeny (2019)</w:t>
      </w:r>
      <w:r>
        <w:t xml:space="preserve"> also report the following</w:t>
      </w:r>
      <w:r w:rsidR="003F6B3C">
        <w:t xml:space="preserve"> for the flow regimes of the residual voids</w:t>
      </w:r>
      <w:r w:rsidR="004C52BE">
        <w:t>.</w:t>
      </w:r>
    </w:p>
    <w:p w14:paraId="39B21F3F" w14:textId="77777777" w:rsidR="00E84BF9" w:rsidRDefault="00E84BF9" w:rsidP="001628AA">
      <w:pPr>
        <w:pStyle w:val="BodyText"/>
        <w:numPr>
          <w:ilvl w:val="0"/>
          <w:numId w:val="65"/>
        </w:numPr>
        <w:spacing w:before="80" w:after="80"/>
      </w:pPr>
      <w:r>
        <w:t>W</w:t>
      </w:r>
      <w:r w:rsidR="001C79E2">
        <w:t>hile the model predicts average concentrations for fully mixed lake conditions, s</w:t>
      </w:r>
      <w:r w:rsidR="007A0716">
        <w:t xml:space="preserve">tratification </w:t>
      </w:r>
      <w:r w:rsidR="001C79E2">
        <w:t xml:space="preserve">of the water </w:t>
      </w:r>
      <w:r w:rsidR="00E94A55">
        <w:t xml:space="preserve">column </w:t>
      </w:r>
      <w:r w:rsidR="007A0716">
        <w:t>is expected to result in lower solute concentrations in the surface layer of the lakes and higher solute concentrations in the deeper layer of the lakes</w:t>
      </w:r>
      <w:r w:rsidR="00E94A55">
        <w:t xml:space="preserve">. </w:t>
      </w:r>
    </w:p>
    <w:p w14:paraId="59A289C5" w14:textId="41BA159B" w:rsidR="007A0716" w:rsidRDefault="00E94A55" w:rsidP="001628AA">
      <w:pPr>
        <w:pStyle w:val="BodyText"/>
        <w:numPr>
          <w:ilvl w:val="0"/>
          <w:numId w:val="65"/>
        </w:numPr>
        <w:spacing w:before="80" w:after="80"/>
      </w:pPr>
      <w:r>
        <w:t>With the exception of Plains (North) Void</w:t>
      </w:r>
      <w:r w:rsidR="00DB1572">
        <w:t xml:space="preserve"> which is </w:t>
      </w:r>
      <w:r w:rsidR="00275CEA">
        <w:t xml:space="preserve">anticipated </w:t>
      </w:r>
      <w:r w:rsidR="00DB1572">
        <w:t>to have significant alluvial groundwater contribution</w:t>
      </w:r>
      <w:r>
        <w:t>, a</w:t>
      </w:r>
      <w:r w:rsidR="007A0716">
        <w:t xml:space="preserve">ll </w:t>
      </w:r>
      <w:r>
        <w:t>residual</w:t>
      </w:r>
      <w:r w:rsidR="007A0716">
        <w:t xml:space="preserve"> voids </w:t>
      </w:r>
      <w:r>
        <w:t xml:space="preserve">are expected to </w:t>
      </w:r>
      <w:r w:rsidR="007A0716">
        <w:t xml:space="preserve">become hypersaline 100 years </w:t>
      </w:r>
      <w:r>
        <w:t>following mining cessation.</w:t>
      </w:r>
    </w:p>
    <w:p w14:paraId="44D36515" w14:textId="2E4A13E0" w:rsidR="00DB1572" w:rsidRDefault="00DB1572" w:rsidP="001628AA">
      <w:pPr>
        <w:pStyle w:val="BodyText"/>
        <w:numPr>
          <w:ilvl w:val="0"/>
          <w:numId w:val="64"/>
        </w:numPr>
        <w:spacing w:before="80" w:after="80"/>
      </w:pPr>
      <w:r w:rsidRPr="00DB1572">
        <w:t>Plains South</w:t>
      </w:r>
      <w:r>
        <w:t xml:space="preserve"> Void</w:t>
      </w:r>
      <w:r w:rsidRPr="00DB1572">
        <w:t xml:space="preserve"> </w:t>
      </w:r>
      <w:r>
        <w:t xml:space="preserve">will </w:t>
      </w:r>
      <w:r w:rsidRPr="00DB1572">
        <w:t>regularly evaporate to empty due to the absence of groundwater inflows, small catchment and large base area</w:t>
      </w:r>
      <w:r>
        <w:t xml:space="preserve">, </w:t>
      </w:r>
      <w:r w:rsidRPr="00DB1572">
        <w:t>becom</w:t>
      </w:r>
      <w:r>
        <w:t>ing</w:t>
      </w:r>
      <w:r w:rsidRPr="00DB1572">
        <w:t xml:space="preserve"> hypersaline within a few years.</w:t>
      </w:r>
    </w:p>
    <w:p w14:paraId="6ED9037B" w14:textId="441B707C" w:rsidR="00DB1572" w:rsidRDefault="00DB1572" w:rsidP="001628AA">
      <w:pPr>
        <w:pStyle w:val="BodyText"/>
        <w:numPr>
          <w:ilvl w:val="0"/>
          <w:numId w:val="64"/>
        </w:numPr>
        <w:spacing w:before="80" w:after="80"/>
      </w:pPr>
      <w:r>
        <w:t>Potential seepage connections were identified through backfilled spoil</w:t>
      </w:r>
      <w:r w:rsidR="00E84BF9">
        <w:t xml:space="preserve"> (</w:t>
      </w:r>
      <w:r w:rsidR="0071391E">
        <w:t>having a</w:t>
      </w:r>
      <w:r>
        <w:t xml:space="preserve"> higher hydraulic conductivity than in-situ material</w:t>
      </w:r>
      <w:r w:rsidR="00E84BF9">
        <w:t>)</w:t>
      </w:r>
      <w:r>
        <w:t xml:space="preserve"> from Plains South to Plains North and from Central North to Central</w:t>
      </w:r>
      <w:r w:rsidR="00E84BF9">
        <w:t xml:space="preserve"> voids</w:t>
      </w:r>
      <w:r>
        <w:t xml:space="preserve">. </w:t>
      </w:r>
      <w:r w:rsidRPr="00DB1572">
        <w:t>Seepage from Plains North</w:t>
      </w:r>
      <w:r>
        <w:t xml:space="preserve"> Void</w:t>
      </w:r>
      <w:r w:rsidRPr="00DB1572">
        <w:t xml:space="preserve"> to South </w:t>
      </w:r>
      <w:r>
        <w:t xml:space="preserve">Void </w:t>
      </w:r>
      <w:r w:rsidRPr="00DB1572">
        <w:t xml:space="preserve">is expected to be negligible. Seepage from Central North to Central may be significant depending on the adopted final landform designs. Worst case scenario results were presented with regard to seepage and void volumes </w:t>
      </w:r>
      <w:r w:rsidR="00E84BF9">
        <w:t xml:space="preserve">are expected to </w:t>
      </w:r>
      <w:r w:rsidRPr="00DB1572">
        <w:t>remain well below void capacity.</w:t>
      </w:r>
    </w:p>
    <w:p w14:paraId="4E7E72AD" w14:textId="77777777" w:rsidR="00C20F49" w:rsidRDefault="00BD5D7E" w:rsidP="001628AA">
      <w:pPr>
        <w:pStyle w:val="BodyText"/>
        <w:numPr>
          <w:ilvl w:val="0"/>
          <w:numId w:val="64"/>
        </w:numPr>
        <w:spacing w:before="80" w:after="80"/>
      </w:pPr>
      <w:r>
        <w:t xml:space="preserve">For the MacKenzie North and Plains voids, final </w:t>
      </w:r>
      <w:r w:rsidR="00E84BF9">
        <w:t>‘pit lake’</w:t>
      </w:r>
      <w:r>
        <w:t xml:space="preserve"> water level</w:t>
      </w:r>
      <w:r w:rsidR="00E84BF9">
        <w:t>s</w:t>
      </w:r>
      <w:r>
        <w:t xml:space="preserve"> </w:t>
      </w:r>
      <w:r w:rsidR="00E84BF9">
        <w:t>are</w:t>
      </w:r>
      <w:r>
        <w:t xml:space="preserve"> modelled to remain below the base of alluvium and therefore seepage from the final void to the shallow groundwater system is </w:t>
      </w:r>
      <w:r w:rsidR="00E84BF9">
        <w:t xml:space="preserve">considered </w:t>
      </w:r>
      <w:r>
        <w:t>unlikely.</w:t>
      </w:r>
    </w:p>
    <w:p w14:paraId="1B21C4E6" w14:textId="4A182CB4" w:rsidR="00C20F49" w:rsidRPr="00C20F49" w:rsidRDefault="003952EF" w:rsidP="001628AA">
      <w:pPr>
        <w:pStyle w:val="BodyText"/>
        <w:numPr>
          <w:ilvl w:val="0"/>
          <w:numId w:val="64"/>
        </w:numPr>
        <w:spacing w:before="80" w:after="80"/>
      </w:pPr>
      <w:r>
        <w:t xml:space="preserve">Max Pit </w:t>
      </w:r>
      <w:r w:rsidR="00C20F49">
        <w:t>t</w:t>
      </w:r>
      <w:r>
        <w:t xml:space="preserve">ailings </w:t>
      </w:r>
      <w:r w:rsidR="00C20F49">
        <w:t>d</w:t>
      </w:r>
      <w:r>
        <w:t xml:space="preserve">am is an inactive void currently used for tailing storage and water recycling. </w:t>
      </w:r>
      <w:r w:rsidR="0071391E">
        <w:t>JEJV are considering v</w:t>
      </w:r>
      <w:r>
        <w:t xml:space="preserve">arious </w:t>
      </w:r>
      <w:r w:rsidR="00C20F49">
        <w:t xml:space="preserve">closure </w:t>
      </w:r>
      <w:r>
        <w:t xml:space="preserve">options </w:t>
      </w:r>
      <w:r w:rsidR="0071391E">
        <w:t>f</w:t>
      </w:r>
      <w:r w:rsidR="00C20F49">
        <w:t xml:space="preserve">or this feature </w:t>
      </w:r>
      <w:r>
        <w:t>including reprocessing of the tailings and backfill</w:t>
      </w:r>
      <w:r w:rsidR="0071391E">
        <w:t>ing</w:t>
      </w:r>
      <w:r>
        <w:t xml:space="preserve"> </w:t>
      </w:r>
      <w:r w:rsidR="00C20F49">
        <w:t xml:space="preserve">at </w:t>
      </w:r>
      <w:r>
        <w:t>closure. For the purpose</w:t>
      </w:r>
      <w:r w:rsidR="00C20F49">
        <w:t>s</w:t>
      </w:r>
      <w:r>
        <w:t xml:space="preserve"> of </w:t>
      </w:r>
      <w:r w:rsidR="00C20F49">
        <w:t xml:space="preserve">applying conservative assumptions in the water and salt balance modelling, </w:t>
      </w:r>
      <w:r>
        <w:t>th</w:t>
      </w:r>
      <w:r w:rsidR="00C20F49">
        <w:t>e existing elevation and catchment were assumed to apply at closure</w:t>
      </w:r>
      <w:r>
        <w:t>.</w:t>
      </w:r>
      <w:r w:rsidR="00C20F49" w:rsidRPr="00C20F49">
        <w:rPr>
          <w:highlight w:val="yellow"/>
        </w:rPr>
        <w:t xml:space="preserve"> </w:t>
      </w:r>
    </w:p>
    <w:p w14:paraId="47BA1845" w14:textId="77777777" w:rsidR="003952EF" w:rsidRDefault="00355411" w:rsidP="001628AA">
      <w:pPr>
        <w:pStyle w:val="BodyText"/>
        <w:numPr>
          <w:ilvl w:val="0"/>
          <w:numId w:val="64"/>
        </w:numPr>
        <w:spacing w:before="80" w:after="80"/>
      </w:pPr>
      <w:r w:rsidRPr="00355411">
        <w:t>The</w:t>
      </w:r>
      <w:r>
        <w:t xml:space="preserve"> climate change sensit</w:t>
      </w:r>
      <w:r w:rsidR="007F7D9A">
        <w:t>i</w:t>
      </w:r>
      <w:r>
        <w:t xml:space="preserve">vity analysis conducted as part of the Engeny (2019) assessment indicated </w:t>
      </w:r>
      <w:r w:rsidRPr="00355411">
        <w:t xml:space="preserve">no </w:t>
      </w:r>
      <w:r>
        <w:t xml:space="preserve">potential </w:t>
      </w:r>
      <w:r w:rsidR="0071391E">
        <w:t>for</w:t>
      </w:r>
      <w:r>
        <w:t xml:space="preserve"> </w:t>
      </w:r>
      <w:r w:rsidRPr="00355411">
        <w:t xml:space="preserve">overflow to </w:t>
      </w:r>
      <w:r>
        <w:t xml:space="preserve">the </w:t>
      </w:r>
      <w:r w:rsidRPr="00355411">
        <w:t>receiving environment from the Central North</w:t>
      </w:r>
      <w:r w:rsidR="007F7D9A">
        <w:t xml:space="preserve"> Void </w:t>
      </w:r>
      <w:r w:rsidR="0071391E">
        <w:t>(</w:t>
      </w:r>
      <w:r w:rsidR="007F7D9A">
        <w:t>including the proposed CNE</w:t>
      </w:r>
      <w:r w:rsidR="0071391E">
        <w:t>)</w:t>
      </w:r>
      <w:r w:rsidR="007F7D9A">
        <w:t xml:space="preserve"> and interconnected</w:t>
      </w:r>
      <w:r>
        <w:t xml:space="preserve"> Central </w:t>
      </w:r>
      <w:r w:rsidR="0071391E">
        <w:t>V</w:t>
      </w:r>
      <w:r>
        <w:t>oid</w:t>
      </w:r>
      <w:r w:rsidR="007F7D9A">
        <w:t>.</w:t>
      </w:r>
      <w:r>
        <w:t xml:space="preserve"> </w:t>
      </w:r>
    </w:p>
    <w:p w14:paraId="59E1A2BF" w14:textId="77777777" w:rsidR="009D6EEC" w:rsidRDefault="009D6EEC" w:rsidP="009D6EEC">
      <w:pPr>
        <w:pStyle w:val="Heading3"/>
      </w:pPr>
      <w:bookmarkStart w:id="247" w:name="_Toc87278363"/>
      <w:r>
        <w:t>Potential impacts</w:t>
      </w:r>
      <w:bookmarkEnd w:id="247"/>
    </w:p>
    <w:p w14:paraId="402D7146" w14:textId="09FBDA2F" w:rsidR="009D6EEC" w:rsidRPr="00931344" w:rsidRDefault="009D6EEC" w:rsidP="009D6EEC">
      <w:pPr>
        <w:pStyle w:val="BodyText"/>
      </w:pPr>
      <w:r>
        <w:t xml:space="preserve">An assessment of </w:t>
      </w:r>
      <w:r w:rsidRPr="00B47236">
        <w:t xml:space="preserve">potential water quantity and quality impacts </w:t>
      </w:r>
      <w:r>
        <w:t>associated with the Jellinbah mining operation (pre CNE project) is documented in reports that are not publicly available (e.g. AGE 2006). Documentation provided to support the Commonwealth approval process for the CNE project is publicly available (</w:t>
      </w:r>
      <w:r w:rsidRPr="00B47236">
        <w:t>AARC, 2018 &amp; 2019</w:t>
      </w:r>
      <w:r>
        <w:t>) and the</w:t>
      </w:r>
      <w:r w:rsidRPr="00711BEF">
        <w:t xml:space="preserve"> following conclusions</w:t>
      </w:r>
      <w:bookmarkStart w:id="248" w:name="_Hlk57991611"/>
      <w:r w:rsidRPr="00711BEF">
        <w:t xml:space="preserve"> regarding potential water </w:t>
      </w:r>
      <w:r w:rsidRPr="00711BEF">
        <w:lastRenderedPageBreak/>
        <w:t>quantity and quality impacts as a consequence of th</w:t>
      </w:r>
      <w:r>
        <w:t xml:space="preserve">is project extension are summarised below as they relate to final </w:t>
      </w:r>
      <w:r w:rsidRPr="00931344">
        <w:t>voids</w:t>
      </w:r>
      <w:r w:rsidR="004C52BE">
        <w:t>.</w:t>
      </w:r>
      <w:bookmarkEnd w:id="248"/>
    </w:p>
    <w:p w14:paraId="2A5F55E2" w14:textId="77777777" w:rsidR="009D6EEC" w:rsidRPr="00931344" w:rsidRDefault="009D6EEC" w:rsidP="001628AA">
      <w:pPr>
        <w:pStyle w:val="BodyText"/>
        <w:numPr>
          <w:ilvl w:val="0"/>
          <w:numId w:val="67"/>
        </w:numPr>
        <w:spacing w:before="80" w:after="80"/>
      </w:pPr>
      <w:r w:rsidRPr="00931344">
        <w:t>Creeks to the west and east of the CEN project area (Blackwater Creek and Twelve Mile Creek, respectively) are ephemeral, and available groundwater level data indicates that the regional watertable is generally at or below the base of Tertiary unit. The assessment concluded that there is a low risk that the project extension will impact on baseflow contribution to surface water resources, with a correspondingly low risk of impact on GDEs.</w:t>
      </w:r>
    </w:p>
    <w:p w14:paraId="266E9592" w14:textId="77777777" w:rsidR="009D6EEC" w:rsidRDefault="009D6EEC" w:rsidP="001628AA">
      <w:pPr>
        <w:pStyle w:val="BodyText"/>
        <w:numPr>
          <w:ilvl w:val="0"/>
          <w:numId w:val="67"/>
        </w:numPr>
        <w:spacing w:before="80" w:after="80"/>
      </w:pPr>
      <w:r w:rsidRPr="00931344">
        <w:t xml:space="preserve">Quaternary alluvium exists to the north of the CEN project area, associated with the Mackenzie River main channel and flood plains. GDEs in association with the Mackenzie River to the north of the proposed CEN </w:t>
      </w:r>
      <w:r>
        <w:t>p</w:t>
      </w:r>
      <w:r w:rsidRPr="00931344">
        <w:t>roject are not considered to be at risk from any potential groundwater related impacts from this project extension, as the modelled drawdown contour is well south of the GDEs.</w:t>
      </w:r>
    </w:p>
    <w:p w14:paraId="7B6CCD0A" w14:textId="085A0B9C" w:rsidR="009D6EEC" w:rsidRDefault="009D6EEC" w:rsidP="001628AA">
      <w:pPr>
        <w:pStyle w:val="BodyText"/>
        <w:numPr>
          <w:ilvl w:val="0"/>
          <w:numId w:val="67"/>
        </w:numPr>
        <w:spacing w:before="80" w:after="80"/>
      </w:pPr>
      <w:r>
        <w:t>The CNE p</w:t>
      </w:r>
      <w:r w:rsidRPr="003E7384">
        <w:t xml:space="preserve">roject could impact </w:t>
      </w:r>
      <w:r>
        <w:t xml:space="preserve">the receiving environment </w:t>
      </w:r>
      <w:r w:rsidRPr="003E7384">
        <w:t>if</w:t>
      </w:r>
      <w:r>
        <w:t xml:space="preserve"> </w:t>
      </w:r>
      <w:r w:rsidRPr="003E7384">
        <w:t xml:space="preserve">water within the final </w:t>
      </w:r>
      <w:r>
        <w:t>Central North V</w:t>
      </w:r>
      <w:r w:rsidRPr="003E7384">
        <w:t>oid</w:t>
      </w:r>
      <w:r>
        <w:t xml:space="preserve"> was</w:t>
      </w:r>
      <w:r w:rsidRPr="003E7384">
        <w:t xml:space="preserve"> able to exit </w:t>
      </w:r>
      <w:r>
        <w:t>to</w:t>
      </w:r>
      <w:r w:rsidRPr="003E7384">
        <w:t xml:space="preserve"> unconsolidated sediments (i.e. the base of Tertiary) and flow via the groundwater system towards sensitive environmental receptors such as Twelve Mile Creek. An assessment of the potential for water within th</w:t>
      </w:r>
      <w:r>
        <w:t>is</w:t>
      </w:r>
      <w:r w:rsidRPr="003E7384">
        <w:t xml:space="preserve"> final void to exit via the base of Tertiary sediments was undertaken</w:t>
      </w:r>
      <w:r>
        <w:t xml:space="preserve"> by JBT (2019) which concluded that as </w:t>
      </w:r>
      <w:r w:rsidRPr="00CB5C2F">
        <w:t>the base of the Tertiary sediments is interpreted to be</w:t>
      </w:r>
      <w:r>
        <w:t xml:space="preserve"> at</w:t>
      </w:r>
      <w:r w:rsidRPr="00CB5C2F">
        <w:t xml:space="preserve"> a</w:t>
      </w:r>
      <w:r>
        <w:t>n elevation of a</w:t>
      </w:r>
      <w:r w:rsidRPr="00CB5C2F">
        <w:t>pproximately 120 m AHD</w:t>
      </w:r>
      <w:r>
        <w:t>, and the</w:t>
      </w:r>
      <w:r w:rsidRPr="003E7384">
        <w:t xml:space="preserve"> </w:t>
      </w:r>
      <w:r>
        <w:t xml:space="preserve">equilibrated ‘pit lake’ level is expected to be </w:t>
      </w:r>
      <w:r w:rsidRPr="003E7384">
        <w:t>45.3 m</w:t>
      </w:r>
      <w:r>
        <w:t xml:space="preserve"> </w:t>
      </w:r>
      <w:r w:rsidRPr="003E7384">
        <w:t>AHD</w:t>
      </w:r>
      <w:r>
        <w:t xml:space="preserve"> (</w:t>
      </w:r>
      <w:r>
        <w:fldChar w:fldCharType="begin"/>
      </w:r>
      <w:r>
        <w:instrText xml:space="preserve"> REF _Ref57898136 \h </w:instrText>
      </w:r>
      <w:r>
        <w:fldChar w:fldCharType="separate"/>
      </w:r>
      <w:r w:rsidR="00937ADD">
        <w:t xml:space="preserve">Table </w:t>
      </w:r>
      <w:r w:rsidR="00937ADD">
        <w:rPr>
          <w:noProof/>
        </w:rPr>
        <w:t>5</w:t>
      </w:r>
      <w:r w:rsidR="00937ADD">
        <w:noBreakHyphen/>
      </w:r>
      <w:r w:rsidR="00937ADD">
        <w:rPr>
          <w:noProof/>
        </w:rPr>
        <w:t>9</w:t>
      </w:r>
      <w:r>
        <w:fldChar w:fldCharType="end"/>
      </w:r>
      <w:r>
        <w:t xml:space="preserve">), there is no potential for outflow from the residual void </w:t>
      </w:r>
      <w:r w:rsidRPr="003E7384">
        <w:t xml:space="preserve">via the base of </w:t>
      </w:r>
      <w:r>
        <w:t xml:space="preserve">these sediments. The risk of the CNE project impacting </w:t>
      </w:r>
      <w:r w:rsidRPr="003E7384">
        <w:t>the water quality of the</w:t>
      </w:r>
      <w:r>
        <w:t xml:space="preserve"> receiving environment was therefore assessed as very low.</w:t>
      </w:r>
    </w:p>
    <w:p w14:paraId="1802F205" w14:textId="08C9BA0C" w:rsidR="009D6EEC" w:rsidRPr="00FA1B52" w:rsidRDefault="009D6EEC" w:rsidP="009D6EEC">
      <w:pPr>
        <w:pStyle w:val="BodyText"/>
      </w:pPr>
      <w:r w:rsidRPr="000C5D86">
        <w:t xml:space="preserve">The IESC provided advice on the </w:t>
      </w:r>
      <w:r>
        <w:t>CEN p</w:t>
      </w:r>
      <w:r w:rsidRPr="000C5D86">
        <w:t>roject (IESC, 201</w:t>
      </w:r>
      <w:r>
        <w:t>9</w:t>
      </w:r>
      <w:r w:rsidRPr="000C5D86">
        <w:t xml:space="preserve">) in response to a request made by DoEE. The following key potential impacts associated with the </w:t>
      </w:r>
      <w:r>
        <w:t xml:space="preserve">CEN project’s </w:t>
      </w:r>
      <w:r w:rsidRPr="000C5D86">
        <w:t>residual voids were identified by the IESC (201</w:t>
      </w:r>
      <w:r>
        <w:t>9</w:t>
      </w:r>
      <w:r w:rsidRPr="000C5D86">
        <w:t>)</w:t>
      </w:r>
      <w:r w:rsidR="004C52BE">
        <w:t>.</w:t>
      </w:r>
    </w:p>
    <w:p w14:paraId="440B672F" w14:textId="77777777" w:rsidR="009D6EEC" w:rsidRDefault="009D6EEC" w:rsidP="001628AA">
      <w:pPr>
        <w:pStyle w:val="BodyText"/>
        <w:numPr>
          <w:ilvl w:val="0"/>
          <w:numId w:val="86"/>
        </w:numPr>
        <w:spacing w:before="80" w:after="80"/>
      </w:pPr>
      <w:bookmarkStart w:id="249" w:name="_Hlk59548893"/>
      <w:r>
        <w:t>R</w:t>
      </w:r>
      <w:r w:rsidRPr="000C5D86">
        <w:t>isks associated with increasingly saline water contained in the final void in the floodplain (noting there are six other voids approved for existing Jellinbah operations), and the potential for extreme events and changing climatic conditions to cause changes to the predicted void behavio</w:t>
      </w:r>
      <w:r>
        <w:t>u</w:t>
      </w:r>
      <w:r w:rsidRPr="000C5D86">
        <w:t>r</w:t>
      </w:r>
      <w:r>
        <w:t xml:space="preserve">, including ‘pit lake’ </w:t>
      </w:r>
      <w:r w:rsidRPr="003C238F">
        <w:t xml:space="preserve">water levels in </w:t>
      </w:r>
      <w:r>
        <w:t xml:space="preserve">the voids </w:t>
      </w:r>
      <w:r w:rsidRPr="003C238F">
        <w:t>to ris</w:t>
      </w:r>
      <w:r>
        <w:t>ing</w:t>
      </w:r>
      <w:r w:rsidRPr="003C238F">
        <w:t xml:space="preserve"> above the base of the alluvium providing a connection between the void and the surrounding environment.</w:t>
      </w:r>
    </w:p>
    <w:p w14:paraId="048246DA" w14:textId="77777777" w:rsidR="009D6EEC" w:rsidRDefault="009D6EEC" w:rsidP="001628AA">
      <w:pPr>
        <w:pStyle w:val="BodyText"/>
        <w:numPr>
          <w:ilvl w:val="0"/>
          <w:numId w:val="86"/>
        </w:numPr>
        <w:spacing w:before="80" w:after="80"/>
      </w:pPr>
      <w:r>
        <w:t>C</w:t>
      </w:r>
      <w:r w:rsidRPr="000C5D86">
        <w:t>umulative impacts on groundwater, surface water as well as terrestrial and aquatic ecosystems from open-cut mining, releases of mine-affected water, and final voids (that are predicted to become hypersaline) in the region.</w:t>
      </w:r>
    </w:p>
    <w:bookmarkEnd w:id="249"/>
    <w:p w14:paraId="0A34E9BB" w14:textId="138C90E3" w:rsidR="009D6EEC" w:rsidRDefault="009D6EEC" w:rsidP="009D6EEC">
      <w:pPr>
        <w:pStyle w:val="BodyText"/>
        <w:sectPr w:rsidR="009D6EEC" w:rsidSect="00F66109">
          <w:pgSz w:w="11907" w:h="16839" w:code="9"/>
          <w:pgMar w:top="1440" w:right="1440" w:bottom="1134" w:left="1440" w:header="340" w:footer="340" w:gutter="0"/>
          <w:cols w:space="708"/>
          <w:docGrid w:linePitch="360"/>
        </w:sectPr>
      </w:pPr>
    </w:p>
    <w:p w14:paraId="044E2655" w14:textId="03B9B171" w:rsidR="003119C2" w:rsidRDefault="003119C2" w:rsidP="003119C2">
      <w:pPr>
        <w:pStyle w:val="Caption"/>
      </w:pPr>
      <w:bookmarkStart w:id="250" w:name="_Ref57898136"/>
      <w:bookmarkStart w:id="251" w:name="_Toc65140590"/>
      <w:r>
        <w:lastRenderedPageBreak/>
        <w:t xml:space="preserve">Table </w:t>
      </w:r>
      <w:fldSimple w:instr=" STYLEREF 1 \s ">
        <w:r w:rsidR="00937ADD">
          <w:rPr>
            <w:noProof/>
          </w:rPr>
          <w:t>5</w:t>
        </w:r>
      </w:fldSimple>
      <w:r w:rsidR="002714CC">
        <w:noBreakHyphen/>
      </w:r>
      <w:fldSimple w:instr=" SEQ Table \* ARABIC \s 1 ">
        <w:r w:rsidR="00937ADD">
          <w:rPr>
            <w:noProof/>
          </w:rPr>
          <w:t>9</w:t>
        </w:r>
      </w:fldSimple>
      <w:bookmarkEnd w:id="250"/>
      <w:r>
        <w:t xml:space="preserve"> </w:t>
      </w:r>
      <w:r w:rsidR="003412DE">
        <w:t>Long-term</w:t>
      </w:r>
      <w:r>
        <w:t xml:space="preserve"> water level and quality model simulation results of final voids (</w:t>
      </w:r>
      <w:r w:rsidRPr="003119C2">
        <w:t>AARC, 2018</w:t>
      </w:r>
      <w:r w:rsidR="007F7D9A">
        <w:t xml:space="preserve"> and Engeny, 2019</w:t>
      </w:r>
      <w:r w:rsidRPr="003119C2">
        <w:t>)</w:t>
      </w:r>
      <w:r w:rsidR="007F7D9A">
        <w:t xml:space="preserve"> </w:t>
      </w:r>
      <w:r w:rsidR="007F7D9A" w:rsidRPr="007F7D9A">
        <w:rPr>
          <w:vertAlign w:val="superscript"/>
        </w:rPr>
        <w:t>(</w:t>
      </w:r>
      <w:r w:rsidR="00546B03">
        <w:rPr>
          <w:vertAlign w:val="superscript"/>
        </w:rPr>
        <w:t>1</w:t>
      </w:r>
      <w:r w:rsidR="007F7D9A" w:rsidRPr="007F7D9A">
        <w:rPr>
          <w:vertAlign w:val="superscript"/>
        </w:rPr>
        <w:t>)</w:t>
      </w:r>
      <w:bookmarkEnd w:id="251"/>
    </w:p>
    <w:tbl>
      <w:tblPr>
        <w:tblStyle w:val="GridTable1Light-Accent3"/>
        <w:tblW w:w="13603"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ayout w:type="fixed"/>
        <w:tblLook w:val="0000" w:firstRow="0" w:lastRow="0" w:firstColumn="0" w:lastColumn="0" w:noHBand="0" w:noVBand="0"/>
      </w:tblPr>
      <w:tblGrid>
        <w:gridCol w:w="1980"/>
        <w:gridCol w:w="992"/>
        <w:gridCol w:w="1134"/>
        <w:gridCol w:w="1276"/>
        <w:gridCol w:w="1276"/>
        <w:gridCol w:w="1559"/>
        <w:gridCol w:w="1276"/>
        <w:gridCol w:w="1275"/>
        <w:gridCol w:w="1418"/>
        <w:gridCol w:w="1417"/>
      </w:tblGrid>
      <w:tr w:rsidR="00D42E1A" w:rsidRPr="003119C2" w14:paraId="7A45CF79" w14:textId="77777777" w:rsidTr="00D42E1A">
        <w:trPr>
          <w:trHeight w:hRule="exact" w:val="1436"/>
        </w:trPr>
        <w:tc>
          <w:tcPr>
            <w:tcW w:w="1980" w:type="dxa"/>
            <w:shd w:val="clear" w:color="auto" w:fill="049CD5" w:themeFill="accent3"/>
          </w:tcPr>
          <w:p w14:paraId="33D9CCD5" w14:textId="7D34F0EC" w:rsidR="00546B03" w:rsidRPr="003119C2"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 xml:space="preserve">Final </w:t>
            </w:r>
            <w:r>
              <w:rPr>
                <w:rFonts w:eastAsia="Arial" w:cstheme="minorHAnsi"/>
                <w:b/>
                <w:color w:val="FFFFFF" w:themeColor="background1"/>
                <w:sz w:val="18"/>
                <w:szCs w:val="18"/>
                <w:lang w:val="en-US"/>
              </w:rPr>
              <w:t>v</w:t>
            </w:r>
            <w:r w:rsidRPr="003119C2">
              <w:rPr>
                <w:rFonts w:eastAsia="Arial" w:cstheme="minorHAnsi"/>
                <w:b/>
                <w:color w:val="FFFFFF" w:themeColor="background1"/>
                <w:sz w:val="18"/>
                <w:szCs w:val="18"/>
                <w:lang w:val="en-US"/>
              </w:rPr>
              <w:t>oid</w:t>
            </w:r>
          </w:p>
        </w:tc>
        <w:tc>
          <w:tcPr>
            <w:tcW w:w="992" w:type="dxa"/>
            <w:shd w:val="clear" w:color="auto" w:fill="049CD5" w:themeFill="accent3"/>
          </w:tcPr>
          <w:p w14:paraId="0CD62D94" w14:textId="7DC00F4B" w:rsidR="00546B03"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 xml:space="preserve">Bottom of </w:t>
            </w:r>
            <w:r>
              <w:rPr>
                <w:rFonts w:eastAsia="Arial" w:cstheme="minorHAnsi"/>
                <w:b/>
                <w:color w:val="FFFFFF" w:themeColor="background1"/>
                <w:sz w:val="18"/>
                <w:szCs w:val="18"/>
                <w:lang w:val="en-US"/>
              </w:rPr>
              <w:t>p</w:t>
            </w:r>
            <w:r w:rsidRPr="003119C2">
              <w:rPr>
                <w:rFonts w:eastAsia="Arial" w:cstheme="minorHAnsi"/>
                <w:b/>
                <w:color w:val="FFFFFF" w:themeColor="background1"/>
                <w:sz w:val="18"/>
                <w:szCs w:val="18"/>
                <w:lang w:val="en-US"/>
              </w:rPr>
              <w:t>it</w:t>
            </w:r>
          </w:p>
          <w:p w14:paraId="53CCA32E" w14:textId="57CFB121" w:rsidR="00546B03" w:rsidRPr="003119C2"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(m AHD)</w:t>
            </w:r>
          </w:p>
        </w:tc>
        <w:tc>
          <w:tcPr>
            <w:tcW w:w="1134" w:type="dxa"/>
            <w:shd w:val="clear" w:color="auto" w:fill="049CD5" w:themeFill="accent3"/>
          </w:tcPr>
          <w:p w14:paraId="5EE93859" w14:textId="16F804D0" w:rsidR="00546B03" w:rsidRPr="003119C2"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 xml:space="preserve">Void </w:t>
            </w:r>
            <w:r>
              <w:rPr>
                <w:rFonts w:eastAsia="Arial" w:cstheme="minorHAnsi"/>
                <w:b/>
                <w:color w:val="FFFFFF" w:themeColor="background1"/>
                <w:sz w:val="18"/>
                <w:szCs w:val="18"/>
                <w:lang w:val="en-US"/>
              </w:rPr>
              <w:t>s</w:t>
            </w:r>
            <w:r w:rsidRPr="003119C2">
              <w:rPr>
                <w:rFonts w:eastAsia="Arial" w:cstheme="minorHAnsi"/>
                <w:b/>
                <w:color w:val="FFFFFF" w:themeColor="background1"/>
                <w:sz w:val="18"/>
                <w:szCs w:val="18"/>
                <w:lang w:val="en-US"/>
              </w:rPr>
              <w:t xml:space="preserve">pill </w:t>
            </w:r>
            <w:r w:rsidRPr="003119C2">
              <w:rPr>
                <w:rFonts w:eastAsia="Arial" w:cstheme="minorHAnsi"/>
                <w:b/>
                <w:color w:val="FFFFFF" w:themeColor="background1"/>
                <w:sz w:val="18"/>
                <w:szCs w:val="18"/>
                <w:lang w:val="en-US"/>
              </w:rPr>
              <w:br/>
            </w:r>
            <w:r>
              <w:rPr>
                <w:rFonts w:eastAsia="Arial" w:cstheme="minorHAnsi"/>
                <w:b/>
                <w:color w:val="FFFFFF" w:themeColor="background1"/>
                <w:sz w:val="18"/>
                <w:szCs w:val="18"/>
                <w:lang w:val="en-US"/>
              </w:rPr>
              <w:t>e</w:t>
            </w:r>
            <w:r w:rsidRPr="003119C2">
              <w:rPr>
                <w:rFonts w:eastAsia="Arial" w:cstheme="minorHAnsi"/>
                <w:b/>
                <w:color w:val="FFFFFF" w:themeColor="background1"/>
                <w:sz w:val="18"/>
                <w:szCs w:val="18"/>
                <w:lang w:val="en-US"/>
              </w:rPr>
              <w:t>levation (m</w:t>
            </w:r>
            <w:r>
              <w:rPr>
                <w:rFonts w:eastAsia="Arial" w:cstheme="minorHAnsi"/>
                <w:b/>
                <w:color w:val="FFFFFF" w:themeColor="background1"/>
                <w:sz w:val="18"/>
                <w:szCs w:val="18"/>
                <w:lang w:val="en-US"/>
              </w:rPr>
              <w:t xml:space="preserve"> </w:t>
            </w:r>
            <w:r w:rsidRPr="003119C2">
              <w:rPr>
                <w:rFonts w:eastAsia="Arial" w:cstheme="minorHAnsi"/>
                <w:b/>
                <w:color w:val="FFFFFF" w:themeColor="background1"/>
                <w:sz w:val="18"/>
                <w:szCs w:val="18"/>
                <w:lang w:val="en-US"/>
              </w:rPr>
              <w:t>AHD)</w:t>
            </w:r>
          </w:p>
        </w:tc>
        <w:tc>
          <w:tcPr>
            <w:tcW w:w="1276" w:type="dxa"/>
            <w:shd w:val="clear" w:color="auto" w:fill="049CD5" w:themeFill="accent3"/>
          </w:tcPr>
          <w:p w14:paraId="34238C5E" w14:textId="23AE60E2" w:rsidR="00546B03" w:rsidRPr="003119C2"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 xml:space="preserve">Time to </w:t>
            </w:r>
            <w:r w:rsidRPr="003119C2">
              <w:rPr>
                <w:rFonts w:eastAsia="Arial" w:cstheme="minorHAnsi"/>
                <w:b/>
                <w:color w:val="FFFFFF" w:themeColor="background1"/>
                <w:sz w:val="18"/>
                <w:szCs w:val="18"/>
                <w:lang w:val="en-US"/>
              </w:rPr>
              <w:br/>
            </w:r>
            <w:r>
              <w:rPr>
                <w:rFonts w:eastAsia="Arial" w:cstheme="minorHAnsi"/>
                <w:b/>
                <w:color w:val="FFFFFF" w:themeColor="background1"/>
                <w:sz w:val="18"/>
                <w:szCs w:val="18"/>
                <w:lang w:val="en-US"/>
              </w:rPr>
              <w:t>e</w:t>
            </w:r>
            <w:r w:rsidRPr="003119C2">
              <w:rPr>
                <w:rFonts w:eastAsia="Arial" w:cstheme="minorHAnsi"/>
                <w:b/>
                <w:color w:val="FFFFFF" w:themeColor="background1"/>
                <w:sz w:val="18"/>
                <w:szCs w:val="18"/>
                <w:lang w:val="en-US"/>
              </w:rPr>
              <w:t xml:space="preserve">quilibrium </w:t>
            </w:r>
            <w:r w:rsidRPr="003119C2">
              <w:rPr>
                <w:rFonts w:eastAsia="Arial" w:cstheme="minorHAnsi"/>
                <w:b/>
                <w:color w:val="FFFFFF" w:themeColor="background1"/>
                <w:sz w:val="18"/>
                <w:szCs w:val="18"/>
                <w:lang w:val="en-US"/>
              </w:rPr>
              <w:br/>
              <w:t>(years)</w:t>
            </w:r>
          </w:p>
        </w:tc>
        <w:tc>
          <w:tcPr>
            <w:tcW w:w="1276" w:type="dxa"/>
            <w:shd w:val="clear" w:color="auto" w:fill="049CD5" w:themeFill="accent3"/>
          </w:tcPr>
          <w:p w14:paraId="157E1D4D" w14:textId="46EA4D54" w:rsidR="00546B03" w:rsidRPr="003119C2"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 xml:space="preserve">Void </w:t>
            </w:r>
            <w:r>
              <w:rPr>
                <w:rFonts w:eastAsia="Arial" w:cstheme="minorHAnsi"/>
                <w:b/>
                <w:color w:val="FFFFFF" w:themeColor="background1"/>
                <w:sz w:val="18"/>
                <w:szCs w:val="18"/>
                <w:lang w:val="en-US"/>
              </w:rPr>
              <w:t>e</w:t>
            </w:r>
            <w:r w:rsidRPr="003119C2">
              <w:rPr>
                <w:rFonts w:eastAsia="Arial" w:cstheme="minorHAnsi"/>
                <w:b/>
                <w:color w:val="FFFFFF" w:themeColor="background1"/>
                <w:sz w:val="18"/>
                <w:szCs w:val="18"/>
                <w:lang w:val="en-US"/>
              </w:rPr>
              <w:t xml:space="preserve">quilibrium </w:t>
            </w:r>
            <w:r w:rsidRPr="003119C2">
              <w:rPr>
                <w:rFonts w:eastAsia="Arial" w:cstheme="minorHAnsi"/>
                <w:b/>
                <w:color w:val="FFFFFF" w:themeColor="background1"/>
                <w:sz w:val="18"/>
                <w:szCs w:val="18"/>
                <w:lang w:val="en-US"/>
              </w:rPr>
              <w:br/>
            </w:r>
            <w:r>
              <w:rPr>
                <w:rFonts w:eastAsia="Arial" w:cstheme="minorHAnsi"/>
                <w:b/>
                <w:color w:val="FFFFFF" w:themeColor="background1"/>
                <w:sz w:val="18"/>
                <w:szCs w:val="18"/>
                <w:lang w:val="en-US"/>
              </w:rPr>
              <w:t>w</w:t>
            </w:r>
            <w:r w:rsidRPr="003119C2">
              <w:rPr>
                <w:rFonts w:eastAsia="Arial" w:cstheme="minorHAnsi"/>
                <w:b/>
                <w:color w:val="FFFFFF" w:themeColor="background1"/>
                <w:sz w:val="18"/>
                <w:szCs w:val="18"/>
                <w:lang w:val="en-US"/>
              </w:rPr>
              <w:t xml:space="preserve">ater </w:t>
            </w:r>
            <w:r>
              <w:rPr>
                <w:rFonts w:eastAsia="Arial" w:cstheme="minorHAnsi"/>
                <w:b/>
                <w:color w:val="FFFFFF" w:themeColor="background1"/>
                <w:sz w:val="18"/>
                <w:szCs w:val="18"/>
                <w:lang w:val="en-US"/>
              </w:rPr>
              <w:t>l</w:t>
            </w:r>
            <w:r w:rsidRPr="003119C2">
              <w:rPr>
                <w:rFonts w:eastAsia="Arial" w:cstheme="minorHAnsi"/>
                <w:b/>
                <w:color w:val="FFFFFF" w:themeColor="background1"/>
                <w:sz w:val="18"/>
                <w:szCs w:val="18"/>
                <w:lang w:val="en-US"/>
              </w:rPr>
              <w:t>evel (m</w:t>
            </w:r>
            <w:r>
              <w:rPr>
                <w:rFonts w:eastAsia="Arial" w:cstheme="minorHAnsi"/>
                <w:b/>
                <w:color w:val="FFFFFF" w:themeColor="background1"/>
                <w:sz w:val="18"/>
                <w:szCs w:val="18"/>
                <w:lang w:val="en-US"/>
              </w:rPr>
              <w:t xml:space="preserve"> </w:t>
            </w:r>
            <w:r w:rsidRPr="003119C2">
              <w:rPr>
                <w:rFonts w:eastAsia="Arial" w:cstheme="minorHAnsi"/>
                <w:b/>
                <w:color w:val="FFFFFF" w:themeColor="background1"/>
                <w:sz w:val="18"/>
                <w:szCs w:val="18"/>
                <w:lang w:val="en-US"/>
              </w:rPr>
              <w:t>AHD)</w:t>
            </w:r>
          </w:p>
        </w:tc>
        <w:tc>
          <w:tcPr>
            <w:tcW w:w="1559" w:type="dxa"/>
            <w:shd w:val="clear" w:color="auto" w:fill="049CD5" w:themeFill="accent3"/>
          </w:tcPr>
          <w:p w14:paraId="2236CFD1" w14:textId="259252A6" w:rsidR="00546B03" w:rsidRPr="003119C2"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 xml:space="preserve">Max </w:t>
            </w:r>
            <w:r>
              <w:rPr>
                <w:rFonts w:eastAsia="Arial" w:cstheme="minorHAnsi"/>
                <w:b/>
                <w:color w:val="FFFFFF" w:themeColor="background1"/>
                <w:sz w:val="18"/>
                <w:szCs w:val="18"/>
                <w:lang w:val="en-US"/>
              </w:rPr>
              <w:t>l</w:t>
            </w:r>
            <w:r w:rsidRPr="003119C2">
              <w:rPr>
                <w:rFonts w:eastAsia="Arial" w:cstheme="minorHAnsi"/>
                <w:b/>
                <w:color w:val="FFFFFF" w:themeColor="background1"/>
                <w:sz w:val="18"/>
                <w:szCs w:val="18"/>
                <w:lang w:val="en-US"/>
              </w:rPr>
              <w:t xml:space="preserve">evel after </w:t>
            </w:r>
            <w:r w:rsidRPr="003119C2">
              <w:rPr>
                <w:rFonts w:eastAsia="Arial" w:cstheme="minorHAnsi"/>
                <w:b/>
                <w:color w:val="FFFFFF" w:themeColor="background1"/>
                <w:sz w:val="18"/>
                <w:szCs w:val="18"/>
                <w:lang w:val="en-US"/>
              </w:rPr>
              <w:br/>
            </w:r>
            <w:r>
              <w:rPr>
                <w:rFonts w:eastAsia="Arial" w:cstheme="minorHAnsi"/>
                <w:b/>
                <w:color w:val="FFFFFF" w:themeColor="background1"/>
                <w:sz w:val="18"/>
                <w:szCs w:val="18"/>
                <w:lang w:val="en-US"/>
              </w:rPr>
              <w:t>e</w:t>
            </w:r>
            <w:r w:rsidRPr="003119C2">
              <w:rPr>
                <w:rFonts w:eastAsia="Arial" w:cstheme="minorHAnsi"/>
                <w:b/>
                <w:color w:val="FFFFFF" w:themeColor="background1"/>
                <w:sz w:val="18"/>
                <w:szCs w:val="18"/>
                <w:lang w:val="en-US"/>
              </w:rPr>
              <w:t xml:space="preserve">quilibrium </w:t>
            </w:r>
            <w:r w:rsidRPr="003119C2">
              <w:rPr>
                <w:rFonts w:eastAsia="Arial" w:cstheme="minorHAnsi"/>
                <w:b/>
                <w:color w:val="FFFFFF" w:themeColor="background1"/>
                <w:sz w:val="18"/>
                <w:szCs w:val="18"/>
                <w:lang w:val="en-US"/>
              </w:rPr>
              <w:br/>
            </w:r>
            <w:r>
              <w:rPr>
                <w:rFonts w:eastAsia="Arial" w:cstheme="minorHAnsi"/>
                <w:b/>
                <w:color w:val="FFFFFF" w:themeColor="background1"/>
                <w:sz w:val="18"/>
                <w:szCs w:val="18"/>
                <w:lang w:val="en-US"/>
              </w:rPr>
              <w:t>r</w:t>
            </w:r>
            <w:r w:rsidRPr="003119C2">
              <w:rPr>
                <w:rFonts w:eastAsia="Arial" w:cstheme="minorHAnsi"/>
                <w:b/>
                <w:color w:val="FFFFFF" w:themeColor="background1"/>
                <w:sz w:val="18"/>
                <w:szCs w:val="18"/>
                <w:lang w:val="en-US"/>
              </w:rPr>
              <w:t>eached</w:t>
            </w:r>
            <w:r w:rsidR="004F478C">
              <w:rPr>
                <w:rFonts w:eastAsia="Arial" w:cstheme="minorHAnsi"/>
                <w:b/>
                <w:color w:val="FFFFFF" w:themeColor="background1"/>
                <w:sz w:val="18"/>
                <w:szCs w:val="18"/>
                <w:lang w:val="en-US"/>
              </w:rPr>
              <w:t xml:space="preserve"> (m</w:t>
            </w:r>
            <w:r w:rsidR="00A86D31">
              <w:rPr>
                <w:rFonts w:eastAsia="Arial" w:cstheme="minorHAnsi"/>
                <w:b/>
                <w:color w:val="FFFFFF" w:themeColor="background1"/>
                <w:sz w:val="18"/>
                <w:szCs w:val="18"/>
                <w:lang w:val="en-US"/>
              </w:rPr>
              <w:t xml:space="preserve"> </w:t>
            </w:r>
            <w:r w:rsidR="004F478C">
              <w:rPr>
                <w:rFonts w:eastAsia="Arial" w:cstheme="minorHAnsi"/>
                <w:b/>
                <w:color w:val="FFFFFF" w:themeColor="background1"/>
                <w:sz w:val="18"/>
                <w:szCs w:val="18"/>
                <w:lang w:val="en-US"/>
              </w:rPr>
              <w:t>AHD)</w:t>
            </w:r>
          </w:p>
        </w:tc>
        <w:tc>
          <w:tcPr>
            <w:tcW w:w="1276" w:type="dxa"/>
            <w:shd w:val="clear" w:color="auto" w:fill="049CD5" w:themeFill="accent3"/>
          </w:tcPr>
          <w:p w14:paraId="4A87F880" w14:textId="640B76AA" w:rsidR="00546B03" w:rsidRPr="004F478C"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4F478C">
              <w:rPr>
                <w:rFonts w:eastAsia="Arial" w:cstheme="minorHAnsi"/>
                <w:b/>
                <w:color w:val="FFFFFF" w:themeColor="background1"/>
                <w:sz w:val="18"/>
                <w:szCs w:val="18"/>
                <w:lang w:val="en-US"/>
              </w:rPr>
              <w:t xml:space="preserve">Void equilibrium </w:t>
            </w:r>
            <w:r w:rsidRPr="004F478C">
              <w:rPr>
                <w:rFonts w:eastAsia="Arial" w:cstheme="minorHAnsi"/>
                <w:b/>
                <w:color w:val="FFFFFF" w:themeColor="background1"/>
                <w:sz w:val="18"/>
                <w:szCs w:val="18"/>
                <w:lang w:val="en-US"/>
              </w:rPr>
              <w:br/>
              <w:t>lake area (ha)</w:t>
            </w:r>
          </w:p>
        </w:tc>
        <w:tc>
          <w:tcPr>
            <w:tcW w:w="1275" w:type="dxa"/>
            <w:shd w:val="clear" w:color="auto" w:fill="049CD5" w:themeFill="accent3"/>
          </w:tcPr>
          <w:p w14:paraId="5D551D31" w14:textId="77777777" w:rsidR="00546B03" w:rsidRPr="004F478C" w:rsidRDefault="00546B03">
            <w:pPr>
              <w:spacing w:before="60" w:after="60" w:line="300" w:lineRule="auto"/>
              <w:jc w:val="center"/>
              <w:textAlignment w:val="baseline"/>
              <w:rPr>
                <w:rFonts w:eastAsia="Arial" w:cstheme="minorHAnsi"/>
                <w:b/>
                <w:color w:val="FFFFFF" w:themeColor="background1"/>
                <w:sz w:val="18"/>
                <w:szCs w:val="18"/>
                <w:lang w:val="en-US"/>
              </w:rPr>
            </w:pPr>
            <w:r w:rsidRPr="004F478C">
              <w:rPr>
                <w:rFonts w:eastAsia="Arial" w:cstheme="minorHAnsi"/>
                <w:b/>
                <w:color w:val="FFFFFF" w:themeColor="background1"/>
                <w:sz w:val="18"/>
                <w:szCs w:val="18"/>
                <w:lang w:val="en-US"/>
              </w:rPr>
              <w:t>Equilibrium</w:t>
            </w:r>
          </w:p>
          <w:p w14:paraId="32E6CCC7" w14:textId="5E0C3F78" w:rsidR="00546B03" w:rsidRPr="004F478C" w:rsidRDefault="00546B03">
            <w:pPr>
              <w:spacing w:before="60" w:after="60" w:line="300" w:lineRule="auto"/>
              <w:jc w:val="center"/>
              <w:textAlignment w:val="baseline"/>
              <w:rPr>
                <w:rFonts w:eastAsia="Arial" w:cstheme="minorHAnsi"/>
                <w:b/>
                <w:color w:val="FFFFFF" w:themeColor="background1"/>
                <w:sz w:val="18"/>
                <w:szCs w:val="18"/>
                <w:lang w:val="en-US"/>
              </w:rPr>
            </w:pPr>
            <w:r w:rsidRPr="004F478C">
              <w:rPr>
                <w:rFonts w:eastAsia="Arial" w:cstheme="minorHAnsi"/>
                <w:b/>
                <w:color w:val="FFFFFF" w:themeColor="background1"/>
                <w:sz w:val="18"/>
                <w:szCs w:val="18"/>
                <w:lang w:val="en-US"/>
              </w:rPr>
              <w:t>volume (</w:t>
            </w:r>
            <w:r w:rsidR="00A31346" w:rsidRPr="004F478C">
              <w:rPr>
                <w:rFonts w:eastAsia="Arial" w:cstheme="minorHAnsi"/>
                <w:b/>
                <w:color w:val="FFFFFF" w:themeColor="background1"/>
                <w:sz w:val="18"/>
                <w:szCs w:val="18"/>
                <w:lang w:val="en-US"/>
              </w:rPr>
              <w:t>M</w:t>
            </w:r>
            <w:r w:rsidRPr="004F478C">
              <w:rPr>
                <w:rFonts w:eastAsia="Arial" w:cstheme="minorHAnsi"/>
                <w:b/>
                <w:color w:val="FFFFFF" w:themeColor="background1"/>
                <w:sz w:val="18"/>
                <w:szCs w:val="18"/>
                <w:lang w:val="en-US"/>
              </w:rPr>
              <w:t>L, % of total)</w:t>
            </w:r>
          </w:p>
        </w:tc>
        <w:tc>
          <w:tcPr>
            <w:tcW w:w="1418" w:type="dxa"/>
            <w:shd w:val="clear" w:color="auto" w:fill="049CD5" w:themeFill="accent3"/>
          </w:tcPr>
          <w:p w14:paraId="5B4AACC8" w14:textId="02E1B530" w:rsidR="00546B03" w:rsidRPr="003119C2"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Void EC after 100 years (µS/cm)</w:t>
            </w:r>
          </w:p>
        </w:tc>
        <w:tc>
          <w:tcPr>
            <w:tcW w:w="1417" w:type="dxa"/>
            <w:shd w:val="clear" w:color="auto" w:fill="049CD5" w:themeFill="accent3"/>
          </w:tcPr>
          <w:p w14:paraId="5AD3613A" w14:textId="04DCA4C3" w:rsidR="00546B03" w:rsidRPr="003119C2" w:rsidRDefault="00546B03" w:rsidP="008C363B">
            <w:pPr>
              <w:spacing w:before="60" w:after="60" w:line="300" w:lineRule="auto"/>
              <w:jc w:val="center"/>
              <w:textAlignment w:val="baseline"/>
              <w:rPr>
                <w:rFonts w:eastAsia="Arial" w:cstheme="minorHAnsi"/>
                <w:b/>
                <w:color w:val="FFFFFF" w:themeColor="background1"/>
                <w:sz w:val="18"/>
                <w:szCs w:val="18"/>
                <w:lang w:val="en-US"/>
              </w:rPr>
            </w:pPr>
            <w:r w:rsidRPr="003119C2">
              <w:rPr>
                <w:rFonts w:eastAsia="Arial" w:cstheme="minorHAnsi"/>
                <w:b/>
                <w:color w:val="FFFFFF" w:themeColor="background1"/>
                <w:sz w:val="18"/>
                <w:szCs w:val="18"/>
                <w:lang w:val="en-US"/>
              </w:rPr>
              <w:t>Void EC after 400 years (µS/cm)</w:t>
            </w:r>
          </w:p>
        </w:tc>
      </w:tr>
      <w:tr w:rsidR="00D42E1A" w:rsidRPr="003119C2" w14:paraId="1779C607" w14:textId="77777777" w:rsidTr="00D42E1A">
        <w:trPr>
          <w:trHeight w:hRule="exact" w:val="682"/>
        </w:trPr>
        <w:tc>
          <w:tcPr>
            <w:tcW w:w="1980" w:type="dxa"/>
          </w:tcPr>
          <w:p w14:paraId="63355A41" w14:textId="77777777" w:rsidR="00546B03" w:rsidRPr="003119C2" w:rsidRDefault="00546B03">
            <w:pPr>
              <w:spacing w:before="60" w:after="60" w:line="300" w:lineRule="auto"/>
              <w:jc w:val="center"/>
              <w:textAlignment w:val="baseline"/>
              <w:rPr>
                <w:rFonts w:eastAsia="Arial" w:cstheme="minorHAnsi"/>
                <w:b/>
                <w:bCs/>
                <w:color w:val="000000"/>
                <w:sz w:val="18"/>
                <w:szCs w:val="18"/>
                <w:lang w:val="en-US"/>
              </w:rPr>
            </w:pPr>
            <w:r w:rsidRPr="003119C2">
              <w:rPr>
                <w:rFonts w:eastAsia="Arial" w:cstheme="minorHAnsi"/>
                <w:b/>
                <w:bCs/>
                <w:color w:val="000000"/>
                <w:sz w:val="18"/>
                <w:szCs w:val="18"/>
                <w:lang w:val="en-US"/>
              </w:rPr>
              <w:t>Mackenzie North Void</w:t>
            </w:r>
          </w:p>
        </w:tc>
        <w:tc>
          <w:tcPr>
            <w:tcW w:w="992" w:type="dxa"/>
          </w:tcPr>
          <w:p w14:paraId="3BE1AF80"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5.7</w:t>
            </w:r>
          </w:p>
        </w:tc>
        <w:tc>
          <w:tcPr>
            <w:tcW w:w="1134" w:type="dxa"/>
          </w:tcPr>
          <w:p w14:paraId="5C16A514"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119.5</w:t>
            </w:r>
          </w:p>
        </w:tc>
        <w:tc>
          <w:tcPr>
            <w:tcW w:w="1276" w:type="dxa"/>
          </w:tcPr>
          <w:p w14:paraId="6BC7D976"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100</w:t>
            </w:r>
          </w:p>
        </w:tc>
        <w:tc>
          <w:tcPr>
            <w:tcW w:w="1276" w:type="dxa"/>
          </w:tcPr>
          <w:p w14:paraId="6CEE84F7"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33.4</w:t>
            </w:r>
          </w:p>
        </w:tc>
        <w:tc>
          <w:tcPr>
            <w:tcW w:w="1559" w:type="dxa"/>
          </w:tcPr>
          <w:p w14:paraId="156FF6BD"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38.8</w:t>
            </w:r>
          </w:p>
        </w:tc>
        <w:tc>
          <w:tcPr>
            <w:tcW w:w="1276" w:type="dxa"/>
          </w:tcPr>
          <w:p w14:paraId="03595FA5" w14:textId="77777777" w:rsidR="00546B03" w:rsidRPr="003119C2" w:rsidRDefault="00546B03">
            <w:pPr>
              <w:tabs>
                <w:tab w:val="decimal" w:pos="432"/>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17.6</w:t>
            </w:r>
          </w:p>
        </w:tc>
        <w:tc>
          <w:tcPr>
            <w:tcW w:w="1275" w:type="dxa"/>
          </w:tcPr>
          <w:p w14:paraId="028E31EB" w14:textId="021F1FA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2,370</w:t>
            </w:r>
            <w:r>
              <w:rPr>
                <w:rFonts w:eastAsia="Arial" w:cstheme="minorHAnsi"/>
                <w:color w:val="000000"/>
                <w:sz w:val="18"/>
                <w:szCs w:val="18"/>
                <w:lang w:val="en-US"/>
              </w:rPr>
              <w:t xml:space="preserve"> </w:t>
            </w:r>
            <w:r w:rsidRPr="003119C2">
              <w:rPr>
                <w:rFonts w:eastAsia="Arial" w:cstheme="minorHAnsi"/>
                <w:color w:val="000000"/>
                <w:sz w:val="18"/>
                <w:szCs w:val="18"/>
                <w:lang w:val="en-US"/>
              </w:rPr>
              <w:t>(2.9%)</w:t>
            </w:r>
          </w:p>
        </w:tc>
        <w:tc>
          <w:tcPr>
            <w:tcW w:w="1418" w:type="dxa"/>
          </w:tcPr>
          <w:p w14:paraId="241DBC1F"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42,662</w:t>
            </w:r>
          </w:p>
        </w:tc>
        <w:tc>
          <w:tcPr>
            <w:tcW w:w="1417" w:type="dxa"/>
          </w:tcPr>
          <w:p w14:paraId="23C6AA23"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187,852</w:t>
            </w:r>
          </w:p>
        </w:tc>
      </w:tr>
      <w:tr w:rsidR="00D42E1A" w:rsidRPr="003119C2" w14:paraId="574A14F8" w14:textId="77777777" w:rsidTr="00D42E1A">
        <w:trPr>
          <w:trHeight w:hRule="exact" w:val="706"/>
        </w:trPr>
        <w:tc>
          <w:tcPr>
            <w:tcW w:w="1980" w:type="dxa"/>
          </w:tcPr>
          <w:p w14:paraId="35AEAEB2" w14:textId="77777777" w:rsidR="00546B03" w:rsidRPr="003119C2" w:rsidRDefault="00546B03">
            <w:pPr>
              <w:spacing w:before="60" w:after="60" w:line="300" w:lineRule="auto"/>
              <w:jc w:val="center"/>
              <w:textAlignment w:val="baseline"/>
              <w:rPr>
                <w:rFonts w:eastAsia="Arial" w:cstheme="minorHAnsi"/>
                <w:b/>
                <w:bCs/>
                <w:color w:val="000000"/>
                <w:sz w:val="18"/>
                <w:szCs w:val="18"/>
                <w:lang w:val="en-US"/>
              </w:rPr>
            </w:pPr>
            <w:r w:rsidRPr="003119C2">
              <w:rPr>
                <w:rFonts w:eastAsia="Arial" w:cstheme="minorHAnsi"/>
                <w:b/>
                <w:bCs/>
                <w:color w:val="000000"/>
                <w:sz w:val="18"/>
                <w:szCs w:val="18"/>
                <w:lang w:val="en-US"/>
              </w:rPr>
              <w:t>Plains (North) Void</w:t>
            </w:r>
          </w:p>
        </w:tc>
        <w:tc>
          <w:tcPr>
            <w:tcW w:w="992" w:type="dxa"/>
          </w:tcPr>
          <w:p w14:paraId="41A998D1"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-34.6</w:t>
            </w:r>
          </w:p>
        </w:tc>
        <w:tc>
          <w:tcPr>
            <w:tcW w:w="1134" w:type="dxa"/>
          </w:tcPr>
          <w:p w14:paraId="22585B86"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118</w:t>
            </w:r>
          </w:p>
        </w:tc>
        <w:tc>
          <w:tcPr>
            <w:tcW w:w="1276" w:type="dxa"/>
          </w:tcPr>
          <w:p w14:paraId="32BBF61A"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125</w:t>
            </w:r>
          </w:p>
        </w:tc>
        <w:tc>
          <w:tcPr>
            <w:tcW w:w="1276" w:type="dxa"/>
          </w:tcPr>
          <w:p w14:paraId="6FDD15CA"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57.9</w:t>
            </w:r>
          </w:p>
        </w:tc>
        <w:tc>
          <w:tcPr>
            <w:tcW w:w="1559" w:type="dxa"/>
          </w:tcPr>
          <w:p w14:paraId="0F99D821"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61.4</w:t>
            </w:r>
          </w:p>
        </w:tc>
        <w:tc>
          <w:tcPr>
            <w:tcW w:w="1276" w:type="dxa"/>
          </w:tcPr>
          <w:p w14:paraId="1C051347" w14:textId="77777777" w:rsidR="00546B03" w:rsidRPr="003119C2" w:rsidRDefault="00546B03">
            <w:pPr>
              <w:tabs>
                <w:tab w:val="decimal" w:pos="432"/>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56.3</w:t>
            </w:r>
          </w:p>
        </w:tc>
        <w:tc>
          <w:tcPr>
            <w:tcW w:w="1275" w:type="dxa"/>
          </w:tcPr>
          <w:p w14:paraId="55FA492D" w14:textId="455CB144"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21,414</w:t>
            </w:r>
            <w:r>
              <w:rPr>
                <w:rFonts w:eastAsia="Arial" w:cstheme="minorHAnsi"/>
                <w:color w:val="000000"/>
                <w:sz w:val="18"/>
                <w:szCs w:val="18"/>
                <w:lang w:val="en-US"/>
              </w:rPr>
              <w:t xml:space="preserve"> </w:t>
            </w:r>
            <w:r w:rsidRPr="003119C2">
              <w:rPr>
                <w:rFonts w:eastAsia="Arial" w:cstheme="minorHAnsi"/>
                <w:color w:val="000000"/>
                <w:sz w:val="18"/>
                <w:szCs w:val="18"/>
                <w:lang w:val="en-US"/>
              </w:rPr>
              <w:t>(25%)</w:t>
            </w:r>
          </w:p>
        </w:tc>
        <w:tc>
          <w:tcPr>
            <w:tcW w:w="1418" w:type="dxa"/>
          </w:tcPr>
          <w:p w14:paraId="7DD62B58"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5,185</w:t>
            </w:r>
          </w:p>
        </w:tc>
        <w:tc>
          <w:tcPr>
            <w:tcW w:w="1417" w:type="dxa"/>
          </w:tcPr>
          <w:p w14:paraId="1C49D3AB"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18,537</w:t>
            </w:r>
          </w:p>
        </w:tc>
      </w:tr>
      <w:tr w:rsidR="00D42E1A" w:rsidRPr="003119C2" w14:paraId="4BC84686" w14:textId="77777777" w:rsidTr="00D42E1A">
        <w:trPr>
          <w:trHeight w:hRule="exact" w:val="561"/>
        </w:trPr>
        <w:tc>
          <w:tcPr>
            <w:tcW w:w="1980" w:type="dxa"/>
          </w:tcPr>
          <w:p w14:paraId="501363BB" w14:textId="77777777" w:rsidR="00546B03" w:rsidRPr="003119C2" w:rsidRDefault="00546B03">
            <w:pPr>
              <w:spacing w:before="60" w:after="60" w:line="300" w:lineRule="auto"/>
              <w:jc w:val="center"/>
              <w:textAlignment w:val="baseline"/>
              <w:rPr>
                <w:rFonts w:eastAsia="Arial" w:cstheme="minorHAnsi"/>
                <w:b/>
                <w:bCs/>
                <w:color w:val="000000"/>
                <w:sz w:val="18"/>
                <w:szCs w:val="18"/>
                <w:lang w:val="en-US"/>
              </w:rPr>
            </w:pPr>
            <w:r w:rsidRPr="003119C2">
              <w:rPr>
                <w:rFonts w:eastAsia="Arial" w:cstheme="minorHAnsi"/>
                <w:b/>
                <w:bCs/>
                <w:color w:val="000000"/>
                <w:sz w:val="18"/>
                <w:szCs w:val="18"/>
                <w:lang w:val="en-US"/>
              </w:rPr>
              <w:t>Plains (South) Void</w:t>
            </w:r>
          </w:p>
        </w:tc>
        <w:tc>
          <w:tcPr>
            <w:tcW w:w="992" w:type="dxa"/>
          </w:tcPr>
          <w:p w14:paraId="176FEFF7"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113.9</w:t>
            </w:r>
          </w:p>
        </w:tc>
        <w:tc>
          <w:tcPr>
            <w:tcW w:w="1134" w:type="dxa"/>
          </w:tcPr>
          <w:p w14:paraId="3C55967F"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120</w:t>
            </w:r>
          </w:p>
        </w:tc>
        <w:tc>
          <w:tcPr>
            <w:tcW w:w="1276" w:type="dxa"/>
          </w:tcPr>
          <w:p w14:paraId="3A7B4FB8"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0</w:t>
            </w:r>
          </w:p>
        </w:tc>
        <w:tc>
          <w:tcPr>
            <w:tcW w:w="1276" w:type="dxa"/>
          </w:tcPr>
          <w:p w14:paraId="27AE078F"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114.3</w:t>
            </w:r>
          </w:p>
        </w:tc>
        <w:tc>
          <w:tcPr>
            <w:tcW w:w="1559" w:type="dxa"/>
          </w:tcPr>
          <w:p w14:paraId="5A64B7E3"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117.5</w:t>
            </w:r>
          </w:p>
        </w:tc>
        <w:tc>
          <w:tcPr>
            <w:tcW w:w="1276" w:type="dxa"/>
          </w:tcPr>
          <w:p w14:paraId="64EF6F7B" w14:textId="77777777" w:rsidR="00546B03" w:rsidRPr="003119C2" w:rsidRDefault="00546B03">
            <w:pPr>
              <w:tabs>
                <w:tab w:val="decimal" w:pos="432"/>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23.0</w:t>
            </w:r>
          </w:p>
        </w:tc>
        <w:tc>
          <w:tcPr>
            <w:tcW w:w="1275" w:type="dxa"/>
          </w:tcPr>
          <w:p w14:paraId="734CB0C0" w14:textId="4D1EE34C"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8</w:t>
            </w:r>
            <w:r>
              <w:rPr>
                <w:rFonts w:eastAsia="Arial" w:cstheme="minorHAnsi"/>
                <w:color w:val="000000"/>
                <w:sz w:val="18"/>
                <w:szCs w:val="18"/>
                <w:lang w:val="en-US"/>
              </w:rPr>
              <w:t xml:space="preserve">3 </w:t>
            </w:r>
            <w:r w:rsidRPr="003119C2">
              <w:rPr>
                <w:rFonts w:eastAsia="Arial" w:cstheme="minorHAnsi"/>
                <w:color w:val="000000"/>
                <w:sz w:val="18"/>
                <w:szCs w:val="18"/>
                <w:lang w:val="en-US"/>
              </w:rPr>
              <w:t>(4.0%)</w:t>
            </w:r>
          </w:p>
        </w:tc>
        <w:tc>
          <w:tcPr>
            <w:tcW w:w="1418" w:type="dxa"/>
          </w:tcPr>
          <w:p w14:paraId="6025A624"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&gt;10</w:t>
            </w:r>
            <w:r w:rsidRPr="003119C2">
              <w:rPr>
                <w:rFonts w:eastAsia="Arial" w:cstheme="minorHAnsi"/>
                <w:color w:val="000000"/>
                <w:sz w:val="18"/>
                <w:szCs w:val="18"/>
                <w:vertAlign w:val="superscript"/>
                <w:lang w:val="en-US"/>
              </w:rPr>
              <w:t>6</w:t>
            </w:r>
          </w:p>
        </w:tc>
        <w:tc>
          <w:tcPr>
            <w:tcW w:w="1417" w:type="dxa"/>
          </w:tcPr>
          <w:p w14:paraId="1F639E9A" w14:textId="13F63CD4"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&gt;10</w:t>
            </w:r>
            <w:r w:rsidRPr="003119C2">
              <w:rPr>
                <w:rFonts w:eastAsia="Arial" w:cstheme="minorHAnsi"/>
                <w:color w:val="000000"/>
                <w:sz w:val="18"/>
                <w:szCs w:val="18"/>
                <w:vertAlign w:val="superscript"/>
                <w:lang w:val="en-US"/>
              </w:rPr>
              <w:t>6</w:t>
            </w:r>
          </w:p>
        </w:tc>
      </w:tr>
      <w:tr w:rsidR="00D42E1A" w:rsidRPr="003119C2" w14:paraId="379A71FE" w14:textId="77777777" w:rsidTr="00D42E1A">
        <w:trPr>
          <w:trHeight w:hRule="exact" w:val="705"/>
        </w:trPr>
        <w:tc>
          <w:tcPr>
            <w:tcW w:w="1980" w:type="dxa"/>
          </w:tcPr>
          <w:p w14:paraId="4BAC5736" w14:textId="19FEF2F5" w:rsidR="00546B03" w:rsidRPr="003119C2" w:rsidRDefault="00546B03">
            <w:pPr>
              <w:spacing w:before="60" w:after="60" w:line="300" w:lineRule="auto"/>
              <w:jc w:val="center"/>
              <w:rPr>
                <w:rFonts w:eastAsia="PMingLiU" w:cstheme="minorHAnsi"/>
                <w:b/>
                <w:bCs/>
                <w:sz w:val="18"/>
                <w:szCs w:val="18"/>
                <w:lang w:val="en-US"/>
              </w:rPr>
            </w:pPr>
            <w:r w:rsidRPr="00546B03">
              <w:rPr>
                <w:rFonts w:eastAsia="PMingLiU" w:cstheme="minorHAnsi"/>
                <w:b/>
                <w:bCs/>
                <w:sz w:val="18"/>
                <w:szCs w:val="18"/>
                <w:lang w:val="en-US"/>
              </w:rPr>
              <w:t>Central Void (North)</w:t>
            </w:r>
          </w:p>
        </w:tc>
        <w:tc>
          <w:tcPr>
            <w:tcW w:w="992" w:type="dxa"/>
          </w:tcPr>
          <w:p w14:paraId="1BFA2277" w14:textId="0F59599A" w:rsidR="00546B03" w:rsidRPr="003119C2" w:rsidRDefault="00546B03">
            <w:pPr>
              <w:spacing w:before="60" w:after="60" w:line="300" w:lineRule="auto"/>
              <w:jc w:val="center"/>
              <w:rPr>
                <w:rFonts w:eastAsia="PMingLiU" w:cstheme="minorHAnsi"/>
                <w:sz w:val="18"/>
                <w:szCs w:val="18"/>
                <w:lang w:val="en-US"/>
              </w:rPr>
            </w:pPr>
            <w:r>
              <w:rPr>
                <w:rFonts w:eastAsia="PMingLiU" w:cstheme="minorHAnsi"/>
                <w:sz w:val="18"/>
                <w:szCs w:val="18"/>
                <w:lang w:val="en-US"/>
              </w:rPr>
              <w:t>-7.1</w:t>
            </w:r>
          </w:p>
        </w:tc>
        <w:tc>
          <w:tcPr>
            <w:tcW w:w="1134" w:type="dxa"/>
          </w:tcPr>
          <w:p w14:paraId="6608EA1F" w14:textId="1772633B" w:rsidR="00546B03" w:rsidRPr="003119C2" w:rsidRDefault="00546B03">
            <w:pPr>
              <w:spacing w:before="60" w:after="60" w:line="300" w:lineRule="auto"/>
              <w:jc w:val="center"/>
              <w:rPr>
                <w:rFonts w:eastAsia="PMingLiU" w:cstheme="minorHAnsi"/>
                <w:sz w:val="18"/>
                <w:szCs w:val="18"/>
                <w:lang w:val="en-US"/>
              </w:rPr>
            </w:pPr>
            <w:r>
              <w:rPr>
                <w:rFonts w:eastAsia="PMingLiU" w:cstheme="minorHAnsi"/>
                <w:sz w:val="18"/>
                <w:szCs w:val="18"/>
                <w:lang w:val="en-US"/>
              </w:rPr>
              <w:t>140</w:t>
            </w:r>
          </w:p>
        </w:tc>
        <w:tc>
          <w:tcPr>
            <w:tcW w:w="1276" w:type="dxa"/>
          </w:tcPr>
          <w:p w14:paraId="7F0A9E9E"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30</w:t>
            </w:r>
          </w:p>
        </w:tc>
        <w:tc>
          <w:tcPr>
            <w:tcW w:w="1276" w:type="dxa"/>
          </w:tcPr>
          <w:p w14:paraId="55742129" w14:textId="08EC2235"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45.3</w:t>
            </w:r>
          </w:p>
        </w:tc>
        <w:tc>
          <w:tcPr>
            <w:tcW w:w="1559" w:type="dxa"/>
          </w:tcPr>
          <w:p w14:paraId="63291535" w14:textId="4409AEB9"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4</w:t>
            </w:r>
            <w:r>
              <w:rPr>
                <w:rFonts w:eastAsia="Arial" w:cstheme="minorHAnsi"/>
                <w:color w:val="000000"/>
                <w:sz w:val="18"/>
                <w:szCs w:val="18"/>
                <w:lang w:val="en-US"/>
              </w:rPr>
              <w:t>5.3</w:t>
            </w:r>
          </w:p>
        </w:tc>
        <w:tc>
          <w:tcPr>
            <w:tcW w:w="1276" w:type="dxa"/>
          </w:tcPr>
          <w:p w14:paraId="3A1F8100" w14:textId="09EDEA1F" w:rsidR="00546B03" w:rsidRPr="003119C2" w:rsidRDefault="00546B03">
            <w:pPr>
              <w:tabs>
                <w:tab w:val="decimal" w:pos="432"/>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w:t>
            </w:r>
            <w:r>
              <w:rPr>
                <w:rFonts w:eastAsia="Arial" w:cstheme="minorHAnsi"/>
                <w:color w:val="000000"/>
                <w:sz w:val="18"/>
                <w:szCs w:val="18"/>
                <w:lang w:val="en-US"/>
              </w:rPr>
              <w:t>1.3</w:t>
            </w:r>
          </w:p>
        </w:tc>
        <w:tc>
          <w:tcPr>
            <w:tcW w:w="1275" w:type="dxa"/>
          </w:tcPr>
          <w:p w14:paraId="77F38B36" w14:textId="63320DCE" w:rsidR="00546B03" w:rsidRPr="003119C2" w:rsidRDefault="00546B03">
            <w:pPr>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(4.1%)</w:t>
            </w:r>
          </w:p>
        </w:tc>
        <w:tc>
          <w:tcPr>
            <w:tcW w:w="1418" w:type="dxa"/>
          </w:tcPr>
          <w:p w14:paraId="553080A4" w14:textId="2E1A894C" w:rsidR="00546B03" w:rsidRPr="003119C2" w:rsidRDefault="00546B03">
            <w:pPr>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19,900</w:t>
            </w:r>
          </w:p>
        </w:tc>
        <w:tc>
          <w:tcPr>
            <w:tcW w:w="1417" w:type="dxa"/>
          </w:tcPr>
          <w:p w14:paraId="40C3EE51" w14:textId="4528F6CD" w:rsidR="00546B03" w:rsidRPr="003119C2" w:rsidRDefault="00546B03">
            <w:pPr>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28,730</w:t>
            </w:r>
          </w:p>
        </w:tc>
      </w:tr>
      <w:tr w:rsidR="00D42E1A" w:rsidRPr="003119C2" w14:paraId="6918D9A0" w14:textId="77777777" w:rsidTr="00D42E1A">
        <w:trPr>
          <w:trHeight w:hRule="exact" w:val="722"/>
        </w:trPr>
        <w:tc>
          <w:tcPr>
            <w:tcW w:w="1980" w:type="dxa"/>
          </w:tcPr>
          <w:p w14:paraId="1AF1AF6F" w14:textId="7E109B1B" w:rsidR="00546B03" w:rsidRPr="003119C2" w:rsidRDefault="00546B03">
            <w:pPr>
              <w:spacing w:before="60" w:after="60" w:line="300" w:lineRule="auto"/>
              <w:jc w:val="center"/>
              <w:rPr>
                <w:rFonts w:eastAsia="PMingLiU" w:cstheme="minorHAnsi"/>
                <w:b/>
                <w:bCs/>
                <w:sz w:val="18"/>
                <w:szCs w:val="18"/>
                <w:lang w:val="en-US"/>
              </w:rPr>
            </w:pPr>
            <w:r w:rsidRPr="003119C2">
              <w:rPr>
                <w:rFonts w:eastAsia="Arial" w:cstheme="minorHAnsi"/>
                <w:b/>
                <w:bCs/>
                <w:color w:val="000000"/>
                <w:sz w:val="18"/>
                <w:szCs w:val="18"/>
                <w:lang w:val="en-US"/>
              </w:rPr>
              <w:t>Central Void</w:t>
            </w:r>
          </w:p>
        </w:tc>
        <w:tc>
          <w:tcPr>
            <w:tcW w:w="992" w:type="dxa"/>
          </w:tcPr>
          <w:p w14:paraId="77C5825D" w14:textId="409DF522" w:rsidR="00546B03" w:rsidRPr="003119C2" w:rsidRDefault="00546B03">
            <w:pPr>
              <w:spacing w:before="60" w:after="60" w:line="300" w:lineRule="auto"/>
              <w:jc w:val="center"/>
              <w:rPr>
                <w:rFonts w:eastAsia="PMingLiU" w:cstheme="minorHAnsi"/>
                <w:sz w:val="18"/>
                <w:szCs w:val="18"/>
                <w:lang w:val="en-US"/>
              </w:rPr>
            </w:pPr>
            <w:r>
              <w:rPr>
                <w:rFonts w:eastAsia="PMingLiU" w:cstheme="minorHAnsi"/>
                <w:sz w:val="18"/>
                <w:szCs w:val="18"/>
                <w:lang w:val="en-US"/>
              </w:rPr>
              <w:t>-60.2</w:t>
            </w:r>
          </w:p>
        </w:tc>
        <w:tc>
          <w:tcPr>
            <w:tcW w:w="1134" w:type="dxa"/>
          </w:tcPr>
          <w:p w14:paraId="6F27257D" w14:textId="576FD979" w:rsidR="00546B03" w:rsidRPr="003119C2" w:rsidRDefault="00546B03">
            <w:pPr>
              <w:spacing w:before="60" w:after="60" w:line="300" w:lineRule="auto"/>
              <w:jc w:val="center"/>
              <w:rPr>
                <w:rFonts w:eastAsia="PMingLiU" w:cstheme="minorHAnsi"/>
                <w:sz w:val="18"/>
                <w:szCs w:val="18"/>
                <w:lang w:val="en-US"/>
              </w:rPr>
            </w:pPr>
            <w:r>
              <w:rPr>
                <w:rFonts w:eastAsia="PMingLiU" w:cstheme="minorHAnsi"/>
                <w:sz w:val="18"/>
                <w:szCs w:val="18"/>
                <w:lang w:val="en-US"/>
              </w:rPr>
              <w:t>140</w:t>
            </w:r>
          </w:p>
        </w:tc>
        <w:tc>
          <w:tcPr>
            <w:tcW w:w="1276" w:type="dxa"/>
          </w:tcPr>
          <w:p w14:paraId="4BD6286B"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90</w:t>
            </w:r>
          </w:p>
        </w:tc>
        <w:tc>
          <w:tcPr>
            <w:tcW w:w="1276" w:type="dxa"/>
          </w:tcPr>
          <w:p w14:paraId="71D95C05" w14:textId="321AE794"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2.82</w:t>
            </w:r>
          </w:p>
        </w:tc>
        <w:tc>
          <w:tcPr>
            <w:tcW w:w="1559" w:type="dxa"/>
          </w:tcPr>
          <w:p w14:paraId="3AAC3323" w14:textId="7D742199"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10.15</w:t>
            </w:r>
          </w:p>
        </w:tc>
        <w:tc>
          <w:tcPr>
            <w:tcW w:w="1276" w:type="dxa"/>
          </w:tcPr>
          <w:p w14:paraId="7B32A159" w14:textId="54F244CB" w:rsidR="00546B03" w:rsidRPr="003119C2" w:rsidRDefault="00546B03">
            <w:pPr>
              <w:tabs>
                <w:tab w:val="decimal" w:pos="432"/>
              </w:tabs>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69.6</w:t>
            </w:r>
          </w:p>
        </w:tc>
        <w:tc>
          <w:tcPr>
            <w:tcW w:w="1275" w:type="dxa"/>
          </w:tcPr>
          <w:p w14:paraId="17EB96E5" w14:textId="5E149EDE" w:rsidR="00546B03" w:rsidRPr="003119C2" w:rsidRDefault="00546B03">
            <w:pPr>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(22.4%)</w:t>
            </w:r>
          </w:p>
        </w:tc>
        <w:tc>
          <w:tcPr>
            <w:tcW w:w="1418" w:type="dxa"/>
          </w:tcPr>
          <w:p w14:paraId="44088DFB" w14:textId="436EB1F9" w:rsidR="00546B03" w:rsidRPr="003119C2" w:rsidRDefault="00546B03">
            <w:pPr>
              <w:spacing w:before="60" w:after="60" w:line="300" w:lineRule="auto"/>
              <w:jc w:val="center"/>
              <w:textAlignment w:val="baseline"/>
              <w:rPr>
                <w:rFonts w:eastAsia="Arial" w:cstheme="minorHAnsi"/>
                <w:color w:val="000000"/>
                <w:sz w:val="18"/>
                <w:szCs w:val="18"/>
                <w:lang w:val="en-US"/>
              </w:rPr>
            </w:pPr>
            <w:r>
              <w:rPr>
                <w:rFonts w:eastAsia="Arial" w:cstheme="minorHAnsi"/>
                <w:color w:val="000000"/>
                <w:sz w:val="18"/>
                <w:szCs w:val="18"/>
                <w:lang w:val="en-US"/>
              </w:rPr>
              <w:t>26,410</w:t>
            </w:r>
          </w:p>
        </w:tc>
        <w:tc>
          <w:tcPr>
            <w:tcW w:w="1417" w:type="dxa"/>
          </w:tcPr>
          <w:p w14:paraId="173BB844" w14:textId="3A068E51"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w:t>
            </w:r>
            <w:r>
              <w:rPr>
                <w:rFonts w:eastAsia="Arial" w:cstheme="minorHAnsi"/>
                <w:color w:val="000000"/>
                <w:sz w:val="18"/>
                <w:szCs w:val="18"/>
                <w:lang w:val="en-US"/>
              </w:rPr>
              <w:t>06,920</w:t>
            </w:r>
          </w:p>
        </w:tc>
      </w:tr>
      <w:tr w:rsidR="00D42E1A" w:rsidRPr="003119C2" w14:paraId="03C9C55D" w14:textId="77777777" w:rsidTr="00D42E1A">
        <w:trPr>
          <w:trHeight w:hRule="exact" w:val="562"/>
        </w:trPr>
        <w:tc>
          <w:tcPr>
            <w:tcW w:w="1980" w:type="dxa"/>
          </w:tcPr>
          <w:p w14:paraId="7961AF8E" w14:textId="77777777" w:rsidR="00546B03" w:rsidRPr="003119C2" w:rsidRDefault="00546B03">
            <w:pPr>
              <w:spacing w:before="60" w:after="60" w:line="300" w:lineRule="auto"/>
              <w:jc w:val="center"/>
              <w:textAlignment w:val="baseline"/>
              <w:rPr>
                <w:rFonts w:eastAsia="Arial" w:cstheme="minorHAnsi"/>
                <w:b/>
                <w:bCs/>
                <w:color w:val="000000"/>
                <w:sz w:val="18"/>
                <w:szCs w:val="18"/>
                <w:lang w:val="en-US"/>
              </w:rPr>
            </w:pPr>
            <w:r w:rsidRPr="003119C2">
              <w:rPr>
                <w:rFonts w:eastAsia="Arial" w:cstheme="minorHAnsi"/>
                <w:b/>
                <w:bCs/>
                <w:color w:val="000000"/>
                <w:sz w:val="18"/>
                <w:szCs w:val="18"/>
                <w:lang w:val="en-US"/>
              </w:rPr>
              <w:t>Max Pit Void</w:t>
            </w:r>
          </w:p>
        </w:tc>
        <w:tc>
          <w:tcPr>
            <w:tcW w:w="992" w:type="dxa"/>
          </w:tcPr>
          <w:p w14:paraId="08BDF857"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122.7</w:t>
            </w:r>
          </w:p>
        </w:tc>
        <w:tc>
          <w:tcPr>
            <w:tcW w:w="1134" w:type="dxa"/>
          </w:tcPr>
          <w:p w14:paraId="7AECD202"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136.4</w:t>
            </w:r>
          </w:p>
        </w:tc>
        <w:tc>
          <w:tcPr>
            <w:tcW w:w="1276" w:type="dxa"/>
          </w:tcPr>
          <w:p w14:paraId="6A417D9A"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20</w:t>
            </w:r>
          </w:p>
        </w:tc>
        <w:tc>
          <w:tcPr>
            <w:tcW w:w="1276" w:type="dxa"/>
          </w:tcPr>
          <w:p w14:paraId="6D7C65EB"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127.6</w:t>
            </w:r>
          </w:p>
        </w:tc>
        <w:tc>
          <w:tcPr>
            <w:tcW w:w="1559" w:type="dxa"/>
          </w:tcPr>
          <w:p w14:paraId="585ED491"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131.6</w:t>
            </w:r>
          </w:p>
        </w:tc>
        <w:tc>
          <w:tcPr>
            <w:tcW w:w="1276" w:type="dxa"/>
          </w:tcPr>
          <w:p w14:paraId="490DA39B" w14:textId="77777777" w:rsidR="00546B03" w:rsidRPr="003119C2" w:rsidRDefault="00546B03">
            <w:pPr>
              <w:tabs>
                <w:tab w:val="decimal" w:pos="432"/>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2.7</w:t>
            </w:r>
          </w:p>
        </w:tc>
        <w:tc>
          <w:tcPr>
            <w:tcW w:w="1275" w:type="dxa"/>
          </w:tcPr>
          <w:p w14:paraId="5A4BF855" w14:textId="5B9A2E9D"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77</w:t>
            </w:r>
            <w:r>
              <w:rPr>
                <w:rFonts w:eastAsia="Arial" w:cstheme="minorHAnsi"/>
                <w:color w:val="000000"/>
                <w:sz w:val="18"/>
                <w:szCs w:val="18"/>
                <w:lang w:val="en-US"/>
              </w:rPr>
              <w:t xml:space="preserve"> </w:t>
            </w:r>
            <w:r w:rsidRPr="003119C2">
              <w:rPr>
                <w:rFonts w:eastAsia="Arial" w:cstheme="minorHAnsi"/>
                <w:color w:val="000000"/>
                <w:sz w:val="18"/>
                <w:szCs w:val="18"/>
                <w:lang w:val="en-US"/>
              </w:rPr>
              <w:t>(8.8%)</w:t>
            </w:r>
          </w:p>
        </w:tc>
        <w:tc>
          <w:tcPr>
            <w:tcW w:w="1418" w:type="dxa"/>
          </w:tcPr>
          <w:p w14:paraId="2F82B430"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33,445</w:t>
            </w:r>
          </w:p>
        </w:tc>
        <w:tc>
          <w:tcPr>
            <w:tcW w:w="1417" w:type="dxa"/>
          </w:tcPr>
          <w:p w14:paraId="44477113"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284,628</w:t>
            </w:r>
          </w:p>
        </w:tc>
      </w:tr>
      <w:tr w:rsidR="00D42E1A" w:rsidRPr="003119C2" w14:paraId="32B8D066" w14:textId="77777777" w:rsidTr="00D42E1A">
        <w:trPr>
          <w:trHeight w:hRule="exact" w:val="531"/>
        </w:trPr>
        <w:tc>
          <w:tcPr>
            <w:tcW w:w="1980" w:type="dxa"/>
          </w:tcPr>
          <w:p w14:paraId="6EA543FE" w14:textId="77777777" w:rsidR="00546B03" w:rsidRPr="003119C2" w:rsidRDefault="00546B03">
            <w:pPr>
              <w:spacing w:before="60" w:after="60" w:line="300" w:lineRule="auto"/>
              <w:jc w:val="center"/>
              <w:textAlignment w:val="baseline"/>
              <w:rPr>
                <w:rFonts w:eastAsia="Arial" w:cstheme="minorHAnsi"/>
                <w:b/>
                <w:bCs/>
                <w:color w:val="000000"/>
                <w:sz w:val="18"/>
                <w:szCs w:val="18"/>
                <w:lang w:val="en-US"/>
              </w:rPr>
            </w:pPr>
            <w:r w:rsidRPr="003119C2">
              <w:rPr>
                <w:rFonts w:eastAsia="Arial" w:cstheme="minorHAnsi"/>
                <w:b/>
                <w:bCs/>
                <w:color w:val="000000"/>
                <w:sz w:val="18"/>
                <w:szCs w:val="18"/>
                <w:lang w:val="en-US"/>
              </w:rPr>
              <w:t>Central South Void</w:t>
            </w:r>
          </w:p>
        </w:tc>
        <w:tc>
          <w:tcPr>
            <w:tcW w:w="992" w:type="dxa"/>
          </w:tcPr>
          <w:p w14:paraId="6FDFE984"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74.4</w:t>
            </w:r>
          </w:p>
        </w:tc>
        <w:tc>
          <w:tcPr>
            <w:tcW w:w="1134" w:type="dxa"/>
          </w:tcPr>
          <w:p w14:paraId="7C0E637D"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153.9</w:t>
            </w:r>
          </w:p>
        </w:tc>
        <w:tc>
          <w:tcPr>
            <w:tcW w:w="1276" w:type="dxa"/>
          </w:tcPr>
          <w:p w14:paraId="4F0B9A09"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30</w:t>
            </w:r>
          </w:p>
        </w:tc>
        <w:tc>
          <w:tcPr>
            <w:tcW w:w="1276" w:type="dxa"/>
          </w:tcPr>
          <w:p w14:paraId="0B212D34"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113.8</w:t>
            </w:r>
          </w:p>
        </w:tc>
        <w:tc>
          <w:tcPr>
            <w:tcW w:w="1559" w:type="dxa"/>
          </w:tcPr>
          <w:p w14:paraId="12CFE6E1"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118.2</w:t>
            </w:r>
          </w:p>
        </w:tc>
        <w:tc>
          <w:tcPr>
            <w:tcW w:w="1276" w:type="dxa"/>
          </w:tcPr>
          <w:p w14:paraId="4CD9080D" w14:textId="77777777" w:rsidR="00546B03" w:rsidRPr="003119C2" w:rsidRDefault="00546B03">
            <w:pPr>
              <w:tabs>
                <w:tab w:val="decimal" w:pos="432"/>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19.7</w:t>
            </w:r>
          </w:p>
        </w:tc>
        <w:tc>
          <w:tcPr>
            <w:tcW w:w="1275" w:type="dxa"/>
          </w:tcPr>
          <w:p w14:paraId="29ACBA69" w14:textId="0F09714B"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2,876</w:t>
            </w:r>
            <w:r>
              <w:rPr>
                <w:rFonts w:eastAsia="Arial" w:cstheme="minorHAnsi"/>
                <w:color w:val="000000"/>
                <w:sz w:val="18"/>
                <w:szCs w:val="18"/>
                <w:lang w:val="en-US"/>
              </w:rPr>
              <w:t xml:space="preserve"> </w:t>
            </w:r>
            <w:r w:rsidRPr="003119C2">
              <w:rPr>
                <w:rFonts w:eastAsia="Arial" w:cstheme="minorHAnsi"/>
                <w:color w:val="000000"/>
                <w:sz w:val="18"/>
                <w:szCs w:val="18"/>
                <w:lang w:val="en-US"/>
              </w:rPr>
              <w:t>(13%)</w:t>
            </w:r>
          </w:p>
        </w:tc>
        <w:tc>
          <w:tcPr>
            <w:tcW w:w="1418" w:type="dxa"/>
          </w:tcPr>
          <w:p w14:paraId="627819D2"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46,645</w:t>
            </w:r>
          </w:p>
        </w:tc>
        <w:tc>
          <w:tcPr>
            <w:tcW w:w="1417" w:type="dxa"/>
          </w:tcPr>
          <w:p w14:paraId="348378AA"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207,017</w:t>
            </w:r>
          </w:p>
        </w:tc>
      </w:tr>
      <w:tr w:rsidR="00D42E1A" w:rsidRPr="003119C2" w14:paraId="4E13EFB0" w14:textId="77777777" w:rsidTr="00D42E1A">
        <w:trPr>
          <w:trHeight w:hRule="exact" w:val="581"/>
        </w:trPr>
        <w:tc>
          <w:tcPr>
            <w:tcW w:w="1980" w:type="dxa"/>
          </w:tcPr>
          <w:p w14:paraId="771FAD32" w14:textId="77777777" w:rsidR="00546B03" w:rsidRPr="003119C2" w:rsidRDefault="00546B03">
            <w:pPr>
              <w:spacing w:before="60" w:after="60" w:line="300" w:lineRule="auto"/>
              <w:jc w:val="center"/>
              <w:textAlignment w:val="baseline"/>
              <w:rPr>
                <w:rFonts w:eastAsia="Arial" w:cstheme="minorHAnsi"/>
                <w:b/>
                <w:bCs/>
                <w:color w:val="000000"/>
                <w:sz w:val="18"/>
                <w:szCs w:val="18"/>
                <w:lang w:val="en-US"/>
              </w:rPr>
            </w:pPr>
            <w:r w:rsidRPr="003119C2">
              <w:rPr>
                <w:rFonts w:eastAsia="Arial" w:cstheme="minorHAnsi"/>
                <w:b/>
                <w:bCs/>
                <w:color w:val="000000"/>
                <w:sz w:val="18"/>
                <w:szCs w:val="18"/>
                <w:lang w:val="en-US"/>
              </w:rPr>
              <w:t>Jellinbah South Void</w:t>
            </w:r>
          </w:p>
        </w:tc>
        <w:tc>
          <w:tcPr>
            <w:tcW w:w="992" w:type="dxa"/>
          </w:tcPr>
          <w:p w14:paraId="79BEA422"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54.8</w:t>
            </w:r>
          </w:p>
        </w:tc>
        <w:tc>
          <w:tcPr>
            <w:tcW w:w="1134" w:type="dxa"/>
          </w:tcPr>
          <w:p w14:paraId="21AB9268"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159.9</w:t>
            </w:r>
          </w:p>
        </w:tc>
        <w:tc>
          <w:tcPr>
            <w:tcW w:w="1276" w:type="dxa"/>
          </w:tcPr>
          <w:p w14:paraId="4E1C628B"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100</w:t>
            </w:r>
          </w:p>
        </w:tc>
        <w:tc>
          <w:tcPr>
            <w:tcW w:w="1276" w:type="dxa"/>
          </w:tcPr>
          <w:p w14:paraId="31FD4244"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97.3</w:t>
            </w:r>
          </w:p>
        </w:tc>
        <w:tc>
          <w:tcPr>
            <w:tcW w:w="1559" w:type="dxa"/>
          </w:tcPr>
          <w:p w14:paraId="5BE40763" w14:textId="77777777" w:rsidR="00546B03" w:rsidRPr="003119C2" w:rsidRDefault="00546B03">
            <w:pPr>
              <w:tabs>
                <w:tab w:val="decimal" w:pos="360"/>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101.3</w:t>
            </w:r>
          </w:p>
        </w:tc>
        <w:tc>
          <w:tcPr>
            <w:tcW w:w="1276" w:type="dxa"/>
          </w:tcPr>
          <w:p w14:paraId="55FC5541" w14:textId="77777777" w:rsidR="00546B03" w:rsidRPr="003119C2" w:rsidRDefault="00546B03">
            <w:pPr>
              <w:tabs>
                <w:tab w:val="decimal" w:pos="432"/>
              </w:tabs>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10.9</w:t>
            </w:r>
          </w:p>
        </w:tc>
        <w:tc>
          <w:tcPr>
            <w:tcW w:w="1275" w:type="dxa"/>
          </w:tcPr>
          <w:p w14:paraId="0512D206" w14:textId="30D8025D"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2,437</w:t>
            </w:r>
            <w:r>
              <w:rPr>
                <w:rFonts w:eastAsia="Arial" w:cstheme="minorHAnsi"/>
                <w:color w:val="000000"/>
                <w:sz w:val="18"/>
                <w:szCs w:val="18"/>
                <w:lang w:val="en-US"/>
              </w:rPr>
              <w:t xml:space="preserve"> </w:t>
            </w:r>
            <w:r w:rsidRPr="003119C2">
              <w:rPr>
                <w:rFonts w:eastAsia="Arial" w:cstheme="minorHAnsi"/>
                <w:color w:val="000000"/>
                <w:sz w:val="18"/>
                <w:szCs w:val="18"/>
                <w:lang w:val="en-US"/>
              </w:rPr>
              <w:t>(13%)</w:t>
            </w:r>
          </w:p>
        </w:tc>
        <w:tc>
          <w:tcPr>
            <w:tcW w:w="1418" w:type="dxa"/>
          </w:tcPr>
          <w:p w14:paraId="3E0FE933"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55,466</w:t>
            </w:r>
          </w:p>
        </w:tc>
        <w:tc>
          <w:tcPr>
            <w:tcW w:w="1417" w:type="dxa"/>
          </w:tcPr>
          <w:p w14:paraId="03722C23" w14:textId="77777777" w:rsidR="00546B03" w:rsidRPr="003119C2" w:rsidRDefault="00546B03">
            <w:pPr>
              <w:spacing w:before="60" w:after="60" w:line="300" w:lineRule="auto"/>
              <w:jc w:val="center"/>
              <w:textAlignment w:val="baseline"/>
              <w:rPr>
                <w:rFonts w:eastAsia="Arial" w:cstheme="minorHAnsi"/>
                <w:color w:val="000000"/>
                <w:sz w:val="18"/>
                <w:szCs w:val="18"/>
                <w:lang w:val="en-US"/>
              </w:rPr>
            </w:pPr>
            <w:r w:rsidRPr="003119C2">
              <w:rPr>
                <w:rFonts w:eastAsia="Arial" w:cstheme="minorHAnsi"/>
                <w:color w:val="000000"/>
                <w:sz w:val="18"/>
                <w:szCs w:val="18"/>
                <w:lang w:val="en-US"/>
              </w:rPr>
              <w:t>206,442</w:t>
            </w:r>
          </w:p>
        </w:tc>
      </w:tr>
    </w:tbl>
    <w:p w14:paraId="6DC28705" w14:textId="26F2668F" w:rsidR="003119C2" w:rsidRPr="00C20F49" w:rsidRDefault="00E84BF9" w:rsidP="00E84BF9">
      <w:pPr>
        <w:pStyle w:val="BodyText"/>
        <w:spacing w:before="0" w:after="0"/>
        <w:rPr>
          <w:b/>
          <w:bCs/>
          <w:i/>
          <w:iCs/>
          <w:sz w:val="18"/>
          <w:szCs w:val="18"/>
        </w:rPr>
      </w:pPr>
      <w:r w:rsidRPr="00C20F49">
        <w:rPr>
          <w:b/>
          <w:bCs/>
          <w:i/>
          <w:iCs/>
          <w:sz w:val="18"/>
          <w:szCs w:val="18"/>
        </w:rPr>
        <w:t>Note:</w:t>
      </w:r>
    </w:p>
    <w:p w14:paraId="35FFB784" w14:textId="58DB1AE8" w:rsidR="001B546F" w:rsidRPr="00C20F49" w:rsidRDefault="00546B03" w:rsidP="00E84BF9">
      <w:pPr>
        <w:pStyle w:val="BodyText"/>
        <w:spacing w:before="0" w:after="0"/>
        <w:rPr>
          <w:i/>
          <w:iCs/>
          <w:sz w:val="18"/>
          <w:szCs w:val="18"/>
        </w:rPr>
        <w:sectPr w:rsidR="001B546F" w:rsidRPr="00C20F49" w:rsidSect="003119C2">
          <w:pgSz w:w="16839" w:h="11907" w:orient="landscape" w:code="9"/>
          <w:pgMar w:top="1440" w:right="1134" w:bottom="1440" w:left="1440" w:header="340" w:footer="340" w:gutter="0"/>
          <w:cols w:space="708"/>
          <w:docGrid w:linePitch="360"/>
        </w:sectPr>
      </w:pPr>
      <w:r>
        <w:rPr>
          <w:i/>
          <w:iCs/>
          <w:sz w:val="18"/>
          <w:szCs w:val="18"/>
        </w:rPr>
        <w:t xml:space="preserve">(1) The results reported for the Central Void (North) and Central Void are sourced from Engeny (2019) and the remaining results are sourced from AARC (2019). </w:t>
      </w:r>
      <w:r w:rsidR="001B546F">
        <w:rPr>
          <w:i/>
          <w:iCs/>
          <w:sz w:val="18"/>
          <w:szCs w:val="18"/>
        </w:rPr>
        <w:t xml:space="preserve"> </w:t>
      </w:r>
    </w:p>
    <w:p w14:paraId="26965364" w14:textId="6E0C6E0C" w:rsidR="00322A9C" w:rsidRDefault="00322A9C" w:rsidP="00322A9C">
      <w:pPr>
        <w:pStyle w:val="Heading3"/>
      </w:pPr>
      <w:bookmarkStart w:id="252" w:name="_Ref59181247"/>
      <w:bookmarkStart w:id="253" w:name="_Toc87278364"/>
      <w:r>
        <w:lastRenderedPageBreak/>
        <w:t>Rehabilitation planning</w:t>
      </w:r>
      <w:bookmarkEnd w:id="252"/>
      <w:bookmarkEnd w:id="253"/>
    </w:p>
    <w:p w14:paraId="50445E5B" w14:textId="2212536D" w:rsidR="00921247" w:rsidRDefault="00921247" w:rsidP="00921247">
      <w:pPr>
        <w:pStyle w:val="BodyText"/>
      </w:pPr>
      <w:r>
        <w:t>A description of rehabilitation planning for the CNE Project is described within Appendix C2 of the preliminary documentation (AARC, 2018). Rehabilitation planning, particularly where it applied to voids, has been summarised from this document in the sections below.</w:t>
      </w:r>
    </w:p>
    <w:p w14:paraId="0E6EACFF" w14:textId="69E49DBA" w:rsidR="00921247" w:rsidRDefault="00921247" w:rsidP="00921247">
      <w:pPr>
        <w:pStyle w:val="Heading4"/>
      </w:pPr>
      <w:r>
        <w:t>Rehabilitation management and planning</w:t>
      </w:r>
    </w:p>
    <w:p w14:paraId="0913D5C3" w14:textId="61F4FBD9" w:rsidR="00921247" w:rsidRDefault="00921247" w:rsidP="00921247">
      <w:pPr>
        <w:pStyle w:val="BodyText"/>
      </w:pPr>
      <w:r>
        <w:t>Rehabilitation planning at Jellinbah incorporates four mining areas; Jellinbah Central and Jellinbah Plains, Jellinbah South and Mackenzie North. At the time of writing of the rehabilitation plan, Jellinbah Central and Plains were active mining areas, Jellinbah South was inactive, and Mackenzie North was in construction.</w:t>
      </w:r>
    </w:p>
    <w:p w14:paraId="58FC3DE1" w14:textId="610199DE" w:rsidR="00921247" w:rsidRDefault="00921247" w:rsidP="00921247">
      <w:pPr>
        <w:pStyle w:val="BodyText"/>
      </w:pPr>
      <w:r>
        <w:t>Rehabilitation goals at Jellinbah Coal Mine are consistent with Queensland guidelines ‘Rehabilitation Requirements for Mining Resource Activities’ (DES, 2014). These goals require post-mining landforms to be:</w:t>
      </w:r>
    </w:p>
    <w:p w14:paraId="260A3D3B" w14:textId="3036D978" w:rsidR="00921247" w:rsidRDefault="004C52BE" w:rsidP="001628AA">
      <w:pPr>
        <w:pStyle w:val="BodyText"/>
        <w:numPr>
          <w:ilvl w:val="0"/>
          <w:numId w:val="74"/>
        </w:numPr>
        <w:spacing w:before="80" w:after="80"/>
      </w:pPr>
      <w:r>
        <w:t>able to m</w:t>
      </w:r>
      <w:r w:rsidR="00921247">
        <w:t>aintain a safe landform for humans and fauna</w:t>
      </w:r>
      <w:r>
        <w:t>;</w:t>
      </w:r>
    </w:p>
    <w:p w14:paraId="59872892" w14:textId="465FD696" w:rsidR="00921247" w:rsidRDefault="004C52BE" w:rsidP="001628AA">
      <w:pPr>
        <w:pStyle w:val="BodyText"/>
        <w:numPr>
          <w:ilvl w:val="0"/>
          <w:numId w:val="74"/>
        </w:numPr>
        <w:spacing w:before="80" w:after="80"/>
      </w:pPr>
      <w:r>
        <w:t>s</w:t>
      </w:r>
      <w:r w:rsidR="00921247">
        <w:t>table</w:t>
      </w:r>
      <w:r>
        <w:t>;</w:t>
      </w:r>
    </w:p>
    <w:p w14:paraId="21D3D3DD" w14:textId="61FA54AB" w:rsidR="00921247" w:rsidRDefault="004C52BE" w:rsidP="001628AA">
      <w:pPr>
        <w:pStyle w:val="BodyText"/>
        <w:numPr>
          <w:ilvl w:val="0"/>
          <w:numId w:val="74"/>
        </w:numPr>
        <w:spacing w:before="80" w:after="80"/>
      </w:pPr>
      <w:r>
        <w:t>n</w:t>
      </w:r>
      <w:r w:rsidR="00921247">
        <w:t>on-polluting</w:t>
      </w:r>
      <w:r>
        <w:t>; and</w:t>
      </w:r>
    </w:p>
    <w:p w14:paraId="5E9DB6D0" w14:textId="5B8F1B55" w:rsidR="00921247" w:rsidRDefault="004C52BE" w:rsidP="001628AA">
      <w:pPr>
        <w:pStyle w:val="BodyText"/>
        <w:numPr>
          <w:ilvl w:val="0"/>
          <w:numId w:val="74"/>
        </w:numPr>
        <w:spacing w:before="80" w:after="80"/>
      </w:pPr>
      <w:r>
        <w:t>s</w:t>
      </w:r>
      <w:r w:rsidR="00921247">
        <w:t>ustainably support</w:t>
      </w:r>
      <w:r>
        <w:t>ing</w:t>
      </w:r>
      <w:r w:rsidR="00921247">
        <w:t xml:space="preserve"> the identified post-mining land use. </w:t>
      </w:r>
    </w:p>
    <w:p w14:paraId="637B39C4" w14:textId="1C186559" w:rsidR="00921247" w:rsidRDefault="00921247" w:rsidP="00921247">
      <w:pPr>
        <w:pStyle w:val="BodyText"/>
      </w:pPr>
      <w:r>
        <w:t>To assist in achieving the goals listed above, the following rehabilitation objectives have been defined for the CNE project</w:t>
      </w:r>
      <w:r w:rsidR="004C52BE">
        <w:t>.</w:t>
      </w:r>
    </w:p>
    <w:p w14:paraId="5FD90B7F" w14:textId="77777777" w:rsidR="00921247" w:rsidRDefault="00921247" w:rsidP="001628AA">
      <w:pPr>
        <w:pStyle w:val="BodyText"/>
        <w:numPr>
          <w:ilvl w:val="0"/>
          <w:numId w:val="75"/>
        </w:numPr>
        <w:spacing w:before="80" w:after="80"/>
      </w:pPr>
      <w:r>
        <w:t>Ensure mine sites are rehabilitated to sound environmental and safety standards, and to a level at least consistent with the condition of surrounding land.</w:t>
      </w:r>
    </w:p>
    <w:p w14:paraId="524F7935" w14:textId="77777777" w:rsidR="00921247" w:rsidRDefault="00921247" w:rsidP="001628AA">
      <w:pPr>
        <w:pStyle w:val="BodyText"/>
        <w:numPr>
          <w:ilvl w:val="0"/>
          <w:numId w:val="75"/>
        </w:numPr>
        <w:spacing w:before="80" w:after="80"/>
      </w:pPr>
      <w:r>
        <w:t>Provide appropriate community returns for using mineral resources and achieve better environmental protection and management in the mining sector.</w:t>
      </w:r>
    </w:p>
    <w:p w14:paraId="5E7AB431" w14:textId="7E565D8A" w:rsidR="00921247" w:rsidRDefault="00921247" w:rsidP="001628AA">
      <w:pPr>
        <w:pStyle w:val="BodyText"/>
        <w:numPr>
          <w:ilvl w:val="0"/>
          <w:numId w:val="75"/>
        </w:numPr>
        <w:spacing w:before="80" w:after="80"/>
      </w:pPr>
      <w:r>
        <w:t>Improve community consultation and information, improve performance in occupational health and safety and achieve social equity objectives.</w:t>
      </w:r>
    </w:p>
    <w:p w14:paraId="6DE6A27D" w14:textId="2CD8E332" w:rsidR="00921247" w:rsidRDefault="00921247" w:rsidP="00921247">
      <w:pPr>
        <w:pStyle w:val="BodyText"/>
      </w:pPr>
      <w:r>
        <w:t xml:space="preserve">Rehabilitation areas have been divided into domains based on disturbance type and geophysical characteristics. Final voids are one of 11 rehabilitation domains. To measure progress towards the </w:t>
      </w:r>
      <w:r w:rsidR="004C52BE">
        <w:t xml:space="preserve">goals </w:t>
      </w:r>
      <w:r>
        <w:t xml:space="preserve">listed above for each domain, rehabilitation indicators and acceptance criteria have been developed for the CNE project. The indicators and acceptance criteria for final voids is shown in </w:t>
      </w:r>
      <w:r>
        <w:fldChar w:fldCharType="begin"/>
      </w:r>
      <w:r>
        <w:instrText xml:space="preserve"> REF _Ref59003708 \h </w:instrText>
      </w:r>
      <w:r>
        <w:fldChar w:fldCharType="separate"/>
      </w:r>
      <w:r w:rsidR="00937ADD">
        <w:t xml:space="preserve">Table </w:t>
      </w:r>
      <w:r w:rsidR="00937ADD">
        <w:rPr>
          <w:noProof/>
        </w:rPr>
        <w:t>5</w:t>
      </w:r>
      <w:r w:rsidR="00937ADD">
        <w:noBreakHyphen/>
      </w:r>
      <w:r w:rsidR="00937ADD">
        <w:rPr>
          <w:noProof/>
        </w:rPr>
        <w:t>10</w:t>
      </w:r>
      <w:r>
        <w:fldChar w:fldCharType="end"/>
      </w:r>
      <w:r>
        <w:t>.</w:t>
      </w:r>
    </w:p>
    <w:p w14:paraId="6FA0FBC7" w14:textId="7B8B98F6" w:rsidR="00921247" w:rsidRPr="00921247" w:rsidRDefault="00921247" w:rsidP="00921247">
      <w:pPr>
        <w:pStyle w:val="Caption"/>
      </w:pPr>
      <w:bookmarkStart w:id="254" w:name="_Ref59003708"/>
      <w:bookmarkStart w:id="255" w:name="_Toc65140591"/>
      <w:r>
        <w:t xml:space="preserve">Table </w:t>
      </w:r>
      <w:fldSimple w:instr=" STYLEREF 1 \s ">
        <w:r w:rsidR="00937ADD">
          <w:rPr>
            <w:noProof/>
          </w:rPr>
          <w:t>5</w:t>
        </w:r>
      </w:fldSimple>
      <w:r w:rsidR="002714CC">
        <w:noBreakHyphen/>
      </w:r>
      <w:fldSimple w:instr=" SEQ Table \* ARABIC \s 1 ">
        <w:r w:rsidR="00937ADD">
          <w:rPr>
            <w:noProof/>
          </w:rPr>
          <w:t>10</w:t>
        </w:r>
      </w:fldSimple>
      <w:bookmarkEnd w:id="254"/>
      <w:r>
        <w:t xml:space="preserve"> Jellinbah</w:t>
      </w:r>
      <w:r w:rsidRPr="00921247">
        <w:t xml:space="preserve"> </w:t>
      </w:r>
      <w:r>
        <w:t>m</w:t>
      </w:r>
      <w:r w:rsidRPr="00921247">
        <w:t>ine rehabilitation goals, objectives, indicators and completion criteria for final voids</w:t>
      </w:r>
      <w:bookmarkEnd w:id="255"/>
    </w:p>
    <w:tbl>
      <w:tblPr>
        <w:tblStyle w:val="Plainblue"/>
        <w:tblW w:w="8995"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075"/>
        <w:gridCol w:w="1803"/>
        <w:gridCol w:w="2607"/>
        <w:gridCol w:w="3510"/>
      </w:tblGrid>
      <w:tr w:rsidR="00921247" w:rsidRPr="0063634B" w14:paraId="03F41EFB" w14:textId="77777777" w:rsidTr="00220001">
        <w:trPr>
          <w:cnfStyle w:val="100000000000" w:firstRow="1" w:lastRow="0" w:firstColumn="0" w:lastColumn="0" w:oddVBand="0" w:evenVBand="0" w:oddHBand="0" w:evenHBand="0" w:firstRowFirstColumn="0" w:firstRowLastColumn="0" w:lastRowFirstColumn="0" w:lastRowLastColumn="0"/>
          <w:trHeight w:val="98"/>
          <w:tblHeader/>
        </w:trPr>
        <w:tc>
          <w:tcPr>
            <w:cnfStyle w:val="001000000000" w:firstRow="0" w:lastRow="0" w:firstColumn="1" w:lastColumn="0" w:oddVBand="0" w:evenVBand="0" w:oddHBand="0" w:evenHBand="0" w:firstRowFirstColumn="0" w:firstRowLastColumn="0" w:lastRowFirstColumn="0" w:lastRowLastColumn="0"/>
            <w:tcW w:w="10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CA0D78" w14:textId="77777777" w:rsidR="00921247" w:rsidRPr="00921247" w:rsidRDefault="00921247" w:rsidP="00921247">
            <w:pPr>
              <w:pStyle w:val="BodyText"/>
              <w:spacing w:before="40" w:after="40"/>
              <w:jc w:val="center"/>
              <w:rPr>
                <w:rFonts w:asciiTheme="minorHAnsi" w:hAnsiTheme="minorHAnsi" w:cstheme="minorHAnsi"/>
                <w:bCs/>
                <w:szCs w:val="18"/>
              </w:rPr>
            </w:pPr>
            <w:bookmarkStart w:id="256" w:name="_Hlk59116676"/>
            <w:r w:rsidRPr="00921247">
              <w:rPr>
                <w:rFonts w:asciiTheme="minorHAnsi" w:hAnsiTheme="minorHAnsi" w:cstheme="minorHAnsi"/>
                <w:bCs/>
                <w:szCs w:val="18"/>
              </w:rPr>
              <w:t>Goal</w:t>
            </w:r>
          </w:p>
        </w:tc>
        <w:tc>
          <w:tcPr>
            <w:tcW w:w="180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739A0B" w14:textId="60E5B93E" w:rsidR="00921247" w:rsidRPr="00921247" w:rsidRDefault="00921247" w:rsidP="00921247">
            <w:pPr>
              <w:pStyle w:val="Body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18"/>
              </w:rPr>
            </w:pPr>
            <w:r w:rsidRPr="00921247">
              <w:rPr>
                <w:rFonts w:asciiTheme="minorHAnsi" w:hAnsiTheme="minorHAnsi" w:cstheme="minorHAnsi"/>
                <w:bCs/>
                <w:szCs w:val="18"/>
              </w:rPr>
              <w:t xml:space="preserve">Rehabilitation </w:t>
            </w:r>
            <w:r>
              <w:rPr>
                <w:rFonts w:asciiTheme="minorHAnsi" w:hAnsiTheme="minorHAnsi" w:cstheme="minorHAnsi"/>
                <w:bCs/>
                <w:szCs w:val="18"/>
              </w:rPr>
              <w:t>o</w:t>
            </w:r>
            <w:r w:rsidRPr="00921247">
              <w:rPr>
                <w:rFonts w:asciiTheme="minorHAnsi" w:hAnsiTheme="minorHAnsi" w:cstheme="minorHAnsi"/>
                <w:bCs/>
                <w:szCs w:val="18"/>
              </w:rPr>
              <w:t>bjective</w:t>
            </w:r>
          </w:p>
        </w:tc>
        <w:tc>
          <w:tcPr>
            <w:tcW w:w="260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E99619" w14:textId="0D12A844" w:rsidR="00921247" w:rsidRPr="00921247" w:rsidRDefault="00921247" w:rsidP="00921247">
            <w:pPr>
              <w:pStyle w:val="Body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18"/>
              </w:rPr>
            </w:pPr>
            <w:r w:rsidRPr="00921247">
              <w:rPr>
                <w:rFonts w:asciiTheme="minorHAnsi" w:hAnsiTheme="minorHAnsi" w:cstheme="minorHAnsi"/>
                <w:bCs/>
                <w:szCs w:val="18"/>
              </w:rPr>
              <w:t xml:space="preserve">Rehabilitation </w:t>
            </w:r>
            <w:r>
              <w:rPr>
                <w:rFonts w:asciiTheme="minorHAnsi" w:hAnsiTheme="minorHAnsi" w:cstheme="minorHAnsi"/>
                <w:bCs/>
                <w:szCs w:val="18"/>
              </w:rPr>
              <w:t>i</w:t>
            </w:r>
            <w:r w:rsidRPr="00921247">
              <w:rPr>
                <w:rFonts w:asciiTheme="minorHAnsi" w:hAnsiTheme="minorHAnsi" w:cstheme="minorHAnsi"/>
                <w:bCs/>
                <w:szCs w:val="18"/>
              </w:rPr>
              <w:t>ndicator</w:t>
            </w:r>
          </w:p>
        </w:tc>
        <w:tc>
          <w:tcPr>
            <w:tcW w:w="35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3031D1" w14:textId="3E689B8B" w:rsidR="00921247" w:rsidRPr="00921247" w:rsidRDefault="00921247" w:rsidP="00921247">
            <w:pPr>
              <w:pStyle w:val="Body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18"/>
              </w:rPr>
            </w:pPr>
            <w:r w:rsidRPr="00921247">
              <w:rPr>
                <w:rFonts w:asciiTheme="minorHAnsi" w:hAnsiTheme="minorHAnsi" w:cstheme="minorHAnsi"/>
                <w:bCs/>
                <w:szCs w:val="18"/>
              </w:rPr>
              <w:t xml:space="preserve">Acceptance </w:t>
            </w:r>
            <w:r>
              <w:rPr>
                <w:rFonts w:asciiTheme="minorHAnsi" w:hAnsiTheme="minorHAnsi" w:cstheme="minorHAnsi"/>
                <w:bCs/>
                <w:szCs w:val="18"/>
              </w:rPr>
              <w:t>c</w:t>
            </w:r>
            <w:r w:rsidRPr="00921247">
              <w:rPr>
                <w:rFonts w:asciiTheme="minorHAnsi" w:hAnsiTheme="minorHAnsi" w:cstheme="minorHAnsi"/>
                <w:bCs/>
                <w:szCs w:val="18"/>
              </w:rPr>
              <w:t>riteria</w:t>
            </w:r>
          </w:p>
        </w:tc>
      </w:tr>
      <w:tr w:rsidR="00921247" w:rsidRPr="0063634B" w14:paraId="1D5D7CD6" w14:textId="77777777" w:rsidTr="00220001">
        <w:tc>
          <w:tcPr>
            <w:cnfStyle w:val="001000000000" w:firstRow="0" w:lastRow="0" w:firstColumn="1" w:lastColumn="0" w:oddVBand="0" w:evenVBand="0" w:oddHBand="0" w:evenHBand="0" w:firstRowFirstColumn="0" w:firstRowLastColumn="0" w:lastRowFirstColumn="0" w:lastRowLastColumn="0"/>
            <w:tcW w:w="1075" w:type="dxa"/>
          </w:tcPr>
          <w:p w14:paraId="475546FE" w14:textId="77777777" w:rsidR="00921247" w:rsidRPr="0063634B" w:rsidRDefault="00921247" w:rsidP="00921247">
            <w:pPr>
              <w:pStyle w:val="BodyText"/>
              <w:spacing w:before="40" w:after="40"/>
              <w:rPr>
                <w:rFonts w:asciiTheme="minorHAnsi" w:hAnsiTheme="minorHAnsi" w:cstheme="minorHAnsi"/>
                <w:szCs w:val="18"/>
              </w:rPr>
            </w:pPr>
            <w:r w:rsidRPr="0063634B">
              <w:rPr>
                <w:rFonts w:asciiTheme="minorHAnsi" w:hAnsiTheme="minorHAnsi" w:cstheme="minorHAnsi"/>
                <w:szCs w:val="18"/>
              </w:rPr>
              <w:t>Safe site</w:t>
            </w:r>
          </w:p>
        </w:tc>
        <w:tc>
          <w:tcPr>
            <w:tcW w:w="1803" w:type="dxa"/>
          </w:tcPr>
          <w:p w14:paraId="2D9166E0" w14:textId="77777777" w:rsidR="00921247" w:rsidRPr="0063634B" w:rsidRDefault="00921247" w:rsidP="0092124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Final pits and</w:t>
            </w:r>
            <w:r>
              <w:rPr>
                <w:rFonts w:cstheme="minorHAnsi"/>
                <w:szCs w:val="18"/>
              </w:rPr>
              <w:t xml:space="preserve"> </w:t>
            </w:r>
            <w:r w:rsidRPr="0063634B">
              <w:rPr>
                <w:rFonts w:cstheme="minorHAnsi"/>
                <w:szCs w:val="18"/>
              </w:rPr>
              <w:t>voids are safe</w:t>
            </w:r>
            <w:r>
              <w:rPr>
                <w:rFonts w:cstheme="minorHAnsi"/>
                <w:szCs w:val="18"/>
              </w:rPr>
              <w:t xml:space="preserve"> </w:t>
            </w:r>
            <w:r w:rsidRPr="0063634B">
              <w:rPr>
                <w:rFonts w:cstheme="minorHAnsi"/>
                <w:szCs w:val="18"/>
              </w:rPr>
              <w:t>for humans</w:t>
            </w:r>
            <w:r>
              <w:rPr>
                <w:rFonts w:cstheme="minorHAnsi"/>
                <w:szCs w:val="18"/>
              </w:rPr>
              <w:t xml:space="preserve"> </w:t>
            </w:r>
            <w:r w:rsidRPr="0063634B">
              <w:rPr>
                <w:rFonts w:cstheme="minorHAnsi"/>
                <w:szCs w:val="18"/>
              </w:rPr>
              <w:t>and animals</w:t>
            </w:r>
            <w:r>
              <w:rPr>
                <w:rFonts w:cstheme="minorHAnsi"/>
                <w:szCs w:val="18"/>
              </w:rPr>
              <w:t xml:space="preserve"> </w:t>
            </w:r>
            <w:r w:rsidRPr="0063634B">
              <w:rPr>
                <w:rFonts w:cstheme="minorHAnsi"/>
                <w:szCs w:val="18"/>
              </w:rPr>
              <w:t>now and in the</w:t>
            </w:r>
            <w:r>
              <w:rPr>
                <w:rFonts w:cstheme="minorHAnsi"/>
                <w:szCs w:val="18"/>
              </w:rPr>
              <w:t xml:space="preserve"> </w:t>
            </w:r>
            <w:r w:rsidRPr="0063634B">
              <w:rPr>
                <w:rFonts w:cstheme="minorHAnsi"/>
                <w:szCs w:val="18"/>
              </w:rPr>
              <w:t>foreseeable</w:t>
            </w:r>
            <w:r>
              <w:rPr>
                <w:rFonts w:cstheme="minorHAnsi"/>
                <w:szCs w:val="18"/>
              </w:rPr>
              <w:t xml:space="preserve"> </w:t>
            </w:r>
            <w:r w:rsidRPr="0063634B">
              <w:rPr>
                <w:rFonts w:cstheme="minorHAnsi"/>
                <w:szCs w:val="18"/>
              </w:rPr>
              <w:t>future</w:t>
            </w:r>
          </w:p>
        </w:tc>
        <w:tc>
          <w:tcPr>
            <w:tcW w:w="2607" w:type="dxa"/>
          </w:tcPr>
          <w:p w14:paraId="3E2468BB" w14:textId="77777777"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Final landform survey</w:t>
            </w:r>
          </w:p>
          <w:p w14:paraId="15D2A11B" w14:textId="1E228A1A"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Safety assessment of final landform by an appropriately qualified person</w:t>
            </w:r>
            <w:r w:rsidR="00F07F43">
              <w:rPr>
                <w:rFonts w:cstheme="minorHAnsi"/>
                <w:szCs w:val="18"/>
              </w:rPr>
              <w:t>.</w:t>
            </w:r>
          </w:p>
          <w:p w14:paraId="4C7B541C" w14:textId="5B292440"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 xml:space="preserve">Safety barriers and signage assessed against requirements of the </w:t>
            </w:r>
            <w:r w:rsidRPr="0063634B">
              <w:rPr>
                <w:rFonts w:cstheme="minorHAnsi"/>
                <w:i/>
                <w:iCs/>
                <w:szCs w:val="18"/>
              </w:rPr>
              <w:t>Mining and Quarrying Safety and Health Act 1999</w:t>
            </w:r>
            <w:r w:rsidR="00F07F43">
              <w:rPr>
                <w:rFonts w:cstheme="minorHAnsi"/>
                <w:i/>
                <w:iCs/>
                <w:szCs w:val="18"/>
              </w:rPr>
              <w:t>.</w:t>
            </w:r>
          </w:p>
        </w:tc>
        <w:tc>
          <w:tcPr>
            <w:tcW w:w="3510" w:type="dxa"/>
          </w:tcPr>
          <w:p w14:paraId="3256A511" w14:textId="68165E22"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Certification in rehabilitation report that ground is</w:t>
            </w:r>
            <w:r>
              <w:rPr>
                <w:rFonts w:cstheme="minorHAnsi"/>
                <w:szCs w:val="18"/>
              </w:rPr>
              <w:t xml:space="preserve"> </w:t>
            </w:r>
            <w:r w:rsidRPr="0063634B">
              <w:rPr>
                <w:rFonts w:cstheme="minorHAnsi"/>
                <w:szCs w:val="18"/>
              </w:rPr>
              <w:t>structurally sound and safe to people and animals</w:t>
            </w:r>
            <w:r w:rsidR="00F07F43">
              <w:rPr>
                <w:rFonts w:cstheme="minorHAnsi"/>
                <w:szCs w:val="18"/>
              </w:rPr>
              <w:t>.</w:t>
            </w:r>
          </w:p>
          <w:p w14:paraId="4107506C" w14:textId="37F99761"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Evidence in rehabilitation report that all safety</w:t>
            </w:r>
            <w:r>
              <w:rPr>
                <w:rFonts w:cstheme="minorHAnsi"/>
                <w:szCs w:val="18"/>
              </w:rPr>
              <w:t xml:space="preserve"> </w:t>
            </w:r>
            <w:r w:rsidRPr="0063634B">
              <w:rPr>
                <w:rFonts w:cstheme="minorHAnsi"/>
                <w:szCs w:val="18"/>
              </w:rPr>
              <w:t>precautions have been implemented in accordance</w:t>
            </w:r>
            <w:r>
              <w:rPr>
                <w:rFonts w:cstheme="minorHAnsi"/>
                <w:szCs w:val="18"/>
              </w:rPr>
              <w:t xml:space="preserve"> </w:t>
            </w:r>
            <w:r w:rsidRPr="0063634B">
              <w:rPr>
                <w:rFonts w:cstheme="minorHAnsi"/>
                <w:szCs w:val="18"/>
              </w:rPr>
              <w:t>with the relevant legislation</w:t>
            </w:r>
            <w:r w:rsidR="00F07F43">
              <w:rPr>
                <w:rFonts w:cstheme="minorHAnsi"/>
                <w:szCs w:val="18"/>
              </w:rPr>
              <w:t>.</w:t>
            </w:r>
          </w:p>
          <w:p w14:paraId="50A51181" w14:textId="0392B8CA"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Exclusion Fencing in place</w:t>
            </w:r>
          </w:p>
          <w:p w14:paraId="679D6CA2" w14:textId="53FBA351"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Landform design is consistent with EA Table G5</w:t>
            </w:r>
          </w:p>
        </w:tc>
      </w:tr>
      <w:tr w:rsidR="00921247" w:rsidRPr="0063634B" w14:paraId="0CF82EF1" w14:textId="77777777" w:rsidTr="00220001">
        <w:tc>
          <w:tcPr>
            <w:cnfStyle w:val="001000000000" w:firstRow="0" w:lastRow="0" w:firstColumn="1" w:lastColumn="0" w:oddVBand="0" w:evenVBand="0" w:oddHBand="0" w:evenHBand="0" w:firstRowFirstColumn="0" w:firstRowLastColumn="0" w:lastRowFirstColumn="0" w:lastRowLastColumn="0"/>
            <w:tcW w:w="1075" w:type="dxa"/>
            <w:vMerge w:val="restart"/>
          </w:tcPr>
          <w:p w14:paraId="268AEC7E" w14:textId="77777777" w:rsidR="00921247" w:rsidRPr="0063634B" w:rsidRDefault="00921247" w:rsidP="00921247">
            <w:pPr>
              <w:pStyle w:val="BodyText"/>
              <w:spacing w:before="40" w:after="40"/>
              <w:rPr>
                <w:rFonts w:asciiTheme="minorHAnsi" w:hAnsiTheme="minorHAnsi" w:cstheme="minorHAnsi"/>
                <w:szCs w:val="18"/>
              </w:rPr>
            </w:pPr>
            <w:r w:rsidRPr="0063634B">
              <w:rPr>
                <w:rFonts w:asciiTheme="minorHAnsi" w:hAnsiTheme="minorHAnsi" w:cstheme="minorHAnsi"/>
                <w:szCs w:val="18"/>
              </w:rPr>
              <w:lastRenderedPageBreak/>
              <w:t>Non-polluting</w:t>
            </w:r>
          </w:p>
        </w:tc>
        <w:tc>
          <w:tcPr>
            <w:tcW w:w="1803" w:type="dxa"/>
          </w:tcPr>
          <w:p w14:paraId="3A9F73F1" w14:textId="77777777" w:rsidR="00921247" w:rsidRPr="0063634B" w:rsidRDefault="00921247" w:rsidP="0092124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Hazardous and</w:t>
            </w:r>
            <w:r>
              <w:rPr>
                <w:rFonts w:cstheme="minorHAnsi"/>
                <w:szCs w:val="18"/>
              </w:rPr>
              <w:t xml:space="preserve"> </w:t>
            </w:r>
            <w:r w:rsidRPr="0063634B">
              <w:rPr>
                <w:rFonts w:cstheme="minorHAnsi"/>
                <w:szCs w:val="18"/>
              </w:rPr>
              <w:t>contaminated</w:t>
            </w:r>
            <w:r>
              <w:rPr>
                <w:rFonts w:cstheme="minorHAnsi"/>
                <w:szCs w:val="18"/>
              </w:rPr>
              <w:t xml:space="preserve"> </w:t>
            </w:r>
            <w:r w:rsidRPr="0063634B">
              <w:rPr>
                <w:rFonts w:cstheme="minorHAnsi"/>
                <w:szCs w:val="18"/>
              </w:rPr>
              <w:t>material are</w:t>
            </w:r>
            <w:r>
              <w:rPr>
                <w:rFonts w:cstheme="minorHAnsi"/>
                <w:szCs w:val="18"/>
              </w:rPr>
              <w:t xml:space="preserve"> </w:t>
            </w:r>
            <w:r w:rsidRPr="0063634B">
              <w:rPr>
                <w:rFonts w:cstheme="minorHAnsi"/>
                <w:szCs w:val="18"/>
              </w:rPr>
              <w:t>adequately</w:t>
            </w:r>
            <w:r>
              <w:rPr>
                <w:rFonts w:cstheme="minorHAnsi"/>
                <w:szCs w:val="18"/>
              </w:rPr>
              <w:t xml:space="preserve"> </w:t>
            </w:r>
            <w:r w:rsidRPr="0063634B">
              <w:rPr>
                <w:rFonts w:cstheme="minorHAnsi"/>
                <w:szCs w:val="18"/>
              </w:rPr>
              <w:t>managed</w:t>
            </w:r>
          </w:p>
        </w:tc>
        <w:tc>
          <w:tcPr>
            <w:tcW w:w="2607" w:type="dxa"/>
          </w:tcPr>
          <w:p w14:paraId="122FBA0C" w14:textId="543E3095"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Monitoring targeting</w:t>
            </w:r>
            <w:r>
              <w:rPr>
                <w:rFonts w:cstheme="minorHAnsi"/>
                <w:szCs w:val="18"/>
              </w:rPr>
              <w:t xml:space="preserve"> </w:t>
            </w:r>
            <w:r w:rsidRPr="0063634B">
              <w:rPr>
                <w:rFonts w:cstheme="minorHAnsi"/>
                <w:szCs w:val="18"/>
              </w:rPr>
              <w:t>downstream surface</w:t>
            </w:r>
            <w:r>
              <w:rPr>
                <w:rFonts w:cstheme="minorHAnsi"/>
                <w:szCs w:val="18"/>
              </w:rPr>
              <w:t xml:space="preserve"> </w:t>
            </w:r>
            <w:r w:rsidRPr="0063634B">
              <w:rPr>
                <w:rFonts w:cstheme="minorHAnsi"/>
                <w:szCs w:val="18"/>
              </w:rPr>
              <w:t>water, groundwater</w:t>
            </w:r>
            <w:r>
              <w:rPr>
                <w:rFonts w:cstheme="minorHAnsi"/>
                <w:szCs w:val="18"/>
              </w:rPr>
              <w:t xml:space="preserve"> </w:t>
            </w:r>
            <w:r w:rsidRPr="0063634B">
              <w:rPr>
                <w:rFonts w:cstheme="minorHAnsi"/>
                <w:szCs w:val="18"/>
              </w:rPr>
              <w:t>and stream</w:t>
            </w:r>
            <w:r>
              <w:rPr>
                <w:rFonts w:cstheme="minorHAnsi"/>
                <w:szCs w:val="18"/>
              </w:rPr>
              <w:t xml:space="preserve"> </w:t>
            </w:r>
            <w:r w:rsidRPr="0063634B">
              <w:rPr>
                <w:rFonts w:cstheme="minorHAnsi"/>
                <w:szCs w:val="18"/>
              </w:rPr>
              <w:t>sediments</w:t>
            </w:r>
            <w:r w:rsidR="00F07F43">
              <w:rPr>
                <w:rFonts w:cstheme="minorHAnsi"/>
                <w:szCs w:val="18"/>
              </w:rPr>
              <w:t>.</w:t>
            </w:r>
          </w:p>
          <w:p w14:paraId="4C011B80" w14:textId="77777777"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REMP</w:t>
            </w:r>
          </w:p>
        </w:tc>
        <w:tc>
          <w:tcPr>
            <w:tcW w:w="3510" w:type="dxa"/>
          </w:tcPr>
          <w:p w14:paraId="6188DFBB" w14:textId="090E472E"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Evidence in the rehabilitation report that receiving environment monitoring program indicates no evidence of contamination</w:t>
            </w:r>
            <w:r w:rsidR="00F07F43">
              <w:rPr>
                <w:rFonts w:cstheme="minorHAnsi"/>
                <w:szCs w:val="18"/>
              </w:rPr>
              <w:t>.</w:t>
            </w:r>
          </w:p>
          <w:p w14:paraId="5AFBE7CB" w14:textId="2E2E64B3"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Contaminated water must be contained within the final void areas</w:t>
            </w:r>
            <w:r w:rsidR="00F07F43">
              <w:rPr>
                <w:rFonts w:cstheme="minorHAnsi"/>
                <w:szCs w:val="18"/>
              </w:rPr>
              <w:t>.</w:t>
            </w:r>
          </w:p>
        </w:tc>
      </w:tr>
      <w:tr w:rsidR="00921247" w:rsidRPr="0063634B" w14:paraId="658FF78C" w14:textId="77777777" w:rsidTr="00220001">
        <w:tc>
          <w:tcPr>
            <w:cnfStyle w:val="001000000000" w:firstRow="0" w:lastRow="0" w:firstColumn="1" w:lastColumn="0" w:oddVBand="0" w:evenVBand="0" w:oddHBand="0" w:evenHBand="0" w:firstRowFirstColumn="0" w:firstRowLastColumn="0" w:lastRowFirstColumn="0" w:lastRowLastColumn="0"/>
            <w:tcW w:w="1075" w:type="dxa"/>
            <w:vMerge/>
          </w:tcPr>
          <w:p w14:paraId="282D7F03" w14:textId="77777777" w:rsidR="00921247" w:rsidRPr="0063634B" w:rsidRDefault="00921247" w:rsidP="00921247">
            <w:pPr>
              <w:pStyle w:val="BodyText"/>
              <w:spacing w:before="40" w:after="40"/>
              <w:rPr>
                <w:rFonts w:asciiTheme="minorHAnsi" w:hAnsiTheme="minorHAnsi" w:cstheme="minorHAnsi"/>
                <w:szCs w:val="18"/>
              </w:rPr>
            </w:pPr>
          </w:p>
        </w:tc>
        <w:tc>
          <w:tcPr>
            <w:tcW w:w="1803" w:type="dxa"/>
          </w:tcPr>
          <w:p w14:paraId="746E570D" w14:textId="77777777" w:rsidR="00921247" w:rsidRPr="0063634B" w:rsidRDefault="00921247" w:rsidP="0092124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Polluted runoff</w:t>
            </w:r>
            <w:r>
              <w:rPr>
                <w:rFonts w:cstheme="minorHAnsi"/>
                <w:szCs w:val="18"/>
              </w:rPr>
              <w:t xml:space="preserve"> </w:t>
            </w:r>
            <w:r w:rsidRPr="0063634B">
              <w:rPr>
                <w:rFonts w:cstheme="minorHAnsi"/>
                <w:szCs w:val="18"/>
              </w:rPr>
              <w:t>and seepage</w:t>
            </w:r>
            <w:r>
              <w:rPr>
                <w:rFonts w:cstheme="minorHAnsi"/>
                <w:szCs w:val="18"/>
              </w:rPr>
              <w:t xml:space="preserve"> </w:t>
            </w:r>
            <w:r w:rsidRPr="0063634B">
              <w:rPr>
                <w:rFonts w:cstheme="minorHAnsi"/>
                <w:szCs w:val="18"/>
              </w:rPr>
              <w:t>are contained</w:t>
            </w:r>
            <w:r>
              <w:rPr>
                <w:rFonts w:cstheme="minorHAnsi"/>
                <w:szCs w:val="18"/>
              </w:rPr>
              <w:t xml:space="preserve"> </w:t>
            </w:r>
            <w:r w:rsidRPr="0063634B">
              <w:rPr>
                <w:rFonts w:cstheme="minorHAnsi"/>
                <w:szCs w:val="18"/>
              </w:rPr>
              <w:t>within void</w:t>
            </w:r>
          </w:p>
        </w:tc>
        <w:tc>
          <w:tcPr>
            <w:tcW w:w="2607" w:type="dxa"/>
          </w:tcPr>
          <w:p w14:paraId="480E7A12" w14:textId="26547F81"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Monitoring targeting downstream surface water, groundwater and stream sediments</w:t>
            </w:r>
            <w:r w:rsidR="00F07F43">
              <w:rPr>
                <w:rFonts w:cstheme="minorHAnsi"/>
                <w:szCs w:val="18"/>
              </w:rPr>
              <w:t>.</w:t>
            </w:r>
          </w:p>
          <w:p w14:paraId="6E6DD130" w14:textId="77777777"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REMP</w:t>
            </w:r>
          </w:p>
        </w:tc>
        <w:tc>
          <w:tcPr>
            <w:tcW w:w="3510" w:type="dxa"/>
          </w:tcPr>
          <w:p w14:paraId="05FF17AD" w14:textId="022B20E7"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Evidence in the rehabilitation report that receiving environment monitoring program indicates no evidence of contamination</w:t>
            </w:r>
            <w:r w:rsidR="00F07F43">
              <w:rPr>
                <w:rFonts w:cstheme="minorHAnsi"/>
                <w:szCs w:val="18"/>
              </w:rPr>
              <w:t>.</w:t>
            </w:r>
            <w:r w:rsidRPr="0063634B">
              <w:rPr>
                <w:rFonts w:cstheme="minorHAnsi"/>
                <w:szCs w:val="18"/>
              </w:rPr>
              <w:t xml:space="preserve"> </w:t>
            </w:r>
          </w:p>
          <w:p w14:paraId="263BF76E" w14:textId="648144DA"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Contaminated water must be contained within the final void areas</w:t>
            </w:r>
            <w:r w:rsidR="00F07F43">
              <w:rPr>
                <w:rFonts w:cstheme="minorHAnsi"/>
                <w:szCs w:val="18"/>
              </w:rPr>
              <w:t>.</w:t>
            </w:r>
          </w:p>
        </w:tc>
      </w:tr>
      <w:tr w:rsidR="00921247" w:rsidRPr="0063634B" w14:paraId="59C9FB78" w14:textId="77777777" w:rsidTr="00220001">
        <w:tc>
          <w:tcPr>
            <w:cnfStyle w:val="001000000000" w:firstRow="0" w:lastRow="0" w:firstColumn="1" w:lastColumn="0" w:oddVBand="0" w:evenVBand="0" w:oddHBand="0" w:evenHBand="0" w:firstRowFirstColumn="0" w:firstRowLastColumn="0" w:lastRowFirstColumn="0" w:lastRowLastColumn="0"/>
            <w:tcW w:w="1075" w:type="dxa"/>
            <w:vMerge w:val="restart"/>
          </w:tcPr>
          <w:p w14:paraId="5F18A5BA" w14:textId="77777777" w:rsidR="00921247" w:rsidRPr="0063634B" w:rsidRDefault="00921247" w:rsidP="00921247">
            <w:pPr>
              <w:pStyle w:val="BodyText"/>
              <w:spacing w:before="40" w:after="40"/>
              <w:rPr>
                <w:rFonts w:asciiTheme="minorHAnsi" w:hAnsiTheme="minorHAnsi" w:cstheme="minorHAnsi"/>
                <w:szCs w:val="18"/>
              </w:rPr>
            </w:pPr>
            <w:r w:rsidRPr="0063634B">
              <w:rPr>
                <w:rFonts w:asciiTheme="minorHAnsi" w:hAnsiTheme="minorHAnsi" w:cstheme="minorHAnsi"/>
                <w:szCs w:val="18"/>
              </w:rPr>
              <w:t>Stable Landform</w:t>
            </w:r>
          </w:p>
        </w:tc>
        <w:tc>
          <w:tcPr>
            <w:tcW w:w="1803" w:type="dxa"/>
          </w:tcPr>
          <w:p w14:paraId="4F9AB1AD" w14:textId="77777777" w:rsidR="00921247" w:rsidRPr="0063634B" w:rsidRDefault="00921247" w:rsidP="0092124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Establish safe</w:t>
            </w:r>
            <w:r>
              <w:rPr>
                <w:rFonts w:cstheme="minorHAnsi"/>
                <w:szCs w:val="18"/>
              </w:rPr>
              <w:t xml:space="preserve"> </w:t>
            </w:r>
            <w:r w:rsidRPr="0063634B">
              <w:rPr>
                <w:rFonts w:cstheme="minorHAnsi"/>
                <w:szCs w:val="18"/>
              </w:rPr>
              <w:t>and stable</w:t>
            </w:r>
            <w:r>
              <w:rPr>
                <w:rFonts w:cstheme="minorHAnsi"/>
                <w:szCs w:val="18"/>
              </w:rPr>
              <w:t xml:space="preserve"> </w:t>
            </w:r>
            <w:r w:rsidRPr="0063634B">
              <w:rPr>
                <w:rFonts w:cstheme="minorHAnsi"/>
                <w:szCs w:val="18"/>
              </w:rPr>
              <w:t>waterbody with</w:t>
            </w:r>
            <w:r>
              <w:rPr>
                <w:rFonts w:cstheme="minorHAnsi"/>
                <w:szCs w:val="18"/>
              </w:rPr>
              <w:t xml:space="preserve"> </w:t>
            </w:r>
            <w:r w:rsidRPr="0063634B">
              <w:rPr>
                <w:rFonts w:cstheme="minorHAnsi"/>
                <w:szCs w:val="18"/>
              </w:rPr>
              <w:t>a low risk of</w:t>
            </w:r>
            <w:r>
              <w:rPr>
                <w:rFonts w:cstheme="minorHAnsi"/>
                <w:szCs w:val="18"/>
              </w:rPr>
              <w:t xml:space="preserve"> </w:t>
            </w:r>
            <w:r w:rsidRPr="0063634B">
              <w:rPr>
                <w:rFonts w:cstheme="minorHAnsi"/>
                <w:szCs w:val="18"/>
              </w:rPr>
              <w:t>environmental</w:t>
            </w:r>
            <w:r>
              <w:rPr>
                <w:rFonts w:cstheme="minorHAnsi"/>
                <w:szCs w:val="18"/>
              </w:rPr>
              <w:t xml:space="preserve"> </w:t>
            </w:r>
            <w:r w:rsidRPr="0063634B">
              <w:rPr>
                <w:rFonts w:cstheme="minorHAnsi"/>
                <w:szCs w:val="18"/>
              </w:rPr>
              <w:t>harm</w:t>
            </w:r>
          </w:p>
        </w:tc>
        <w:tc>
          <w:tcPr>
            <w:tcW w:w="2607" w:type="dxa"/>
          </w:tcPr>
          <w:p w14:paraId="7C9F2345" w14:textId="7EC14C62"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Monitoring of water level and quality in the residual void and surrounding aquifer</w:t>
            </w:r>
            <w:r w:rsidR="00F07F43">
              <w:rPr>
                <w:rFonts w:cstheme="minorHAnsi"/>
                <w:szCs w:val="18"/>
              </w:rPr>
              <w:t>.</w:t>
            </w:r>
          </w:p>
        </w:tc>
        <w:tc>
          <w:tcPr>
            <w:tcW w:w="3510" w:type="dxa"/>
          </w:tcPr>
          <w:p w14:paraId="0018FDB7" w14:textId="77777777"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Evidence in rehabilitation report that adequate water levels and quality are maintained in the residual void and surrounding aquifer.</w:t>
            </w:r>
          </w:p>
        </w:tc>
      </w:tr>
      <w:tr w:rsidR="00921247" w:rsidRPr="0063634B" w14:paraId="036FAD2F" w14:textId="77777777" w:rsidTr="00220001">
        <w:tc>
          <w:tcPr>
            <w:cnfStyle w:val="001000000000" w:firstRow="0" w:lastRow="0" w:firstColumn="1" w:lastColumn="0" w:oddVBand="0" w:evenVBand="0" w:oddHBand="0" w:evenHBand="0" w:firstRowFirstColumn="0" w:firstRowLastColumn="0" w:lastRowFirstColumn="0" w:lastRowLastColumn="0"/>
            <w:tcW w:w="1075" w:type="dxa"/>
            <w:vMerge/>
          </w:tcPr>
          <w:p w14:paraId="34C107F5" w14:textId="77777777" w:rsidR="00921247" w:rsidRPr="0063634B" w:rsidRDefault="00921247" w:rsidP="00921247">
            <w:pPr>
              <w:pStyle w:val="BodyText"/>
              <w:spacing w:before="40" w:after="40"/>
              <w:rPr>
                <w:rFonts w:asciiTheme="minorHAnsi" w:hAnsiTheme="minorHAnsi" w:cstheme="minorHAnsi"/>
                <w:szCs w:val="18"/>
              </w:rPr>
            </w:pPr>
          </w:p>
        </w:tc>
        <w:tc>
          <w:tcPr>
            <w:tcW w:w="1803" w:type="dxa"/>
          </w:tcPr>
          <w:p w14:paraId="6C5B0F8D" w14:textId="77777777" w:rsidR="00921247" w:rsidRPr="0063634B" w:rsidRDefault="00921247" w:rsidP="0092124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Landform</w:t>
            </w:r>
            <w:r>
              <w:rPr>
                <w:rFonts w:cstheme="minorHAnsi"/>
                <w:szCs w:val="18"/>
              </w:rPr>
              <w:t xml:space="preserve"> </w:t>
            </w:r>
            <w:r w:rsidRPr="0063634B">
              <w:rPr>
                <w:rFonts w:cstheme="minorHAnsi"/>
                <w:szCs w:val="18"/>
              </w:rPr>
              <w:t>design is</w:t>
            </w:r>
            <w:r>
              <w:rPr>
                <w:rFonts w:cstheme="minorHAnsi"/>
                <w:szCs w:val="18"/>
              </w:rPr>
              <w:t xml:space="preserve"> </w:t>
            </w:r>
            <w:r w:rsidRPr="0063634B">
              <w:rPr>
                <w:rFonts w:cstheme="minorHAnsi"/>
                <w:szCs w:val="18"/>
              </w:rPr>
              <w:t>stable</w:t>
            </w:r>
          </w:p>
        </w:tc>
        <w:tc>
          <w:tcPr>
            <w:tcW w:w="2607" w:type="dxa"/>
          </w:tcPr>
          <w:p w14:paraId="7C709459" w14:textId="77777777"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 xml:space="preserve">Final survey </w:t>
            </w:r>
          </w:p>
          <w:p w14:paraId="05F80B8D" w14:textId="77777777"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Engineer’s assessment of factor of safety</w:t>
            </w:r>
          </w:p>
        </w:tc>
        <w:tc>
          <w:tcPr>
            <w:tcW w:w="3510" w:type="dxa"/>
          </w:tcPr>
          <w:p w14:paraId="7C84FFC4" w14:textId="4BB22212" w:rsidR="00F07F43"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Engineer certification in rehabilitation report that the final void achieves suitable factor of safety for stability</w:t>
            </w:r>
            <w:r w:rsidR="00F07F43">
              <w:rPr>
                <w:rFonts w:cstheme="minorHAnsi"/>
                <w:szCs w:val="18"/>
              </w:rPr>
              <w:t>.</w:t>
            </w:r>
          </w:p>
          <w:p w14:paraId="17DFE562" w14:textId="63883C7A" w:rsidR="00921247" w:rsidRPr="0063634B" w:rsidRDefault="00921247" w:rsidP="00441BCD">
            <w:pPr>
              <w:pStyle w:val="ListParagraph"/>
              <w:numPr>
                <w:ilvl w:val="0"/>
                <w:numId w:val="76"/>
              </w:numPr>
              <w:autoSpaceDE w:val="0"/>
              <w:autoSpaceDN w:val="0"/>
              <w:adjustRightInd w:val="0"/>
              <w:spacing w:before="77" w:after="0" w:line="250" w:lineRule="exact"/>
              <w:ind w:left="250" w:hanging="27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Landform design is consistent with EA Table G5</w:t>
            </w:r>
          </w:p>
        </w:tc>
      </w:tr>
      <w:tr w:rsidR="00921247" w:rsidRPr="0063634B" w14:paraId="73D0492D" w14:textId="77777777" w:rsidTr="00220001">
        <w:tc>
          <w:tcPr>
            <w:cnfStyle w:val="001000000000" w:firstRow="0" w:lastRow="0" w:firstColumn="1" w:lastColumn="0" w:oddVBand="0" w:evenVBand="0" w:oddHBand="0" w:evenHBand="0" w:firstRowFirstColumn="0" w:firstRowLastColumn="0" w:lastRowFirstColumn="0" w:lastRowLastColumn="0"/>
            <w:tcW w:w="1075" w:type="dxa"/>
          </w:tcPr>
          <w:p w14:paraId="6E53899C" w14:textId="77777777" w:rsidR="00921247" w:rsidRPr="0063634B" w:rsidRDefault="00921247" w:rsidP="00921247">
            <w:pPr>
              <w:pStyle w:val="BodyText"/>
              <w:spacing w:before="40" w:after="40"/>
              <w:rPr>
                <w:rFonts w:asciiTheme="minorHAnsi" w:hAnsiTheme="minorHAnsi" w:cstheme="minorHAnsi"/>
                <w:szCs w:val="18"/>
              </w:rPr>
            </w:pPr>
            <w:r w:rsidRPr="0063634B">
              <w:rPr>
                <w:rFonts w:asciiTheme="minorHAnsi" w:hAnsiTheme="minorHAnsi" w:cstheme="minorHAnsi"/>
                <w:szCs w:val="18"/>
              </w:rPr>
              <w:t>Sustains agreed land use</w:t>
            </w:r>
          </w:p>
        </w:tc>
        <w:tc>
          <w:tcPr>
            <w:tcW w:w="1803" w:type="dxa"/>
          </w:tcPr>
          <w:p w14:paraId="15D325F4" w14:textId="77777777" w:rsidR="00921247" w:rsidRPr="0063634B" w:rsidRDefault="00921247" w:rsidP="0092124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Establish final</w:t>
            </w:r>
            <w:r>
              <w:rPr>
                <w:rFonts w:cstheme="minorHAnsi"/>
                <w:szCs w:val="18"/>
              </w:rPr>
              <w:t xml:space="preserve"> </w:t>
            </w:r>
            <w:r w:rsidRPr="0063634B">
              <w:rPr>
                <w:rFonts w:cstheme="minorHAnsi"/>
                <w:szCs w:val="18"/>
              </w:rPr>
              <w:t>void as</w:t>
            </w:r>
            <w:r>
              <w:rPr>
                <w:rFonts w:cstheme="minorHAnsi"/>
                <w:szCs w:val="18"/>
              </w:rPr>
              <w:t xml:space="preserve"> </w:t>
            </w:r>
            <w:r w:rsidRPr="0063634B">
              <w:rPr>
                <w:rFonts w:cstheme="minorHAnsi"/>
                <w:szCs w:val="18"/>
              </w:rPr>
              <w:t>containment for</w:t>
            </w:r>
            <w:r>
              <w:rPr>
                <w:rFonts w:cstheme="minorHAnsi"/>
                <w:szCs w:val="18"/>
              </w:rPr>
              <w:t xml:space="preserve"> </w:t>
            </w:r>
            <w:r w:rsidRPr="0063634B">
              <w:rPr>
                <w:rFonts w:cstheme="minorHAnsi"/>
                <w:szCs w:val="18"/>
              </w:rPr>
              <w:t>contaminated</w:t>
            </w:r>
            <w:r>
              <w:rPr>
                <w:rFonts w:cstheme="minorHAnsi"/>
                <w:szCs w:val="18"/>
              </w:rPr>
              <w:t xml:space="preserve"> </w:t>
            </w:r>
            <w:r w:rsidRPr="0063634B">
              <w:rPr>
                <w:rFonts w:cstheme="minorHAnsi"/>
                <w:szCs w:val="18"/>
              </w:rPr>
              <w:t>water</w:t>
            </w:r>
          </w:p>
        </w:tc>
        <w:tc>
          <w:tcPr>
            <w:tcW w:w="2607" w:type="dxa"/>
            <w:vAlign w:val="center"/>
          </w:tcPr>
          <w:p w14:paraId="6063B3EA" w14:textId="7E741B2C" w:rsidR="00921247" w:rsidRPr="0063634B" w:rsidRDefault="00921247" w:rsidP="0092124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N/</w:t>
            </w:r>
            <w:r w:rsidR="00F07F43">
              <w:rPr>
                <w:rFonts w:cstheme="minorHAnsi"/>
                <w:szCs w:val="18"/>
              </w:rPr>
              <w:t>a</w:t>
            </w:r>
          </w:p>
        </w:tc>
        <w:tc>
          <w:tcPr>
            <w:tcW w:w="3510" w:type="dxa"/>
            <w:vAlign w:val="center"/>
          </w:tcPr>
          <w:p w14:paraId="6BFA13A3" w14:textId="6B3794D9" w:rsidR="00921247" w:rsidRPr="0063634B" w:rsidRDefault="00921247" w:rsidP="0092124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Cs w:val="18"/>
              </w:rPr>
            </w:pPr>
            <w:r w:rsidRPr="0063634B">
              <w:rPr>
                <w:rFonts w:cstheme="minorHAnsi"/>
                <w:szCs w:val="18"/>
              </w:rPr>
              <w:t>N/</w:t>
            </w:r>
            <w:r w:rsidR="00F07F43">
              <w:rPr>
                <w:rFonts w:cstheme="minorHAnsi"/>
                <w:szCs w:val="18"/>
              </w:rPr>
              <w:t>a</w:t>
            </w:r>
          </w:p>
        </w:tc>
      </w:tr>
    </w:tbl>
    <w:bookmarkEnd w:id="256"/>
    <w:p w14:paraId="2086B494" w14:textId="3CFD30E4" w:rsidR="00F07F43" w:rsidRDefault="00F07F43" w:rsidP="00F07F43">
      <w:pPr>
        <w:pStyle w:val="BodyText"/>
      </w:pPr>
      <w:r w:rsidRPr="000652C1">
        <w:t xml:space="preserve">Progressive rehabilitation will occur within the rehabilitation domains in order to achieve the proposed post-mine land uses. Whilst rehabilitation works have been planned for the final voids, there is currently no intended final land use for these areas and they are to remain as </w:t>
      </w:r>
      <w:r>
        <w:t xml:space="preserve">voids for water storage. </w:t>
      </w:r>
    </w:p>
    <w:p w14:paraId="6ACA6289" w14:textId="77777777" w:rsidR="00F07F43" w:rsidRDefault="00F07F43" w:rsidP="00F07F43">
      <w:pPr>
        <w:pStyle w:val="BodyText"/>
      </w:pPr>
      <w:r>
        <w:t xml:space="preserve">Assessments by suitability qualified personnel will determine that the acceptance criteria for final voids has been met, then certification of the rehabilitation areas will be sought. </w:t>
      </w:r>
      <w:r w:rsidRPr="000652C1">
        <w:t>There are no rehabilitation objectives, indicators or completion criteria to measure the goal of sustaining agreed post mining land use, as there is currently no post mining land use commitment for final voids.</w:t>
      </w:r>
    </w:p>
    <w:p w14:paraId="71331AA0" w14:textId="77777777" w:rsidR="00F07F43" w:rsidRPr="000652C1" w:rsidRDefault="00F07F43" w:rsidP="00F07F43">
      <w:pPr>
        <w:pStyle w:val="Heading4"/>
        <w:numPr>
          <w:ilvl w:val="3"/>
          <w:numId w:val="4"/>
        </w:numPr>
      </w:pPr>
      <w:r w:rsidRPr="000652C1">
        <w:t>Final void post mining land use</w:t>
      </w:r>
    </w:p>
    <w:p w14:paraId="50916BE1" w14:textId="7E36CBAB" w:rsidR="00F07F43" w:rsidRDefault="00F07F43" w:rsidP="00F07F43">
      <w:pPr>
        <w:pStyle w:val="BodyText"/>
      </w:pPr>
      <w:r w:rsidRPr="000652C1">
        <w:t>There is currently no post</w:t>
      </w:r>
      <w:r>
        <w:t>-</w:t>
      </w:r>
      <w:r w:rsidRPr="000652C1">
        <w:t xml:space="preserve">mining land use commitment for final voids at the </w:t>
      </w:r>
      <w:r>
        <w:t>Jellinbah</w:t>
      </w:r>
      <w:r w:rsidRPr="000652C1">
        <w:t xml:space="preserve"> </w:t>
      </w:r>
      <w:r>
        <w:t>c</w:t>
      </w:r>
      <w:r w:rsidRPr="000652C1">
        <w:t>oal mine.</w:t>
      </w:r>
      <w:r>
        <w:t xml:space="preserve"> Final voids are expected to cover a total surface area of 744 ha and will be used for water containment.</w:t>
      </w:r>
      <w:r w:rsidRPr="000652C1">
        <w:t xml:space="preserve"> </w:t>
      </w:r>
      <w:r>
        <w:t>As the voids do not support a beneficial post mining land use, they have been designated as non-use management areas</w:t>
      </w:r>
      <w:r w:rsidRPr="000652C1">
        <w:t>.</w:t>
      </w:r>
    </w:p>
    <w:p w14:paraId="75E46509" w14:textId="77777777" w:rsidR="00F07F43" w:rsidRDefault="00F07F43" w:rsidP="00F07F43">
      <w:pPr>
        <w:pStyle w:val="Heading4"/>
        <w:numPr>
          <w:ilvl w:val="3"/>
          <w:numId w:val="4"/>
        </w:numPr>
      </w:pPr>
      <w:r>
        <w:t>Final void assessment</w:t>
      </w:r>
    </w:p>
    <w:p w14:paraId="5605035A" w14:textId="0F166FF9" w:rsidR="00F07F43" w:rsidRDefault="00F07F43" w:rsidP="00F07F43">
      <w:pPr>
        <w:pStyle w:val="BodyText"/>
      </w:pPr>
      <w:r>
        <w:t>Whilst there is no post-mining land use for the final voids, works will still be undertaken to ensure the final void is safe, non-polluting and stable. As per condition G10 of the Project EA (EPML00516813):</w:t>
      </w:r>
    </w:p>
    <w:p w14:paraId="195E81EB" w14:textId="539E0FA9" w:rsidR="00F07F43" w:rsidRDefault="00F07F43" w:rsidP="00F07F43">
      <w:pPr>
        <w:pStyle w:val="BodyText"/>
        <w:ind w:left="284"/>
        <w:rPr>
          <w:rFonts w:ascii="Arial" w:hAnsi="Arial" w:cs="Arial"/>
          <w:i/>
          <w:iCs/>
        </w:rPr>
      </w:pPr>
      <w:r w:rsidRPr="00CD708C">
        <w:rPr>
          <w:i/>
        </w:rPr>
        <w:t>Residual voids must not cause any serious environmental harm to land, surface waters or any recognised groundwater aquifer, other than the environmental harm constituted by the existence of the residual void itself and subject to any other condition within this environmental</w:t>
      </w:r>
      <w:r>
        <w:rPr>
          <w:i/>
        </w:rPr>
        <w:t xml:space="preserve"> </w:t>
      </w:r>
      <w:r>
        <w:rPr>
          <w:rFonts w:ascii="Arial" w:hAnsi="Arial" w:cs="Arial"/>
          <w:i/>
          <w:iCs/>
        </w:rPr>
        <w:t>authority.</w:t>
      </w:r>
    </w:p>
    <w:p w14:paraId="59AACF43" w14:textId="02949495" w:rsidR="00F07F43" w:rsidRDefault="00F07F43" w:rsidP="00F07F43">
      <w:pPr>
        <w:pStyle w:val="BodyText"/>
        <w:rPr>
          <w:rFonts w:ascii="Arial" w:hAnsi="Arial" w:cs="Arial"/>
          <w:iCs/>
        </w:rPr>
      </w:pPr>
      <w:r>
        <w:rPr>
          <w:rFonts w:ascii="Arial" w:hAnsi="Arial" w:cs="Arial"/>
          <w:iCs/>
        </w:rPr>
        <w:lastRenderedPageBreak/>
        <w:t>The residual void study assessed the potential for environmental harm to land or waters associated with the current closure plan and void design, which concluded</w:t>
      </w:r>
      <w:r w:rsidR="004C52BE">
        <w:rPr>
          <w:rFonts w:ascii="Arial" w:hAnsi="Arial" w:cs="Arial"/>
          <w:iCs/>
        </w:rPr>
        <w:t xml:space="preserve"> that</w:t>
      </w:r>
      <w:r>
        <w:rPr>
          <w:rFonts w:ascii="Arial" w:hAnsi="Arial" w:cs="Arial"/>
          <w:iCs/>
        </w:rPr>
        <w:t>:</w:t>
      </w:r>
    </w:p>
    <w:p w14:paraId="08DE34B4" w14:textId="13082D13" w:rsidR="00F07F43" w:rsidRPr="00CD708C" w:rsidRDefault="004C52BE" w:rsidP="001628AA">
      <w:pPr>
        <w:pStyle w:val="BodyText"/>
        <w:numPr>
          <w:ilvl w:val="0"/>
          <w:numId w:val="51"/>
        </w:numPr>
        <w:spacing w:before="80" w:after="80"/>
      </w:pPr>
      <w:r>
        <w:rPr>
          <w:rFonts w:ascii="Arial" w:hAnsi="Arial" w:cs="Arial"/>
        </w:rPr>
        <w:t>n</w:t>
      </w:r>
      <w:r w:rsidR="00F07F43">
        <w:rPr>
          <w:rFonts w:ascii="Arial" w:hAnsi="Arial" w:cs="Arial"/>
        </w:rPr>
        <w:t xml:space="preserve">o </w:t>
      </w:r>
      <w:r w:rsidR="00F07F43" w:rsidRPr="00CD708C">
        <w:t>voids described in the final landform are expected to overtop or seep to groundwater</w:t>
      </w:r>
      <w:r>
        <w:t>;</w:t>
      </w:r>
    </w:p>
    <w:p w14:paraId="4F989E6E" w14:textId="4E0AB671" w:rsidR="00F07F43" w:rsidRPr="00CD708C" w:rsidRDefault="004C52BE" w:rsidP="001628AA">
      <w:pPr>
        <w:pStyle w:val="BodyText"/>
        <w:numPr>
          <w:ilvl w:val="0"/>
          <w:numId w:val="51"/>
        </w:numPr>
        <w:spacing w:before="80" w:after="80"/>
      </w:pPr>
      <w:r>
        <w:t>t</w:t>
      </w:r>
      <w:r w:rsidR="00F07F43" w:rsidRPr="00CD708C">
        <w:t>he voids will remain as a contaminated water sink. Saline water will be contained within the void footprint</w:t>
      </w:r>
      <w:r>
        <w:t>; and</w:t>
      </w:r>
    </w:p>
    <w:p w14:paraId="2D02AEEA" w14:textId="0C05ECE3" w:rsidR="00F07F43" w:rsidRPr="00CD708C" w:rsidRDefault="004C52BE" w:rsidP="001628AA">
      <w:pPr>
        <w:pStyle w:val="BodyText"/>
        <w:numPr>
          <w:ilvl w:val="0"/>
          <w:numId w:val="51"/>
        </w:numPr>
        <w:spacing w:before="80" w:after="80"/>
      </w:pPr>
      <w:r>
        <w:t>t</w:t>
      </w:r>
      <w:r w:rsidR="00F07F43" w:rsidRPr="00CD708C">
        <w:t>he residual</w:t>
      </w:r>
      <w:r w:rsidR="00F07F43">
        <w:rPr>
          <w:rFonts w:ascii="Arial" w:hAnsi="Arial" w:cs="Arial"/>
        </w:rPr>
        <w:t xml:space="preserve"> voids are not predicted to be a risk of environmental harm to surface or groundwaters.</w:t>
      </w:r>
    </w:p>
    <w:p w14:paraId="5AFD0F63" w14:textId="77777777" w:rsidR="00F07F43" w:rsidRPr="00AE435E" w:rsidRDefault="00F07F43" w:rsidP="00F07F43">
      <w:pPr>
        <w:pStyle w:val="Heading4"/>
        <w:numPr>
          <w:ilvl w:val="3"/>
          <w:numId w:val="4"/>
        </w:numPr>
      </w:pPr>
      <w:r>
        <w:t>Associated m</w:t>
      </w:r>
      <w:r w:rsidRPr="00AE435E">
        <w:t>anagement plans</w:t>
      </w:r>
    </w:p>
    <w:p w14:paraId="394434A3" w14:textId="1C10F557" w:rsidR="00F07F43" w:rsidRDefault="00F07F43" w:rsidP="00F07F43">
      <w:pPr>
        <w:pStyle w:val="BodyText"/>
      </w:pPr>
      <w:r>
        <w:t>Jellinbah Coal mine has developed several management plans that will assist with overall rehabilitation planning (Appendix C of Preliminary Documentation (AARC, 2018)), these include:</w:t>
      </w:r>
    </w:p>
    <w:p w14:paraId="08A42BBB" w14:textId="5CFB53EC" w:rsidR="00F07F43" w:rsidRDefault="00F07F43" w:rsidP="001628AA">
      <w:pPr>
        <w:pStyle w:val="BodyText"/>
        <w:numPr>
          <w:ilvl w:val="0"/>
          <w:numId w:val="77"/>
        </w:numPr>
        <w:spacing w:before="80" w:after="80"/>
      </w:pPr>
      <w:r>
        <w:t>Topsoil management plan.</w:t>
      </w:r>
    </w:p>
    <w:p w14:paraId="1D2E6899" w14:textId="1CBFDF25" w:rsidR="00F07F43" w:rsidRDefault="00F07F43" w:rsidP="001628AA">
      <w:pPr>
        <w:pStyle w:val="BodyText"/>
        <w:numPr>
          <w:ilvl w:val="0"/>
          <w:numId w:val="77"/>
        </w:numPr>
        <w:spacing w:before="80" w:after="80"/>
      </w:pPr>
      <w:r w:rsidRPr="00AE435E">
        <w:t>Weed and pest</w:t>
      </w:r>
      <w:r>
        <w:t xml:space="preserve"> management plan.</w:t>
      </w:r>
    </w:p>
    <w:p w14:paraId="186F69E2" w14:textId="5F4D19CE" w:rsidR="00F07F43" w:rsidRDefault="00F07F43" w:rsidP="001628AA">
      <w:pPr>
        <w:pStyle w:val="BodyText"/>
        <w:numPr>
          <w:ilvl w:val="0"/>
          <w:numId w:val="77"/>
        </w:numPr>
        <w:spacing w:before="80" w:after="80"/>
      </w:pPr>
      <w:r>
        <w:t>E</w:t>
      </w:r>
      <w:r w:rsidRPr="00AE435E">
        <w:t>rosion and sediment control</w:t>
      </w:r>
      <w:r>
        <w:t xml:space="preserve"> management plan.</w:t>
      </w:r>
    </w:p>
    <w:p w14:paraId="053DD4B4" w14:textId="6624C12C" w:rsidR="00F07F43" w:rsidRPr="00AE435E" w:rsidRDefault="00F07F43" w:rsidP="001628AA">
      <w:pPr>
        <w:pStyle w:val="BodyText"/>
        <w:numPr>
          <w:ilvl w:val="0"/>
          <w:numId w:val="77"/>
        </w:numPr>
        <w:spacing w:before="80" w:after="80"/>
      </w:pPr>
      <w:r>
        <w:t>Central North extension water management plan.</w:t>
      </w:r>
    </w:p>
    <w:p w14:paraId="66A51F3F" w14:textId="5C6E0FD0" w:rsidR="00322A9C" w:rsidRPr="00322A9C" w:rsidRDefault="00322A9C" w:rsidP="00322A9C">
      <w:pPr>
        <w:pStyle w:val="Heading3"/>
      </w:pPr>
      <w:bookmarkStart w:id="257" w:name="_Toc87278365"/>
      <w:r>
        <w:t>Risk mitigation and management</w:t>
      </w:r>
      <w:bookmarkEnd w:id="257"/>
    </w:p>
    <w:p w14:paraId="6C2A8E89" w14:textId="21845343" w:rsidR="00133D9E" w:rsidRDefault="00133D9E" w:rsidP="00133D9E">
      <w:pPr>
        <w:pStyle w:val="BodyText"/>
      </w:pPr>
      <w:bookmarkStart w:id="258" w:name="_Hlk57991576"/>
      <w:r>
        <w:t xml:space="preserve">According to the documentation provided to support the Commonwealth approval process for the CNE project (AARC, 2018), </w:t>
      </w:r>
      <w:bookmarkEnd w:id="258"/>
      <w:r>
        <w:t xml:space="preserve">each residual void is </w:t>
      </w:r>
      <w:r w:rsidR="0071391E">
        <w:t>modelled</w:t>
      </w:r>
      <w:r>
        <w:t xml:space="preserve"> to equilibrate </w:t>
      </w:r>
      <w:r w:rsidR="0071391E">
        <w:t>to</w:t>
      </w:r>
      <w:r>
        <w:t xml:space="preserve"> </w:t>
      </w:r>
      <w:r w:rsidRPr="00133D9E">
        <w:rPr>
          <w:i/>
          <w:iCs/>
        </w:rPr>
        <w:t>terminal sink flow regimes</w:t>
      </w:r>
      <w:r>
        <w:t xml:space="preserve">, with ‘pit lake’ levels that </w:t>
      </w:r>
      <w:r w:rsidR="0071391E">
        <w:t>are anticipated to</w:t>
      </w:r>
      <w:r>
        <w:t xml:space="preserve"> remain below overflow levels (Section </w:t>
      </w:r>
      <w:r w:rsidR="004A141B">
        <w:fldChar w:fldCharType="begin"/>
      </w:r>
      <w:r w:rsidR="004A141B">
        <w:instrText xml:space="preserve"> REF _Ref62138111 \n \h </w:instrText>
      </w:r>
      <w:r w:rsidR="004A141B">
        <w:fldChar w:fldCharType="separate"/>
      </w:r>
      <w:r w:rsidR="00937ADD">
        <w:t>5.3.4</w:t>
      </w:r>
      <w:r w:rsidR="004A141B">
        <w:fldChar w:fldCharType="end"/>
      </w:r>
      <w:r>
        <w:t>). The assessment concluded the final voids pose a low risk of environmental harm, with commitments to implementing the following key risk mitigation and management measures</w:t>
      </w:r>
      <w:r w:rsidR="004C52BE">
        <w:t>.</w:t>
      </w:r>
    </w:p>
    <w:p w14:paraId="53C37760" w14:textId="41FF33B8" w:rsidR="00133D9E" w:rsidRDefault="00133D9E" w:rsidP="001628AA">
      <w:pPr>
        <w:pStyle w:val="BodyText"/>
        <w:numPr>
          <w:ilvl w:val="0"/>
          <w:numId w:val="66"/>
        </w:numPr>
        <w:spacing w:before="80" w:after="80"/>
      </w:pPr>
      <w:r>
        <w:t xml:space="preserve">The final voids at mine closure will be designed to have flood immunity </w:t>
      </w:r>
      <w:r w:rsidR="00D90B69">
        <w:t xml:space="preserve">(1:1000 AEP design) </w:t>
      </w:r>
      <w:r>
        <w:t>to extreme weather events</w:t>
      </w:r>
      <w:r w:rsidR="0071391E">
        <w:t xml:space="preserve"> and</w:t>
      </w:r>
      <w:r>
        <w:t xml:space="preserve"> for the purposes of minimising clean water capture and long-term storage of floodwater. Three flood protection landforms were proposed to prevent flood ingress to the final voids (Section </w:t>
      </w:r>
      <w:r>
        <w:fldChar w:fldCharType="begin"/>
      </w:r>
      <w:r>
        <w:instrText xml:space="preserve"> REF _Ref57989014 \n \h </w:instrText>
      </w:r>
      <w:r>
        <w:fldChar w:fldCharType="separate"/>
      </w:r>
      <w:r w:rsidR="00937ADD">
        <w:t>5.3.3</w:t>
      </w:r>
      <w:r>
        <w:fldChar w:fldCharType="end"/>
      </w:r>
      <w:r>
        <w:t xml:space="preserve">). </w:t>
      </w:r>
    </w:p>
    <w:p w14:paraId="6FADD017" w14:textId="3E8B61C4" w:rsidR="00133D9E" w:rsidRDefault="00133D9E" w:rsidP="001628AA">
      <w:pPr>
        <w:pStyle w:val="BodyText"/>
        <w:numPr>
          <w:ilvl w:val="0"/>
          <w:numId w:val="66"/>
        </w:numPr>
        <w:spacing w:before="80" w:after="80"/>
      </w:pPr>
      <w:r>
        <w:t>Final landform drains will be incorporated to divert external catchments where possible to reduce the volume of runoff reporting to the residual voids</w:t>
      </w:r>
      <w:r w:rsidR="0071391E">
        <w:t xml:space="preserve"> (Section </w:t>
      </w:r>
      <w:r w:rsidR="0071391E">
        <w:fldChar w:fldCharType="begin"/>
      </w:r>
      <w:r w:rsidR="0071391E">
        <w:instrText xml:space="preserve"> REF _Ref57989014 \n \h </w:instrText>
      </w:r>
      <w:r w:rsidR="0071391E">
        <w:fldChar w:fldCharType="separate"/>
      </w:r>
      <w:r w:rsidR="00937ADD">
        <w:t>5.3.3</w:t>
      </w:r>
      <w:r w:rsidR="0071391E">
        <w:fldChar w:fldCharType="end"/>
      </w:r>
      <w:r w:rsidR="0071391E">
        <w:t>)</w:t>
      </w:r>
      <w:r>
        <w:t>.</w:t>
      </w:r>
    </w:p>
    <w:p w14:paraId="41394B96" w14:textId="77777777" w:rsidR="00EA253B" w:rsidRPr="00EA253B" w:rsidRDefault="00EA253B" w:rsidP="001628AA">
      <w:pPr>
        <w:pStyle w:val="ListParagraph"/>
        <w:numPr>
          <w:ilvl w:val="0"/>
          <w:numId w:val="66"/>
        </w:numPr>
        <w:spacing w:before="80" w:beforeAutospacing="0" w:after="80" w:afterAutospacing="0"/>
        <w:contextualSpacing w:val="0"/>
      </w:pPr>
      <w:r>
        <w:t xml:space="preserve">In relation to the CEN project, AARC (2019) report that </w:t>
      </w:r>
      <w:r w:rsidRPr="00EA253B">
        <w:t xml:space="preserve">runoff generated from catchments associated with the CNE mining void will be redirected to the receiving waterways through progressive backfilling and rehabilitation of overburden during the life of the mine. </w:t>
      </w:r>
      <w:r w:rsidR="00EC63C0">
        <w:t>The available documentation does not indicate the extent of backfilling activities for the other final voids not subject to the most recent approval process.</w:t>
      </w:r>
    </w:p>
    <w:p w14:paraId="38814217" w14:textId="77777777" w:rsidR="001A52A3" w:rsidRDefault="001A52A3">
      <w:pPr>
        <w:rPr>
          <w:b/>
          <w:sz w:val="32"/>
          <w:szCs w:val="36"/>
        </w:rPr>
      </w:pPr>
      <w:bookmarkStart w:id="259" w:name="_Ref59102537"/>
      <w:r>
        <w:br w:type="page"/>
      </w:r>
    </w:p>
    <w:p w14:paraId="48525E8A" w14:textId="25293274" w:rsidR="00F82A64" w:rsidRDefault="00F82A64" w:rsidP="00F82A64">
      <w:pPr>
        <w:pStyle w:val="Heading2"/>
      </w:pPr>
      <w:bookmarkStart w:id="260" w:name="_Ref62138265"/>
      <w:bookmarkStart w:id="261" w:name="_Toc87278366"/>
      <w:r>
        <w:lastRenderedPageBreak/>
        <w:t>Ensham</w:t>
      </w:r>
      <w:r w:rsidR="00046725">
        <w:t xml:space="preserve"> coal mine</w:t>
      </w:r>
      <w:bookmarkEnd w:id="259"/>
      <w:bookmarkEnd w:id="260"/>
      <w:bookmarkEnd w:id="261"/>
    </w:p>
    <w:p w14:paraId="2402F4F8" w14:textId="57151609" w:rsidR="00C12AD6" w:rsidRDefault="00C12AD6" w:rsidP="00C12AD6">
      <w:pPr>
        <w:pStyle w:val="Heading3"/>
      </w:pPr>
      <w:bookmarkStart w:id="262" w:name="_Ref58919464"/>
      <w:bookmarkStart w:id="263" w:name="_Toc87278367"/>
      <w:r>
        <w:t>Project status</w:t>
      </w:r>
      <w:bookmarkEnd w:id="262"/>
      <w:bookmarkEnd w:id="263"/>
    </w:p>
    <w:p w14:paraId="6F7B88FF" w14:textId="5383760D" w:rsidR="00C8226F" w:rsidRDefault="00066412" w:rsidP="00C8226F">
      <w:pPr>
        <w:pStyle w:val="BodyText"/>
      </w:pPr>
      <w:r>
        <w:t>The Ensham mine is an open cut and underground coal mine located 35 km east of Emerald along the Nogoa River in Central Queensland (</w:t>
      </w:r>
      <w:r>
        <w:fldChar w:fldCharType="begin"/>
      </w:r>
      <w:r>
        <w:instrText xml:space="preserve"> REF _Ref57289247 \h </w:instrText>
      </w:r>
      <w:r>
        <w:fldChar w:fldCharType="separate"/>
      </w:r>
      <w:r w:rsidR="00937ADD">
        <w:t xml:space="preserve">Figure </w:t>
      </w:r>
      <w:r w:rsidR="00937ADD">
        <w:rPr>
          <w:noProof/>
        </w:rPr>
        <w:t>4</w:t>
      </w:r>
      <w:r w:rsidR="00937ADD">
        <w:noBreakHyphen/>
      </w:r>
      <w:r w:rsidR="00937ADD">
        <w:rPr>
          <w:noProof/>
        </w:rPr>
        <w:t>1</w:t>
      </w:r>
      <w:r>
        <w:fldChar w:fldCharType="end"/>
      </w:r>
      <w:r>
        <w:t>). The mine is a large-scale operation currently producing 5.2 Mtpa from dragline/truck/shovel operations in the northern pits and underground bord and pillar operations under the Nogoa floodplain.</w:t>
      </w:r>
      <w:r w:rsidR="00C8226F">
        <w:t xml:space="preserve"> </w:t>
      </w:r>
    </w:p>
    <w:p w14:paraId="19C800DF" w14:textId="79417D48" w:rsidR="00066412" w:rsidRDefault="00066412" w:rsidP="00066412">
      <w:pPr>
        <w:pStyle w:val="BodyText"/>
      </w:pPr>
      <w:r>
        <w:t>The mine is operated by Ensham Resources Pty Ltd (Ensham), a wholly owned subsidiary of Idemitsu Australia Resources Pty Ltd (Idemitsu), on behalf of the Ensham Mine joint venture (JV) partners: Bligh Coal Limited (47.5%), Idemitsu (37.5%), and Bowen Investment (Australia) Pty Ltd (15%).</w:t>
      </w:r>
    </w:p>
    <w:p w14:paraId="636B746B" w14:textId="06EEADE4" w:rsidR="00F6046A" w:rsidRDefault="001A52A3" w:rsidP="00066412">
      <w:pPr>
        <w:pStyle w:val="BodyText"/>
      </w:pPr>
      <w:bookmarkStart w:id="264" w:name="_Hlk58917667"/>
      <w:r>
        <w:t>The mine</w:t>
      </w:r>
      <w:r w:rsidR="00D9434A" w:rsidRPr="00D9434A">
        <w:t xml:space="preserve"> operates over seven mining leases in accordance with EA EPML00732813</w:t>
      </w:r>
      <w:r w:rsidR="00D9434A">
        <w:t xml:space="preserve">. </w:t>
      </w:r>
      <w:bookmarkEnd w:id="264"/>
      <w:r w:rsidR="00F6046A">
        <w:t xml:space="preserve">Of particular relevance to residual voids is </w:t>
      </w:r>
      <w:r w:rsidR="00794BB2">
        <w:t xml:space="preserve">EA </w:t>
      </w:r>
      <w:r w:rsidR="00F6046A">
        <w:t>Conditions G15 to G24.</w:t>
      </w:r>
    </w:p>
    <w:p w14:paraId="49918731" w14:textId="500A4124" w:rsidR="00F6046A" w:rsidRPr="00794BB2" w:rsidRDefault="00F6046A" w:rsidP="00066412">
      <w:pPr>
        <w:pStyle w:val="BodyText"/>
        <w:rPr>
          <w:i/>
          <w:iCs/>
        </w:rPr>
      </w:pPr>
      <w:r w:rsidRPr="00794BB2">
        <w:rPr>
          <w:i/>
          <w:iCs/>
        </w:rPr>
        <w:t>Condition G16 (Res</w:t>
      </w:r>
      <w:r w:rsidR="00B75BAF" w:rsidRPr="00794BB2">
        <w:rPr>
          <w:i/>
          <w:iCs/>
        </w:rPr>
        <w:t>i</w:t>
      </w:r>
      <w:r w:rsidRPr="00794BB2">
        <w:rPr>
          <w:i/>
          <w:iCs/>
        </w:rPr>
        <w:t>dual Void Project)</w:t>
      </w:r>
    </w:p>
    <w:p w14:paraId="1C05DB5C" w14:textId="0243FED2" w:rsidR="00F6046A" w:rsidRPr="00F6046A" w:rsidRDefault="00F6046A" w:rsidP="001628AA">
      <w:pPr>
        <w:pStyle w:val="BodyText"/>
        <w:spacing w:before="80" w:after="80"/>
        <w:ind w:left="284"/>
        <w:rPr>
          <w:i/>
          <w:iCs/>
        </w:rPr>
      </w:pPr>
      <w:r w:rsidRPr="00F6046A">
        <w:rPr>
          <w:i/>
          <w:iCs/>
        </w:rPr>
        <w:t xml:space="preserve">A Residual Void Project </w:t>
      </w:r>
      <w:r w:rsidR="00B75BAF">
        <w:rPr>
          <w:i/>
          <w:iCs/>
        </w:rPr>
        <w:t xml:space="preserve">(RVP) </w:t>
      </w:r>
      <w:r w:rsidRPr="00F6046A">
        <w:rPr>
          <w:i/>
          <w:iCs/>
        </w:rPr>
        <w:t>must be completed and submitted to the administering authority for review and comment by 31 March 2019, and must be comprised of the following at a minimum:</w:t>
      </w:r>
    </w:p>
    <w:p w14:paraId="27BD19D6" w14:textId="77777777" w:rsidR="00F6046A" w:rsidRPr="00F6046A" w:rsidRDefault="00F6046A" w:rsidP="001628AA">
      <w:pPr>
        <w:pStyle w:val="BodyText"/>
        <w:spacing w:before="80" w:after="80"/>
        <w:ind w:firstLine="284"/>
        <w:rPr>
          <w:i/>
          <w:iCs/>
        </w:rPr>
      </w:pPr>
      <w:r w:rsidRPr="00F6046A">
        <w:rPr>
          <w:i/>
          <w:iCs/>
        </w:rPr>
        <w:t>(a) Terms of Reference;</w:t>
      </w:r>
    </w:p>
    <w:p w14:paraId="1C94F02D" w14:textId="77777777" w:rsidR="00F6046A" w:rsidRPr="00F6046A" w:rsidRDefault="00F6046A" w:rsidP="001628AA">
      <w:pPr>
        <w:pStyle w:val="BodyText"/>
        <w:spacing w:before="80" w:after="80"/>
        <w:ind w:firstLine="284"/>
        <w:rPr>
          <w:i/>
          <w:iCs/>
        </w:rPr>
      </w:pPr>
      <w:r w:rsidRPr="00F6046A">
        <w:rPr>
          <w:i/>
          <w:iCs/>
        </w:rPr>
        <w:t>(b) Residual Void Study;</w:t>
      </w:r>
    </w:p>
    <w:p w14:paraId="18CEA220" w14:textId="77777777" w:rsidR="00F6046A" w:rsidRPr="00F6046A" w:rsidRDefault="00F6046A" w:rsidP="001628AA">
      <w:pPr>
        <w:pStyle w:val="BodyText"/>
        <w:spacing w:before="80" w:after="80"/>
        <w:ind w:firstLine="284"/>
        <w:rPr>
          <w:i/>
          <w:iCs/>
        </w:rPr>
      </w:pPr>
      <w:r w:rsidRPr="00F6046A">
        <w:rPr>
          <w:i/>
          <w:iCs/>
        </w:rPr>
        <w:t>(c) Progress Reports; and</w:t>
      </w:r>
    </w:p>
    <w:p w14:paraId="7099A3C9" w14:textId="3471EE47" w:rsidR="00066412" w:rsidRPr="00F6046A" w:rsidRDefault="00F6046A" w:rsidP="001628AA">
      <w:pPr>
        <w:pStyle w:val="BodyText"/>
        <w:spacing w:before="80" w:after="80"/>
        <w:ind w:firstLine="284"/>
        <w:rPr>
          <w:i/>
          <w:iCs/>
        </w:rPr>
      </w:pPr>
      <w:r w:rsidRPr="00F6046A">
        <w:rPr>
          <w:i/>
          <w:iCs/>
        </w:rPr>
        <w:t xml:space="preserve">(d) </w:t>
      </w:r>
      <w:r w:rsidR="004C52BE">
        <w:rPr>
          <w:i/>
          <w:iCs/>
        </w:rPr>
        <w:t>r</w:t>
      </w:r>
      <w:r w:rsidRPr="00F6046A">
        <w:rPr>
          <w:i/>
          <w:iCs/>
        </w:rPr>
        <w:t>ehabilitation success criteria for voids</w:t>
      </w:r>
    </w:p>
    <w:p w14:paraId="29482328" w14:textId="11CED85C" w:rsidR="00D0331E" w:rsidRPr="00794BB2" w:rsidRDefault="00D0331E" w:rsidP="001628AA">
      <w:pPr>
        <w:pStyle w:val="BodyText"/>
        <w:spacing w:before="80" w:after="80"/>
        <w:rPr>
          <w:i/>
          <w:iCs/>
        </w:rPr>
      </w:pPr>
      <w:r w:rsidRPr="00794BB2">
        <w:rPr>
          <w:i/>
          <w:iCs/>
        </w:rPr>
        <w:t>Condition G20</w:t>
      </w:r>
    </w:p>
    <w:p w14:paraId="4F7972D2" w14:textId="77777777" w:rsidR="00D0331E" w:rsidRPr="00B75BAF" w:rsidRDefault="00D0331E" w:rsidP="001628AA">
      <w:pPr>
        <w:pStyle w:val="BodyText"/>
        <w:spacing w:before="80" w:after="80"/>
        <w:ind w:left="284"/>
        <w:rPr>
          <w:i/>
          <w:iCs/>
        </w:rPr>
      </w:pPr>
      <w:r w:rsidRPr="00B75BAF">
        <w:rPr>
          <w:i/>
          <w:iCs/>
        </w:rPr>
        <w:t>The Residual Void Project required by Condition G16 must include, but not be limited to, the following:</w:t>
      </w:r>
    </w:p>
    <w:p w14:paraId="0136D276" w14:textId="77777777" w:rsidR="00D0331E" w:rsidRPr="00B75BAF" w:rsidRDefault="00D0331E" w:rsidP="001628AA">
      <w:pPr>
        <w:pStyle w:val="BodyText"/>
        <w:spacing w:before="80" w:after="80"/>
        <w:ind w:firstLine="284"/>
        <w:rPr>
          <w:i/>
          <w:iCs/>
        </w:rPr>
      </w:pPr>
      <w:r w:rsidRPr="00B75BAF">
        <w:rPr>
          <w:i/>
          <w:iCs/>
        </w:rPr>
        <w:t>a) options available for minimising final void area and volume</w:t>
      </w:r>
    </w:p>
    <w:p w14:paraId="2F34A91F" w14:textId="77777777" w:rsidR="00D0331E" w:rsidRPr="00B75BAF" w:rsidRDefault="00D0331E" w:rsidP="001628AA">
      <w:pPr>
        <w:pStyle w:val="BodyText"/>
        <w:spacing w:before="80" w:after="80"/>
        <w:ind w:firstLine="284"/>
        <w:rPr>
          <w:i/>
          <w:iCs/>
        </w:rPr>
      </w:pPr>
      <w:r w:rsidRPr="00B75BAF">
        <w:rPr>
          <w:i/>
          <w:iCs/>
        </w:rPr>
        <w:t>b) design objectives for rehabilitation of final voids</w:t>
      </w:r>
    </w:p>
    <w:p w14:paraId="1248E335" w14:textId="77777777" w:rsidR="00D0331E" w:rsidRPr="00B75BAF" w:rsidRDefault="00D0331E" w:rsidP="001628AA">
      <w:pPr>
        <w:pStyle w:val="BodyText"/>
        <w:spacing w:before="80" w:after="80"/>
        <w:ind w:left="284"/>
        <w:rPr>
          <w:i/>
          <w:iCs/>
        </w:rPr>
      </w:pPr>
      <w:r w:rsidRPr="00B75BAF">
        <w:rPr>
          <w:i/>
          <w:iCs/>
        </w:rPr>
        <w:t>c) void hydrology, addressing the long-term water balance in the voids, connections to groundwater resources and water quality parameters in the long term</w:t>
      </w:r>
    </w:p>
    <w:p w14:paraId="1141182C" w14:textId="77777777" w:rsidR="00D0331E" w:rsidRPr="00B75BAF" w:rsidRDefault="00D0331E" w:rsidP="001628AA">
      <w:pPr>
        <w:pStyle w:val="BodyText"/>
        <w:spacing w:before="80" w:after="80"/>
        <w:ind w:left="284"/>
        <w:rPr>
          <w:i/>
          <w:iCs/>
        </w:rPr>
      </w:pPr>
      <w:r w:rsidRPr="00B75BAF">
        <w:rPr>
          <w:i/>
          <w:iCs/>
        </w:rPr>
        <w:t>d) pit wall stability, considering the effects of long-term erosion and weathering of the pit wall and the effects of significant hydrological events;</w:t>
      </w:r>
    </w:p>
    <w:p w14:paraId="09491CC1" w14:textId="77777777" w:rsidR="00D0331E" w:rsidRPr="00B75BAF" w:rsidRDefault="00D0331E" w:rsidP="001628AA">
      <w:pPr>
        <w:pStyle w:val="BodyText"/>
        <w:spacing w:before="80" w:after="80"/>
        <w:ind w:left="284"/>
        <w:rPr>
          <w:i/>
          <w:iCs/>
        </w:rPr>
      </w:pPr>
      <w:r w:rsidRPr="00B75BAF">
        <w:rPr>
          <w:i/>
          <w:iCs/>
        </w:rPr>
        <w:t>e) options available for minimising risk of flood interaction for all flood events up to and including the Probable Maximum Flood level;</w:t>
      </w:r>
    </w:p>
    <w:p w14:paraId="54E0BBE4" w14:textId="77777777" w:rsidR="00D0331E" w:rsidRPr="00B75BAF" w:rsidRDefault="00D0331E" w:rsidP="001628AA">
      <w:pPr>
        <w:pStyle w:val="BodyText"/>
        <w:spacing w:before="80" w:after="80"/>
        <w:ind w:firstLine="284"/>
        <w:rPr>
          <w:i/>
          <w:iCs/>
        </w:rPr>
      </w:pPr>
      <w:r w:rsidRPr="00B75BAF">
        <w:rPr>
          <w:i/>
          <w:iCs/>
        </w:rPr>
        <w:t>f) void capability to support native flora and fauna, and</w:t>
      </w:r>
    </w:p>
    <w:p w14:paraId="4C94FC9F" w14:textId="77777777" w:rsidR="00D0331E" w:rsidRPr="00B75BAF" w:rsidRDefault="00D0331E" w:rsidP="001628AA">
      <w:pPr>
        <w:pStyle w:val="BodyText"/>
        <w:spacing w:before="80" w:after="80"/>
        <w:ind w:left="284"/>
        <w:rPr>
          <w:i/>
          <w:iCs/>
        </w:rPr>
      </w:pPr>
      <w:r w:rsidRPr="00B75BAF">
        <w:rPr>
          <w:i/>
          <w:iCs/>
        </w:rPr>
        <w:t>g) void rehabilitation success criteria and final void areas and volumes to meet the outcomes in Condition G24</w:t>
      </w:r>
    </w:p>
    <w:p w14:paraId="5BA29216" w14:textId="474F0E99" w:rsidR="00D0331E" w:rsidRDefault="00D0331E" w:rsidP="00D0331E">
      <w:pPr>
        <w:pStyle w:val="BodyText"/>
      </w:pPr>
      <w:r>
        <w:t>The approved ToR divide</w:t>
      </w:r>
      <w:r w:rsidR="000D1846">
        <w:t>d</w:t>
      </w:r>
      <w:r>
        <w:t xml:space="preserve"> the </w:t>
      </w:r>
      <w:bookmarkStart w:id="265" w:name="_Hlk58922233"/>
      <w:r>
        <w:t>RVP</w:t>
      </w:r>
      <w:bookmarkEnd w:id="265"/>
      <w:r>
        <w:t xml:space="preserve"> into five separate stages</w:t>
      </w:r>
      <w:r w:rsidR="004C52BE">
        <w:t>.</w:t>
      </w:r>
    </w:p>
    <w:p w14:paraId="06CB43FE" w14:textId="77777777" w:rsidR="00D0331E" w:rsidRDefault="00D0331E" w:rsidP="001628AA">
      <w:pPr>
        <w:pStyle w:val="BodyText"/>
        <w:numPr>
          <w:ilvl w:val="0"/>
          <w:numId w:val="68"/>
        </w:numPr>
        <w:spacing w:before="80" w:after="80"/>
      </w:pPr>
      <w:r>
        <w:t>Stage 1 – Project Definition and Options Identification.</w:t>
      </w:r>
    </w:p>
    <w:p w14:paraId="3EFC0D43" w14:textId="77777777" w:rsidR="00D0331E" w:rsidRDefault="00D0331E" w:rsidP="001628AA">
      <w:pPr>
        <w:pStyle w:val="BodyText"/>
        <w:numPr>
          <w:ilvl w:val="0"/>
          <w:numId w:val="68"/>
        </w:numPr>
        <w:spacing w:before="80" w:after="80"/>
      </w:pPr>
      <w:r>
        <w:t>Stage 2 – Preferred Options Technical Studies.</w:t>
      </w:r>
    </w:p>
    <w:p w14:paraId="6695A0B3" w14:textId="77777777" w:rsidR="00D0331E" w:rsidRDefault="00D0331E" w:rsidP="001628AA">
      <w:pPr>
        <w:pStyle w:val="BodyText"/>
        <w:numPr>
          <w:ilvl w:val="0"/>
          <w:numId w:val="68"/>
        </w:numPr>
        <w:spacing w:before="80" w:after="80"/>
      </w:pPr>
      <w:r>
        <w:t>Stage 3 – Preferred Options Detail Design.</w:t>
      </w:r>
    </w:p>
    <w:p w14:paraId="1542D94F" w14:textId="77777777" w:rsidR="00D0331E" w:rsidRDefault="00D0331E" w:rsidP="001628AA">
      <w:pPr>
        <w:pStyle w:val="BodyText"/>
        <w:numPr>
          <w:ilvl w:val="0"/>
          <w:numId w:val="68"/>
        </w:numPr>
        <w:spacing w:before="80" w:after="80"/>
      </w:pPr>
      <w:r>
        <w:t>Stage 4 – Most Preferred Option Identification.</w:t>
      </w:r>
    </w:p>
    <w:p w14:paraId="40975CDA" w14:textId="77777777" w:rsidR="00D0331E" w:rsidRDefault="00D0331E" w:rsidP="001628AA">
      <w:pPr>
        <w:pStyle w:val="BodyText"/>
        <w:numPr>
          <w:ilvl w:val="0"/>
          <w:numId w:val="68"/>
        </w:numPr>
        <w:spacing w:before="80" w:after="80"/>
      </w:pPr>
      <w:r>
        <w:t>Stage 5 – Regulatory Documentation.</w:t>
      </w:r>
    </w:p>
    <w:p w14:paraId="74E405CC" w14:textId="1AA25820" w:rsidR="00612D38" w:rsidRDefault="00B75BAF" w:rsidP="00AD0DA1">
      <w:pPr>
        <w:pStyle w:val="BodyText"/>
      </w:pPr>
      <w:r>
        <w:t>Stages 1 to 4 of the RVP</w:t>
      </w:r>
      <w:r w:rsidR="000D1846">
        <w:t xml:space="preserve"> </w:t>
      </w:r>
      <w:r w:rsidR="00612D38">
        <w:t>evaluated three options</w:t>
      </w:r>
      <w:r w:rsidR="00592EBC">
        <w:t xml:space="preserve"> (Ensham, 2019b):</w:t>
      </w:r>
    </w:p>
    <w:p w14:paraId="6A3350A7" w14:textId="3EEFE0DE" w:rsidR="00612D38" w:rsidRDefault="00612D38" w:rsidP="001628AA">
      <w:pPr>
        <w:pStyle w:val="BodyText"/>
        <w:numPr>
          <w:ilvl w:val="0"/>
          <w:numId w:val="69"/>
        </w:numPr>
        <w:spacing w:before="80" w:after="80"/>
      </w:pPr>
      <w:r w:rsidRPr="00023008">
        <w:rPr>
          <w:i/>
          <w:iCs/>
        </w:rPr>
        <w:t>Option 1 – ‘Landform levee’</w:t>
      </w:r>
      <w:r>
        <w:t>; the conversion of the current engineered levees into permanent landforms, augmenting the existing earthworks by backfilling between the levees and the pits they protect</w:t>
      </w:r>
      <w:r w:rsidR="004C52BE">
        <w:t>;</w:t>
      </w:r>
    </w:p>
    <w:p w14:paraId="241B6DE3" w14:textId="139283F6" w:rsidR="00612D38" w:rsidRDefault="00612D38" w:rsidP="001628AA">
      <w:pPr>
        <w:pStyle w:val="BodyText"/>
        <w:numPr>
          <w:ilvl w:val="0"/>
          <w:numId w:val="69"/>
        </w:numPr>
        <w:spacing w:before="80" w:after="80"/>
      </w:pPr>
      <w:r w:rsidRPr="00023008">
        <w:rPr>
          <w:i/>
          <w:iCs/>
        </w:rPr>
        <w:t>Option 2 – ‘Beneficial use’</w:t>
      </w:r>
      <w:r>
        <w:t xml:space="preserve">; </w:t>
      </w:r>
      <w:r w:rsidRPr="00612D38">
        <w:t xml:space="preserve">partial backfilling </w:t>
      </w:r>
      <w:r>
        <w:t xml:space="preserve">of residual voids </w:t>
      </w:r>
      <w:r w:rsidRPr="00612D38">
        <w:t>to create a rehabilitated landform consistent with the regional topography protected by permanent landforms</w:t>
      </w:r>
      <w:r>
        <w:t>.</w:t>
      </w:r>
      <w:r w:rsidR="00251D4C">
        <w:t xml:space="preserve"> </w:t>
      </w:r>
      <w:r w:rsidR="002D20B1" w:rsidRPr="002D20B1">
        <w:t xml:space="preserve">Initially </w:t>
      </w:r>
      <w:r w:rsidR="002D20B1" w:rsidRPr="00023008">
        <w:rPr>
          <w:i/>
          <w:iCs/>
        </w:rPr>
        <w:lastRenderedPageBreak/>
        <w:t>Option 2</w:t>
      </w:r>
      <w:r w:rsidR="002D20B1">
        <w:t xml:space="preserve"> </w:t>
      </w:r>
      <w:r w:rsidR="002D20B1" w:rsidRPr="002D20B1">
        <w:t>include</w:t>
      </w:r>
      <w:r w:rsidR="002D20B1">
        <w:t>d</w:t>
      </w:r>
      <w:r w:rsidR="002D20B1" w:rsidRPr="002D20B1">
        <w:t xml:space="preserve"> a water reservoir as a PMLU</w:t>
      </w:r>
      <w:r w:rsidR="00023008">
        <w:t xml:space="preserve"> (and was referenced as ‘Flood mitigation and beneficial use’)</w:t>
      </w:r>
      <w:r w:rsidR="002D20B1">
        <w:t>, however following consultation with</w:t>
      </w:r>
      <w:r w:rsidR="002D20B1" w:rsidRPr="002D20B1">
        <w:t xml:space="preserve"> DES and DNRME, </w:t>
      </w:r>
      <w:r w:rsidR="002D20B1">
        <w:t>th</w:t>
      </w:r>
      <w:r w:rsidR="00023008">
        <w:t>is</w:t>
      </w:r>
      <w:r w:rsidR="002D20B1">
        <w:t xml:space="preserve"> feature is no longer</w:t>
      </w:r>
      <w:r w:rsidR="00C4120A">
        <w:t xml:space="preserve"> a part of the rehabilitation design. The rehabilitated landform of </w:t>
      </w:r>
      <w:r w:rsidR="00C4120A" w:rsidRPr="00023008">
        <w:rPr>
          <w:i/>
          <w:iCs/>
        </w:rPr>
        <w:t>Option 2</w:t>
      </w:r>
      <w:r w:rsidR="00C4120A">
        <w:t xml:space="preserve"> will</w:t>
      </w:r>
      <w:r w:rsidR="002D20B1" w:rsidRPr="002D20B1">
        <w:t xml:space="preserve"> allow Ensham to meet rehabilitation obligations whilst preserving the optionality </w:t>
      </w:r>
      <w:r w:rsidR="00592EBC">
        <w:t xml:space="preserve">at a later date </w:t>
      </w:r>
      <w:r w:rsidR="002D20B1" w:rsidRPr="002D20B1">
        <w:t xml:space="preserve">of a water storage facility </w:t>
      </w:r>
      <w:r w:rsidR="00592EBC">
        <w:t>(</w:t>
      </w:r>
      <w:r w:rsidR="002D20B1" w:rsidRPr="002D20B1">
        <w:t>subject to a future application</w:t>
      </w:r>
      <w:r w:rsidR="00592EBC">
        <w:t>)</w:t>
      </w:r>
      <w:r w:rsidR="004C52BE">
        <w:t>; and</w:t>
      </w:r>
    </w:p>
    <w:p w14:paraId="1145387C" w14:textId="0285A359" w:rsidR="00612D38" w:rsidRDefault="00612D38" w:rsidP="001628AA">
      <w:pPr>
        <w:pStyle w:val="BodyText"/>
        <w:numPr>
          <w:ilvl w:val="0"/>
          <w:numId w:val="69"/>
        </w:numPr>
        <w:spacing w:before="80" w:after="80"/>
      </w:pPr>
      <w:r w:rsidRPr="00023008">
        <w:rPr>
          <w:i/>
          <w:iCs/>
        </w:rPr>
        <w:t>Option 3 – ‘Backfill to PMF’</w:t>
      </w:r>
      <w:r>
        <w:t>; backfill open pits located within the pre-mining floodplain up to the height and width of the original flood plain within the lateral extent of the pre-mining PMF</w:t>
      </w:r>
      <w:r w:rsidRPr="00612D38">
        <w:t>.</w:t>
      </w:r>
    </w:p>
    <w:p w14:paraId="4CD6C1ED" w14:textId="77777777" w:rsidR="00592EBC" w:rsidRDefault="00612D38" w:rsidP="00C90ADF">
      <w:pPr>
        <w:pStyle w:val="BodyText"/>
      </w:pPr>
      <w:r>
        <w:t>T</w:t>
      </w:r>
      <w:r w:rsidR="000D1846">
        <w:t>he ‘Final Option’</w:t>
      </w:r>
      <w:r w:rsidR="000D1846" w:rsidRPr="000D1846">
        <w:t xml:space="preserve"> </w:t>
      </w:r>
      <w:r w:rsidR="000D1846">
        <w:t xml:space="preserve">determined in the Stage 4 Triple Bottom Line Assessment (TBLA) </w:t>
      </w:r>
      <w:r>
        <w:t>was</w:t>
      </w:r>
      <w:r w:rsidR="000D1846">
        <w:t xml:space="preserve"> </w:t>
      </w:r>
      <w:r w:rsidR="000D1846" w:rsidRPr="00592EBC">
        <w:rPr>
          <w:i/>
          <w:iCs/>
        </w:rPr>
        <w:t xml:space="preserve">Option 2 </w:t>
      </w:r>
      <w:r w:rsidRPr="00592EBC">
        <w:rPr>
          <w:i/>
          <w:iCs/>
        </w:rPr>
        <w:t>–</w:t>
      </w:r>
      <w:r w:rsidR="00AD0DA1" w:rsidRPr="00592EBC">
        <w:rPr>
          <w:i/>
          <w:iCs/>
        </w:rPr>
        <w:t xml:space="preserve"> </w:t>
      </w:r>
      <w:r w:rsidRPr="00592EBC">
        <w:rPr>
          <w:i/>
          <w:iCs/>
        </w:rPr>
        <w:t>‘</w:t>
      </w:r>
      <w:r w:rsidR="000D1846" w:rsidRPr="00592EBC">
        <w:rPr>
          <w:i/>
          <w:iCs/>
        </w:rPr>
        <w:t xml:space="preserve">Beneficial </w:t>
      </w:r>
      <w:r w:rsidR="00592EBC">
        <w:rPr>
          <w:i/>
          <w:iCs/>
        </w:rPr>
        <w:t>u</w:t>
      </w:r>
      <w:r w:rsidR="000D1846" w:rsidRPr="00592EBC">
        <w:rPr>
          <w:i/>
          <w:iCs/>
        </w:rPr>
        <w:t>se'</w:t>
      </w:r>
      <w:r w:rsidR="00592EBC" w:rsidRPr="00592EBC">
        <w:t>,</w:t>
      </w:r>
      <w:r w:rsidR="000D1846">
        <w:t xml:space="preserve"> </w:t>
      </w:r>
      <w:r>
        <w:t xml:space="preserve">which was the only option that </w:t>
      </w:r>
      <w:r w:rsidR="000D1846" w:rsidRPr="000D1846">
        <w:t>passe</w:t>
      </w:r>
      <w:r w:rsidR="000D1846">
        <w:t>d</w:t>
      </w:r>
      <w:r w:rsidR="000D1846" w:rsidRPr="000D1846">
        <w:t xml:space="preserve"> all 14 stage gate questions for </w:t>
      </w:r>
      <w:r w:rsidR="00592EBC">
        <w:t>the selected e</w:t>
      </w:r>
      <w:r w:rsidR="000D1846" w:rsidRPr="000D1846">
        <w:t xml:space="preserve">nvironment, </w:t>
      </w:r>
      <w:r w:rsidR="00592EBC">
        <w:t>s</w:t>
      </w:r>
      <w:r w:rsidR="000D1846" w:rsidRPr="000D1846">
        <w:t xml:space="preserve">ocial and </w:t>
      </w:r>
      <w:r w:rsidR="00592EBC">
        <w:t>e</w:t>
      </w:r>
      <w:r w:rsidR="000D1846" w:rsidRPr="000D1846">
        <w:t>conomic</w:t>
      </w:r>
      <w:r w:rsidR="000D1846">
        <w:t xml:space="preserve"> criteria.</w:t>
      </w:r>
      <w:r w:rsidR="00AD0DA1">
        <w:t xml:space="preserve"> </w:t>
      </w:r>
      <w:r w:rsidRPr="00592EBC">
        <w:rPr>
          <w:i/>
          <w:iCs/>
        </w:rPr>
        <w:t>Option 1</w:t>
      </w:r>
      <w:r w:rsidR="00592EBC" w:rsidRPr="00592EBC">
        <w:rPr>
          <w:i/>
          <w:iCs/>
        </w:rPr>
        <w:t xml:space="preserve"> – ‘Landform levee’</w:t>
      </w:r>
      <w:r>
        <w:t xml:space="preserve"> and </w:t>
      </w:r>
      <w:r w:rsidR="00592EBC" w:rsidRPr="00592EBC">
        <w:rPr>
          <w:i/>
          <w:iCs/>
        </w:rPr>
        <w:t xml:space="preserve">Option </w:t>
      </w:r>
      <w:r w:rsidRPr="00592EBC">
        <w:rPr>
          <w:i/>
          <w:iCs/>
        </w:rPr>
        <w:t>3</w:t>
      </w:r>
      <w:r w:rsidR="00592EBC" w:rsidRPr="00592EBC">
        <w:rPr>
          <w:i/>
          <w:iCs/>
        </w:rPr>
        <w:t xml:space="preserve"> – ‘Backfill to PMF’</w:t>
      </w:r>
      <w:r>
        <w:t xml:space="preserve"> </w:t>
      </w:r>
      <w:r w:rsidR="000D1846" w:rsidRPr="000D1846">
        <w:t>d</w:t>
      </w:r>
      <w:r>
        <w:t>id</w:t>
      </w:r>
      <w:r w:rsidR="000D1846" w:rsidRPr="000D1846">
        <w:t xml:space="preserve"> not pass the </w:t>
      </w:r>
      <w:r w:rsidR="00592EBC">
        <w:t>e</w:t>
      </w:r>
      <w:r w:rsidR="000D1846" w:rsidRPr="000D1846">
        <w:t xml:space="preserve">conomic and </w:t>
      </w:r>
      <w:r w:rsidR="00592EBC">
        <w:t>s</w:t>
      </w:r>
      <w:r w:rsidR="000D1846" w:rsidRPr="000D1846">
        <w:t xml:space="preserve">ocial </w:t>
      </w:r>
      <w:r>
        <w:t>criteria having</w:t>
      </w:r>
      <w:r w:rsidR="000D1846" w:rsidRPr="000D1846">
        <w:t xml:space="preserve"> significantly increased capital costs with limited additional benefits to environment, social or economic outcomes </w:t>
      </w:r>
      <w:r w:rsidR="00592EBC">
        <w:t>relative</w:t>
      </w:r>
      <w:r w:rsidR="000D1846" w:rsidRPr="000D1846">
        <w:t xml:space="preserve"> to </w:t>
      </w:r>
      <w:r w:rsidR="000D1846" w:rsidRPr="00592EBC">
        <w:rPr>
          <w:i/>
          <w:iCs/>
        </w:rPr>
        <w:t>Option 2</w:t>
      </w:r>
      <w:r w:rsidR="00592EBC">
        <w:t xml:space="preserve"> – </w:t>
      </w:r>
      <w:r w:rsidR="00592EBC" w:rsidRPr="00592EBC">
        <w:rPr>
          <w:i/>
          <w:iCs/>
        </w:rPr>
        <w:t>‘Beneficial use’</w:t>
      </w:r>
      <w:r w:rsidR="00334462">
        <w:t xml:space="preserve"> (Ensham, 2019</w:t>
      </w:r>
      <w:r w:rsidR="002A099B">
        <w:t>b</w:t>
      </w:r>
      <w:r w:rsidR="00334462">
        <w:t>)</w:t>
      </w:r>
      <w:r>
        <w:t>.</w:t>
      </w:r>
      <w:r w:rsidR="00334462">
        <w:t xml:space="preserve"> </w:t>
      </w:r>
    </w:p>
    <w:p w14:paraId="478153F4" w14:textId="3C2B22E3" w:rsidR="0022733D" w:rsidRDefault="00334462" w:rsidP="00C90ADF">
      <w:pPr>
        <w:pStyle w:val="BodyText"/>
      </w:pPr>
      <w:r>
        <w:t>Ensham (2019</w:t>
      </w:r>
      <w:r w:rsidR="002A099B">
        <w:t>b</w:t>
      </w:r>
      <w:r>
        <w:t>)</w:t>
      </w:r>
      <w:r w:rsidR="00B75BAF">
        <w:t xml:space="preserve"> documents </w:t>
      </w:r>
      <w:r w:rsidR="000D1846">
        <w:t xml:space="preserve">the outcomes of </w:t>
      </w:r>
      <w:r w:rsidR="00B75BAF">
        <w:t xml:space="preserve">Stage 5 of the RVP which provide details of how the selected </w:t>
      </w:r>
      <w:r>
        <w:t>‘</w:t>
      </w:r>
      <w:r w:rsidR="00B75BAF">
        <w:t>Final Option</w:t>
      </w:r>
      <w:r>
        <w:t>’</w:t>
      </w:r>
      <w:r w:rsidR="00B75BAF">
        <w:t xml:space="preserve"> </w:t>
      </w:r>
      <w:r>
        <w:t>(</w:t>
      </w:r>
      <w:r w:rsidRPr="00592EBC">
        <w:rPr>
          <w:i/>
          <w:iCs/>
        </w:rPr>
        <w:t>Option 2</w:t>
      </w:r>
      <w:r w:rsidR="00592EBC" w:rsidRPr="00592EBC">
        <w:rPr>
          <w:i/>
          <w:iCs/>
        </w:rPr>
        <w:t xml:space="preserve"> – ‘Beneficial use’</w:t>
      </w:r>
      <w:r>
        <w:t xml:space="preserve">) </w:t>
      </w:r>
      <w:r w:rsidR="00B75BAF">
        <w:t xml:space="preserve">will be implemented, managed and maintained for submission to the administering authority. </w:t>
      </w:r>
    </w:p>
    <w:p w14:paraId="79F58F5C" w14:textId="471C04A6" w:rsidR="00C90ADF" w:rsidRDefault="007F4DEC" w:rsidP="00C90ADF">
      <w:pPr>
        <w:pStyle w:val="BodyText"/>
      </w:pPr>
      <w:r>
        <w:t>Ensham (2019</w:t>
      </w:r>
      <w:r w:rsidR="002A099B">
        <w:t>b</w:t>
      </w:r>
      <w:r>
        <w:t>) also responds to Condition G24:</w:t>
      </w:r>
    </w:p>
    <w:p w14:paraId="1314C086" w14:textId="347950D0" w:rsidR="00C90ADF" w:rsidRPr="007F4DEC" w:rsidRDefault="00C90ADF" w:rsidP="007F4DEC">
      <w:pPr>
        <w:pStyle w:val="BodyText"/>
        <w:ind w:left="284"/>
        <w:rPr>
          <w:i/>
          <w:iCs/>
        </w:rPr>
      </w:pPr>
      <w:r w:rsidRPr="007F4DEC">
        <w:rPr>
          <w:i/>
          <w:iCs/>
        </w:rPr>
        <w:t>Prior to 31 March 2019 the environmental authority holder must submit an Environmental Authority amendment application to populate Appendix 4: Rehabilitation Success Criteria with rehabilitation success criteria for voids and residual void areas and volumes.</w:t>
      </w:r>
    </w:p>
    <w:p w14:paraId="1A1BEBDC" w14:textId="600829D2" w:rsidR="00B75BAF" w:rsidRDefault="007F4DEC" w:rsidP="00066412">
      <w:pPr>
        <w:pStyle w:val="BodyText"/>
      </w:pPr>
      <w:r>
        <w:t>The EA</w:t>
      </w:r>
      <w:r w:rsidR="00FA281D">
        <w:t xml:space="preserve"> </w:t>
      </w:r>
      <w:r>
        <w:t xml:space="preserve">Amendment Application </w:t>
      </w:r>
      <w:r w:rsidR="00592EBC">
        <w:t>(</w:t>
      </w:r>
      <w:r w:rsidR="00592EBC" w:rsidRPr="00592EBC">
        <w:t>EPML00732813</w:t>
      </w:r>
      <w:r w:rsidR="00592EBC">
        <w:t xml:space="preserve">) </w:t>
      </w:r>
      <w:r>
        <w:t xml:space="preserve">was approved on 19 March 2020. </w:t>
      </w:r>
      <w:r w:rsidR="00592EBC">
        <w:t>In 2021, t</w:t>
      </w:r>
      <w:r w:rsidR="00C90ADF">
        <w:t xml:space="preserve">he project </w:t>
      </w:r>
      <w:r w:rsidR="00592EBC">
        <w:t>will be</w:t>
      </w:r>
      <w:r w:rsidR="000C5D86">
        <w:t xml:space="preserve"> assessed for</w:t>
      </w:r>
      <w:r w:rsidR="00592EBC">
        <w:t xml:space="preserve"> </w:t>
      </w:r>
      <w:r w:rsidR="00C90ADF" w:rsidRPr="00C90ADF">
        <w:t>Federal approvals under the EPBC Act.</w:t>
      </w:r>
    </w:p>
    <w:p w14:paraId="0329CAB8" w14:textId="5B9F1784" w:rsidR="002E7306" w:rsidRDefault="002E7306" w:rsidP="00066412">
      <w:pPr>
        <w:pStyle w:val="BodyText"/>
      </w:pPr>
      <w:r w:rsidRPr="002E7306">
        <w:t xml:space="preserve">The following sections describe relevant information </w:t>
      </w:r>
      <w:r w:rsidR="00E8749F">
        <w:t>prepared</w:t>
      </w:r>
      <w:r w:rsidRPr="002E7306">
        <w:t xml:space="preserve"> by </w:t>
      </w:r>
      <w:r>
        <w:t xml:space="preserve">Ensham </w:t>
      </w:r>
      <w:r w:rsidRPr="002E7306">
        <w:t xml:space="preserve">to support the State </w:t>
      </w:r>
      <w:r>
        <w:t>EA Amendment Application (Ensham, 201</w:t>
      </w:r>
      <w:r w:rsidR="0022733D">
        <w:t>9a&amp;b</w:t>
      </w:r>
      <w:r>
        <w:t xml:space="preserve"> and </w:t>
      </w:r>
      <w:r w:rsidRPr="002E7306">
        <w:t>Umwelt</w:t>
      </w:r>
      <w:r>
        <w:t xml:space="preserve">, </w:t>
      </w:r>
      <w:r w:rsidRPr="002E7306">
        <w:t>2018a</w:t>
      </w:r>
      <w:r>
        <w:t>,b,c</w:t>
      </w:r>
      <w:r w:rsidRPr="002E7306">
        <w:t>).</w:t>
      </w:r>
    </w:p>
    <w:p w14:paraId="2ECD540F" w14:textId="67512A17" w:rsidR="00C12AD6" w:rsidRDefault="00C12AD6" w:rsidP="00C12AD6">
      <w:pPr>
        <w:pStyle w:val="Heading3"/>
      </w:pPr>
      <w:bookmarkStart w:id="266" w:name="_Toc87278368"/>
      <w:r>
        <w:t>Physical setting</w:t>
      </w:r>
      <w:bookmarkEnd w:id="266"/>
    </w:p>
    <w:p w14:paraId="2FC8B037" w14:textId="38101D58" w:rsidR="00C12AD6" w:rsidRDefault="00DA25C0" w:rsidP="00C12AD6">
      <w:pPr>
        <w:pStyle w:val="BodyText"/>
      </w:pPr>
      <w:r w:rsidRPr="00DA25C0">
        <w:t xml:space="preserve">The </w:t>
      </w:r>
      <w:r w:rsidR="00C8226F">
        <w:t xml:space="preserve">Ensham </w:t>
      </w:r>
      <w:r>
        <w:t>mine</w:t>
      </w:r>
      <w:r w:rsidRPr="00DA25C0">
        <w:t xml:space="preserve"> site</w:t>
      </w:r>
      <w:r>
        <w:t xml:space="preserve">, </w:t>
      </w:r>
      <w:r w:rsidRPr="00DA25C0">
        <w:t>located in Central Queensland</w:t>
      </w:r>
      <w:r w:rsidR="00BC7569">
        <w:t>,</w:t>
      </w:r>
      <w:r w:rsidRPr="00DA25C0">
        <w:t xml:space="preserve"> has a sub-tropical </w:t>
      </w:r>
      <w:r w:rsidR="00BC7569">
        <w:t xml:space="preserve">climate </w:t>
      </w:r>
      <w:r>
        <w:t xml:space="preserve">characterised by a </w:t>
      </w:r>
      <w:r w:rsidRPr="00DA25C0">
        <w:t>hot, moist summer and warm, dry winter.</w:t>
      </w:r>
    </w:p>
    <w:p w14:paraId="32D299DB" w14:textId="6F3E5ED6" w:rsidR="008F0852" w:rsidRDefault="00DA25C0" w:rsidP="008F0852">
      <w:pPr>
        <w:pStyle w:val="BodyText"/>
      </w:pPr>
      <w:r>
        <w:t xml:space="preserve">The </w:t>
      </w:r>
      <w:r w:rsidR="007E35D5">
        <w:t>project area (defin</w:t>
      </w:r>
      <w:r w:rsidR="00BC7569">
        <w:t>ed</w:t>
      </w:r>
      <w:r w:rsidR="007E35D5">
        <w:t xml:space="preserve"> by the extent of the mining leases)</w:t>
      </w:r>
      <w:r w:rsidR="00C559AA">
        <w:t xml:space="preserve"> is situated within both the Nogoa River </w:t>
      </w:r>
      <w:r w:rsidR="00BC7569">
        <w:t>s</w:t>
      </w:r>
      <w:r w:rsidR="00C559AA">
        <w:t xml:space="preserve">ub-basin and the Comet River </w:t>
      </w:r>
      <w:r w:rsidR="00BC7569">
        <w:t>s</w:t>
      </w:r>
      <w:r w:rsidR="00C559AA">
        <w:t>ub-basin of the Fitzroy Basin, within</w:t>
      </w:r>
      <w:r>
        <w:t xml:space="preserve"> a landscape </w:t>
      </w:r>
      <w:r w:rsidR="00C559AA">
        <w:t>of</w:t>
      </w:r>
      <w:r>
        <w:t xml:space="preserve"> alluvial floodplains and rolling hills, with Tertiary</w:t>
      </w:r>
      <w:r w:rsidR="004C52BE">
        <w:t>-aged</w:t>
      </w:r>
      <w:r>
        <w:t xml:space="preserve"> plateaus situated in the north. The Nogoa River and its anabranch flow through the </w:t>
      </w:r>
      <w:r w:rsidR="007E35D5">
        <w:t>project area</w:t>
      </w:r>
      <w:r w:rsidR="00C8226F">
        <w:t xml:space="preserve"> </w:t>
      </w:r>
      <w:r>
        <w:t>in a south-easterly direction.</w:t>
      </w:r>
      <w:r w:rsidR="007E35D5">
        <w:t xml:space="preserve"> The Nogoa River is naturally ephemeral but generally has constant low flows due to controlled water supply releases from Fairbairn Dam,</w:t>
      </w:r>
      <w:r w:rsidR="00BC7569">
        <w:t xml:space="preserve"> </w:t>
      </w:r>
      <w:r w:rsidR="007E35D5">
        <w:t>located approximately 60 km upstream of the project area.</w:t>
      </w:r>
      <w:r w:rsidR="00757F23">
        <w:t xml:space="preserve"> </w:t>
      </w:r>
      <w:r w:rsidR="008F0852">
        <w:t xml:space="preserve">The Nogoa River floodplain in the vicinity of the mine has several overland flow channels, some of which are fed from breakout flows of the river further upstream during periods of high flow. Several ephemeral creeks are present in the area. </w:t>
      </w:r>
      <w:r w:rsidR="00757F23">
        <w:t>Approximately 10 km downstream of the mine the Nogoa and Comet Rivers meet to form the Mackenzie River.</w:t>
      </w:r>
    </w:p>
    <w:p w14:paraId="17BB8611" w14:textId="193761D3" w:rsidR="005334D7" w:rsidRDefault="005334D7" w:rsidP="007E35D5">
      <w:pPr>
        <w:pStyle w:val="BodyText"/>
      </w:pPr>
      <w:r>
        <w:t xml:space="preserve">The </w:t>
      </w:r>
      <w:r w:rsidR="001A29AE">
        <w:t xml:space="preserve">project area, located in the Bowen Basin, has the following </w:t>
      </w:r>
      <w:r>
        <w:t>stratigraphy</w:t>
      </w:r>
      <w:r w:rsidR="004C52BE">
        <w:t xml:space="preserve"> (youngest to oldest)</w:t>
      </w:r>
      <w:r>
        <w:t xml:space="preserve"> (Ensham, 2019</w:t>
      </w:r>
      <w:r w:rsidR="0022733D">
        <w:t>b</w:t>
      </w:r>
      <w:r>
        <w:t>):</w:t>
      </w:r>
    </w:p>
    <w:p w14:paraId="776AF946" w14:textId="794C0DB2" w:rsidR="005334D7" w:rsidRDefault="005334D7" w:rsidP="001628AA">
      <w:pPr>
        <w:pStyle w:val="BodyText"/>
        <w:numPr>
          <w:ilvl w:val="0"/>
          <w:numId w:val="70"/>
        </w:numPr>
        <w:spacing w:before="80" w:after="80"/>
      </w:pPr>
      <w:r>
        <w:t xml:space="preserve">Quaternary </w:t>
      </w:r>
      <w:r w:rsidR="005E6C42">
        <w:t>a</w:t>
      </w:r>
      <w:r>
        <w:t>lluvium – silt, clay, sand and gravel.</w:t>
      </w:r>
    </w:p>
    <w:p w14:paraId="6C0EBAF4" w14:textId="13230E3B" w:rsidR="005334D7" w:rsidRDefault="005334D7" w:rsidP="001628AA">
      <w:pPr>
        <w:pStyle w:val="BodyText"/>
        <w:numPr>
          <w:ilvl w:val="0"/>
          <w:numId w:val="70"/>
        </w:numPr>
        <w:spacing w:before="80" w:after="80"/>
      </w:pPr>
      <w:r>
        <w:t>Tertiary (Emerald Formation) - m</w:t>
      </w:r>
      <w:r w:rsidRPr="005334D7">
        <w:t>udstone, sandstone, conglomerate, siltstone sediments, weekly consolidated in parts.</w:t>
      </w:r>
    </w:p>
    <w:p w14:paraId="42E5B511" w14:textId="34FACD7E" w:rsidR="005334D7" w:rsidRDefault="005334D7" w:rsidP="001628AA">
      <w:pPr>
        <w:pStyle w:val="BodyText"/>
        <w:numPr>
          <w:ilvl w:val="0"/>
          <w:numId w:val="70"/>
        </w:numPr>
        <w:spacing w:before="80" w:after="80"/>
      </w:pPr>
      <w:r>
        <w:t xml:space="preserve">Triassic (Rewan Group) - </w:t>
      </w:r>
      <w:r w:rsidRPr="005334D7">
        <w:t>Mudstone with lithic sandstone interbeds</w:t>
      </w:r>
      <w:r>
        <w:t>.</w:t>
      </w:r>
    </w:p>
    <w:p w14:paraId="14AA319F" w14:textId="52AB9AC7" w:rsidR="005334D7" w:rsidRDefault="005334D7" w:rsidP="001628AA">
      <w:pPr>
        <w:pStyle w:val="BodyText"/>
        <w:numPr>
          <w:ilvl w:val="0"/>
          <w:numId w:val="70"/>
        </w:numPr>
        <w:spacing w:before="80" w:after="80"/>
      </w:pPr>
      <w:r>
        <w:t>Permian (</w:t>
      </w:r>
      <w:r w:rsidRPr="005334D7">
        <w:t>Rangal Coal Measures</w:t>
      </w:r>
      <w:r>
        <w:t xml:space="preserve">) - </w:t>
      </w:r>
      <w:r w:rsidRPr="005334D7">
        <w:t xml:space="preserve">Feldspathic and lithic sandstone, carbonaceous mudstone, siltstone, tuff and coal seams. </w:t>
      </w:r>
      <w:r>
        <w:t>The c</w:t>
      </w:r>
      <w:r w:rsidRPr="005334D7">
        <w:t>oal seams include the Aries, Castor, Pollux and Orion seams</w:t>
      </w:r>
      <w:r>
        <w:t xml:space="preserve"> with t</w:t>
      </w:r>
      <w:r w:rsidRPr="005334D7">
        <w:t xml:space="preserve">he main economic seams at Ensham </w:t>
      </w:r>
      <w:r>
        <w:t xml:space="preserve">being </w:t>
      </w:r>
      <w:r w:rsidRPr="005334D7">
        <w:t>the Aries 2 and Castor seams.</w:t>
      </w:r>
      <w:r>
        <w:t xml:space="preserve"> Underlying the Rangal Coal Measures is the Burngrove Formation, Fair Hill Formation and Macmillan Formation. </w:t>
      </w:r>
    </w:p>
    <w:p w14:paraId="5EA32EBA" w14:textId="76DD29A3" w:rsidR="005334D7" w:rsidRDefault="005334D7" w:rsidP="005334D7">
      <w:pPr>
        <w:pStyle w:val="BodyText"/>
      </w:pPr>
      <w:r>
        <w:lastRenderedPageBreak/>
        <w:t>The principal groundwater</w:t>
      </w:r>
      <w:r w:rsidR="004C52BE">
        <w:t>-</w:t>
      </w:r>
      <w:r>
        <w:t xml:space="preserve">bearing strata within the project area is associated with the Permian coal seams (Rangal Coal Measures) and the Quaternary alluvium, with the siltstones and sandstones that make up the majority of the overburden largely found to have low permeability. </w:t>
      </w:r>
    </w:p>
    <w:p w14:paraId="3544739B" w14:textId="4C71D4DF" w:rsidR="005334D7" w:rsidRDefault="005334D7" w:rsidP="005334D7">
      <w:pPr>
        <w:pStyle w:val="BodyText"/>
      </w:pPr>
      <w:r>
        <w:t xml:space="preserve">Shallow silts and clays are anticipated to be partially isolating the Nogoa River, limiting leakage from the river into the basal sands and gravels. It is possible that leakage may occur </w:t>
      </w:r>
      <w:r w:rsidR="005E6C42">
        <w:t xml:space="preserve">in isolated areas </w:t>
      </w:r>
      <w:r>
        <w:t>where these clays are absent or where the basal sands are exposed within the river. Th</w:t>
      </w:r>
      <w:r w:rsidR="005E6C42">
        <w:t>e</w:t>
      </w:r>
      <w:r>
        <w:t xml:space="preserve"> hydraulic separation of the alluvium from the Nogoa River means that whilst the water in the river is fresh, the underlying alluvium can be naturally brackish to highly saline</w:t>
      </w:r>
      <w:r w:rsidR="005E6C42">
        <w:t>.</w:t>
      </w:r>
    </w:p>
    <w:p w14:paraId="070C89B1" w14:textId="27C77D46" w:rsidR="005E6C42" w:rsidRDefault="005334D7" w:rsidP="005334D7">
      <w:pPr>
        <w:pStyle w:val="BodyText"/>
      </w:pPr>
      <w:r>
        <w:t xml:space="preserve">The alluvium </w:t>
      </w:r>
      <w:r w:rsidR="00757F23">
        <w:t xml:space="preserve">is </w:t>
      </w:r>
      <w:r>
        <w:t>considered as a largely unconfined system recharged by rainfall, irrigation campaigns and upward leakage from the underlying Rewan Group or Rangal Coal Measures. The alluvium may also receive localised baseflow recharge from the Nogoa River, where clay and silt layers are absent.</w:t>
      </w:r>
    </w:p>
    <w:p w14:paraId="3ACF7D37" w14:textId="00B4CCF1" w:rsidR="005E6C42" w:rsidRDefault="005E6C42" w:rsidP="005334D7">
      <w:pPr>
        <w:pStyle w:val="BodyText"/>
      </w:pPr>
      <w:r>
        <w:t>G</w:t>
      </w:r>
      <w:r w:rsidRPr="005E6C42">
        <w:t xml:space="preserve">roundwater </w:t>
      </w:r>
      <w:r>
        <w:t xml:space="preserve">within the </w:t>
      </w:r>
      <w:r w:rsidRPr="005E6C42">
        <w:t xml:space="preserve">Quaternary alluvium </w:t>
      </w:r>
      <w:r>
        <w:t>is subject to</w:t>
      </w:r>
      <w:r w:rsidRPr="005E6C42">
        <w:t xml:space="preserve"> seasonal effects of dilution from rainfall and flow events in the river and evaporation and concentrative effects during the dry season</w:t>
      </w:r>
      <w:r>
        <w:t xml:space="preserve">, and consequently can exhibit a wider </w:t>
      </w:r>
      <w:r w:rsidR="00757F23">
        <w:t xml:space="preserve">range of </w:t>
      </w:r>
      <w:r>
        <w:t xml:space="preserve">salinity than groundwater sourced from the Permian units. The average EC values </w:t>
      </w:r>
      <w:r w:rsidR="00757F23">
        <w:t xml:space="preserve">recorded </w:t>
      </w:r>
      <w:r>
        <w:t xml:space="preserve">in 2017 for groundwater sampled from the Quaternary alluvium was approximately 14,000 </w:t>
      </w:r>
      <w:r w:rsidRPr="00C920E1">
        <w:t>μS/cm</w:t>
      </w:r>
      <w:r w:rsidR="00757F23">
        <w:t>,</w:t>
      </w:r>
      <w:r>
        <w:t xml:space="preserve"> and from the Permian units approximately 7,000 </w:t>
      </w:r>
      <w:r w:rsidRPr="00C920E1">
        <w:t>μS/cm</w:t>
      </w:r>
      <w:r>
        <w:t>.</w:t>
      </w:r>
    </w:p>
    <w:p w14:paraId="4C2B7D15" w14:textId="1D93580A" w:rsidR="001C7FDA" w:rsidRDefault="001C7FDA" w:rsidP="001C7FDA">
      <w:pPr>
        <w:pStyle w:val="BodyText"/>
      </w:pPr>
      <w:r>
        <w:t xml:space="preserve">Water quality monitoring of </w:t>
      </w:r>
      <w:r w:rsidR="00C96CE0">
        <w:t xml:space="preserve">fresh water and/or mine affected water </w:t>
      </w:r>
      <w:r>
        <w:t>that discharges to, or is stored in</w:t>
      </w:r>
      <w:r w:rsidR="004C52BE">
        <w:t>,</w:t>
      </w:r>
      <w:r>
        <w:t xml:space="preserve"> the current open pits may be collected as part of Ensham’s compliance monitoring or environmental management commitments; however, this data is not publicly accessible. </w:t>
      </w:r>
    </w:p>
    <w:p w14:paraId="69DC79DD" w14:textId="252F496B" w:rsidR="000C7472" w:rsidRDefault="000C7472" w:rsidP="000C7472">
      <w:pPr>
        <w:spacing w:before="200"/>
        <w:rPr>
          <w:szCs w:val="22"/>
        </w:rPr>
      </w:pPr>
      <w:r w:rsidRPr="00A10769">
        <w:rPr>
          <w:szCs w:val="22"/>
        </w:rPr>
        <w:t xml:space="preserve">The </w:t>
      </w:r>
      <w:r>
        <w:rPr>
          <w:szCs w:val="22"/>
        </w:rPr>
        <w:t>p</w:t>
      </w:r>
      <w:r w:rsidRPr="00A10769">
        <w:rPr>
          <w:szCs w:val="22"/>
        </w:rPr>
        <w:t xml:space="preserve">roject </w:t>
      </w:r>
      <w:r>
        <w:rPr>
          <w:szCs w:val="22"/>
        </w:rPr>
        <w:t xml:space="preserve">area </w:t>
      </w:r>
      <w:r w:rsidRPr="00A10769">
        <w:rPr>
          <w:szCs w:val="22"/>
        </w:rPr>
        <w:t>is situated within the Brigalow Belt North</w:t>
      </w:r>
      <w:r>
        <w:rPr>
          <w:szCs w:val="22"/>
        </w:rPr>
        <w:t xml:space="preserve"> bioregion within the Nogoa floodplain, between two important agricultural areas</w:t>
      </w:r>
      <w:r w:rsidR="001A52A3">
        <w:rPr>
          <w:szCs w:val="22"/>
        </w:rPr>
        <w:t>:</w:t>
      </w:r>
      <w:r>
        <w:rPr>
          <w:szCs w:val="22"/>
        </w:rPr>
        <w:t xml:space="preserve"> Golden Mile and Central Highlands, both of which are known for high quality soils for grazing and cropping. Land within the project area has been predominantly cleared for agricultural purposes. Remnant vegetation typically remains along the Nogoa River and associated tributaries or in steeper, less agriculturally productive lands. </w:t>
      </w:r>
    </w:p>
    <w:p w14:paraId="4A3BFB49" w14:textId="761EA8AD" w:rsidR="000C7472" w:rsidRDefault="000C7472" w:rsidP="000C7472">
      <w:pPr>
        <w:pStyle w:val="BodyText"/>
      </w:pPr>
      <w:r>
        <w:t>Significant vegetation communities identified within the project area include:</w:t>
      </w:r>
    </w:p>
    <w:p w14:paraId="7A23FDDA" w14:textId="39155E06" w:rsidR="000C7472" w:rsidRPr="00E87F06" w:rsidRDefault="000C7472" w:rsidP="001628AA">
      <w:pPr>
        <w:pStyle w:val="BodyText"/>
        <w:numPr>
          <w:ilvl w:val="0"/>
          <w:numId w:val="77"/>
        </w:numPr>
        <w:spacing w:before="80" w:after="80"/>
      </w:pPr>
      <w:r w:rsidRPr="00E87F06">
        <w:rPr>
          <w:i/>
        </w:rPr>
        <w:t>Acacia harpophylla</w:t>
      </w:r>
      <w:r w:rsidRPr="00E87F06">
        <w:t xml:space="preserve"> and/or </w:t>
      </w:r>
      <w:r w:rsidRPr="00E87F06">
        <w:rPr>
          <w:i/>
        </w:rPr>
        <w:t>Casuarina cristata</w:t>
      </w:r>
      <w:r w:rsidRPr="00E87F06">
        <w:t xml:space="preserve"> open forest on alluvial plain (RE 11.3.1)</w:t>
      </w:r>
      <w:r>
        <w:t>.</w:t>
      </w:r>
    </w:p>
    <w:p w14:paraId="51CE8855" w14:textId="3C080F22" w:rsidR="000C7472" w:rsidRPr="00E87F06" w:rsidRDefault="000C7472" w:rsidP="001628AA">
      <w:pPr>
        <w:pStyle w:val="BodyText"/>
        <w:numPr>
          <w:ilvl w:val="0"/>
          <w:numId w:val="77"/>
        </w:numPr>
        <w:spacing w:before="80" w:after="80"/>
      </w:pPr>
      <w:r w:rsidRPr="00E87F06">
        <w:rPr>
          <w:i/>
        </w:rPr>
        <w:t>Eucalyptus tereticornis</w:t>
      </w:r>
      <w:r w:rsidRPr="00E87F06">
        <w:t xml:space="preserve"> or </w:t>
      </w:r>
      <w:r w:rsidRPr="00E87F06">
        <w:rPr>
          <w:i/>
        </w:rPr>
        <w:t>E. camaldulensis</w:t>
      </w:r>
      <w:r w:rsidRPr="00E87F06">
        <w:t xml:space="preserve"> woodland fringing drainage lines (RE 11.3.25)</w:t>
      </w:r>
      <w:r>
        <w:t>.</w:t>
      </w:r>
    </w:p>
    <w:p w14:paraId="7B5113B2" w14:textId="5190988B" w:rsidR="000C7472" w:rsidRPr="00E87F06" w:rsidRDefault="000C7472" w:rsidP="001628AA">
      <w:pPr>
        <w:pStyle w:val="BodyText"/>
        <w:numPr>
          <w:ilvl w:val="0"/>
          <w:numId w:val="77"/>
        </w:numPr>
        <w:spacing w:before="80" w:after="80"/>
      </w:pPr>
      <w:r w:rsidRPr="00E87F06">
        <w:rPr>
          <w:i/>
        </w:rPr>
        <w:t>Eucalyptus coolabah</w:t>
      </w:r>
      <w:r w:rsidRPr="00E87F06">
        <w:t xml:space="preserve"> woodland on alluvial plains (RE 11.3.3)</w:t>
      </w:r>
      <w:r>
        <w:t>.</w:t>
      </w:r>
    </w:p>
    <w:p w14:paraId="706D864D" w14:textId="330E9CED" w:rsidR="000C7472" w:rsidRPr="00E87F06" w:rsidRDefault="000C7472" w:rsidP="001628AA">
      <w:pPr>
        <w:pStyle w:val="BodyText"/>
        <w:numPr>
          <w:ilvl w:val="0"/>
          <w:numId w:val="77"/>
        </w:numPr>
        <w:spacing w:before="80" w:after="80"/>
      </w:pPr>
      <w:r w:rsidRPr="00E87F06">
        <w:rPr>
          <w:i/>
        </w:rPr>
        <w:t>Eucalyptus cambageana</w:t>
      </w:r>
      <w:r w:rsidRPr="00E87F06">
        <w:t xml:space="preserve"> woodland to open forest with </w:t>
      </w:r>
      <w:r w:rsidRPr="00E87F06">
        <w:rPr>
          <w:i/>
        </w:rPr>
        <w:t>Acacia harpophylla</w:t>
      </w:r>
      <w:r w:rsidRPr="00E87F06">
        <w:t xml:space="preserve"> or </w:t>
      </w:r>
      <w:r w:rsidRPr="00E87F06">
        <w:rPr>
          <w:i/>
        </w:rPr>
        <w:t>A</w:t>
      </w:r>
      <w:r w:rsidRPr="00E87F06">
        <w:t xml:space="preserve">. </w:t>
      </w:r>
      <w:r w:rsidRPr="00E87F06">
        <w:rPr>
          <w:i/>
        </w:rPr>
        <w:t>argyrodendron</w:t>
      </w:r>
      <w:r w:rsidRPr="00E87F06">
        <w:t xml:space="preserve"> on Cainozoic clay plains (RE 11.4.8)</w:t>
      </w:r>
      <w:r>
        <w:t>.</w:t>
      </w:r>
    </w:p>
    <w:p w14:paraId="34C634E1" w14:textId="45FF043B" w:rsidR="000C7472" w:rsidRPr="00E87F06" w:rsidRDefault="000C7472" w:rsidP="001628AA">
      <w:pPr>
        <w:pStyle w:val="BodyText"/>
        <w:numPr>
          <w:ilvl w:val="0"/>
          <w:numId w:val="77"/>
        </w:numPr>
        <w:spacing w:before="80" w:after="80"/>
      </w:pPr>
      <w:r w:rsidRPr="00E87F06">
        <w:rPr>
          <w:i/>
        </w:rPr>
        <w:t>Acacia harpophylla</w:t>
      </w:r>
      <w:r w:rsidRPr="00E87F06">
        <w:t xml:space="preserve"> and/or </w:t>
      </w:r>
      <w:r w:rsidRPr="00E87F06">
        <w:rPr>
          <w:i/>
        </w:rPr>
        <w:t>Casuarina cristata</w:t>
      </w:r>
      <w:r w:rsidRPr="00E87F06">
        <w:t xml:space="preserve"> and </w:t>
      </w:r>
      <w:r w:rsidRPr="00E87F06">
        <w:rPr>
          <w:i/>
        </w:rPr>
        <w:t>Eucalyptus thozetiana</w:t>
      </w:r>
      <w:r w:rsidRPr="00E87F06">
        <w:t xml:space="preserve"> or </w:t>
      </w:r>
      <w:r w:rsidRPr="00E87F06">
        <w:rPr>
          <w:i/>
        </w:rPr>
        <w:t>E. microcarpa</w:t>
      </w:r>
      <w:r w:rsidRPr="00E87F06">
        <w:t xml:space="preserve"> woodland on lower scarp slopes on Cainozoic lateritic duricrust (RE 11.7.1)</w:t>
      </w:r>
      <w:r>
        <w:t>.</w:t>
      </w:r>
    </w:p>
    <w:p w14:paraId="32E76DC9" w14:textId="6DA874F9" w:rsidR="000C7472" w:rsidRPr="00A6150D" w:rsidRDefault="000C7472" w:rsidP="001628AA">
      <w:pPr>
        <w:pStyle w:val="BodyText"/>
        <w:numPr>
          <w:ilvl w:val="0"/>
          <w:numId w:val="77"/>
        </w:numPr>
        <w:spacing w:before="80" w:after="80"/>
      </w:pPr>
      <w:r w:rsidRPr="00E87F06">
        <w:rPr>
          <w:i/>
        </w:rPr>
        <w:t>Acacia</w:t>
      </w:r>
      <w:r w:rsidRPr="00E87F06">
        <w:t xml:space="preserve"> spp. woodland on Cainozoic lateritic duricrust. Scarp retreat zone (RE 11.7.2)</w:t>
      </w:r>
      <w:r>
        <w:t>.</w:t>
      </w:r>
    </w:p>
    <w:p w14:paraId="6DD7E527" w14:textId="6E39502C" w:rsidR="00C12AD6" w:rsidRDefault="00C12AD6" w:rsidP="00C12AD6">
      <w:pPr>
        <w:pStyle w:val="Heading3"/>
      </w:pPr>
      <w:bookmarkStart w:id="267" w:name="_Ref58925637"/>
      <w:bookmarkStart w:id="268" w:name="_Toc87278369"/>
      <w:r>
        <w:t>Proposed design of residual voids</w:t>
      </w:r>
      <w:bookmarkEnd w:id="267"/>
      <w:bookmarkEnd w:id="268"/>
    </w:p>
    <w:p w14:paraId="1E7FE1B5" w14:textId="605B8075" w:rsidR="00FA281D" w:rsidRDefault="00FA281D" w:rsidP="00C8226F">
      <w:pPr>
        <w:pStyle w:val="BodyText"/>
      </w:pPr>
      <w:r w:rsidRPr="00FA281D">
        <w:t xml:space="preserve">The EA </w:t>
      </w:r>
      <w:r>
        <w:t>(</w:t>
      </w:r>
      <w:r w:rsidRPr="00FA281D">
        <w:t>EPML00732813</w:t>
      </w:r>
      <w:r>
        <w:t>)</w:t>
      </w:r>
      <w:r w:rsidRPr="00FA281D">
        <w:t xml:space="preserve"> covers seven mining leases (ML7459, ML7460, ML70049, ML70326, ML70365, ML70366 and ML70367)</w:t>
      </w:r>
      <w:r>
        <w:t>, with t</w:t>
      </w:r>
      <w:r w:rsidRPr="00FA281D">
        <w:t>he underground bord and pillar operation located on ML7459 and ML70365</w:t>
      </w:r>
      <w:r>
        <w:t>.</w:t>
      </w:r>
    </w:p>
    <w:p w14:paraId="591F1CAA" w14:textId="2D2EA3D6" w:rsidR="00EB43C7" w:rsidRDefault="00C8226F" w:rsidP="00C8226F">
      <w:pPr>
        <w:pStyle w:val="BodyText"/>
      </w:pPr>
      <w:r w:rsidRPr="00C8226F">
        <w:t xml:space="preserve">Ensham </w:t>
      </w:r>
      <w:r w:rsidR="00691D70">
        <w:t xml:space="preserve">comprises the following </w:t>
      </w:r>
      <w:r w:rsidRPr="00C8226F">
        <w:t>open-cut</w:t>
      </w:r>
      <w:r w:rsidR="00691D70">
        <w:t>s</w:t>
      </w:r>
      <w:r w:rsidR="00EB43C7">
        <w:t xml:space="preserve"> (</w:t>
      </w:r>
      <w:r w:rsidR="007872BA">
        <w:fldChar w:fldCharType="begin"/>
      </w:r>
      <w:r w:rsidR="007872BA">
        <w:instrText xml:space="preserve"> REF _Ref58852863 \h </w:instrText>
      </w:r>
      <w:r w:rsidR="007872BA">
        <w:fldChar w:fldCharType="separate"/>
      </w:r>
      <w:r w:rsidR="00937ADD">
        <w:t xml:space="preserve">Figure </w:t>
      </w:r>
      <w:r w:rsidR="00937ADD">
        <w:rPr>
          <w:noProof/>
        </w:rPr>
        <w:t>5</w:t>
      </w:r>
      <w:r w:rsidR="00937ADD">
        <w:noBreakHyphen/>
      </w:r>
      <w:r w:rsidR="00937ADD">
        <w:rPr>
          <w:noProof/>
        </w:rPr>
        <w:t>6</w:t>
      </w:r>
      <w:r w:rsidR="007872BA">
        <w:fldChar w:fldCharType="end"/>
      </w:r>
      <w:r w:rsidR="007872BA">
        <w:t>)</w:t>
      </w:r>
      <w:r w:rsidR="004D627C">
        <w:t xml:space="preserve"> (Ensham, 2019b)</w:t>
      </w:r>
      <w:r w:rsidR="004C52BE">
        <w:t>.</w:t>
      </w:r>
    </w:p>
    <w:p w14:paraId="1BBD998A" w14:textId="4C3ABEE6" w:rsidR="00EB43C7" w:rsidRDefault="00C8226F" w:rsidP="001628AA">
      <w:pPr>
        <w:pStyle w:val="BodyText"/>
        <w:numPr>
          <w:ilvl w:val="0"/>
          <w:numId w:val="71"/>
        </w:numPr>
        <w:spacing w:before="80" w:after="80"/>
      </w:pPr>
      <w:r w:rsidRPr="00C8226F">
        <w:t>A Pit South</w:t>
      </w:r>
      <w:r w:rsidR="00EB43C7">
        <w:t xml:space="preserve">, </w:t>
      </w:r>
      <w:r w:rsidRPr="00C8226F">
        <w:t>A Pit Central and A Pit North</w:t>
      </w:r>
      <w:r w:rsidR="004D627C">
        <w:t>.</w:t>
      </w:r>
    </w:p>
    <w:p w14:paraId="3A48EC4C" w14:textId="05A0B46F" w:rsidR="00EB43C7" w:rsidRDefault="00C8226F" w:rsidP="001628AA">
      <w:pPr>
        <w:pStyle w:val="BodyText"/>
        <w:numPr>
          <w:ilvl w:val="0"/>
          <w:numId w:val="71"/>
        </w:numPr>
        <w:spacing w:before="80" w:after="80"/>
      </w:pPr>
      <w:r w:rsidRPr="00C8226F">
        <w:t>B Pit</w:t>
      </w:r>
      <w:r w:rsidR="004D627C">
        <w:t>.</w:t>
      </w:r>
    </w:p>
    <w:p w14:paraId="6E351DD2" w14:textId="670A4CC9" w:rsidR="00EB43C7" w:rsidRDefault="00C8226F" w:rsidP="001628AA">
      <w:pPr>
        <w:pStyle w:val="BodyText"/>
        <w:numPr>
          <w:ilvl w:val="0"/>
          <w:numId w:val="71"/>
        </w:numPr>
        <w:spacing w:before="80" w:after="80"/>
      </w:pPr>
      <w:r w:rsidRPr="00C8226F">
        <w:t>C Pit</w:t>
      </w:r>
      <w:r w:rsidR="004D627C">
        <w:t>.</w:t>
      </w:r>
    </w:p>
    <w:p w14:paraId="476C9143" w14:textId="22561AA5" w:rsidR="00EB43C7" w:rsidRDefault="00C8226F" w:rsidP="001628AA">
      <w:pPr>
        <w:pStyle w:val="BodyText"/>
        <w:numPr>
          <w:ilvl w:val="0"/>
          <w:numId w:val="71"/>
        </w:numPr>
        <w:spacing w:before="80" w:after="80"/>
      </w:pPr>
      <w:r w:rsidRPr="00C8226F">
        <w:t>D Pit</w:t>
      </w:r>
      <w:r w:rsidR="004D627C">
        <w:t>.</w:t>
      </w:r>
    </w:p>
    <w:p w14:paraId="42FE1E7F" w14:textId="5F31F642" w:rsidR="00EB43C7" w:rsidRDefault="00C8226F" w:rsidP="001628AA">
      <w:pPr>
        <w:pStyle w:val="BodyText"/>
        <w:numPr>
          <w:ilvl w:val="0"/>
          <w:numId w:val="71"/>
        </w:numPr>
        <w:spacing w:before="80" w:after="80"/>
      </w:pPr>
      <w:r w:rsidRPr="00C8226F">
        <w:t>E Pit</w:t>
      </w:r>
      <w:r w:rsidR="004D627C">
        <w:t>.</w:t>
      </w:r>
    </w:p>
    <w:p w14:paraId="45C576B2" w14:textId="689D3BAC" w:rsidR="00EB43C7" w:rsidRDefault="00C8226F" w:rsidP="001628AA">
      <w:pPr>
        <w:pStyle w:val="BodyText"/>
        <w:numPr>
          <w:ilvl w:val="0"/>
          <w:numId w:val="71"/>
        </w:numPr>
        <w:spacing w:before="80" w:after="80"/>
      </w:pPr>
      <w:r w:rsidRPr="00C8226F">
        <w:t>F Pit South and F Pit North</w:t>
      </w:r>
      <w:r w:rsidR="004D627C">
        <w:t>.</w:t>
      </w:r>
    </w:p>
    <w:p w14:paraId="5183BE04" w14:textId="5F24B1EB" w:rsidR="00EB43C7" w:rsidRDefault="00C8226F" w:rsidP="001628AA">
      <w:pPr>
        <w:pStyle w:val="BodyText"/>
        <w:numPr>
          <w:ilvl w:val="0"/>
          <w:numId w:val="71"/>
        </w:numPr>
        <w:spacing w:before="80" w:after="80"/>
      </w:pPr>
      <w:r w:rsidRPr="00C8226F">
        <w:t>Y Pit South</w:t>
      </w:r>
      <w:r w:rsidR="00EB43C7">
        <w:t xml:space="preserve">, </w:t>
      </w:r>
      <w:r w:rsidRPr="00C8226F">
        <w:t xml:space="preserve">Y </w:t>
      </w:r>
      <w:r w:rsidR="008C4A8E">
        <w:t>Pi</w:t>
      </w:r>
      <w:r w:rsidRPr="00C8226F">
        <w:t xml:space="preserve">t Central and Y Pit North. </w:t>
      </w:r>
    </w:p>
    <w:p w14:paraId="0F945A7E" w14:textId="35D5076D" w:rsidR="008C4A8E" w:rsidRDefault="008C4A8E" w:rsidP="008C4A8E">
      <w:pPr>
        <w:pStyle w:val="BodyText"/>
      </w:pPr>
      <w:r>
        <w:lastRenderedPageBreak/>
        <w:t>Parts of A Pit and B Pit lie south of the Nogoa River within the floodplain and are protected by 1 in 1000</w:t>
      </w:r>
      <w:r w:rsidR="007858BB">
        <w:t>-</w:t>
      </w:r>
      <w:r>
        <w:t>year A</w:t>
      </w:r>
      <w:r w:rsidR="007858BB">
        <w:t xml:space="preserve">verage </w:t>
      </w:r>
      <w:r>
        <w:t>R</w:t>
      </w:r>
      <w:r w:rsidR="007858BB">
        <w:t xml:space="preserve">ecurrence </w:t>
      </w:r>
      <w:r>
        <w:t>I</w:t>
      </w:r>
      <w:r w:rsidR="007858BB">
        <w:t>nterval (ARI)</w:t>
      </w:r>
      <w:r>
        <w:t xml:space="preserve"> </w:t>
      </w:r>
      <w:r w:rsidR="007858BB">
        <w:t xml:space="preserve">(0.1% AEP) </w:t>
      </w:r>
      <w:r>
        <w:t xml:space="preserve">levees. C Pit to Y Pit lie to the north of the Nogoa River. Parts of C Pit and D Pit are located within the floodplain and are protected by </w:t>
      </w:r>
      <w:r w:rsidR="007858BB">
        <w:t>0.1% AEP regulated structure levees</w:t>
      </w:r>
      <w:r>
        <w:t xml:space="preserve">. </w:t>
      </w:r>
    </w:p>
    <w:p w14:paraId="29D1A56D" w14:textId="26FB85F4" w:rsidR="003F31CF" w:rsidRDefault="003F31CF" w:rsidP="003F31CF">
      <w:pPr>
        <w:pStyle w:val="BodyText"/>
      </w:pPr>
      <w:r>
        <w:t>T</w:t>
      </w:r>
      <w:r w:rsidRPr="0081651E">
        <w:t xml:space="preserve">he </w:t>
      </w:r>
      <w:bookmarkStart w:id="269" w:name="_Hlk58933613"/>
      <w:r w:rsidRPr="0081651E">
        <w:t>selected ‘</w:t>
      </w:r>
      <w:bookmarkStart w:id="270" w:name="_Hlk58922273"/>
      <w:r w:rsidRPr="0081651E">
        <w:t>Final Option’ (</w:t>
      </w:r>
      <w:r w:rsidRPr="004D627C">
        <w:rPr>
          <w:i/>
          <w:iCs/>
        </w:rPr>
        <w:t>Option 2</w:t>
      </w:r>
      <w:bookmarkEnd w:id="270"/>
      <w:r w:rsidR="004D627C" w:rsidRPr="004D627C">
        <w:rPr>
          <w:i/>
          <w:iCs/>
        </w:rPr>
        <w:t xml:space="preserve"> – ‘Beneficial use’</w:t>
      </w:r>
      <w:r w:rsidRPr="0081651E">
        <w:t>)</w:t>
      </w:r>
      <w:r>
        <w:t xml:space="preserve"> </w:t>
      </w:r>
      <w:bookmarkEnd w:id="269"/>
      <w:r>
        <w:t xml:space="preserve">(Section </w:t>
      </w:r>
      <w:r>
        <w:fldChar w:fldCharType="begin"/>
      </w:r>
      <w:r>
        <w:instrText xml:space="preserve"> REF _Ref58919464 \n \h </w:instrText>
      </w:r>
      <w:r>
        <w:fldChar w:fldCharType="separate"/>
      </w:r>
      <w:r w:rsidR="00937ADD">
        <w:t>5.4.1</w:t>
      </w:r>
      <w:r>
        <w:fldChar w:fldCharType="end"/>
      </w:r>
      <w:r>
        <w:t xml:space="preserve">) involves partial backfilling of the open-cuts to </w:t>
      </w:r>
      <w:r w:rsidR="004C52BE">
        <w:t>produce</w:t>
      </w:r>
      <w:r>
        <w:t xml:space="preserve"> a rehabilitated landform consistent with the regional topography protected by permanent landforms. These landforms have been designed and independently peer reviewed by Registered Professional Engineer of Queensland (RPEQ) certified engineers and would be along the existing levee alignment to </w:t>
      </w:r>
      <w:bookmarkStart w:id="271" w:name="_Hlk59102321"/>
      <w:r>
        <w:t xml:space="preserve">provide flood immunity and exclude the rehabilitated areas from flood interactions up to and including a </w:t>
      </w:r>
      <w:bookmarkStart w:id="272" w:name="_Hlk58920134"/>
      <w:r>
        <w:t xml:space="preserve">0.1% AEP event </w:t>
      </w:r>
      <w:bookmarkEnd w:id="271"/>
      <w:bookmarkEnd w:id="272"/>
      <w:r>
        <w:t>(Ensham, 2019b).</w:t>
      </w:r>
    </w:p>
    <w:p w14:paraId="4EC2F484" w14:textId="488AC2AE" w:rsidR="009D6EEC" w:rsidRDefault="009D6EEC" w:rsidP="009D6EEC">
      <w:pPr>
        <w:pStyle w:val="BodyText"/>
      </w:pPr>
      <w:r>
        <w:t>The existing levees will be incorporated into the landform design, with overburden emplacement areas behind the levee being reshaped in a manner that achieves a stable landform. According to Ensham (2019b) all slopes have been designed to exceed a Factor of Safety (FoS) of 1.5 which aims to deliver long-term safe and stable slopes with Post Mining Land Uses (PMLUs)</w:t>
      </w:r>
      <w:r w:rsidR="004C52BE">
        <w:t>.</w:t>
      </w:r>
    </w:p>
    <w:p w14:paraId="282B4917" w14:textId="77777777" w:rsidR="009D6EEC" w:rsidRDefault="009D6EEC" w:rsidP="001628AA">
      <w:pPr>
        <w:pStyle w:val="BodyText"/>
        <w:numPr>
          <w:ilvl w:val="0"/>
          <w:numId w:val="72"/>
        </w:numPr>
        <w:spacing w:before="80" w:after="80"/>
      </w:pPr>
      <w:r>
        <w:t>Sustainable grazing/water body.</w:t>
      </w:r>
    </w:p>
    <w:p w14:paraId="1F9FC8BB" w14:textId="77777777" w:rsidR="009D6EEC" w:rsidRDefault="009D6EEC" w:rsidP="001628AA">
      <w:pPr>
        <w:pStyle w:val="BodyText"/>
        <w:numPr>
          <w:ilvl w:val="0"/>
          <w:numId w:val="72"/>
        </w:numPr>
        <w:spacing w:before="80" w:after="80"/>
      </w:pPr>
      <w:r>
        <w:t>Self-sustaining vegetated cover.</w:t>
      </w:r>
    </w:p>
    <w:p w14:paraId="4FE46B73" w14:textId="77777777" w:rsidR="009D6EEC" w:rsidRDefault="009D6EEC" w:rsidP="001628AA">
      <w:pPr>
        <w:pStyle w:val="BodyText"/>
        <w:numPr>
          <w:ilvl w:val="0"/>
          <w:numId w:val="72"/>
        </w:numPr>
        <w:spacing w:before="80" w:after="80"/>
      </w:pPr>
      <w:r>
        <w:t>Native bushland corridor.</w:t>
      </w:r>
    </w:p>
    <w:p w14:paraId="08FAF97E" w14:textId="77777777" w:rsidR="009D6EEC" w:rsidRDefault="009D6EEC" w:rsidP="001628AA">
      <w:pPr>
        <w:pStyle w:val="BodyText"/>
        <w:numPr>
          <w:ilvl w:val="0"/>
          <w:numId w:val="72"/>
        </w:numPr>
        <w:spacing w:before="80" w:after="80"/>
      </w:pPr>
      <w:r>
        <w:t>Mining infrastructure retained.</w:t>
      </w:r>
    </w:p>
    <w:p w14:paraId="1F41FAAB" w14:textId="77777777" w:rsidR="009D6EEC" w:rsidRDefault="009D6EEC" w:rsidP="001628AA">
      <w:pPr>
        <w:pStyle w:val="BodyText"/>
        <w:numPr>
          <w:ilvl w:val="0"/>
          <w:numId w:val="72"/>
        </w:numPr>
        <w:spacing w:before="80" w:after="80"/>
      </w:pPr>
      <w:r>
        <w:t>Boggy Creek diversion.</w:t>
      </w:r>
    </w:p>
    <w:p w14:paraId="413A25D2" w14:textId="77777777" w:rsidR="009D6EEC" w:rsidRDefault="009D6EEC" w:rsidP="009D6EEC">
      <w:pPr>
        <w:pStyle w:val="BodyText"/>
      </w:pPr>
      <w:r w:rsidRPr="0081651E">
        <w:t>The existing 0.1% AEP levees adjoining A, B, C and D pits will be upgraded to 0.1% AEP landforms that exceed a FoS of 1.5 to ensure that these areas safe and stable into perpetuity.</w:t>
      </w:r>
      <w:r>
        <w:t xml:space="preserve"> While g</w:t>
      </w:r>
      <w:r w:rsidRPr="007858BB">
        <w:t xml:space="preserve">roundwater </w:t>
      </w:r>
      <w:r>
        <w:t>is predicted to ‘</w:t>
      </w:r>
      <w:r w:rsidRPr="007858BB">
        <w:t>daylight</w:t>
      </w:r>
      <w:r>
        <w:t>’</w:t>
      </w:r>
      <w:r w:rsidRPr="007858BB">
        <w:t xml:space="preserve"> in a number of the rehabilitated landforms</w:t>
      </w:r>
      <w:r>
        <w:t xml:space="preserve">, F and Y </w:t>
      </w:r>
      <w:r w:rsidRPr="007858BB">
        <w:t xml:space="preserve">rehabilitated areas </w:t>
      </w:r>
      <w:r>
        <w:t>are</w:t>
      </w:r>
      <w:r w:rsidRPr="007858BB">
        <w:t xml:space="preserve"> designed such that groundwater would never </w:t>
      </w:r>
      <w:r>
        <w:t>‘</w:t>
      </w:r>
      <w:r w:rsidRPr="007858BB">
        <w:t>daylight</w:t>
      </w:r>
      <w:r>
        <w:t>’ (Ensham, 2019b)</w:t>
      </w:r>
      <w:r w:rsidRPr="007858BB">
        <w:t>.</w:t>
      </w:r>
    </w:p>
    <w:p w14:paraId="21421783" w14:textId="77777777" w:rsidR="009D6EEC" w:rsidRDefault="009D6EEC" w:rsidP="003F31CF">
      <w:pPr>
        <w:pStyle w:val="BodyText"/>
      </w:pPr>
    </w:p>
    <w:p w14:paraId="53109472" w14:textId="057ED95B" w:rsidR="009D6EEC" w:rsidRDefault="009D6EEC">
      <w:pPr>
        <w:rPr>
          <w:szCs w:val="22"/>
        </w:rPr>
      </w:pPr>
      <w:r>
        <w:br w:type="page"/>
      </w:r>
    </w:p>
    <w:p w14:paraId="27C5875F" w14:textId="250F8058" w:rsidR="00C12AD6" w:rsidRDefault="007872BA" w:rsidP="007872BA">
      <w:pPr>
        <w:pStyle w:val="Caption"/>
      </w:pPr>
      <w:bookmarkStart w:id="273" w:name="_Ref58852863"/>
      <w:bookmarkStart w:id="274" w:name="_Toc65140612"/>
      <w:r>
        <w:lastRenderedPageBreak/>
        <w:t xml:space="preserve">Figure </w:t>
      </w:r>
      <w:fldSimple w:instr=" STYLEREF 1 \s ">
        <w:r w:rsidR="00937ADD">
          <w:rPr>
            <w:noProof/>
          </w:rPr>
          <w:t>5</w:t>
        </w:r>
      </w:fldSimple>
      <w:r w:rsidR="002706A0">
        <w:noBreakHyphen/>
      </w:r>
      <w:fldSimple w:instr=" SEQ Figure \* ARABIC \s 1 ">
        <w:r w:rsidR="00937ADD">
          <w:rPr>
            <w:noProof/>
          </w:rPr>
          <w:t>6</w:t>
        </w:r>
      </w:fldSimple>
      <w:bookmarkEnd w:id="273"/>
      <w:r>
        <w:t xml:space="preserve"> Location of open-cut pits and mining leases – Ensham coal mine (Ensham, 2019</w:t>
      </w:r>
      <w:r w:rsidR="0022733D">
        <w:t>b</w:t>
      </w:r>
      <w:r>
        <w:t>)</w:t>
      </w:r>
      <w:bookmarkEnd w:id="274"/>
    </w:p>
    <w:p w14:paraId="0F1C5373" w14:textId="5AA1621B" w:rsidR="00EB43C7" w:rsidRDefault="007872BA" w:rsidP="00C8226F">
      <w:pPr>
        <w:pStyle w:val="BodyText"/>
      </w:pPr>
      <w:r>
        <w:rPr>
          <w:noProof/>
        </w:rPr>
        <mc:AlternateContent>
          <mc:Choice Requires="wps">
            <w:drawing>
              <wp:anchor distT="0" distB="0" distL="114300" distR="114300" simplePos="0" relativeHeight="251658248" behindDoc="0" locked="0" layoutInCell="1" allowOverlap="1" wp14:anchorId="7C3D96A6" wp14:editId="7D061B8E">
                <wp:simplePos x="0" y="0"/>
                <wp:positionH relativeFrom="column">
                  <wp:posOffset>4763193</wp:posOffset>
                </wp:positionH>
                <wp:positionV relativeFrom="paragraph">
                  <wp:posOffset>7812290</wp:posOffset>
                </wp:positionV>
                <wp:extent cx="1105592" cy="548524"/>
                <wp:effectExtent l="0" t="0" r="0" b="4445"/>
                <wp:wrapNone/>
                <wp:docPr id="6" name="Rectangle 6"/>
                <wp:cNvGraphicFramePr/>
                <a:graphic xmlns:a="http://schemas.openxmlformats.org/drawingml/2006/main">
                  <a:graphicData uri="http://schemas.microsoft.com/office/word/2010/wordprocessingShape">
                    <wps:wsp>
                      <wps:cNvSpPr/>
                      <wps:spPr>
                        <a:xfrm>
                          <a:off x="0" y="0"/>
                          <a:ext cx="1105592" cy="5485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0AF33B" id="Rectangle 6" o:spid="_x0000_s1026" style="position:absolute;margin-left:375.05pt;margin-top:615.15pt;width:87.05pt;height:43.2pt;z-index:251658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" fillcolor="white [3212]" stroked="f" strokeweight="2pt"/>
            </w:pict>
          </mc:Fallback>
        </mc:AlternateContent>
      </w:r>
      <w:r>
        <w:rPr>
          <w:noProof/>
        </w:rPr>
        <w:drawing>
          <wp:inline distT="0" distB="0" distL="0" distR="0" wp14:anchorId="3B9A5DC4" wp14:editId="1E479E70">
            <wp:extent cx="5951357" cy="8537171"/>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pen cuts.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5959011" cy="8548150"/>
                    </a:xfrm>
                    <a:prstGeom prst="rect">
                      <a:avLst/>
                    </a:prstGeom>
                    <a:ln>
                      <a:noFill/>
                    </a:ln>
                    <a:extLst>
                      <a:ext uri="{53640926-AAD7-44D8-BBD7-CCE9431645EC}">
                        <a14:shadowObscured xmlns:a14="http://schemas.microsoft.com/office/drawing/2010/main"/>
                      </a:ext>
                    </a:extLst>
                  </pic:spPr>
                </pic:pic>
              </a:graphicData>
            </a:graphic>
          </wp:inline>
        </w:drawing>
      </w:r>
    </w:p>
    <w:p w14:paraId="3926A482" w14:textId="75045776" w:rsidR="00C12AD6" w:rsidRDefault="00C12AD6" w:rsidP="00C12AD6">
      <w:pPr>
        <w:pStyle w:val="Heading3"/>
      </w:pPr>
      <w:bookmarkStart w:id="275" w:name="_Ref59014143"/>
      <w:bookmarkStart w:id="276" w:name="_Ref59014798"/>
      <w:bookmarkStart w:id="277" w:name="_Ref59015342"/>
      <w:bookmarkStart w:id="278" w:name="_Ref59015554"/>
      <w:bookmarkStart w:id="279" w:name="_Toc87278370"/>
      <w:r>
        <w:lastRenderedPageBreak/>
        <w:t>Conceptualisation of flow regime</w:t>
      </w:r>
      <w:bookmarkEnd w:id="275"/>
      <w:bookmarkEnd w:id="276"/>
      <w:bookmarkEnd w:id="277"/>
      <w:bookmarkEnd w:id="278"/>
      <w:bookmarkEnd w:id="279"/>
    </w:p>
    <w:p w14:paraId="36C1DDC7" w14:textId="49AC7060" w:rsidR="00C12AD6" w:rsidRDefault="009F63E2" w:rsidP="00C12AD6">
      <w:pPr>
        <w:pStyle w:val="BodyText"/>
      </w:pPr>
      <w:r>
        <w:t>The Ensham (2019</w:t>
      </w:r>
      <w:r w:rsidR="0022733D">
        <w:t>b</w:t>
      </w:r>
      <w:r>
        <w:t xml:space="preserve">) report documents the outcomes of </w:t>
      </w:r>
      <w:r w:rsidR="00644F55" w:rsidRPr="00644F55">
        <w:t xml:space="preserve">groundwater modelling </w:t>
      </w:r>
      <w:r>
        <w:t>for the</w:t>
      </w:r>
      <w:r w:rsidRPr="009F63E2">
        <w:t xml:space="preserve"> </w:t>
      </w:r>
      <w:r>
        <w:t xml:space="preserve">selected </w:t>
      </w:r>
      <w:r w:rsidR="004B64F7">
        <w:t>‘</w:t>
      </w:r>
      <w:r w:rsidRPr="0081651E">
        <w:t>Final Option’ (</w:t>
      </w:r>
      <w:r w:rsidRPr="004B64F7">
        <w:rPr>
          <w:i/>
          <w:iCs/>
        </w:rPr>
        <w:t>Option 2</w:t>
      </w:r>
      <w:r w:rsidR="004B64F7" w:rsidRPr="004B64F7">
        <w:rPr>
          <w:i/>
          <w:iCs/>
        </w:rPr>
        <w:t xml:space="preserve"> – ‘Beneficial use’</w:t>
      </w:r>
      <w:r>
        <w:t xml:space="preserve">) conducted in the </w:t>
      </w:r>
      <w:r w:rsidRPr="009F63E2">
        <w:t>RVP</w:t>
      </w:r>
      <w:r>
        <w:t xml:space="preserve">. The stabilised </w:t>
      </w:r>
      <w:r w:rsidR="00644F55" w:rsidRPr="00644F55">
        <w:t>groundwater levels</w:t>
      </w:r>
      <w:r>
        <w:t xml:space="preserve"> for the rehabilitated landform areas are presented in </w:t>
      </w:r>
      <w:r>
        <w:fldChar w:fldCharType="begin"/>
      </w:r>
      <w:r>
        <w:instrText xml:space="preserve"> REF _Ref58922390 \h </w:instrText>
      </w:r>
      <w:r>
        <w:fldChar w:fldCharType="separate"/>
      </w:r>
      <w:r w:rsidR="00937ADD">
        <w:t xml:space="preserve">Table </w:t>
      </w:r>
      <w:r w:rsidR="00937ADD">
        <w:rPr>
          <w:noProof/>
        </w:rPr>
        <w:t>5</w:t>
      </w:r>
      <w:r w:rsidR="00937ADD">
        <w:noBreakHyphen/>
      </w:r>
      <w:r w:rsidR="00937ADD">
        <w:rPr>
          <w:noProof/>
        </w:rPr>
        <w:t>11</w:t>
      </w:r>
      <w:r>
        <w:fldChar w:fldCharType="end"/>
      </w:r>
      <w:r>
        <w:t>, along with the approximate timeframe for groundwater to ‘daylight’ and for groundwater levels to reach equilibrium conditions</w:t>
      </w:r>
      <w:r w:rsidR="00CE590C">
        <w:t>.</w:t>
      </w:r>
      <w:r w:rsidR="00644F55" w:rsidRPr="00644F55">
        <w:t xml:space="preserve"> </w:t>
      </w:r>
    </w:p>
    <w:p w14:paraId="7254AAFA" w14:textId="4CABDAC3" w:rsidR="009F63E2" w:rsidRDefault="00C53AE0" w:rsidP="00F473FD">
      <w:pPr>
        <w:pStyle w:val="BodyText"/>
      </w:pPr>
      <w:bookmarkStart w:id="280" w:name="_Hlk59013981"/>
      <w:bookmarkStart w:id="281" w:name="_Hlk59100155"/>
      <w:r>
        <w:t>While rehabilitated landforms A (South), A (North), B, CD, E will operate as groundwater sinks</w:t>
      </w:r>
      <w:bookmarkEnd w:id="280"/>
      <w:r>
        <w:t xml:space="preserve">, </w:t>
      </w:r>
      <w:r w:rsidR="00F473FD">
        <w:t xml:space="preserve">F and Y pits have been designed such that the floor level is above </w:t>
      </w:r>
      <w:r w:rsidR="009F63E2">
        <w:t>stabilised g</w:t>
      </w:r>
      <w:r w:rsidR="00F473FD">
        <w:t xml:space="preserve">roundwater levels </w:t>
      </w:r>
      <w:r w:rsidR="00CE590C">
        <w:t>(by 5 m)</w:t>
      </w:r>
      <w:r>
        <w:t>. A</w:t>
      </w:r>
      <w:r w:rsidR="00F473FD">
        <w:t xml:space="preserve">ccordingly, no groundwater </w:t>
      </w:r>
      <w:r w:rsidR="009F63E2">
        <w:t>is expected to</w:t>
      </w:r>
      <w:r w:rsidR="00F473FD">
        <w:t xml:space="preserve"> </w:t>
      </w:r>
      <w:r w:rsidR="009F63E2">
        <w:t>‘</w:t>
      </w:r>
      <w:r w:rsidR="00F473FD">
        <w:t>daylight</w:t>
      </w:r>
      <w:r w:rsidR="009F63E2">
        <w:t>’</w:t>
      </w:r>
      <w:r w:rsidR="00F473FD">
        <w:t xml:space="preserve"> in the</w:t>
      </w:r>
      <w:r>
        <w:t xml:space="preserve"> rehabilitated F and Y </w:t>
      </w:r>
      <w:r w:rsidR="00F473FD">
        <w:t>areas.</w:t>
      </w:r>
      <w:r w:rsidR="00CE590C">
        <w:t xml:space="preserve"> </w:t>
      </w:r>
      <w:r w:rsidR="009F63E2" w:rsidRPr="009F63E2">
        <w:t>Only surface water runoff will report to the lowest point in the</w:t>
      </w:r>
      <w:r w:rsidR="00CE590C">
        <w:t>se rehabilitated</w:t>
      </w:r>
      <w:r w:rsidR="009F63E2" w:rsidRPr="009F63E2">
        <w:t xml:space="preserve"> landform</w:t>
      </w:r>
      <w:r w:rsidR="00CE590C">
        <w:t>s</w:t>
      </w:r>
      <w:r w:rsidR="004B64F7">
        <w:t>,</w:t>
      </w:r>
      <w:r w:rsidR="009F63E2" w:rsidRPr="009F63E2">
        <w:t xml:space="preserve"> and </w:t>
      </w:r>
      <w:r w:rsidR="004B64F7">
        <w:t xml:space="preserve">in turn, </w:t>
      </w:r>
      <w:r w:rsidR="009F63E2" w:rsidRPr="009F63E2">
        <w:t xml:space="preserve">drain through the backfill material to the </w:t>
      </w:r>
      <w:r w:rsidR="00CE590C">
        <w:t>water</w:t>
      </w:r>
      <w:r w:rsidR="009F63E2" w:rsidRPr="009F63E2">
        <w:t xml:space="preserve">table. </w:t>
      </w:r>
    </w:p>
    <w:bookmarkEnd w:id="281"/>
    <w:p w14:paraId="6AD43380" w14:textId="5860148E" w:rsidR="00CE590C" w:rsidRDefault="00CE590C" w:rsidP="00CE590C">
      <w:pPr>
        <w:pStyle w:val="BodyText"/>
      </w:pPr>
      <w:r>
        <w:t xml:space="preserve">Water quality modelling predicts that where groundwater </w:t>
      </w:r>
      <w:r w:rsidR="004B64F7">
        <w:t>‘</w:t>
      </w:r>
      <w:r>
        <w:t>daylights</w:t>
      </w:r>
      <w:r w:rsidR="004B64F7">
        <w:t>’</w:t>
      </w:r>
      <w:r>
        <w:t xml:space="preserve"> in the residual landforms</w:t>
      </w:r>
      <w:r w:rsidR="004B64F7">
        <w:t>,</w:t>
      </w:r>
      <w:r>
        <w:t xml:space="preserve"> salinity</w:t>
      </w:r>
      <w:r w:rsidR="004B64F7">
        <w:t xml:space="preserve"> </w:t>
      </w:r>
      <w:r>
        <w:t xml:space="preserve">concentrations </w:t>
      </w:r>
      <w:r w:rsidR="004B64F7">
        <w:t xml:space="preserve">(as EC) </w:t>
      </w:r>
      <w:r>
        <w:t xml:space="preserve">will increase </w:t>
      </w:r>
      <w:r w:rsidR="007A4732">
        <w:t>(</w:t>
      </w:r>
      <w:r w:rsidR="004B64F7">
        <w:t xml:space="preserve">to </w:t>
      </w:r>
      <w:r w:rsidR="007A4732">
        <w:t xml:space="preserve">between 26,000 to 40,000 </w:t>
      </w:r>
      <w:r w:rsidR="007A4732">
        <w:rPr>
          <w:rFonts w:cstheme="minorHAnsi"/>
        </w:rPr>
        <w:t>µ</w:t>
      </w:r>
      <w:r w:rsidR="007A4732">
        <w:t>S/cm over the 240</w:t>
      </w:r>
      <w:r w:rsidR="004B64F7">
        <w:t xml:space="preserve">-year </w:t>
      </w:r>
      <w:r w:rsidR="007A4732">
        <w:t xml:space="preserve">model period) </w:t>
      </w:r>
      <w:r>
        <w:t xml:space="preserve">due to water loss caused from evaporation. Modelling also indicates a potential </w:t>
      </w:r>
      <w:r w:rsidRPr="00CE590C">
        <w:t>for metals/metalloids to bioaccumulate within the rehabilitated landform waters.</w:t>
      </w:r>
      <w:r>
        <w:t xml:space="preserve"> As there is no groundwater outflow to the receiving environment predicted from these pits, any increase in salinity or other contaminant concentrations will be confined to the rehabilitated landforms.</w:t>
      </w:r>
    </w:p>
    <w:p w14:paraId="5B06BE7A" w14:textId="338DB6BC" w:rsidR="00CE590C" w:rsidRDefault="00C53AE0" w:rsidP="00F473FD">
      <w:pPr>
        <w:pStyle w:val="BodyText"/>
        <w:sectPr w:rsidR="00CE590C" w:rsidSect="00F66109">
          <w:pgSz w:w="11907" w:h="16839" w:code="9"/>
          <w:pgMar w:top="1440" w:right="1440" w:bottom="1134" w:left="1440" w:header="340" w:footer="340" w:gutter="0"/>
          <w:cols w:space="708"/>
          <w:docGrid w:linePitch="360"/>
        </w:sectPr>
      </w:pPr>
      <w:bookmarkStart w:id="282" w:name="_Hlk59102189"/>
      <w:r>
        <w:t xml:space="preserve">The rehabilitated </w:t>
      </w:r>
      <w:r w:rsidR="00B91790">
        <w:t>voids</w:t>
      </w:r>
      <w:r>
        <w:t xml:space="preserve"> will be isolated from the floodplain by the rehabilitated landforms (Section </w:t>
      </w:r>
      <w:r w:rsidR="00B91790">
        <w:fldChar w:fldCharType="begin"/>
      </w:r>
      <w:r w:rsidR="00B91790">
        <w:instrText xml:space="preserve"> REF _Ref58925637 \n \h </w:instrText>
      </w:r>
      <w:r w:rsidR="00B91790">
        <w:fldChar w:fldCharType="separate"/>
      </w:r>
      <w:r w:rsidR="00937ADD">
        <w:t>5.4.3</w:t>
      </w:r>
      <w:r w:rsidR="00B91790">
        <w:fldChar w:fldCharType="end"/>
      </w:r>
      <w:r>
        <w:t xml:space="preserve">). It is predicted that for flood water to overtop the landforms there would need to be a flood event in the magnitude of 1.5 times greater than the 0.1% AEP; an extreme </w:t>
      </w:r>
      <w:bookmarkEnd w:id="282"/>
      <w:r>
        <w:t xml:space="preserve">and very rare event (occurring </w:t>
      </w:r>
      <w:r w:rsidR="004B64F7">
        <w:t xml:space="preserve">approximately </w:t>
      </w:r>
      <w:r w:rsidRPr="00C53AE0">
        <w:t>once every 5,000 years on average)</w:t>
      </w:r>
      <w:r>
        <w:t>.</w:t>
      </w:r>
      <w:r w:rsidRPr="00C53AE0">
        <w:t xml:space="preserve"> Should such an event occur, the mixing of the relatively small volume of </w:t>
      </w:r>
      <w:r w:rsidR="00B91790">
        <w:t xml:space="preserve">potentially </w:t>
      </w:r>
      <w:r w:rsidR="004B64F7">
        <w:t>poor-quality</w:t>
      </w:r>
      <w:r w:rsidR="00B91790">
        <w:t xml:space="preserve"> </w:t>
      </w:r>
      <w:r w:rsidRPr="00C53AE0">
        <w:t xml:space="preserve">water </w:t>
      </w:r>
      <w:r w:rsidR="004B64F7">
        <w:t xml:space="preserve">(maximum volume of 20,860 ML) </w:t>
      </w:r>
      <w:r w:rsidRPr="00C53AE0">
        <w:t>in the rehabilitated areas</w:t>
      </w:r>
      <w:r w:rsidR="00B91790">
        <w:t xml:space="preserve"> </w:t>
      </w:r>
      <w:r w:rsidRPr="00C53AE0">
        <w:t xml:space="preserve">with the </w:t>
      </w:r>
      <w:r w:rsidR="004B64F7">
        <w:t>comparatively large</w:t>
      </w:r>
      <w:r w:rsidRPr="00C53AE0">
        <w:t xml:space="preserve"> volume of flood water </w:t>
      </w:r>
      <w:r w:rsidR="00B91790">
        <w:t xml:space="preserve">is considered </w:t>
      </w:r>
      <w:r w:rsidRPr="00C53AE0">
        <w:t>inconsequential</w:t>
      </w:r>
      <w:r w:rsidR="004B64F7">
        <w:t xml:space="preserve"> (Ensham, 2019b)</w:t>
      </w:r>
      <w:r w:rsidRPr="00C53AE0">
        <w:t>.</w:t>
      </w:r>
      <w:r w:rsidR="00B91790">
        <w:t xml:space="preserve"> Any</w:t>
      </w:r>
      <w:r w:rsidRPr="00C53AE0">
        <w:t xml:space="preserve"> </w:t>
      </w:r>
      <w:r w:rsidR="00B91790">
        <w:t>w</w:t>
      </w:r>
      <w:r w:rsidRPr="00C53AE0">
        <w:t xml:space="preserve">ater remaining in the </w:t>
      </w:r>
      <w:r w:rsidR="00B91790">
        <w:t xml:space="preserve">rehabilitated </w:t>
      </w:r>
      <w:r w:rsidRPr="00C53AE0">
        <w:t>void</w:t>
      </w:r>
      <w:r w:rsidR="00B91790">
        <w:t>s</w:t>
      </w:r>
      <w:r w:rsidRPr="00C53AE0">
        <w:t xml:space="preserve"> once the flood had passed would be of the </w:t>
      </w:r>
      <w:r w:rsidR="00B91790">
        <w:t>similar</w:t>
      </w:r>
      <w:r w:rsidRPr="00C53AE0">
        <w:t xml:space="preserve"> </w:t>
      </w:r>
      <w:r w:rsidR="00B91790">
        <w:t xml:space="preserve">in </w:t>
      </w:r>
      <w:r w:rsidRPr="00C53AE0">
        <w:t xml:space="preserve">quality </w:t>
      </w:r>
      <w:r w:rsidR="004B64F7">
        <w:t>to the</w:t>
      </w:r>
      <w:r w:rsidRPr="00C53AE0">
        <w:t xml:space="preserve"> flood</w:t>
      </w:r>
      <w:r w:rsidR="00B91790">
        <w:t xml:space="preserve"> </w:t>
      </w:r>
      <w:r w:rsidR="004B64F7">
        <w:t xml:space="preserve">water and </w:t>
      </w:r>
      <w:r w:rsidRPr="00C53AE0">
        <w:t xml:space="preserve">migrate to </w:t>
      </w:r>
      <w:r w:rsidR="00B91790">
        <w:t xml:space="preserve">watertable </w:t>
      </w:r>
      <w:r w:rsidRPr="00C53AE0">
        <w:t>over time.</w:t>
      </w:r>
      <w:r w:rsidR="00226D25">
        <w:t xml:space="preserve"> There would be no requirement to pump out this water as </w:t>
      </w:r>
      <w:r w:rsidR="004B64F7">
        <w:t>the water remaining in the rehabilitated areas from flood flows will be lower in salinity relative to the more saline</w:t>
      </w:r>
      <w:r w:rsidR="00226D25">
        <w:t xml:space="preserve"> groundwater</w:t>
      </w:r>
      <w:r w:rsidR="004B64F7">
        <w:t xml:space="preserve"> (Ensham, 2019b)</w:t>
      </w:r>
      <w:r w:rsidR="00226D25">
        <w:t>.</w:t>
      </w:r>
    </w:p>
    <w:p w14:paraId="681A433C" w14:textId="747F8463" w:rsidR="00644F55" w:rsidRDefault="00644F55" w:rsidP="00C12AD6">
      <w:pPr>
        <w:pStyle w:val="BodyText"/>
      </w:pPr>
    </w:p>
    <w:p w14:paraId="2694E07F" w14:textId="791D45CA" w:rsidR="00644F55" w:rsidRDefault="00644F55" w:rsidP="00644F55">
      <w:pPr>
        <w:pStyle w:val="Caption"/>
      </w:pPr>
      <w:bookmarkStart w:id="283" w:name="_Ref58922390"/>
      <w:bookmarkStart w:id="284" w:name="_Toc65140592"/>
      <w:r>
        <w:t xml:space="preserve">Table </w:t>
      </w:r>
      <w:fldSimple w:instr=" STYLEREF 1 \s ">
        <w:r w:rsidR="00937ADD">
          <w:rPr>
            <w:noProof/>
          </w:rPr>
          <w:t>5</w:t>
        </w:r>
      </w:fldSimple>
      <w:r w:rsidR="002714CC">
        <w:noBreakHyphen/>
      </w:r>
      <w:fldSimple w:instr=" SEQ Table \* ARABIC \s 1 ">
        <w:r w:rsidR="00937ADD">
          <w:rPr>
            <w:noProof/>
          </w:rPr>
          <w:t>11</w:t>
        </w:r>
      </w:fldSimple>
      <w:bookmarkEnd w:id="283"/>
      <w:r>
        <w:t xml:space="preserve"> Predicted final equilibrium water levels of final voids (Ensham, 2019</w:t>
      </w:r>
      <w:r w:rsidR="00561354">
        <w:t>b</w:t>
      </w:r>
      <w:r>
        <w:t>)</w:t>
      </w:r>
      <w:bookmarkEnd w:id="284"/>
    </w:p>
    <w:tbl>
      <w:tblPr>
        <w:tblStyle w:val="TableGrid30"/>
        <w:tblW w:w="13178"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ayout w:type="fixed"/>
        <w:tblLook w:val="0000" w:firstRow="0" w:lastRow="0" w:firstColumn="0" w:lastColumn="0" w:noHBand="0" w:noVBand="0"/>
      </w:tblPr>
      <w:tblGrid>
        <w:gridCol w:w="1018"/>
        <w:gridCol w:w="1954"/>
        <w:gridCol w:w="1276"/>
        <w:gridCol w:w="1559"/>
        <w:gridCol w:w="1559"/>
        <w:gridCol w:w="1560"/>
        <w:gridCol w:w="2409"/>
        <w:gridCol w:w="1843"/>
      </w:tblGrid>
      <w:tr w:rsidR="00F473FD" w:rsidRPr="00644F55" w14:paraId="23335A48" w14:textId="77777777" w:rsidTr="00F473FD">
        <w:trPr>
          <w:trHeight w:hRule="exact" w:val="1373"/>
        </w:trPr>
        <w:tc>
          <w:tcPr>
            <w:tcW w:w="1018" w:type="dxa"/>
            <w:shd w:val="clear" w:color="auto" w:fill="049CD5" w:themeFill="accent3"/>
          </w:tcPr>
          <w:p w14:paraId="226E4765" w14:textId="77777777" w:rsidR="00644F55" w:rsidRPr="00644F55" w:rsidRDefault="00644F55" w:rsidP="00F473FD">
            <w:pPr>
              <w:spacing w:before="60" w:after="60" w:line="300" w:lineRule="auto"/>
              <w:jc w:val="center"/>
              <w:textAlignment w:val="baseline"/>
              <w:rPr>
                <w:rFonts w:eastAsia="Arial" w:cstheme="minorHAnsi"/>
                <w:b/>
                <w:color w:val="FFFFFF" w:themeColor="background1"/>
                <w:sz w:val="18"/>
                <w:szCs w:val="18"/>
              </w:rPr>
            </w:pPr>
            <w:r w:rsidRPr="00644F55">
              <w:rPr>
                <w:rFonts w:eastAsia="Arial" w:cstheme="minorHAnsi"/>
                <w:b/>
                <w:color w:val="FFFFFF" w:themeColor="background1"/>
                <w:sz w:val="18"/>
                <w:szCs w:val="18"/>
              </w:rPr>
              <w:t>Area</w:t>
            </w:r>
          </w:p>
        </w:tc>
        <w:tc>
          <w:tcPr>
            <w:tcW w:w="1954" w:type="dxa"/>
            <w:shd w:val="clear" w:color="auto" w:fill="049CD5" w:themeFill="accent3"/>
          </w:tcPr>
          <w:p w14:paraId="7BB5A8F5" w14:textId="3425FEF5" w:rsidR="00644F55" w:rsidRPr="00644F55" w:rsidRDefault="00F473FD" w:rsidP="00F473FD">
            <w:pPr>
              <w:spacing w:before="60" w:after="60" w:line="300" w:lineRule="auto"/>
              <w:jc w:val="center"/>
              <w:textAlignment w:val="baseline"/>
              <w:rPr>
                <w:rFonts w:eastAsia="Arial" w:cstheme="minorHAnsi"/>
                <w:b/>
                <w:color w:val="FFFFFF" w:themeColor="background1"/>
                <w:sz w:val="18"/>
                <w:szCs w:val="18"/>
              </w:rPr>
            </w:pPr>
            <w:r>
              <w:rPr>
                <w:rFonts w:eastAsia="Arial" w:cstheme="minorHAnsi"/>
                <w:b/>
                <w:color w:val="FFFFFF" w:themeColor="background1"/>
                <w:sz w:val="18"/>
                <w:szCs w:val="18"/>
              </w:rPr>
              <w:t>Equilibrated g</w:t>
            </w:r>
            <w:r w:rsidR="00644F55">
              <w:rPr>
                <w:rFonts w:eastAsia="Arial" w:cstheme="minorHAnsi"/>
                <w:b/>
                <w:color w:val="FFFFFF" w:themeColor="background1"/>
                <w:sz w:val="18"/>
                <w:szCs w:val="18"/>
              </w:rPr>
              <w:t xml:space="preserve">roundwater </w:t>
            </w:r>
            <w:r>
              <w:rPr>
                <w:rFonts w:eastAsia="Arial" w:cstheme="minorHAnsi"/>
                <w:b/>
                <w:color w:val="FFFFFF" w:themeColor="background1"/>
                <w:sz w:val="18"/>
                <w:szCs w:val="18"/>
              </w:rPr>
              <w:t>l</w:t>
            </w:r>
            <w:r w:rsidR="00644F55" w:rsidRPr="00644F55">
              <w:rPr>
                <w:rFonts w:eastAsia="Arial" w:cstheme="minorHAnsi"/>
                <w:b/>
                <w:color w:val="FFFFFF" w:themeColor="background1"/>
                <w:sz w:val="18"/>
                <w:szCs w:val="18"/>
              </w:rPr>
              <w:t xml:space="preserve">evel </w:t>
            </w:r>
            <w:r w:rsidR="00644F55" w:rsidRPr="00644F55">
              <w:rPr>
                <w:rFonts w:eastAsia="Arial" w:cstheme="minorHAnsi"/>
                <w:b/>
                <w:color w:val="FFFFFF" w:themeColor="background1"/>
                <w:sz w:val="18"/>
                <w:szCs w:val="18"/>
              </w:rPr>
              <w:br/>
              <w:t>(m</w:t>
            </w:r>
            <w:r>
              <w:rPr>
                <w:rFonts w:eastAsia="Arial" w:cstheme="minorHAnsi"/>
                <w:b/>
                <w:color w:val="FFFFFF" w:themeColor="background1"/>
                <w:sz w:val="18"/>
                <w:szCs w:val="18"/>
              </w:rPr>
              <w:t xml:space="preserve"> </w:t>
            </w:r>
            <w:r w:rsidR="00644F55" w:rsidRPr="00644F55">
              <w:rPr>
                <w:rFonts w:eastAsia="Arial" w:cstheme="minorHAnsi"/>
                <w:b/>
                <w:color w:val="FFFFFF" w:themeColor="background1"/>
                <w:sz w:val="18"/>
                <w:szCs w:val="18"/>
              </w:rPr>
              <w:t>AHD)</w:t>
            </w:r>
          </w:p>
        </w:tc>
        <w:tc>
          <w:tcPr>
            <w:tcW w:w="1276" w:type="dxa"/>
            <w:shd w:val="clear" w:color="auto" w:fill="049CD5" w:themeFill="accent3"/>
          </w:tcPr>
          <w:p w14:paraId="031FB2D9" w14:textId="505DA5D4" w:rsidR="00644F55" w:rsidRPr="00644F55" w:rsidRDefault="00644F55" w:rsidP="00F473FD">
            <w:pPr>
              <w:spacing w:before="60" w:after="60" w:line="300" w:lineRule="auto"/>
              <w:jc w:val="center"/>
              <w:textAlignment w:val="baseline"/>
              <w:rPr>
                <w:rFonts w:eastAsia="Arial" w:cstheme="minorHAnsi"/>
                <w:b/>
                <w:color w:val="FFFFFF" w:themeColor="background1"/>
                <w:sz w:val="18"/>
                <w:szCs w:val="18"/>
              </w:rPr>
            </w:pPr>
            <w:r w:rsidRPr="00644F55">
              <w:rPr>
                <w:rFonts w:eastAsia="Arial" w:cstheme="minorHAnsi"/>
                <w:b/>
                <w:color w:val="FFFFFF" w:themeColor="background1"/>
                <w:sz w:val="18"/>
                <w:szCs w:val="18"/>
              </w:rPr>
              <w:t xml:space="preserve">Storage </w:t>
            </w:r>
            <w:r w:rsidRPr="00644F55">
              <w:rPr>
                <w:rFonts w:eastAsia="Arial" w:cstheme="minorHAnsi"/>
                <w:b/>
                <w:color w:val="FFFFFF" w:themeColor="background1"/>
                <w:sz w:val="18"/>
                <w:szCs w:val="18"/>
              </w:rPr>
              <w:br/>
            </w:r>
            <w:r w:rsidR="00F473FD">
              <w:rPr>
                <w:rFonts w:eastAsia="Arial" w:cstheme="minorHAnsi"/>
                <w:b/>
                <w:color w:val="FFFFFF" w:themeColor="background1"/>
                <w:sz w:val="18"/>
                <w:szCs w:val="18"/>
              </w:rPr>
              <w:t>v</w:t>
            </w:r>
            <w:r w:rsidRPr="00644F55">
              <w:rPr>
                <w:rFonts w:eastAsia="Arial" w:cstheme="minorHAnsi"/>
                <w:b/>
                <w:color w:val="FFFFFF" w:themeColor="background1"/>
                <w:sz w:val="18"/>
                <w:szCs w:val="18"/>
              </w:rPr>
              <w:t>olume</w:t>
            </w:r>
          </w:p>
          <w:p w14:paraId="721CDB69" w14:textId="77777777" w:rsidR="00644F55" w:rsidRPr="00644F55" w:rsidRDefault="00644F55" w:rsidP="00F473FD">
            <w:pPr>
              <w:spacing w:before="60" w:after="60" w:line="300" w:lineRule="auto"/>
              <w:jc w:val="center"/>
              <w:textAlignment w:val="baseline"/>
              <w:rPr>
                <w:rFonts w:eastAsia="Arial" w:cstheme="minorHAnsi"/>
                <w:b/>
                <w:color w:val="FFFFFF" w:themeColor="background1"/>
                <w:sz w:val="18"/>
                <w:szCs w:val="18"/>
              </w:rPr>
            </w:pPr>
            <w:r w:rsidRPr="00644F55">
              <w:rPr>
                <w:rFonts w:eastAsia="Arial" w:cstheme="minorHAnsi"/>
                <w:b/>
                <w:color w:val="FFFFFF" w:themeColor="background1"/>
                <w:sz w:val="18"/>
                <w:szCs w:val="18"/>
              </w:rPr>
              <w:t>(ML)</w:t>
            </w:r>
          </w:p>
        </w:tc>
        <w:tc>
          <w:tcPr>
            <w:tcW w:w="1559" w:type="dxa"/>
            <w:shd w:val="clear" w:color="auto" w:fill="049CD5" w:themeFill="accent3"/>
          </w:tcPr>
          <w:p w14:paraId="581A4E45" w14:textId="3DB4F40D" w:rsidR="00644F55" w:rsidRPr="00644F55" w:rsidRDefault="00644F55" w:rsidP="00F473FD">
            <w:pPr>
              <w:spacing w:before="60" w:after="60" w:line="300" w:lineRule="auto"/>
              <w:ind w:left="576" w:hanging="432"/>
              <w:textAlignment w:val="baseline"/>
              <w:rPr>
                <w:rFonts w:eastAsia="Arial" w:cstheme="minorHAnsi"/>
                <w:b/>
                <w:color w:val="FFFFFF" w:themeColor="background1"/>
                <w:sz w:val="18"/>
                <w:szCs w:val="18"/>
              </w:rPr>
            </w:pPr>
            <w:r w:rsidRPr="00644F55">
              <w:rPr>
                <w:rFonts w:eastAsia="Arial" w:cstheme="minorHAnsi"/>
                <w:b/>
                <w:color w:val="FFFFFF" w:themeColor="background1"/>
                <w:sz w:val="18"/>
                <w:szCs w:val="18"/>
              </w:rPr>
              <w:t xml:space="preserve">Area </w:t>
            </w:r>
            <w:r w:rsidR="00F473FD">
              <w:rPr>
                <w:rFonts w:eastAsia="Arial" w:cstheme="minorHAnsi"/>
                <w:b/>
                <w:color w:val="FFFFFF" w:themeColor="background1"/>
                <w:sz w:val="18"/>
                <w:szCs w:val="18"/>
              </w:rPr>
              <w:t>a</w:t>
            </w:r>
            <w:r w:rsidRPr="00644F55">
              <w:rPr>
                <w:rFonts w:eastAsia="Arial" w:cstheme="minorHAnsi"/>
                <w:b/>
                <w:color w:val="FFFFFF" w:themeColor="background1"/>
                <w:sz w:val="18"/>
                <w:szCs w:val="18"/>
              </w:rPr>
              <w:t>ffected (ha)</w:t>
            </w:r>
          </w:p>
        </w:tc>
        <w:tc>
          <w:tcPr>
            <w:tcW w:w="1559" w:type="dxa"/>
            <w:shd w:val="clear" w:color="auto" w:fill="049CD5" w:themeFill="accent3"/>
          </w:tcPr>
          <w:p w14:paraId="30B0E4A8" w14:textId="1B084682" w:rsidR="00644F55" w:rsidRPr="00644F55" w:rsidRDefault="00644F55" w:rsidP="00F473FD">
            <w:pPr>
              <w:spacing w:before="60" w:after="60" w:line="300" w:lineRule="auto"/>
              <w:jc w:val="center"/>
              <w:textAlignment w:val="baseline"/>
              <w:rPr>
                <w:rFonts w:eastAsia="Arial" w:cstheme="minorHAnsi"/>
                <w:b/>
                <w:color w:val="FFFFFF" w:themeColor="background1"/>
                <w:sz w:val="18"/>
                <w:szCs w:val="18"/>
              </w:rPr>
            </w:pPr>
            <w:r w:rsidRPr="00644F55">
              <w:rPr>
                <w:rFonts w:eastAsia="Arial" w:cstheme="minorHAnsi"/>
                <w:b/>
                <w:color w:val="FFFFFF" w:themeColor="background1"/>
                <w:sz w:val="18"/>
                <w:szCs w:val="18"/>
              </w:rPr>
              <w:t>Total</w:t>
            </w:r>
            <w:r w:rsidR="00F473FD">
              <w:rPr>
                <w:rFonts w:eastAsia="Arial" w:cstheme="minorHAnsi"/>
                <w:b/>
                <w:color w:val="FFFFFF" w:themeColor="background1"/>
                <w:sz w:val="18"/>
                <w:szCs w:val="18"/>
              </w:rPr>
              <w:t xml:space="preserve"> r</w:t>
            </w:r>
            <w:r w:rsidRPr="00644F55">
              <w:rPr>
                <w:rFonts w:eastAsia="Arial" w:cstheme="minorHAnsi"/>
                <w:b/>
                <w:color w:val="FFFFFF" w:themeColor="background1"/>
                <w:sz w:val="18"/>
                <w:szCs w:val="18"/>
              </w:rPr>
              <w:t xml:space="preserve">ehabilitated </w:t>
            </w:r>
            <w:r w:rsidR="00F473FD">
              <w:rPr>
                <w:rFonts w:eastAsia="Arial" w:cstheme="minorHAnsi"/>
                <w:b/>
                <w:color w:val="FFFFFF" w:themeColor="background1"/>
                <w:sz w:val="18"/>
                <w:szCs w:val="18"/>
              </w:rPr>
              <w:t>a</w:t>
            </w:r>
            <w:r w:rsidRPr="00644F55">
              <w:rPr>
                <w:rFonts w:eastAsia="Arial" w:cstheme="minorHAnsi"/>
                <w:b/>
                <w:color w:val="FFFFFF" w:themeColor="background1"/>
                <w:sz w:val="18"/>
                <w:szCs w:val="18"/>
              </w:rPr>
              <w:t>rea (ha)</w:t>
            </w:r>
          </w:p>
        </w:tc>
        <w:tc>
          <w:tcPr>
            <w:tcW w:w="1560" w:type="dxa"/>
            <w:shd w:val="clear" w:color="auto" w:fill="049CD5" w:themeFill="accent3"/>
          </w:tcPr>
          <w:p w14:paraId="0C0DEF34" w14:textId="6772EC62" w:rsidR="00644F55" w:rsidRPr="00644F55" w:rsidRDefault="00644F55" w:rsidP="00F473FD">
            <w:pPr>
              <w:spacing w:before="60" w:after="60" w:line="300" w:lineRule="auto"/>
              <w:jc w:val="center"/>
              <w:textAlignment w:val="baseline"/>
              <w:rPr>
                <w:rFonts w:eastAsia="Arial" w:cstheme="minorHAnsi"/>
                <w:b/>
                <w:color w:val="FFFFFF" w:themeColor="background1"/>
                <w:sz w:val="18"/>
                <w:szCs w:val="18"/>
              </w:rPr>
            </w:pPr>
            <w:r w:rsidRPr="00644F55">
              <w:rPr>
                <w:rFonts w:eastAsia="Arial" w:cstheme="minorHAnsi"/>
                <w:b/>
                <w:color w:val="FFFFFF" w:themeColor="background1"/>
                <w:sz w:val="18"/>
                <w:szCs w:val="18"/>
              </w:rPr>
              <w:t>% of</w:t>
            </w:r>
            <w:r w:rsidR="00F473FD">
              <w:rPr>
                <w:rFonts w:eastAsia="Arial" w:cstheme="minorHAnsi"/>
                <w:b/>
                <w:color w:val="FFFFFF" w:themeColor="background1"/>
                <w:sz w:val="18"/>
                <w:szCs w:val="18"/>
              </w:rPr>
              <w:t xml:space="preserve"> r</w:t>
            </w:r>
            <w:r w:rsidRPr="00644F55">
              <w:rPr>
                <w:rFonts w:eastAsia="Arial" w:cstheme="minorHAnsi"/>
                <w:b/>
                <w:color w:val="FFFFFF" w:themeColor="background1"/>
                <w:sz w:val="18"/>
                <w:szCs w:val="18"/>
              </w:rPr>
              <w:t xml:space="preserve">ehabilitated </w:t>
            </w:r>
            <w:r w:rsidR="00F473FD">
              <w:rPr>
                <w:rFonts w:eastAsia="Arial" w:cstheme="minorHAnsi"/>
                <w:b/>
                <w:color w:val="FFFFFF" w:themeColor="background1"/>
                <w:sz w:val="18"/>
                <w:szCs w:val="18"/>
              </w:rPr>
              <w:t>a</w:t>
            </w:r>
            <w:r w:rsidRPr="00644F55">
              <w:rPr>
                <w:rFonts w:eastAsia="Arial" w:cstheme="minorHAnsi"/>
                <w:b/>
                <w:color w:val="FFFFFF" w:themeColor="background1"/>
                <w:sz w:val="18"/>
                <w:szCs w:val="18"/>
              </w:rPr>
              <w:t>rea</w:t>
            </w:r>
          </w:p>
        </w:tc>
        <w:tc>
          <w:tcPr>
            <w:tcW w:w="2409" w:type="dxa"/>
            <w:shd w:val="clear" w:color="auto" w:fill="049CD5" w:themeFill="accent3"/>
          </w:tcPr>
          <w:p w14:paraId="0D9E6168" w14:textId="47A5D2A3" w:rsidR="00644F55" w:rsidRPr="00644F55" w:rsidRDefault="00F473FD" w:rsidP="00F473FD">
            <w:pPr>
              <w:spacing w:before="60" w:after="60" w:line="300" w:lineRule="auto"/>
              <w:jc w:val="center"/>
              <w:textAlignment w:val="baseline"/>
              <w:rPr>
                <w:rFonts w:eastAsia="Arial" w:cstheme="minorHAnsi"/>
                <w:b/>
                <w:color w:val="FFFFFF" w:themeColor="background1"/>
                <w:sz w:val="18"/>
                <w:szCs w:val="18"/>
              </w:rPr>
            </w:pPr>
            <w:r>
              <w:rPr>
                <w:rFonts w:eastAsia="Arial" w:cstheme="minorHAnsi"/>
                <w:b/>
                <w:color w:val="FFFFFF" w:themeColor="background1"/>
                <w:sz w:val="18"/>
                <w:szCs w:val="18"/>
              </w:rPr>
              <w:t>Predicted t</w:t>
            </w:r>
            <w:r w:rsidR="00644F55" w:rsidRPr="00644F55">
              <w:rPr>
                <w:rFonts w:eastAsia="Arial" w:cstheme="minorHAnsi"/>
                <w:b/>
                <w:color w:val="FFFFFF" w:themeColor="background1"/>
                <w:sz w:val="18"/>
                <w:szCs w:val="18"/>
              </w:rPr>
              <w:t xml:space="preserve">ime </w:t>
            </w:r>
            <w:r>
              <w:rPr>
                <w:rFonts w:eastAsia="Arial" w:cstheme="minorHAnsi"/>
                <w:b/>
                <w:color w:val="FFFFFF" w:themeColor="background1"/>
                <w:sz w:val="18"/>
                <w:szCs w:val="18"/>
              </w:rPr>
              <w:t xml:space="preserve">(years) </w:t>
            </w:r>
            <w:r w:rsidR="00644F55" w:rsidRPr="00644F55">
              <w:rPr>
                <w:rFonts w:eastAsia="Arial" w:cstheme="minorHAnsi"/>
                <w:b/>
                <w:color w:val="FFFFFF" w:themeColor="background1"/>
                <w:sz w:val="18"/>
                <w:szCs w:val="18"/>
              </w:rPr>
              <w:t xml:space="preserve">for </w:t>
            </w:r>
            <w:r w:rsidR="00644F55" w:rsidRPr="00644F55">
              <w:rPr>
                <w:rFonts w:eastAsia="Arial" w:cstheme="minorHAnsi"/>
                <w:b/>
                <w:color w:val="FFFFFF" w:themeColor="background1"/>
                <w:sz w:val="18"/>
                <w:szCs w:val="18"/>
              </w:rPr>
              <w:br/>
            </w:r>
            <w:r>
              <w:rPr>
                <w:rFonts w:eastAsia="Arial" w:cstheme="minorHAnsi"/>
                <w:b/>
                <w:color w:val="FFFFFF" w:themeColor="background1"/>
                <w:sz w:val="18"/>
                <w:szCs w:val="18"/>
              </w:rPr>
              <w:t>g</w:t>
            </w:r>
            <w:r w:rsidR="00644F55" w:rsidRPr="00644F55">
              <w:rPr>
                <w:rFonts w:eastAsia="Arial" w:cstheme="minorHAnsi"/>
                <w:b/>
                <w:color w:val="FFFFFF" w:themeColor="background1"/>
                <w:sz w:val="18"/>
                <w:szCs w:val="18"/>
              </w:rPr>
              <w:t xml:space="preserve">roundwater </w:t>
            </w:r>
            <w:r w:rsidR="00644F55" w:rsidRPr="00644F55">
              <w:rPr>
                <w:rFonts w:eastAsia="Arial" w:cstheme="minorHAnsi"/>
                <w:b/>
                <w:color w:val="FFFFFF" w:themeColor="background1"/>
                <w:sz w:val="18"/>
                <w:szCs w:val="18"/>
              </w:rPr>
              <w:br/>
              <w:t xml:space="preserve">to </w:t>
            </w:r>
            <w:r w:rsidR="009D2D67">
              <w:rPr>
                <w:rFonts w:eastAsia="Arial" w:cstheme="minorHAnsi"/>
                <w:b/>
                <w:color w:val="FFFFFF" w:themeColor="background1"/>
                <w:sz w:val="18"/>
                <w:szCs w:val="18"/>
              </w:rPr>
              <w:t>‘</w:t>
            </w:r>
            <w:r>
              <w:rPr>
                <w:rFonts w:eastAsia="Arial" w:cstheme="minorHAnsi"/>
                <w:b/>
                <w:color w:val="FFFFFF" w:themeColor="background1"/>
                <w:sz w:val="18"/>
                <w:szCs w:val="18"/>
              </w:rPr>
              <w:t>d</w:t>
            </w:r>
            <w:r w:rsidR="00644F55" w:rsidRPr="00644F55">
              <w:rPr>
                <w:rFonts w:eastAsia="Arial" w:cstheme="minorHAnsi"/>
                <w:b/>
                <w:color w:val="FFFFFF" w:themeColor="background1"/>
                <w:sz w:val="18"/>
                <w:szCs w:val="18"/>
              </w:rPr>
              <w:t>aylight</w:t>
            </w:r>
            <w:r w:rsidR="009D2D67">
              <w:rPr>
                <w:rFonts w:eastAsia="Arial" w:cstheme="minorHAnsi"/>
                <w:b/>
                <w:color w:val="FFFFFF" w:themeColor="background1"/>
                <w:sz w:val="18"/>
                <w:szCs w:val="18"/>
              </w:rPr>
              <w:t>’</w:t>
            </w:r>
            <w:r w:rsidR="00644F55" w:rsidRPr="00644F55">
              <w:rPr>
                <w:rFonts w:eastAsia="Arial" w:cstheme="minorHAnsi"/>
                <w:b/>
                <w:color w:val="FFFFFF" w:themeColor="background1"/>
                <w:sz w:val="18"/>
                <w:szCs w:val="18"/>
              </w:rPr>
              <w:br/>
              <w:t>(post</w:t>
            </w:r>
            <w:r>
              <w:rPr>
                <w:rFonts w:eastAsia="Arial" w:cstheme="minorHAnsi"/>
                <w:b/>
                <w:color w:val="FFFFFF" w:themeColor="background1"/>
                <w:sz w:val="18"/>
                <w:szCs w:val="18"/>
              </w:rPr>
              <w:t>-</w:t>
            </w:r>
            <w:r w:rsidR="00644F55" w:rsidRPr="00644F55">
              <w:rPr>
                <w:rFonts w:eastAsia="Arial" w:cstheme="minorHAnsi"/>
                <w:b/>
                <w:color w:val="FFFFFF" w:themeColor="background1"/>
                <w:sz w:val="18"/>
                <w:szCs w:val="18"/>
              </w:rPr>
              <w:t>mining)</w:t>
            </w:r>
          </w:p>
        </w:tc>
        <w:tc>
          <w:tcPr>
            <w:tcW w:w="1843" w:type="dxa"/>
            <w:shd w:val="clear" w:color="auto" w:fill="049CD5" w:themeFill="accent3"/>
          </w:tcPr>
          <w:p w14:paraId="100B7926" w14:textId="04927C6A" w:rsidR="00644F55" w:rsidRPr="00644F55" w:rsidRDefault="00644F55" w:rsidP="00F473FD">
            <w:pPr>
              <w:spacing w:before="60" w:after="60" w:line="300" w:lineRule="auto"/>
              <w:jc w:val="center"/>
              <w:textAlignment w:val="baseline"/>
              <w:rPr>
                <w:rFonts w:eastAsia="Arial" w:cstheme="minorHAnsi"/>
                <w:b/>
                <w:color w:val="FFFFFF" w:themeColor="background1"/>
                <w:sz w:val="18"/>
                <w:szCs w:val="18"/>
              </w:rPr>
            </w:pPr>
            <w:r w:rsidRPr="00644F55">
              <w:rPr>
                <w:rFonts w:eastAsia="Arial" w:cstheme="minorHAnsi"/>
                <w:b/>
                <w:color w:val="FFFFFF" w:themeColor="background1"/>
                <w:sz w:val="18"/>
                <w:szCs w:val="18"/>
              </w:rPr>
              <w:t>Approximate</w:t>
            </w:r>
            <w:r w:rsidR="00F473FD">
              <w:rPr>
                <w:rFonts w:eastAsia="Arial" w:cstheme="minorHAnsi"/>
                <w:b/>
                <w:color w:val="FFFFFF" w:themeColor="background1"/>
                <w:sz w:val="18"/>
                <w:szCs w:val="18"/>
              </w:rPr>
              <w:t xml:space="preserve"> </w:t>
            </w:r>
            <w:r w:rsidRPr="00644F55">
              <w:rPr>
                <w:rFonts w:eastAsia="Arial" w:cstheme="minorHAnsi"/>
                <w:b/>
                <w:color w:val="FFFFFF" w:themeColor="background1"/>
                <w:sz w:val="18"/>
                <w:szCs w:val="18"/>
              </w:rPr>
              <w:t>year groundwater</w:t>
            </w:r>
            <w:r w:rsidR="00F473FD">
              <w:rPr>
                <w:rFonts w:eastAsia="Arial" w:cstheme="minorHAnsi"/>
                <w:b/>
                <w:color w:val="FFFFFF" w:themeColor="background1"/>
                <w:sz w:val="18"/>
                <w:szCs w:val="18"/>
              </w:rPr>
              <w:t xml:space="preserve"> is predicted to</w:t>
            </w:r>
            <w:r w:rsidRPr="00644F55">
              <w:rPr>
                <w:rFonts w:eastAsia="Arial" w:cstheme="minorHAnsi"/>
                <w:b/>
                <w:color w:val="FFFFFF" w:themeColor="background1"/>
                <w:sz w:val="18"/>
                <w:szCs w:val="18"/>
              </w:rPr>
              <w:t xml:space="preserve"> </w:t>
            </w:r>
            <w:r w:rsidRPr="00644F55">
              <w:rPr>
                <w:rFonts w:eastAsia="Arial" w:cstheme="minorHAnsi"/>
                <w:b/>
                <w:color w:val="FFFFFF" w:themeColor="background1"/>
                <w:sz w:val="18"/>
                <w:szCs w:val="18"/>
              </w:rPr>
              <w:br/>
              <w:t>reach</w:t>
            </w:r>
            <w:r w:rsidRPr="00644F55">
              <w:rPr>
                <w:rFonts w:eastAsia="Arial" w:cstheme="minorHAnsi"/>
                <w:b/>
                <w:color w:val="FFFFFF" w:themeColor="background1"/>
                <w:sz w:val="18"/>
                <w:szCs w:val="18"/>
              </w:rPr>
              <w:br/>
              <w:t>equilibrium</w:t>
            </w:r>
          </w:p>
        </w:tc>
      </w:tr>
      <w:tr w:rsidR="00F473FD" w:rsidRPr="00644F55" w14:paraId="01850135" w14:textId="77777777" w:rsidTr="00F473FD">
        <w:trPr>
          <w:trHeight w:hRule="exact" w:val="297"/>
        </w:trPr>
        <w:tc>
          <w:tcPr>
            <w:tcW w:w="1018" w:type="dxa"/>
          </w:tcPr>
          <w:p w14:paraId="041B4DD5" w14:textId="79E53DDE"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A (S</w:t>
            </w:r>
            <w:r w:rsidR="00F473FD">
              <w:rPr>
                <w:rFonts w:eastAsia="Arial" w:cstheme="minorHAnsi"/>
                <w:color w:val="000000"/>
                <w:sz w:val="18"/>
                <w:szCs w:val="18"/>
              </w:rPr>
              <w:t>outh</w:t>
            </w:r>
            <w:r w:rsidRPr="00644F55">
              <w:rPr>
                <w:rFonts w:eastAsia="Arial" w:cstheme="minorHAnsi"/>
                <w:color w:val="000000"/>
                <w:sz w:val="18"/>
                <w:szCs w:val="18"/>
              </w:rPr>
              <w:t>)</w:t>
            </w:r>
          </w:p>
        </w:tc>
        <w:tc>
          <w:tcPr>
            <w:tcW w:w="1954" w:type="dxa"/>
          </w:tcPr>
          <w:p w14:paraId="26859768"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121</w:t>
            </w:r>
          </w:p>
        </w:tc>
        <w:tc>
          <w:tcPr>
            <w:tcW w:w="1276" w:type="dxa"/>
          </w:tcPr>
          <w:p w14:paraId="6E0E3F01"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18</w:t>
            </w:r>
          </w:p>
        </w:tc>
        <w:tc>
          <w:tcPr>
            <w:tcW w:w="1559" w:type="dxa"/>
          </w:tcPr>
          <w:p w14:paraId="3393FB7B"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w:t>
            </w:r>
          </w:p>
        </w:tc>
        <w:tc>
          <w:tcPr>
            <w:tcW w:w="1559" w:type="dxa"/>
            <w:vMerge w:val="restart"/>
          </w:tcPr>
          <w:p w14:paraId="4F2369BC" w14:textId="79EBF359"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w:t>
            </w:r>
            <w:r w:rsidR="00F473FD">
              <w:rPr>
                <w:rFonts w:eastAsia="Arial" w:cstheme="minorHAnsi"/>
                <w:color w:val="000000"/>
                <w:sz w:val="18"/>
                <w:szCs w:val="18"/>
              </w:rPr>
              <w:t>,</w:t>
            </w:r>
            <w:r w:rsidRPr="00644F55">
              <w:rPr>
                <w:rFonts w:eastAsia="Arial" w:cstheme="minorHAnsi"/>
                <w:color w:val="000000"/>
                <w:sz w:val="18"/>
                <w:szCs w:val="18"/>
              </w:rPr>
              <w:t>895</w:t>
            </w:r>
          </w:p>
        </w:tc>
        <w:tc>
          <w:tcPr>
            <w:tcW w:w="1560" w:type="dxa"/>
            <w:vMerge w:val="restart"/>
          </w:tcPr>
          <w:p w14:paraId="1C9C3926" w14:textId="75EE0898"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1.3</w:t>
            </w:r>
          </w:p>
        </w:tc>
        <w:tc>
          <w:tcPr>
            <w:tcW w:w="2409" w:type="dxa"/>
          </w:tcPr>
          <w:p w14:paraId="30493734" w14:textId="4803A00E"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50</w:t>
            </w:r>
          </w:p>
        </w:tc>
        <w:tc>
          <w:tcPr>
            <w:tcW w:w="1843" w:type="dxa"/>
          </w:tcPr>
          <w:p w14:paraId="03D79BEA"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2140</w:t>
            </w:r>
          </w:p>
        </w:tc>
      </w:tr>
      <w:tr w:rsidR="00F473FD" w:rsidRPr="00644F55" w14:paraId="60E66BDA" w14:textId="77777777" w:rsidTr="00F473FD">
        <w:trPr>
          <w:trHeight w:hRule="exact" w:val="312"/>
        </w:trPr>
        <w:tc>
          <w:tcPr>
            <w:tcW w:w="1018" w:type="dxa"/>
          </w:tcPr>
          <w:p w14:paraId="668BED46" w14:textId="7FEB3E26"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A (N</w:t>
            </w:r>
            <w:r w:rsidR="00F473FD">
              <w:rPr>
                <w:rFonts w:eastAsia="Arial" w:cstheme="minorHAnsi"/>
                <w:color w:val="000000"/>
                <w:sz w:val="18"/>
                <w:szCs w:val="18"/>
              </w:rPr>
              <w:t>orth</w:t>
            </w:r>
            <w:r w:rsidRPr="00644F55">
              <w:rPr>
                <w:rFonts w:eastAsia="Arial" w:cstheme="minorHAnsi"/>
                <w:color w:val="000000"/>
                <w:sz w:val="18"/>
                <w:szCs w:val="18"/>
              </w:rPr>
              <w:t>)</w:t>
            </w:r>
          </w:p>
        </w:tc>
        <w:tc>
          <w:tcPr>
            <w:tcW w:w="1954" w:type="dxa"/>
          </w:tcPr>
          <w:p w14:paraId="211A77EA"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129</w:t>
            </w:r>
          </w:p>
        </w:tc>
        <w:tc>
          <w:tcPr>
            <w:tcW w:w="1276" w:type="dxa"/>
          </w:tcPr>
          <w:p w14:paraId="0F771704"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889</w:t>
            </w:r>
          </w:p>
        </w:tc>
        <w:tc>
          <w:tcPr>
            <w:tcW w:w="1559" w:type="dxa"/>
          </w:tcPr>
          <w:p w14:paraId="66BAA11C"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12.5</w:t>
            </w:r>
          </w:p>
        </w:tc>
        <w:tc>
          <w:tcPr>
            <w:tcW w:w="1559" w:type="dxa"/>
            <w:vMerge/>
          </w:tcPr>
          <w:p w14:paraId="20C392E7" w14:textId="77777777" w:rsidR="00644F55" w:rsidRPr="00644F55" w:rsidRDefault="00644F55" w:rsidP="00F473FD">
            <w:pPr>
              <w:spacing w:before="60" w:after="60" w:line="300" w:lineRule="auto"/>
              <w:rPr>
                <w:rFonts w:cstheme="minorHAnsi"/>
                <w:sz w:val="18"/>
                <w:szCs w:val="18"/>
              </w:rPr>
            </w:pPr>
          </w:p>
        </w:tc>
        <w:tc>
          <w:tcPr>
            <w:tcW w:w="1560" w:type="dxa"/>
            <w:vMerge/>
          </w:tcPr>
          <w:p w14:paraId="09E778B2" w14:textId="77777777" w:rsidR="00644F55" w:rsidRPr="00644F55" w:rsidRDefault="00644F55" w:rsidP="00F473FD">
            <w:pPr>
              <w:spacing w:before="60" w:after="60" w:line="300" w:lineRule="auto"/>
              <w:rPr>
                <w:rFonts w:cstheme="minorHAnsi"/>
                <w:sz w:val="18"/>
                <w:szCs w:val="18"/>
              </w:rPr>
            </w:pPr>
          </w:p>
        </w:tc>
        <w:tc>
          <w:tcPr>
            <w:tcW w:w="2409" w:type="dxa"/>
          </w:tcPr>
          <w:p w14:paraId="100DF0CD" w14:textId="77DF76AF"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50</w:t>
            </w:r>
          </w:p>
        </w:tc>
        <w:tc>
          <w:tcPr>
            <w:tcW w:w="1843" w:type="dxa"/>
          </w:tcPr>
          <w:p w14:paraId="01DB9B6E"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2140</w:t>
            </w:r>
          </w:p>
        </w:tc>
      </w:tr>
      <w:tr w:rsidR="00F473FD" w:rsidRPr="00644F55" w14:paraId="260D1722" w14:textId="77777777" w:rsidTr="00F473FD">
        <w:trPr>
          <w:trHeight w:hRule="exact" w:val="317"/>
        </w:trPr>
        <w:tc>
          <w:tcPr>
            <w:tcW w:w="1018" w:type="dxa"/>
          </w:tcPr>
          <w:p w14:paraId="02C48070"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B</w:t>
            </w:r>
          </w:p>
        </w:tc>
        <w:tc>
          <w:tcPr>
            <w:tcW w:w="1954" w:type="dxa"/>
          </w:tcPr>
          <w:p w14:paraId="478004EE"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109</w:t>
            </w:r>
          </w:p>
        </w:tc>
        <w:tc>
          <w:tcPr>
            <w:tcW w:w="1276" w:type="dxa"/>
          </w:tcPr>
          <w:p w14:paraId="1549F9CE"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476</w:t>
            </w:r>
          </w:p>
        </w:tc>
        <w:tc>
          <w:tcPr>
            <w:tcW w:w="1559" w:type="dxa"/>
          </w:tcPr>
          <w:p w14:paraId="5201080F"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11.8</w:t>
            </w:r>
          </w:p>
        </w:tc>
        <w:tc>
          <w:tcPr>
            <w:tcW w:w="1559" w:type="dxa"/>
            <w:vMerge/>
          </w:tcPr>
          <w:p w14:paraId="0C9F1872" w14:textId="77777777" w:rsidR="00644F55" w:rsidRPr="00644F55" w:rsidRDefault="00644F55" w:rsidP="00F473FD">
            <w:pPr>
              <w:spacing w:before="60" w:after="60" w:line="300" w:lineRule="auto"/>
              <w:rPr>
                <w:rFonts w:cstheme="minorHAnsi"/>
                <w:sz w:val="18"/>
                <w:szCs w:val="18"/>
              </w:rPr>
            </w:pPr>
          </w:p>
        </w:tc>
        <w:tc>
          <w:tcPr>
            <w:tcW w:w="1560" w:type="dxa"/>
            <w:vMerge/>
          </w:tcPr>
          <w:p w14:paraId="4E797D98" w14:textId="77777777" w:rsidR="00644F55" w:rsidRPr="00644F55" w:rsidRDefault="00644F55" w:rsidP="00F473FD">
            <w:pPr>
              <w:spacing w:before="60" w:after="60" w:line="300" w:lineRule="auto"/>
              <w:rPr>
                <w:rFonts w:cstheme="minorHAnsi"/>
                <w:sz w:val="18"/>
                <w:szCs w:val="18"/>
              </w:rPr>
            </w:pPr>
          </w:p>
        </w:tc>
        <w:tc>
          <w:tcPr>
            <w:tcW w:w="2409" w:type="dxa"/>
          </w:tcPr>
          <w:p w14:paraId="25D40231" w14:textId="68C99E84"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50</w:t>
            </w:r>
          </w:p>
        </w:tc>
        <w:tc>
          <w:tcPr>
            <w:tcW w:w="1843" w:type="dxa"/>
          </w:tcPr>
          <w:p w14:paraId="5164E0B3"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2200</w:t>
            </w:r>
          </w:p>
        </w:tc>
      </w:tr>
      <w:tr w:rsidR="00F473FD" w:rsidRPr="00644F55" w14:paraId="54CEBA13" w14:textId="77777777" w:rsidTr="00F473FD">
        <w:trPr>
          <w:trHeight w:hRule="exact" w:val="312"/>
        </w:trPr>
        <w:tc>
          <w:tcPr>
            <w:tcW w:w="1018" w:type="dxa"/>
          </w:tcPr>
          <w:p w14:paraId="5F3D409A"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CD</w:t>
            </w:r>
          </w:p>
        </w:tc>
        <w:tc>
          <w:tcPr>
            <w:tcW w:w="1954" w:type="dxa"/>
          </w:tcPr>
          <w:p w14:paraId="4BE43833"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121</w:t>
            </w:r>
          </w:p>
        </w:tc>
        <w:tc>
          <w:tcPr>
            <w:tcW w:w="1276" w:type="dxa"/>
          </w:tcPr>
          <w:p w14:paraId="0D4CD7B8"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19,416</w:t>
            </w:r>
          </w:p>
        </w:tc>
        <w:tc>
          <w:tcPr>
            <w:tcW w:w="1559" w:type="dxa"/>
          </w:tcPr>
          <w:p w14:paraId="57FC637E"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126.2</w:t>
            </w:r>
          </w:p>
        </w:tc>
        <w:tc>
          <w:tcPr>
            <w:tcW w:w="1559" w:type="dxa"/>
            <w:vMerge w:val="restart"/>
          </w:tcPr>
          <w:p w14:paraId="0881B4B7"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2,333</w:t>
            </w:r>
          </w:p>
        </w:tc>
        <w:tc>
          <w:tcPr>
            <w:tcW w:w="1560" w:type="dxa"/>
            <w:vMerge w:val="restart"/>
          </w:tcPr>
          <w:p w14:paraId="72FE7F15" w14:textId="728D9B02"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5.5</w:t>
            </w:r>
          </w:p>
        </w:tc>
        <w:tc>
          <w:tcPr>
            <w:tcW w:w="2409" w:type="dxa"/>
          </w:tcPr>
          <w:p w14:paraId="285E4815" w14:textId="29849C34"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55</w:t>
            </w:r>
          </w:p>
        </w:tc>
        <w:tc>
          <w:tcPr>
            <w:tcW w:w="1843" w:type="dxa"/>
          </w:tcPr>
          <w:p w14:paraId="4400266B"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2220</w:t>
            </w:r>
          </w:p>
        </w:tc>
      </w:tr>
      <w:tr w:rsidR="00F473FD" w:rsidRPr="00644F55" w14:paraId="789B84F7" w14:textId="77777777" w:rsidTr="00F473FD">
        <w:trPr>
          <w:trHeight w:hRule="exact" w:val="312"/>
        </w:trPr>
        <w:tc>
          <w:tcPr>
            <w:tcW w:w="1018" w:type="dxa"/>
          </w:tcPr>
          <w:p w14:paraId="19C557A0"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E</w:t>
            </w:r>
          </w:p>
        </w:tc>
        <w:tc>
          <w:tcPr>
            <w:tcW w:w="1954" w:type="dxa"/>
          </w:tcPr>
          <w:p w14:paraId="42BF5E1B"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134.1</w:t>
            </w:r>
          </w:p>
        </w:tc>
        <w:tc>
          <w:tcPr>
            <w:tcW w:w="1276" w:type="dxa"/>
          </w:tcPr>
          <w:p w14:paraId="428A0880"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61</w:t>
            </w:r>
          </w:p>
        </w:tc>
        <w:tc>
          <w:tcPr>
            <w:tcW w:w="1559" w:type="dxa"/>
          </w:tcPr>
          <w:p w14:paraId="4474F669"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2.4</w:t>
            </w:r>
          </w:p>
        </w:tc>
        <w:tc>
          <w:tcPr>
            <w:tcW w:w="1559" w:type="dxa"/>
            <w:vMerge/>
          </w:tcPr>
          <w:p w14:paraId="561DE0CD" w14:textId="77777777" w:rsidR="00644F55" w:rsidRPr="00644F55" w:rsidRDefault="00644F55" w:rsidP="00F473FD">
            <w:pPr>
              <w:spacing w:before="60" w:after="60" w:line="300" w:lineRule="auto"/>
              <w:rPr>
                <w:rFonts w:cstheme="minorHAnsi"/>
                <w:sz w:val="18"/>
                <w:szCs w:val="18"/>
              </w:rPr>
            </w:pPr>
          </w:p>
        </w:tc>
        <w:tc>
          <w:tcPr>
            <w:tcW w:w="1560" w:type="dxa"/>
            <w:vMerge/>
          </w:tcPr>
          <w:p w14:paraId="5345FD53" w14:textId="77777777" w:rsidR="00644F55" w:rsidRPr="00644F55" w:rsidRDefault="00644F55" w:rsidP="00F473FD">
            <w:pPr>
              <w:spacing w:before="60" w:after="60" w:line="300" w:lineRule="auto"/>
              <w:rPr>
                <w:rFonts w:cstheme="minorHAnsi"/>
                <w:sz w:val="18"/>
                <w:szCs w:val="18"/>
              </w:rPr>
            </w:pPr>
          </w:p>
        </w:tc>
        <w:tc>
          <w:tcPr>
            <w:tcW w:w="2409" w:type="dxa"/>
          </w:tcPr>
          <w:p w14:paraId="3F1445B9" w14:textId="170F3CB8"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55</w:t>
            </w:r>
          </w:p>
        </w:tc>
        <w:tc>
          <w:tcPr>
            <w:tcW w:w="1843" w:type="dxa"/>
          </w:tcPr>
          <w:p w14:paraId="07C3AB9E"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2185</w:t>
            </w:r>
          </w:p>
        </w:tc>
      </w:tr>
      <w:tr w:rsidR="00F473FD" w:rsidRPr="00644F55" w14:paraId="7C2B12B8" w14:textId="77777777" w:rsidTr="00F473FD">
        <w:trPr>
          <w:trHeight w:hRule="exact" w:val="349"/>
        </w:trPr>
        <w:tc>
          <w:tcPr>
            <w:tcW w:w="1018" w:type="dxa"/>
          </w:tcPr>
          <w:p w14:paraId="0148FD42"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F</w:t>
            </w:r>
          </w:p>
        </w:tc>
        <w:tc>
          <w:tcPr>
            <w:tcW w:w="4789" w:type="dxa"/>
            <w:gridSpan w:val="3"/>
          </w:tcPr>
          <w:p w14:paraId="7308C881" w14:textId="74B3C7D3"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Groundwater will not daylight in this</w:t>
            </w:r>
            <w:r w:rsidR="00F473FD">
              <w:rPr>
                <w:rFonts w:eastAsia="Arial" w:cstheme="minorHAnsi"/>
                <w:color w:val="000000"/>
                <w:sz w:val="18"/>
                <w:szCs w:val="18"/>
              </w:rPr>
              <w:t xml:space="preserve"> </w:t>
            </w:r>
            <w:r w:rsidRPr="00644F55">
              <w:rPr>
                <w:rFonts w:eastAsia="Arial" w:cstheme="minorHAnsi"/>
                <w:color w:val="000000"/>
                <w:sz w:val="18"/>
                <w:szCs w:val="18"/>
              </w:rPr>
              <w:t>area</w:t>
            </w:r>
          </w:p>
        </w:tc>
        <w:tc>
          <w:tcPr>
            <w:tcW w:w="1559" w:type="dxa"/>
            <w:vMerge w:val="restart"/>
          </w:tcPr>
          <w:p w14:paraId="3300E8E9"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1,767</w:t>
            </w:r>
          </w:p>
        </w:tc>
        <w:tc>
          <w:tcPr>
            <w:tcW w:w="1560" w:type="dxa"/>
            <w:vMerge w:val="restart"/>
          </w:tcPr>
          <w:p w14:paraId="44F409C9" w14:textId="009EEDEB"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0</w:t>
            </w:r>
          </w:p>
        </w:tc>
        <w:tc>
          <w:tcPr>
            <w:tcW w:w="2409" w:type="dxa"/>
          </w:tcPr>
          <w:p w14:paraId="6128475F" w14:textId="5E16362F"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N</w:t>
            </w:r>
            <w:r w:rsidR="00F473FD">
              <w:rPr>
                <w:rFonts w:eastAsia="Arial" w:cstheme="minorHAnsi"/>
                <w:color w:val="000000"/>
                <w:sz w:val="18"/>
                <w:szCs w:val="18"/>
              </w:rPr>
              <w:t>/a</w:t>
            </w:r>
          </w:p>
        </w:tc>
        <w:tc>
          <w:tcPr>
            <w:tcW w:w="1843" w:type="dxa"/>
          </w:tcPr>
          <w:p w14:paraId="6147022B" w14:textId="49D1C7A1"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N/</w:t>
            </w:r>
            <w:r w:rsidR="00F473FD">
              <w:rPr>
                <w:rFonts w:eastAsia="Arial" w:cstheme="minorHAnsi"/>
                <w:color w:val="000000"/>
                <w:sz w:val="18"/>
                <w:szCs w:val="18"/>
              </w:rPr>
              <w:t>a</w:t>
            </w:r>
          </w:p>
        </w:tc>
      </w:tr>
      <w:tr w:rsidR="00F473FD" w:rsidRPr="00644F55" w14:paraId="550A6601" w14:textId="77777777" w:rsidTr="00F473FD">
        <w:trPr>
          <w:trHeight w:hRule="exact" w:val="423"/>
        </w:trPr>
        <w:tc>
          <w:tcPr>
            <w:tcW w:w="1018" w:type="dxa"/>
          </w:tcPr>
          <w:p w14:paraId="1B7A1AA7" w14:textId="77777777"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Y</w:t>
            </w:r>
          </w:p>
        </w:tc>
        <w:tc>
          <w:tcPr>
            <w:tcW w:w="4789" w:type="dxa"/>
            <w:gridSpan w:val="3"/>
          </w:tcPr>
          <w:p w14:paraId="2F50DAAB" w14:textId="228B85B5"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Groundwater will not daylight in this</w:t>
            </w:r>
            <w:r w:rsidR="00F473FD">
              <w:rPr>
                <w:rFonts w:eastAsia="Arial" w:cstheme="minorHAnsi"/>
                <w:color w:val="000000"/>
                <w:sz w:val="18"/>
                <w:szCs w:val="18"/>
              </w:rPr>
              <w:t xml:space="preserve"> </w:t>
            </w:r>
            <w:r w:rsidRPr="00644F55">
              <w:rPr>
                <w:rFonts w:eastAsia="Arial" w:cstheme="minorHAnsi"/>
                <w:color w:val="000000"/>
                <w:sz w:val="18"/>
                <w:szCs w:val="18"/>
              </w:rPr>
              <w:t>area</w:t>
            </w:r>
          </w:p>
        </w:tc>
        <w:tc>
          <w:tcPr>
            <w:tcW w:w="1559" w:type="dxa"/>
            <w:vMerge/>
          </w:tcPr>
          <w:p w14:paraId="4BE1903C" w14:textId="77777777" w:rsidR="00644F55" w:rsidRPr="00644F55" w:rsidRDefault="00644F55" w:rsidP="00F473FD">
            <w:pPr>
              <w:spacing w:before="60" w:after="60" w:line="300" w:lineRule="auto"/>
              <w:rPr>
                <w:rFonts w:cstheme="minorHAnsi"/>
                <w:sz w:val="18"/>
                <w:szCs w:val="18"/>
              </w:rPr>
            </w:pPr>
          </w:p>
        </w:tc>
        <w:tc>
          <w:tcPr>
            <w:tcW w:w="1560" w:type="dxa"/>
            <w:vMerge/>
          </w:tcPr>
          <w:p w14:paraId="27673DE4" w14:textId="77777777" w:rsidR="00644F55" w:rsidRPr="00644F55" w:rsidRDefault="00644F55" w:rsidP="00F473FD">
            <w:pPr>
              <w:spacing w:before="60" w:after="60" w:line="300" w:lineRule="auto"/>
              <w:rPr>
                <w:rFonts w:cstheme="minorHAnsi"/>
                <w:sz w:val="18"/>
                <w:szCs w:val="18"/>
              </w:rPr>
            </w:pPr>
          </w:p>
        </w:tc>
        <w:tc>
          <w:tcPr>
            <w:tcW w:w="2409" w:type="dxa"/>
          </w:tcPr>
          <w:p w14:paraId="3EBE237A" w14:textId="714C3941"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N</w:t>
            </w:r>
            <w:r w:rsidR="00F473FD">
              <w:rPr>
                <w:rFonts w:eastAsia="Arial" w:cstheme="minorHAnsi"/>
                <w:color w:val="000000"/>
                <w:sz w:val="18"/>
                <w:szCs w:val="18"/>
              </w:rPr>
              <w:t>/a</w:t>
            </w:r>
          </w:p>
        </w:tc>
        <w:tc>
          <w:tcPr>
            <w:tcW w:w="1843" w:type="dxa"/>
          </w:tcPr>
          <w:p w14:paraId="1F63DC62" w14:textId="4F3BF23E" w:rsidR="00644F55" w:rsidRPr="00644F55" w:rsidRDefault="00644F55" w:rsidP="00F473FD">
            <w:pPr>
              <w:spacing w:before="60" w:after="60" w:line="300" w:lineRule="auto"/>
              <w:jc w:val="center"/>
              <w:textAlignment w:val="baseline"/>
              <w:rPr>
                <w:rFonts w:eastAsia="Arial" w:cstheme="minorHAnsi"/>
                <w:color w:val="000000"/>
                <w:sz w:val="18"/>
                <w:szCs w:val="18"/>
              </w:rPr>
            </w:pPr>
            <w:r w:rsidRPr="00644F55">
              <w:rPr>
                <w:rFonts w:eastAsia="Arial" w:cstheme="minorHAnsi"/>
                <w:color w:val="000000"/>
                <w:sz w:val="18"/>
                <w:szCs w:val="18"/>
              </w:rPr>
              <w:t>N/</w:t>
            </w:r>
            <w:r w:rsidR="00F473FD">
              <w:rPr>
                <w:rFonts w:eastAsia="Arial" w:cstheme="minorHAnsi"/>
                <w:color w:val="000000"/>
                <w:sz w:val="18"/>
                <w:szCs w:val="18"/>
              </w:rPr>
              <w:t>a</w:t>
            </w:r>
          </w:p>
        </w:tc>
      </w:tr>
    </w:tbl>
    <w:p w14:paraId="792C2BA1" w14:textId="77777777" w:rsidR="00F473FD" w:rsidRPr="00F473FD" w:rsidRDefault="00F473FD" w:rsidP="00F473FD">
      <w:pPr>
        <w:pStyle w:val="BodyText"/>
        <w:spacing w:before="0" w:after="0"/>
        <w:rPr>
          <w:b/>
          <w:bCs/>
          <w:i/>
          <w:iCs/>
          <w:sz w:val="18"/>
          <w:szCs w:val="18"/>
        </w:rPr>
      </w:pPr>
      <w:r w:rsidRPr="00F473FD">
        <w:rPr>
          <w:b/>
          <w:bCs/>
          <w:i/>
          <w:iCs/>
          <w:sz w:val="18"/>
          <w:szCs w:val="18"/>
        </w:rPr>
        <w:t>Note:</w:t>
      </w:r>
    </w:p>
    <w:p w14:paraId="00D1C5CE" w14:textId="00506663" w:rsidR="00F473FD" w:rsidRPr="00F473FD" w:rsidRDefault="00F473FD" w:rsidP="00F473FD">
      <w:pPr>
        <w:pStyle w:val="BodyText"/>
        <w:spacing w:before="0" w:after="0"/>
        <w:rPr>
          <w:i/>
          <w:iCs/>
          <w:sz w:val="18"/>
          <w:szCs w:val="18"/>
        </w:rPr>
        <w:sectPr w:rsidR="00F473FD" w:rsidRPr="00F473FD" w:rsidSect="00644F55">
          <w:pgSz w:w="16839" w:h="11907" w:orient="landscape" w:code="9"/>
          <w:pgMar w:top="1440" w:right="1440" w:bottom="1440" w:left="1134" w:header="340" w:footer="340" w:gutter="0"/>
          <w:cols w:space="708"/>
          <w:docGrid w:linePitch="360"/>
        </w:sectPr>
      </w:pPr>
      <w:r w:rsidRPr="00F473FD">
        <w:rPr>
          <w:i/>
          <w:iCs/>
          <w:sz w:val="18"/>
          <w:szCs w:val="18"/>
        </w:rPr>
        <w:t>N/a: not applicable</w:t>
      </w:r>
      <w:r>
        <w:rPr>
          <w:i/>
          <w:iCs/>
          <w:sz w:val="18"/>
          <w:szCs w:val="18"/>
        </w:rPr>
        <w:t>.</w:t>
      </w:r>
    </w:p>
    <w:p w14:paraId="1FC14978" w14:textId="460FFCC3" w:rsidR="00C12AD6" w:rsidRDefault="00C12AD6" w:rsidP="00C12AD6">
      <w:pPr>
        <w:pStyle w:val="Heading3"/>
      </w:pPr>
      <w:bookmarkStart w:id="285" w:name="_Toc87278371"/>
      <w:r>
        <w:lastRenderedPageBreak/>
        <w:t>Potential impacts</w:t>
      </w:r>
      <w:bookmarkEnd w:id="285"/>
    </w:p>
    <w:p w14:paraId="7D27477F" w14:textId="0E5B5E23" w:rsidR="00270086" w:rsidRDefault="004A6AD2" w:rsidP="004A6AD2">
      <w:pPr>
        <w:pStyle w:val="BodyText"/>
      </w:pPr>
      <w:r w:rsidRPr="004A6AD2">
        <w:t>E</w:t>
      </w:r>
      <w:r w:rsidR="00270086">
        <w:t>nsham (2019</w:t>
      </w:r>
      <w:r w:rsidR="0022733D">
        <w:t>b</w:t>
      </w:r>
      <w:r w:rsidR="00270086">
        <w:t xml:space="preserve">) </w:t>
      </w:r>
      <w:r w:rsidRPr="004A6AD2">
        <w:t xml:space="preserve">made the following conclusions regarding potential water quantity and quality impacts as a consequence </w:t>
      </w:r>
      <w:r w:rsidR="00270086">
        <w:t xml:space="preserve">of the </w:t>
      </w:r>
      <w:r w:rsidR="00270086" w:rsidRPr="0081651E">
        <w:t>selected ‘Final Option’ (</w:t>
      </w:r>
      <w:r w:rsidR="00270086" w:rsidRPr="00620689">
        <w:rPr>
          <w:i/>
          <w:iCs/>
        </w:rPr>
        <w:t>Option 2</w:t>
      </w:r>
      <w:r w:rsidR="00620689" w:rsidRPr="00620689">
        <w:rPr>
          <w:i/>
          <w:iCs/>
        </w:rPr>
        <w:t xml:space="preserve"> – ‘Beneficial use’</w:t>
      </w:r>
      <w:r w:rsidR="00270086" w:rsidRPr="0081651E">
        <w:t>)</w:t>
      </w:r>
      <w:r w:rsidR="00270086">
        <w:t xml:space="preserve"> remediated landform</w:t>
      </w:r>
      <w:r w:rsidR="004C52BE">
        <w:t>.</w:t>
      </w:r>
    </w:p>
    <w:p w14:paraId="34B703F3" w14:textId="52D1C3C5" w:rsidR="00226D25" w:rsidRDefault="00121165" w:rsidP="001628AA">
      <w:pPr>
        <w:pStyle w:val="BodyText"/>
        <w:numPr>
          <w:ilvl w:val="0"/>
          <w:numId w:val="73"/>
        </w:numPr>
        <w:spacing w:before="80" w:after="80"/>
      </w:pPr>
      <w:r>
        <w:t xml:space="preserve">Surface </w:t>
      </w:r>
      <w:r w:rsidR="00226D25" w:rsidRPr="00226D25">
        <w:t>water quality objectives for any downstream users for irrigation, farming, stock use, aquaculture or human consumption purpose</w:t>
      </w:r>
      <w:r>
        <w:t>s is highly unlikely to be impacted.</w:t>
      </w:r>
    </w:p>
    <w:p w14:paraId="24A45B5D" w14:textId="22364328" w:rsidR="00226D25" w:rsidRDefault="00121165" w:rsidP="001628AA">
      <w:pPr>
        <w:pStyle w:val="BodyText"/>
        <w:numPr>
          <w:ilvl w:val="0"/>
          <w:numId w:val="73"/>
        </w:numPr>
        <w:spacing w:before="80" w:after="80"/>
      </w:pPr>
      <w:r>
        <w:t>T</w:t>
      </w:r>
      <w:r w:rsidR="00226D25" w:rsidRPr="00226D25">
        <w:t xml:space="preserve">here is unlikely to be any material change to run-off volumes as a result of the </w:t>
      </w:r>
      <w:r>
        <w:t xml:space="preserve">remediated </w:t>
      </w:r>
      <w:r w:rsidR="00226D25" w:rsidRPr="00226D25">
        <w:t>landform design,</w:t>
      </w:r>
      <w:r w:rsidR="005F29BB">
        <w:t xml:space="preserve"> and consequently</w:t>
      </w:r>
      <w:r w:rsidR="00226D25" w:rsidRPr="00226D25">
        <w:t xml:space="preserve"> </w:t>
      </w:r>
      <w:r w:rsidR="005F29BB">
        <w:t xml:space="preserve">no changes to </w:t>
      </w:r>
      <w:r w:rsidR="00226D25" w:rsidRPr="00226D25">
        <w:t xml:space="preserve">local run-off volumes to the river </w:t>
      </w:r>
      <w:r w:rsidR="005F29BB">
        <w:t>are expected</w:t>
      </w:r>
      <w:r w:rsidR="00226D25" w:rsidRPr="00226D25">
        <w:t>.</w:t>
      </w:r>
    </w:p>
    <w:p w14:paraId="03D18018" w14:textId="0BBA6F0A" w:rsidR="005F29BB" w:rsidRDefault="00121165" w:rsidP="001628AA">
      <w:pPr>
        <w:pStyle w:val="BodyText"/>
        <w:numPr>
          <w:ilvl w:val="0"/>
          <w:numId w:val="73"/>
        </w:numPr>
        <w:spacing w:before="80" w:after="80"/>
      </w:pPr>
      <w:r>
        <w:t xml:space="preserve">On a regional scale, negligible impacts to groundwater levels and groundwater quality are expected. </w:t>
      </w:r>
      <w:r w:rsidR="005F29BB">
        <w:t>N</w:t>
      </w:r>
      <w:r>
        <w:t>egligible groundwater level drawdown in</w:t>
      </w:r>
      <w:r w:rsidR="00124C68">
        <w:t xml:space="preserve"> the </w:t>
      </w:r>
      <w:r w:rsidR="00620689">
        <w:t>Q</w:t>
      </w:r>
      <w:r w:rsidR="00124C68">
        <w:t xml:space="preserve">uaternary </w:t>
      </w:r>
      <w:r>
        <w:t>alluvium</w:t>
      </w:r>
      <w:r w:rsidR="005F29BB">
        <w:t xml:space="preserve"> is predicted</w:t>
      </w:r>
      <w:r>
        <w:t>, and consequently negligible effect</w:t>
      </w:r>
      <w:r w:rsidR="005F29BB">
        <w:t>s</w:t>
      </w:r>
      <w:r>
        <w:t xml:space="preserve"> on river-aquifer interaction </w:t>
      </w:r>
      <w:r w:rsidR="00124C68">
        <w:t>processes</w:t>
      </w:r>
      <w:r w:rsidR="005F29BB">
        <w:t xml:space="preserve"> are anticipated</w:t>
      </w:r>
      <w:r w:rsidR="00124C68">
        <w:t xml:space="preserve">. </w:t>
      </w:r>
    </w:p>
    <w:p w14:paraId="2F4EE9A9" w14:textId="62371EC8" w:rsidR="00121165" w:rsidRDefault="00124C68" w:rsidP="001628AA">
      <w:pPr>
        <w:pStyle w:val="BodyText"/>
        <w:numPr>
          <w:ilvl w:val="0"/>
          <w:numId w:val="73"/>
        </w:numPr>
        <w:spacing w:before="80" w:after="80"/>
      </w:pPr>
      <w:r>
        <w:t xml:space="preserve">No </w:t>
      </w:r>
      <w:r w:rsidR="00121165" w:rsidRPr="00121165">
        <w:t xml:space="preserve">adverse impacts </w:t>
      </w:r>
      <w:r>
        <w:t xml:space="preserve">to </w:t>
      </w:r>
      <w:r w:rsidR="00121165" w:rsidRPr="00121165">
        <w:t xml:space="preserve">the deeper groundwater aquifers (and </w:t>
      </w:r>
      <w:r>
        <w:t xml:space="preserve">their dependent ecosystems) </w:t>
      </w:r>
      <w:r w:rsidR="004C52BE">
        <w:t>are</w:t>
      </w:r>
      <w:r>
        <w:t xml:space="preserve"> expected. </w:t>
      </w:r>
      <w:r w:rsidR="00121165">
        <w:t>Landholder stock and domestic bores are predicted to be affected by less than a 5 m level drawdown</w:t>
      </w:r>
      <w:r w:rsidR="005F29BB">
        <w:t xml:space="preserve"> throughout the 240-year model period.</w:t>
      </w:r>
    </w:p>
    <w:p w14:paraId="01078819" w14:textId="63ECA80A" w:rsidR="00B87165" w:rsidRDefault="000C7472" w:rsidP="00B87165">
      <w:pPr>
        <w:pStyle w:val="BodyText"/>
      </w:pPr>
      <w:r w:rsidRPr="000C7472">
        <w:t>An assessment of potential impacts on land related environmental values was assessed within the R</w:t>
      </w:r>
      <w:r>
        <w:t>VP</w:t>
      </w:r>
      <w:r w:rsidRPr="000C7472">
        <w:t xml:space="preserve"> (Ensha</w:t>
      </w:r>
      <w:r>
        <w:t xml:space="preserve">m, </w:t>
      </w:r>
      <w:r w:rsidRPr="000C7472">
        <w:t>2019</w:t>
      </w:r>
      <w:r>
        <w:t>b</w:t>
      </w:r>
      <w:r w:rsidRPr="000C7472">
        <w:t>). The assessment found that there is one insignificant negative impact from the accumulation of known contaminants to bioaccumulate within void water.</w:t>
      </w:r>
    </w:p>
    <w:p w14:paraId="07E895DF" w14:textId="105951F5" w:rsidR="00C12AD6" w:rsidRDefault="00C12AD6" w:rsidP="00C12AD6">
      <w:pPr>
        <w:pStyle w:val="Heading3"/>
      </w:pPr>
      <w:bookmarkStart w:id="286" w:name="_Ref59181125"/>
      <w:bookmarkStart w:id="287" w:name="_Toc87278372"/>
      <w:r>
        <w:t>Rehabilitation planning</w:t>
      </w:r>
      <w:bookmarkEnd w:id="286"/>
      <w:bookmarkEnd w:id="287"/>
    </w:p>
    <w:p w14:paraId="71A836F8" w14:textId="0CA38603" w:rsidR="000C7472" w:rsidRPr="00935F3F" w:rsidRDefault="000C7472" w:rsidP="000C7472">
      <w:pPr>
        <w:pStyle w:val="BodyText"/>
      </w:pPr>
      <w:r w:rsidRPr="00935F3F">
        <w:t xml:space="preserve">A description of rehabilitation planning for the </w:t>
      </w:r>
      <w:r w:rsidR="00FC2510">
        <w:t xml:space="preserve">mine site </w:t>
      </w:r>
      <w:r w:rsidRPr="00935F3F">
        <w:t xml:space="preserve">is described within the </w:t>
      </w:r>
      <w:r>
        <w:t>Rehabilitation Management Plan (Ensham, 2019a) and is</w:t>
      </w:r>
      <w:r w:rsidRPr="00935F3F">
        <w:t xml:space="preserve"> summarised in the sections below, particularly where they apply to rehabilitation of final voids.</w:t>
      </w:r>
    </w:p>
    <w:p w14:paraId="5D51B0EB" w14:textId="77777777" w:rsidR="000C7472" w:rsidRPr="00935F3F" w:rsidRDefault="000C7472" w:rsidP="000C7472">
      <w:pPr>
        <w:pStyle w:val="Heading4"/>
        <w:numPr>
          <w:ilvl w:val="3"/>
          <w:numId w:val="4"/>
        </w:numPr>
      </w:pPr>
      <w:r w:rsidRPr="00935F3F">
        <w:t>Rehabilitation management and planning</w:t>
      </w:r>
    </w:p>
    <w:p w14:paraId="21FD113F" w14:textId="77777777" w:rsidR="000C7472" w:rsidRPr="00935F3F" w:rsidRDefault="000C7472" w:rsidP="000C7472">
      <w:pPr>
        <w:pStyle w:val="BodyText"/>
      </w:pPr>
      <w:r w:rsidRPr="00935F3F">
        <w:t xml:space="preserve">Rehabilitation goals at Ensham </w:t>
      </w:r>
      <w:r>
        <w:t>Coal Mine</w:t>
      </w:r>
      <w:r w:rsidRPr="00935F3F">
        <w:t xml:space="preserve"> are consistent with Queensland guidelines, Rehabilitation Requirements for Mining Resource Activities (DES, 2014). These goals require post-mining landforms to be:</w:t>
      </w:r>
    </w:p>
    <w:p w14:paraId="048B6A9E" w14:textId="09B61EBA" w:rsidR="000C7472" w:rsidRPr="00935F3F" w:rsidRDefault="004C52BE" w:rsidP="001628AA">
      <w:pPr>
        <w:pStyle w:val="BodyText"/>
        <w:numPr>
          <w:ilvl w:val="0"/>
          <w:numId w:val="51"/>
        </w:numPr>
        <w:spacing w:before="80" w:after="80"/>
      </w:pPr>
      <w:r>
        <w:t>s</w:t>
      </w:r>
      <w:r w:rsidR="000C7472" w:rsidRPr="00935F3F">
        <w:t>afe to humans and wildlife</w:t>
      </w:r>
      <w:r>
        <w:t>;</w:t>
      </w:r>
    </w:p>
    <w:p w14:paraId="7385E2DF" w14:textId="77F7AE0A" w:rsidR="000C7472" w:rsidRPr="00935F3F" w:rsidRDefault="004C52BE" w:rsidP="001628AA">
      <w:pPr>
        <w:pStyle w:val="BodyText"/>
        <w:numPr>
          <w:ilvl w:val="0"/>
          <w:numId w:val="51"/>
        </w:numPr>
        <w:spacing w:before="80" w:after="80"/>
      </w:pPr>
      <w:r>
        <w:t>n</w:t>
      </w:r>
      <w:r w:rsidR="000C7472" w:rsidRPr="00935F3F">
        <w:t>on-polluting</w:t>
      </w:r>
      <w:r>
        <w:t>;</w:t>
      </w:r>
      <w:r w:rsidR="000C7472" w:rsidRPr="00935F3F">
        <w:t xml:space="preserve"> </w:t>
      </w:r>
    </w:p>
    <w:p w14:paraId="725D7D0B" w14:textId="76BF92E6" w:rsidR="000C7472" w:rsidRPr="00935F3F" w:rsidRDefault="004C52BE" w:rsidP="001628AA">
      <w:pPr>
        <w:pStyle w:val="BodyText"/>
        <w:numPr>
          <w:ilvl w:val="0"/>
          <w:numId w:val="51"/>
        </w:numPr>
        <w:spacing w:before="80" w:after="80"/>
      </w:pPr>
      <w:r>
        <w:t>s</w:t>
      </w:r>
      <w:r w:rsidR="000C7472" w:rsidRPr="00935F3F">
        <w:t>table</w:t>
      </w:r>
      <w:r>
        <w:t>; and</w:t>
      </w:r>
    </w:p>
    <w:p w14:paraId="07930EE7" w14:textId="2E7370F9" w:rsidR="000C7472" w:rsidRPr="00935F3F" w:rsidRDefault="004C52BE" w:rsidP="001628AA">
      <w:pPr>
        <w:pStyle w:val="BodyText"/>
        <w:numPr>
          <w:ilvl w:val="0"/>
          <w:numId w:val="51"/>
        </w:numPr>
        <w:spacing w:before="80" w:after="80"/>
      </w:pPr>
      <w:r>
        <w:t>a</w:t>
      </w:r>
      <w:r w:rsidR="000C7472" w:rsidRPr="00935F3F">
        <w:t xml:space="preserve">ble to sustain an agreed post-mining land use. </w:t>
      </w:r>
    </w:p>
    <w:p w14:paraId="2FAF69CB" w14:textId="7772E6DE" w:rsidR="000C7472" w:rsidRDefault="000C7472" w:rsidP="000C7472">
      <w:pPr>
        <w:pStyle w:val="BodyText"/>
      </w:pPr>
      <w:r>
        <w:t xml:space="preserve">The </w:t>
      </w:r>
      <w:r w:rsidR="00FC2510">
        <w:t>mine site</w:t>
      </w:r>
      <w:r>
        <w:t xml:space="preserve"> has been divided into five domains for rehabilitation, of which the voids will consist of three; sustainable grazing/water body, native bushland corridor and self-sustaining vegetated cover. Rehabilitation objectives have been developed for each domain. The objectives for void domains are shown in </w:t>
      </w:r>
      <w:r w:rsidR="00FC2510">
        <w:rPr>
          <w:highlight w:val="yellow"/>
        </w:rPr>
        <w:fldChar w:fldCharType="begin"/>
      </w:r>
      <w:r w:rsidR="00FC2510">
        <w:instrText xml:space="preserve"> REF _Ref59379115 \h </w:instrText>
      </w:r>
      <w:r w:rsidR="00FC2510">
        <w:rPr>
          <w:highlight w:val="yellow"/>
        </w:rPr>
      </w:r>
      <w:r w:rsidR="00FC2510">
        <w:rPr>
          <w:highlight w:val="yellow"/>
        </w:rPr>
        <w:fldChar w:fldCharType="separate"/>
      </w:r>
      <w:r w:rsidR="00937ADD">
        <w:t xml:space="preserve">Table </w:t>
      </w:r>
      <w:r w:rsidR="00937ADD">
        <w:rPr>
          <w:noProof/>
        </w:rPr>
        <w:t>5</w:t>
      </w:r>
      <w:r w:rsidR="00937ADD">
        <w:noBreakHyphen/>
      </w:r>
      <w:r w:rsidR="00937ADD">
        <w:rPr>
          <w:noProof/>
        </w:rPr>
        <w:t>12</w:t>
      </w:r>
      <w:r w:rsidR="00FC2510">
        <w:rPr>
          <w:highlight w:val="yellow"/>
        </w:rPr>
        <w:fldChar w:fldCharType="end"/>
      </w:r>
      <w:r w:rsidR="00FC2510">
        <w:t>.</w:t>
      </w:r>
    </w:p>
    <w:p w14:paraId="3F85934B" w14:textId="41F46142" w:rsidR="00B71DC6" w:rsidRDefault="00B71DC6" w:rsidP="000C7472">
      <w:pPr>
        <w:pStyle w:val="BodyText"/>
      </w:pPr>
    </w:p>
    <w:p w14:paraId="5743F844" w14:textId="0150A997" w:rsidR="00B71DC6" w:rsidRDefault="00B71DC6" w:rsidP="000C7472">
      <w:pPr>
        <w:pStyle w:val="BodyText"/>
      </w:pPr>
    </w:p>
    <w:p w14:paraId="0E86A5B4" w14:textId="2D22FD02" w:rsidR="00B71DC6" w:rsidRDefault="00B71DC6" w:rsidP="000C7472">
      <w:pPr>
        <w:pStyle w:val="BodyText"/>
      </w:pPr>
    </w:p>
    <w:p w14:paraId="325113FD" w14:textId="77777777" w:rsidR="007F538E" w:rsidRDefault="007F538E" w:rsidP="000C7472">
      <w:pPr>
        <w:pStyle w:val="BodyText"/>
      </w:pPr>
    </w:p>
    <w:p w14:paraId="1022F8CE" w14:textId="374BEC0D" w:rsidR="00B71DC6" w:rsidRDefault="00B71DC6" w:rsidP="000C7472">
      <w:pPr>
        <w:pStyle w:val="BodyText"/>
      </w:pPr>
    </w:p>
    <w:p w14:paraId="76AB7B85" w14:textId="1A5D45F1" w:rsidR="0048078C" w:rsidRDefault="0048078C" w:rsidP="000C7472">
      <w:pPr>
        <w:pStyle w:val="BodyText"/>
      </w:pPr>
    </w:p>
    <w:p w14:paraId="0750E34E" w14:textId="77777777" w:rsidR="0048078C" w:rsidRDefault="0048078C" w:rsidP="000C7472">
      <w:pPr>
        <w:pStyle w:val="BodyText"/>
      </w:pPr>
    </w:p>
    <w:p w14:paraId="5C9736C1" w14:textId="3EF0E702" w:rsidR="00FC2510" w:rsidRDefault="00FC2510" w:rsidP="00FC2510">
      <w:pPr>
        <w:pStyle w:val="Caption"/>
      </w:pPr>
      <w:bookmarkStart w:id="288" w:name="_Ref59379115"/>
      <w:bookmarkStart w:id="289" w:name="_Toc65140593"/>
      <w:r>
        <w:lastRenderedPageBreak/>
        <w:t xml:space="preserve">Table </w:t>
      </w:r>
      <w:fldSimple w:instr=" STYLEREF 1 \s ">
        <w:r w:rsidR="00937ADD">
          <w:rPr>
            <w:noProof/>
          </w:rPr>
          <w:t>5</w:t>
        </w:r>
      </w:fldSimple>
      <w:r w:rsidR="002714CC">
        <w:noBreakHyphen/>
      </w:r>
      <w:fldSimple w:instr=" SEQ Table \* ARABIC \s 1 ">
        <w:r w:rsidR="00937ADD">
          <w:rPr>
            <w:noProof/>
          </w:rPr>
          <w:t>12</w:t>
        </w:r>
      </w:fldSimple>
      <w:bookmarkEnd w:id="288"/>
      <w:r>
        <w:t xml:space="preserve"> Ensham rehabilitation objectives for void domains based on rehabilitation goals</w:t>
      </w:r>
      <w:bookmarkEnd w:id="289"/>
    </w:p>
    <w:tbl>
      <w:tblPr>
        <w:tblStyle w:val="Plainblue"/>
        <w:tblW w:w="0" w:type="auto"/>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525"/>
        <w:gridCol w:w="2010"/>
        <w:gridCol w:w="1705"/>
        <w:gridCol w:w="1706"/>
        <w:gridCol w:w="1869"/>
      </w:tblGrid>
      <w:tr w:rsidR="000C7472" w14:paraId="0C2F1900" w14:textId="77777777" w:rsidTr="00FC251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5" w:type="dxa"/>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D0FF33F" w14:textId="77777777" w:rsidR="000C7472" w:rsidRDefault="000C7472" w:rsidP="000C7472">
            <w:pPr>
              <w:pStyle w:val="BodyText"/>
              <w:jc w:val="center"/>
            </w:pPr>
            <w:r>
              <w:t>Domain</w:t>
            </w:r>
          </w:p>
        </w:tc>
        <w:tc>
          <w:tcPr>
            <w:tcW w:w="7290" w:type="dxa"/>
            <w:gridSpan w:val="4"/>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7F3B9E3" w14:textId="77777777" w:rsidR="000C7472" w:rsidRDefault="000C7472" w:rsidP="000C7472">
            <w:pPr>
              <w:pStyle w:val="BodyText"/>
              <w:jc w:val="center"/>
              <w:cnfStyle w:val="100000000000" w:firstRow="1" w:lastRow="0" w:firstColumn="0" w:lastColumn="0" w:oddVBand="0" w:evenVBand="0" w:oddHBand="0" w:evenHBand="0" w:firstRowFirstColumn="0" w:firstRowLastColumn="0" w:lastRowFirstColumn="0" w:lastRowLastColumn="0"/>
            </w:pPr>
            <w:r>
              <w:t>Objectives based on rehabilitation goals</w:t>
            </w:r>
          </w:p>
        </w:tc>
      </w:tr>
      <w:tr w:rsidR="000C7472" w14:paraId="55CA569A" w14:textId="77777777" w:rsidTr="00FC251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5" w:type="dxa"/>
            <w:vMerge/>
            <w:vAlign w:val="center"/>
          </w:tcPr>
          <w:p w14:paraId="05DEDF2F" w14:textId="77777777" w:rsidR="000C7472" w:rsidRDefault="000C7472" w:rsidP="000C7472">
            <w:pPr>
              <w:pStyle w:val="BodyText"/>
              <w:jc w:val="center"/>
            </w:pPr>
          </w:p>
        </w:tc>
        <w:tc>
          <w:tcPr>
            <w:tcW w:w="2010" w:type="dxa"/>
            <w:vAlign w:val="center"/>
          </w:tcPr>
          <w:p w14:paraId="5224BACE" w14:textId="77777777" w:rsidR="000C7472" w:rsidRPr="00FC2510" w:rsidRDefault="000C7472" w:rsidP="000C7472">
            <w:pPr>
              <w:pStyle w:val="BodyText"/>
              <w:jc w:val="center"/>
              <w:cnfStyle w:val="100000000000" w:firstRow="1" w:lastRow="0" w:firstColumn="0" w:lastColumn="0" w:oddVBand="0" w:evenVBand="0" w:oddHBand="0" w:evenHBand="0" w:firstRowFirstColumn="0" w:firstRowLastColumn="0" w:lastRowFirstColumn="0" w:lastRowLastColumn="0"/>
              <w:rPr>
                <w:bCs/>
              </w:rPr>
            </w:pPr>
            <w:r w:rsidRPr="00FC2510">
              <w:rPr>
                <w:bCs/>
              </w:rPr>
              <w:t>Safe to humans and wildlife</w:t>
            </w:r>
          </w:p>
        </w:tc>
        <w:tc>
          <w:tcPr>
            <w:tcW w:w="1705" w:type="dxa"/>
            <w:vAlign w:val="center"/>
          </w:tcPr>
          <w:p w14:paraId="661F5B88" w14:textId="77777777" w:rsidR="000C7472" w:rsidRPr="00FC2510" w:rsidRDefault="000C7472" w:rsidP="000C7472">
            <w:pPr>
              <w:pStyle w:val="BodyText"/>
              <w:jc w:val="center"/>
              <w:cnfStyle w:val="100000000000" w:firstRow="1" w:lastRow="0" w:firstColumn="0" w:lastColumn="0" w:oddVBand="0" w:evenVBand="0" w:oddHBand="0" w:evenHBand="0" w:firstRowFirstColumn="0" w:firstRowLastColumn="0" w:lastRowFirstColumn="0" w:lastRowLastColumn="0"/>
              <w:rPr>
                <w:bCs/>
              </w:rPr>
            </w:pPr>
            <w:r w:rsidRPr="00FC2510">
              <w:rPr>
                <w:bCs/>
              </w:rPr>
              <w:t>Non-polluting</w:t>
            </w:r>
          </w:p>
        </w:tc>
        <w:tc>
          <w:tcPr>
            <w:tcW w:w="1706" w:type="dxa"/>
            <w:vAlign w:val="center"/>
          </w:tcPr>
          <w:p w14:paraId="5C07636B" w14:textId="77777777" w:rsidR="000C7472" w:rsidRPr="00FC2510" w:rsidRDefault="000C7472" w:rsidP="000C7472">
            <w:pPr>
              <w:pStyle w:val="BodyText"/>
              <w:jc w:val="center"/>
              <w:cnfStyle w:val="100000000000" w:firstRow="1" w:lastRow="0" w:firstColumn="0" w:lastColumn="0" w:oddVBand="0" w:evenVBand="0" w:oddHBand="0" w:evenHBand="0" w:firstRowFirstColumn="0" w:firstRowLastColumn="0" w:lastRowFirstColumn="0" w:lastRowLastColumn="0"/>
              <w:rPr>
                <w:bCs/>
              </w:rPr>
            </w:pPr>
            <w:r w:rsidRPr="00FC2510">
              <w:rPr>
                <w:bCs/>
              </w:rPr>
              <w:t>Stable landform</w:t>
            </w:r>
          </w:p>
        </w:tc>
        <w:tc>
          <w:tcPr>
            <w:tcW w:w="1869" w:type="dxa"/>
            <w:vAlign w:val="center"/>
          </w:tcPr>
          <w:p w14:paraId="227DF91B" w14:textId="1FA47B37" w:rsidR="000C7472" w:rsidRPr="00FC2510" w:rsidRDefault="000C7472" w:rsidP="000C7472">
            <w:pPr>
              <w:pStyle w:val="BodyText"/>
              <w:jc w:val="center"/>
              <w:cnfStyle w:val="100000000000" w:firstRow="1" w:lastRow="0" w:firstColumn="0" w:lastColumn="0" w:oddVBand="0" w:evenVBand="0" w:oddHBand="0" w:evenHBand="0" w:firstRowFirstColumn="0" w:firstRowLastColumn="0" w:lastRowFirstColumn="0" w:lastRowLastColumn="0"/>
              <w:rPr>
                <w:bCs/>
              </w:rPr>
            </w:pPr>
            <w:r w:rsidRPr="00FC2510">
              <w:rPr>
                <w:bCs/>
              </w:rPr>
              <w:t>Sustains an agreed post-mining land use</w:t>
            </w:r>
          </w:p>
        </w:tc>
      </w:tr>
      <w:tr w:rsidR="000C7472" w14:paraId="69345D2C" w14:textId="77777777" w:rsidTr="00FC2510">
        <w:tc>
          <w:tcPr>
            <w:cnfStyle w:val="001000000000" w:firstRow="0" w:lastRow="0" w:firstColumn="1" w:lastColumn="0" w:oddVBand="0" w:evenVBand="0" w:oddHBand="0" w:evenHBand="0" w:firstRowFirstColumn="0" w:firstRowLastColumn="0" w:lastRowFirstColumn="0" w:lastRowLastColumn="0"/>
            <w:tcW w:w="1525" w:type="dxa"/>
            <w:vAlign w:val="center"/>
          </w:tcPr>
          <w:p w14:paraId="4E692AF6" w14:textId="77777777" w:rsidR="000C7472" w:rsidRPr="00FC2510" w:rsidRDefault="000C7472" w:rsidP="000C7472">
            <w:pPr>
              <w:pStyle w:val="BodyText"/>
              <w:jc w:val="center"/>
              <w:rPr>
                <w:b/>
                <w:bCs/>
              </w:rPr>
            </w:pPr>
            <w:r w:rsidRPr="00FC2510">
              <w:rPr>
                <w:b/>
                <w:bCs/>
              </w:rPr>
              <w:t>Sustainable grazing / water body</w:t>
            </w:r>
          </w:p>
        </w:tc>
        <w:tc>
          <w:tcPr>
            <w:tcW w:w="2010" w:type="dxa"/>
            <w:vMerge w:val="restart"/>
            <w:vAlign w:val="center"/>
          </w:tcPr>
          <w:p w14:paraId="33A1F11D"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Safety hazards in rehabilitated areas are similar to surrounding regional landscapes</w:t>
            </w:r>
          </w:p>
        </w:tc>
        <w:tc>
          <w:tcPr>
            <w:tcW w:w="1705" w:type="dxa"/>
            <w:vMerge w:val="restart"/>
            <w:vAlign w:val="center"/>
          </w:tcPr>
          <w:p w14:paraId="66ABC5E4"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Surface runoff leaving the domain is non-polluting to receiving environment</w:t>
            </w:r>
          </w:p>
        </w:tc>
        <w:tc>
          <w:tcPr>
            <w:tcW w:w="1706" w:type="dxa"/>
            <w:vMerge w:val="restart"/>
            <w:vAlign w:val="center"/>
          </w:tcPr>
          <w:p w14:paraId="66D3AC4B"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Landforms are both geotechnically and erosionally stable with a Factor of Safety &gt; 1.5</w:t>
            </w:r>
          </w:p>
        </w:tc>
        <w:tc>
          <w:tcPr>
            <w:tcW w:w="1869" w:type="dxa"/>
            <w:vAlign w:val="center"/>
          </w:tcPr>
          <w:p w14:paraId="6185ABBC"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Rehabilitated land is suitable for cattle grazing on landforms A to Y </w:t>
            </w:r>
          </w:p>
          <w:p w14:paraId="601A3A1D"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Aquatic habitat</w:t>
            </w:r>
          </w:p>
        </w:tc>
      </w:tr>
      <w:tr w:rsidR="000C7472" w14:paraId="017692A4" w14:textId="77777777" w:rsidTr="00FC2510">
        <w:tc>
          <w:tcPr>
            <w:cnfStyle w:val="001000000000" w:firstRow="0" w:lastRow="0" w:firstColumn="1" w:lastColumn="0" w:oddVBand="0" w:evenVBand="0" w:oddHBand="0" w:evenHBand="0" w:firstRowFirstColumn="0" w:firstRowLastColumn="0" w:lastRowFirstColumn="0" w:lastRowLastColumn="0"/>
            <w:tcW w:w="1525" w:type="dxa"/>
            <w:vAlign w:val="center"/>
          </w:tcPr>
          <w:p w14:paraId="18E75DBE" w14:textId="77777777" w:rsidR="000C7472" w:rsidRPr="00FC2510" w:rsidRDefault="000C7472" w:rsidP="000C7472">
            <w:pPr>
              <w:pStyle w:val="BodyText"/>
              <w:jc w:val="center"/>
              <w:rPr>
                <w:b/>
                <w:bCs/>
              </w:rPr>
            </w:pPr>
            <w:r w:rsidRPr="00FC2510">
              <w:rPr>
                <w:b/>
                <w:bCs/>
              </w:rPr>
              <w:t>Native bushland corridor</w:t>
            </w:r>
          </w:p>
        </w:tc>
        <w:tc>
          <w:tcPr>
            <w:tcW w:w="2010" w:type="dxa"/>
            <w:vMerge/>
            <w:vAlign w:val="center"/>
          </w:tcPr>
          <w:p w14:paraId="7F04060E"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pPr>
          </w:p>
        </w:tc>
        <w:tc>
          <w:tcPr>
            <w:tcW w:w="1705" w:type="dxa"/>
            <w:vMerge/>
            <w:vAlign w:val="center"/>
          </w:tcPr>
          <w:p w14:paraId="58694497"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pPr>
          </w:p>
        </w:tc>
        <w:tc>
          <w:tcPr>
            <w:tcW w:w="1706" w:type="dxa"/>
            <w:vMerge/>
            <w:vAlign w:val="center"/>
          </w:tcPr>
          <w:p w14:paraId="59793849"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pPr>
          </w:p>
        </w:tc>
        <w:tc>
          <w:tcPr>
            <w:tcW w:w="1869" w:type="dxa"/>
            <w:vAlign w:val="center"/>
          </w:tcPr>
          <w:p w14:paraId="1A7123C9"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pPr>
            <w:r>
              <w:rPr>
                <w:rFonts w:ascii="Arial" w:hAnsi="Arial" w:cs="Arial"/>
              </w:rPr>
              <w:t>Native bushland vegetation corridor allowing connectivity between Corkscrew Creek and Nogoa River</w:t>
            </w:r>
          </w:p>
        </w:tc>
      </w:tr>
      <w:tr w:rsidR="000C7472" w14:paraId="63982783" w14:textId="77777777" w:rsidTr="00FC2510">
        <w:tc>
          <w:tcPr>
            <w:cnfStyle w:val="001000000000" w:firstRow="0" w:lastRow="0" w:firstColumn="1" w:lastColumn="0" w:oddVBand="0" w:evenVBand="0" w:oddHBand="0" w:evenHBand="0" w:firstRowFirstColumn="0" w:firstRowLastColumn="0" w:lastRowFirstColumn="0" w:lastRowLastColumn="0"/>
            <w:tcW w:w="1525" w:type="dxa"/>
            <w:vAlign w:val="center"/>
          </w:tcPr>
          <w:p w14:paraId="3CE44F08" w14:textId="77777777" w:rsidR="000C7472" w:rsidRPr="00FC2510" w:rsidRDefault="000C7472" w:rsidP="000C7472">
            <w:pPr>
              <w:pStyle w:val="BodyText"/>
              <w:jc w:val="center"/>
              <w:rPr>
                <w:b/>
                <w:bCs/>
              </w:rPr>
            </w:pPr>
            <w:r w:rsidRPr="00FC2510">
              <w:rPr>
                <w:b/>
                <w:bCs/>
              </w:rPr>
              <w:t>Self-sustaining vegetated cover</w:t>
            </w:r>
          </w:p>
        </w:tc>
        <w:tc>
          <w:tcPr>
            <w:tcW w:w="2010" w:type="dxa"/>
            <w:vMerge/>
            <w:vAlign w:val="center"/>
          </w:tcPr>
          <w:p w14:paraId="1DB8BB41" w14:textId="77777777" w:rsidR="000C7472" w:rsidRDefault="000C7472" w:rsidP="000C7472">
            <w:pPr>
              <w:pStyle w:val="BodyText"/>
              <w:jc w:val="center"/>
              <w:cnfStyle w:val="000000000000" w:firstRow="0" w:lastRow="0" w:firstColumn="0" w:lastColumn="0" w:oddVBand="0" w:evenVBand="0" w:oddHBand="0" w:evenHBand="0" w:firstRowFirstColumn="0" w:firstRowLastColumn="0" w:lastRowFirstColumn="0" w:lastRowLastColumn="0"/>
            </w:pPr>
          </w:p>
        </w:tc>
        <w:tc>
          <w:tcPr>
            <w:tcW w:w="1705" w:type="dxa"/>
            <w:vMerge/>
            <w:vAlign w:val="center"/>
          </w:tcPr>
          <w:p w14:paraId="52F46748" w14:textId="77777777" w:rsidR="000C7472" w:rsidRDefault="000C7472" w:rsidP="000C7472">
            <w:pPr>
              <w:pStyle w:val="BodyText"/>
              <w:jc w:val="center"/>
              <w:cnfStyle w:val="000000000000" w:firstRow="0" w:lastRow="0" w:firstColumn="0" w:lastColumn="0" w:oddVBand="0" w:evenVBand="0" w:oddHBand="0" w:evenHBand="0" w:firstRowFirstColumn="0" w:firstRowLastColumn="0" w:lastRowFirstColumn="0" w:lastRowLastColumn="0"/>
            </w:pPr>
          </w:p>
        </w:tc>
        <w:tc>
          <w:tcPr>
            <w:tcW w:w="1706" w:type="dxa"/>
            <w:vMerge/>
            <w:vAlign w:val="center"/>
          </w:tcPr>
          <w:p w14:paraId="052B179E" w14:textId="77777777" w:rsidR="000C7472" w:rsidRDefault="000C7472" w:rsidP="000C7472">
            <w:pPr>
              <w:pStyle w:val="BodyText"/>
              <w:jc w:val="center"/>
              <w:cnfStyle w:val="000000000000" w:firstRow="0" w:lastRow="0" w:firstColumn="0" w:lastColumn="0" w:oddVBand="0" w:evenVBand="0" w:oddHBand="0" w:evenHBand="0" w:firstRowFirstColumn="0" w:firstRowLastColumn="0" w:lastRowFirstColumn="0" w:lastRowLastColumn="0"/>
            </w:pPr>
          </w:p>
        </w:tc>
        <w:tc>
          <w:tcPr>
            <w:tcW w:w="1869" w:type="dxa"/>
            <w:vAlign w:val="center"/>
          </w:tcPr>
          <w:p w14:paraId="6135AF6F" w14:textId="77777777" w:rsidR="000C7472" w:rsidRDefault="000C7472" w:rsidP="000C747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pPr>
            <w:r>
              <w:rPr>
                <w:rFonts w:ascii="Arial" w:hAnsi="Arial" w:cs="Arial"/>
              </w:rPr>
              <w:t>All Pits – self-sustaining vegetation</w:t>
            </w:r>
          </w:p>
        </w:tc>
      </w:tr>
    </w:tbl>
    <w:p w14:paraId="5F30C5E6" w14:textId="77777777" w:rsidR="000C7472" w:rsidRDefault="000C7472" w:rsidP="000C7472">
      <w:pPr>
        <w:pStyle w:val="BodyText"/>
      </w:pPr>
      <w:r>
        <w:t xml:space="preserve">The landform design criteria have been established for the highwall and endwall of voids to achieve the rehabilitation goals and objectives described above. The landform design will support the achievement of the rehabilitation success criteria. </w:t>
      </w:r>
    </w:p>
    <w:p w14:paraId="6D24E550" w14:textId="123490DD" w:rsidR="000C7472" w:rsidRDefault="000C7472" w:rsidP="000C7472">
      <w:pPr>
        <w:pStyle w:val="BodyText"/>
      </w:pPr>
      <w:r>
        <w:t xml:space="preserve">To achieve long term stability, highwalls must </w:t>
      </w:r>
      <w:r w:rsidR="004C52BE">
        <w:t xml:space="preserve">have </w:t>
      </w:r>
      <w:r>
        <w:t xml:space="preserve">regard </w:t>
      </w:r>
      <w:r w:rsidR="004C52BE">
        <w:t>to the following aspects.</w:t>
      </w:r>
    </w:p>
    <w:p w14:paraId="3B7E2952" w14:textId="77777777" w:rsidR="000C7472" w:rsidRPr="005F24DE" w:rsidRDefault="000C7472" w:rsidP="001628AA">
      <w:pPr>
        <w:pStyle w:val="BodyText"/>
        <w:numPr>
          <w:ilvl w:val="0"/>
          <w:numId w:val="51"/>
        </w:numPr>
        <w:spacing w:before="80" w:after="80"/>
      </w:pPr>
      <w:r w:rsidRPr="005F24DE">
        <w:t>Tertiary material – maximum slope 1V:3H (18° or 33%).</w:t>
      </w:r>
    </w:p>
    <w:p w14:paraId="720400FC" w14:textId="77777777" w:rsidR="000C7472" w:rsidRPr="005F24DE" w:rsidRDefault="000C7472" w:rsidP="001628AA">
      <w:pPr>
        <w:pStyle w:val="BodyText"/>
        <w:numPr>
          <w:ilvl w:val="0"/>
          <w:numId w:val="51"/>
        </w:numPr>
        <w:spacing w:before="80" w:after="80"/>
      </w:pPr>
      <w:r w:rsidRPr="005F24DE">
        <w:t>Weathered Permian – maximum slope 1V:3H (18° or 33%) – for the purposes of landform design weathered Permian to be regarded as Tertiary material due to lack of information on the interface between these two materials, which aligns with current rehabilitation practices on site.</w:t>
      </w:r>
    </w:p>
    <w:p w14:paraId="1EA6A75B" w14:textId="77777777" w:rsidR="000C7472" w:rsidRPr="005F24DE" w:rsidRDefault="000C7472" w:rsidP="001628AA">
      <w:pPr>
        <w:pStyle w:val="BodyText"/>
        <w:numPr>
          <w:ilvl w:val="0"/>
          <w:numId w:val="51"/>
        </w:numPr>
        <w:spacing w:before="80" w:after="80"/>
      </w:pPr>
      <w:r w:rsidRPr="005F24DE">
        <w:t>Fresh Permian – maximum slope of 1V:1H (45° or 100%).</w:t>
      </w:r>
    </w:p>
    <w:p w14:paraId="7A6EFF6F" w14:textId="77777777" w:rsidR="000C7472" w:rsidRPr="005F24DE" w:rsidRDefault="000C7472" w:rsidP="001628AA">
      <w:pPr>
        <w:pStyle w:val="BodyText"/>
        <w:numPr>
          <w:ilvl w:val="0"/>
          <w:numId w:val="51"/>
        </w:numPr>
        <w:spacing w:before="80" w:after="80"/>
      </w:pPr>
      <w:r w:rsidRPr="005F24DE">
        <w:t>Minimum 5 m wide bench to be provided between weathered and fresh Permian layers.</w:t>
      </w:r>
    </w:p>
    <w:p w14:paraId="0F4A3A11" w14:textId="77777777" w:rsidR="000C7472" w:rsidRDefault="000C7472" w:rsidP="001628AA">
      <w:pPr>
        <w:pStyle w:val="BodyText"/>
        <w:numPr>
          <w:ilvl w:val="0"/>
          <w:numId w:val="51"/>
        </w:numPr>
        <w:spacing w:before="80" w:after="80"/>
      </w:pPr>
      <w:r w:rsidRPr="005F24DE">
        <w:t>Buttressing of highwalls from pushed or blasted material from the highwall side to be sloped inward at a maximum slope of 25%.</w:t>
      </w:r>
    </w:p>
    <w:p w14:paraId="2DA251A7" w14:textId="77777777" w:rsidR="000C7472" w:rsidRPr="003948DE" w:rsidRDefault="000C7472" w:rsidP="001628AA">
      <w:pPr>
        <w:pStyle w:val="BodyText"/>
        <w:numPr>
          <w:ilvl w:val="0"/>
          <w:numId w:val="51"/>
        </w:numPr>
        <w:spacing w:before="80" w:after="80"/>
      </w:pPr>
      <w:r>
        <w:rPr>
          <w:rFonts w:ascii="Arial" w:hAnsi="Arial" w:cs="Arial"/>
        </w:rPr>
        <w:t xml:space="preserve">A 100m </w:t>
      </w:r>
      <w:r w:rsidRPr="005F24DE">
        <w:t>wide</w:t>
      </w:r>
      <w:r>
        <w:rPr>
          <w:rFonts w:ascii="Arial" w:hAnsi="Arial" w:cs="Arial"/>
        </w:rPr>
        <w:t xml:space="preserve"> native bushland corridor to be provided down to the 33% / 100% interface. Tree species to be native species evidenced to thrive within the project area.</w:t>
      </w:r>
    </w:p>
    <w:p w14:paraId="5068E9E2" w14:textId="438EB0DB" w:rsidR="000C7472" w:rsidRDefault="000C7472" w:rsidP="000C7472">
      <w:pPr>
        <w:pStyle w:val="BodyText"/>
        <w:rPr>
          <w:rFonts w:ascii="Arial" w:hAnsi="Arial" w:cs="Arial"/>
          <w:highlight w:val="green"/>
        </w:rPr>
      </w:pPr>
      <w:r>
        <w:rPr>
          <w:rFonts w:ascii="Arial" w:hAnsi="Arial" w:cs="Arial"/>
        </w:rPr>
        <w:t xml:space="preserve">Rehabilitation indicators and completion criteria have been developed for each domain. Indicators were developed to provide robust and defensible measurements of progress towards the rehabilitation objectives. The completion criteria provide the benchmarks against which the indicators are to be assessed, to determine that objectives have been met. Rehabilitation indicators and completion criteria for relevant void </w:t>
      </w:r>
      <w:r w:rsidRPr="00FC2510">
        <w:rPr>
          <w:rFonts w:ascii="Arial" w:hAnsi="Arial" w:cs="Arial"/>
        </w:rPr>
        <w:t xml:space="preserve">domains are shown in </w:t>
      </w:r>
      <w:r w:rsidR="00FC2510" w:rsidRPr="00FC2510">
        <w:rPr>
          <w:rFonts w:ascii="Arial" w:hAnsi="Arial" w:cs="Arial"/>
        </w:rPr>
        <w:fldChar w:fldCharType="begin"/>
      </w:r>
      <w:r w:rsidR="00FC2510" w:rsidRPr="00FC2510">
        <w:rPr>
          <w:rFonts w:ascii="Arial" w:hAnsi="Arial" w:cs="Arial"/>
        </w:rPr>
        <w:instrText xml:space="preserve"> REF _Ref59379270 \h </w:instrText>
      </w:r>
      <w:r w:rsidR="00FC2510">
        <w:rPr>
          <w:rFonts w:ascii="Arial" w:hAnsi="Arial" w:cs="Arial"/>
        </w:rPr>
        <w:instrText xml:space="preserve"> \* MERGEFORMAT </w:instrText>
      </w:r>
      <w:r w:rsidR="00FC2510" w:rsidRPr="00FC2510">
        <w:rPr>
          <w:rFonts w:ascii="Arial" w:hAnsi="Arial" w:cs="Arial"/>
        </w:rPr>
      </w:r>
      <w:r w:rsidR="00FC2510" w:rsidRPr="00FC2510">
        <w:rPr>
          <w:rFonts w:ascii="Arial" w:hAnsi="Arial" w:cs="Arial"/>
        </w:rPr>
        <w:fldChar w:fldCharType="separate"/>
      </w:r>
      <w:r w:rsidR="00937ADD">
        <w:t xml:space="preserve">Table </w:t>
      </w:r>
      <w:r w:rsidR="00937ADD">
        <w:rPr>
          <w:noProof/>
        </w:rPr>
        <w:t>5</w:t>
      </w:r>
      <w:r w:rsidR="00937ADD">
        <w:rPr>
          <w:noProof/>
        </w:rPr>
        <w:noBreakHyphen/>
        <w:t>13</w:t>
      </w:r>
      <w:r w:rsidR="00FC2510" w:rsidRPr="00FC2510">
        <w:rPr>
          <w:rFonts w:ascii="Arial" w:hAnsi="Arial" w:cs="Arial"/>
        </w:rPr>
        <w:fldChar w:fldCharType="end"/>
      </w:r>
      <w:r w:rsidR="00FC2510" w:rsidRPr="00FC2510">
        <w:rPr>
          <w:rFonts w:ascii="Arial" w:hAnsi="Arial" w:cs="Arial"/>
        </w:rPr>
        <w:t>.</w:t>
      </w:r>
    </w:p>
    <w:p w14:paraId="487C5F2F" w14:textId="77777777" w:rsidR="000C7472" w:rsidRDefault="000C7472" w:rsidP="000C7472">
      <w:pPr>
        <w:pStyle w:val="BodyText"/>
        <w:rPr>
          <w:rFonts w:ascii="Arial" w:hAnsi="Arial" w:cs="Arial"/>
          <w:highlight w:val="green"/>
        </w:rPr>
      </w:pPr>
    </w:p>
    <w:p w14:paraId="75D03AC8" w14:textId="77777777" w:rsidR="000C7472" w:rsidRDefault="000C7472" w:rsidP="000C7472">
      <w:pPr>
        <w:pStyle w:val="BodyText"/>
        <w:rPr>
          <w:rFonts w:ascii="Arial" w:hAnsi="Arial" w:cs="Arial"/>
          <w:highlight w:val="green"/>
        </w:rPr>
        <w:sectPr w:rsidR="000C7472" w:rsidSect="00F66109">
          <w:pgSz w:w="11907" w:h="16839" w:code="9"/>
          <w:pgMar w:top="1440" w:right="1440" w:bottom="1134" w:left="1440" w:header="340" w:footer="340" w:gutter="0"/>
          <w:cols w:space="708"/>
          <w:docGrid w:linePitch="360"/>
        </w:sectPr>
      </w:pPr>
    </w:p>
    <w:p w14:paraId="10750B4A" w14:textId="4631812F" w:rsidR="00FC2510" w:rsidRDefault="00FC2510" w:rsidP="00FC2510">
      <w:pPr>
        <w:pStyle w:val="Caption"/>
      </w:pPr>
      <w:bookmarkStart w:id="290" w:name="_Ref59379270"/>
      <w:bookmarkStart w:id="291" w:name="_Toc65140594"/>
      <w:r>
        <w:lastRenderedPageBreak/>
        <w:t xml:space="preserve">Table </w:t>
      </w:r>
      <w:fldSimple w:instr=" STYLEREF 1 \s ">
        <w:r w:rsidR="00937ADD">
          <w:rPr>
            <w:noProof/>
          </w:rPr>
          <w:t>5</w:t>
        </w:r>
      </w:fldSimple>
      <w:r w:rsidR="002714CC">
        <w:noBreakHyphen/>
      </w:r>
      <w:fldSimple w:instr=" SEQ Table \* ARABIC \s 1 ">
        <w:r w:rsidR="00937ADD">
          <w:rPr>
            <w:noProof/>
          </w:rPr>
          <w:t>13</w:t>
        </w:r>
      </w:fldSimple>
      <w:bookmarkEnd w:id="290"/>
      <w:r>
        <w:t xml:space="preserve"> Ensham</w:t>
      </w:r>
      <w:r w:rsidRPr="00FC2510">
        <w:t xml:space="preserve"> </w:t>
      </w:r>
      <w:r>
        <w:t>mine rehabilitation indicators and completion criteria</w:t>
      </w:r>
      <w:bookmarkEnd w:id="291"/>
    </w:p>
    <w:tbl>
      <w:tblPr>
        <w:tblStyle w:val="Plainblue"/>
        <w:tblW w:w="13675"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181"/>
        <w:gridCol w:w="882"/>
        <w:gridCol w:w="3562"/>
        <w:gridCol w:w="2954"/>
        <w:gridCol w:w="5096"/>
      </w:tblGrid>
      <w:tr w:rsidR="00D87556" w:rsidRPr="009D480A" w14:paraId="778CE577" w14:textId="77777777" w:rsidTr="00B71D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81" w:type="dxa"/>
            <w:vAlign w:val="center"/>
          </w:tcPr>
          <w:p w14:paraId="5BA5AA91" w14:textId="77777777" w:rsidR="000C7472" w:rsidRPr="009D480A" w:rsidRDefault="000C7472" w:rsidP="000C7472">
            <w:pPr>
              <w:pStyle w:val="BodyText"/>
              <w:spacing w:before="40" w:beforeAutospacing="0" w:after="40" w:afterAutospacing="0"/>
              <w:jc w:val="center"/>
              <w:rPr>
                <w:rFonts w:asciiTheme="minorHAnsi" w:hAnsiTheme="minorHAnsi" w:cstheme="minorHAnsi"/>
                <w:szCs w:val="18"/>
              </w:rPr>
            </w:pPr>
            <w:r w:rsidRPr="009D480A">
              <w:rPr>
                <w:rFonts w:asciiTheme="minorHAnsi" w:hAnsiTheme="minorHAnsi" w:cstheme="minorHAnsi"/>
                <w:szCs w:val="18"/>
              </w:rPr>
              <w:t>Domain</w:t>
            </w:r>
          </w:p>
        </w:tc>
        <w:tc>
          <w:tcPr>
            <w:tcW w:w="882" w:type="dxa"/>
            <w:vAlign w:val="center"/>
          </w:tcPr>
          <w:p w14:paraId="7D8D6CB1" w14:textId="77777777" w:rsidR="000C7472" w:rsidRPr="009D480A" w:rsidRDefault="000C7472" w:rsidP="000C7472">
            <w:pPr>
              <w:pStyle w:val="BodyText"/>
              <w:spacing w:before="40" w:beforeAutospacing="0" w:after="4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D480A">
              <w:rPr>
                <w:rFonts w:asciiTheme="minorHAnsi" w:hAnsiTheme="minorHAnsi" w:cstheme="minorHAnsi"/>
                <w:szCs w:val="18"/>
              </w:rPr>
              <w:t>Goals</w:t>
            </w:r>
          </w:p>
        </w:tc>
        <w:tc>
          <w:tcPr>
            <w:tcW w:w="3562" w:type="dxa"/>
            <w:vAlign w:val="center"/>
          </w:tcPr>
          <w:p w14:paraId="358FB158" w14:textId="77777777" w:rsidR="000C7472" w:rsidRPr="009D480A" w:rsidRDefault="000C7472" w:rsidP="000C7472">
            <w:pPr>
              <w:pStyle w:val="BodyText"/>
              <w:spacing w:before="40" w:beforeAutospacing="0" w:after="4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D480A">
              <w:rPr>
                <w:rFonts w:asciiTheme="minorHAnsi" w:hAnsiTheme="minorHAnsi" w:cstheme="minorHAnsi"/>
                <w:szCs w:val="18"/>
              </w:rPr>
              <w:t>Objective</w:t>
            </w:r>
          </w:p>
        </w:tc>
        <w:tc>
          <w:tcPr>
            <w:tcW w:w="2954" w:type="dxa"/>
            <w:vAlign w:val="center"/>
          </w:tcPr>
          <w:p w14:paraId="64935E4C" w14:textId="77777777" w:rsidR="000C7472" w:rsidRPr="009D480A" w:rsidRDefault="000C7472" w:rsidP="000C7472">
            <w:pPr>
              <w:pStyle w:val="BodyText"/>
              <w:spacing w:before="40" w:beforeAutospacing="0" w:after="4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D480A">
              <w:rPr>
                <w:rFonts w:asciiTheme="minorHAnsi" w:hAnsiTheme="minorHAnsi" w:cstheme="minorHAnsi"/>
                <w:szCs w:val="18"/>
              </w:rPr>
              <w:t>Indicator</w:t>
            </w:r>
          </w:p>
        </w:tc>
        <w:tc>
          <w:tcPr>
            <w:tcW w:w="5096" w:type="dxa"/>
            <w:vAlign w:val="center"/>
          </w:tcPr>
          <w:p w14:paraId="049587F1" w14:textId="77777777" w:rsidR="000C7472" w:rsidRPr="009D480A" w:rsidRDefault="000C7472" w:rsidP="000C7472">
            <w:pPr>
              <w:pStyle w:val="BodyText"/>
              <w:spacing w:before="40" w:beforeAutospacing="0" w:after="4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D480A">
              <w:rPr>
                <w:rFonts w:asciiTheme="minorHAnsi" w:hAnsiTheme="minorHAnsi" w:cstheme="minorHAnsi"/>
                <w:szCs w:val="18"/>
              </w:rPr>
              <w:t>Completion Criteria</w:t>
            </w:r>
          </w:p>
        </w:tc>
      </w:tr>
      <w:tr w:rsidR="000C7472" w:rsidRPr="009D480A" w14:paraId="46801898" w14:textId="77777777" w:rsidTr="00B71DC6">
        <w:tc>
          <w:tcPr>
            <w:cnfStyle w:val="001000000000" w:firstRow="0" w:lastRow="0" w:firstColumn="1" w:lastColumn="0" w:oddVBand="0" w:evenVBand="0" w:oddHBand="0" w:evenHBand="0" w:firstRowFirstColumn="0" w:firstRowLastColumn="0" w:lastRowFirstColumn="0" w:lastRowLastColumn="0"/>
            <w:tcW w:w="1181" w:type="dxa"/>
            <w:vAlign w:val="center"/>
          </w:tcPr>
          <w:p w14:paraId="734BF9EB" w14:textId="77777777" w:rsidR="000C7472" w:rsidRPr="00FC2510" w:rsidRDefault="000C7472" w:rsidP="000C7472">
            <w:pPr>
              <w:pStyle w:val="BodyText"/>
              <w:spacing w:before="40" w:after="40"/>
              <w:jc w:val="center"/>
              <w:rPr>
                <w:rFonts w:cstheme="minorHAnsi"/>
                <w:b/>
                <w:bCs/>
                <w:szCs w:val="18"/>
              </w:rPr>
            </w:pPr>
            <w:r w:rsidRPr="00FC2510">
              <w:rPr>
                <w:rFonts w:cstheme="minorHAnsi"/>
                <w:b/>
                <w:bCs/>
                <w:szCs w:val="18"/>
              </w:rPr>
              <w:t>All Domains</w:t>
            </w:r>
          </w:p>
        </w:tc>
        <w:tc>
          <w:tcPr>
            <w:tcW w:w="882" w:type="dxa"/>
            <w:vAlign w:val="center"/>
          </w:tcPr>
          <w:p w14:paraId="44BF9798"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Safe</w:t>
            </w:r>
          </w:p>
        </w:tc>
        <w:tc>
          <w:tcPr>
            <w:tcW w:w="3562" w:type="dxa"/>
            <w:vAlign w:val="center"/>
          </w:tcPr>
          <w:p w14:paraId="0527795D"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Safety hazards in rehabilitation are similar to surrounding unmined landscapes</w:t>
            </w:r>
          </w:p>
        </w:tc>
        <w:tc>
          <w:tcPr>
            <w:tcW w:w="2954" w:type="dxa"/>
            <w:vAlign w:val="center"/>
          </w:tcPr>
          <w:p w14:paraId="5667A1C7" w14:textId="77777777" w:rsidR="000C7472" w:rsidRPr="009D480A" w:rsidRDefault="000C7472" w:rsidP="000C7472">
            <w:pPr>
              <w:autoSpaceDE w:val="0"/>
              <w:autoSpaceDN w:val="0"/>
              <w:adjustRightInd w:val="0"/>
              <w:spacing w:after="10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Hazard assessment by a suitably qualified and experienced person</w:t>
            </w:r>
          </w:p>
        </w:tc>
        <w:tc>
          <w:tcPr>
            <w:tcW w:w="5096" w:type="dxa"/>
            <w:vAlign w:val="center"/>
          </w:tcPr>
          <w:p w14:paraId="60B62396"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0 (zero) significant difference as defined in </w:t>
            </w:r>
            <w:r w:rsidRPr="009D480A">
              <w:rPr>
                <w:rFonts w:cstheme="minorHAnsi"/>
                <w:i/>
                <w:iCs/>
                <w:szCs w:val="18"/>
              </w:rPr>
              <w:t>AS/NZS ISO 31000:2009 Risk Management</w:t>
            </w:r>
          </w:p>
        </w:tc>
      </w:tr>
      <w:tr w:rsidR="000C7472" w:rsidRPr="009D480A" w14:paraId="500B0EE2"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restart"/>
            <w:vAlign w:val="center"/>
          </w:tcPr>
          <w:p w14:paraId="3B3C56A9" w14:textId="77777777" w:rsidR="000C7472" w:rsidRPr="00FC2510" w:rsidRDefault="000C7472" w:rsidP="000C7472">
            <w:pPr>
              <w:pStyle w:val="BodyText"/>
              <w:spacing w:before="40" w:after="40"/>
              <w:jc w:val="center"/>
              <w:rPr>
                <w:rFonts w:cstheme="minorHAnsi"/>
                <w:b/>
                <w:bCs/>
                <w:szCs w:val="18"/>
              </w:rPr>
            </w:pPr>
            <w:r w:rsidRPr="00FC2510">
              <w:rPr>
                <w:rFonts w:cstheme="minorHAnsi"/>
                <w:b/>
                <w:bCs/>
                <w:szCs w:val="18"/>
              </w:rPr>
              <w:t>Sustainable Grazing</w:t>
            </w:r>
          </w:p>
        </w:tc>
        <w:tc>
          <w:tcPr>
            <w:tcW w:w="882" w:type="dxa"/>
            <w:vMerge w:val="restart"/>
            <w:vAlign w:val="center"/>
          </w:tcPr>
          <w:p w14:paraId="14D56A43" w14:textId="77777777" w:rsidR="000C7472" w:rsidRPr="009D480A" w:rsidRDefault="000C7472" w:rsidP="000C7472">
            <w:pPr>
              <w:pStyle w:val="BodyText"/>
              <w:spacing w:before="100" w:after="10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Non-polluting</w:t>
            </w:r>
          </w:p>
        </w:tc>
        <w:tc>
          <w:tcPr>
            <w:tcW w:w="3562" w:type="dxa"/>
            <w:vMerge w:val="restart"/>
            <w:vAlign w:val="center"/>
          </w:tcPr>
          <w:p w14:paraId="5A5A5026"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Surface runoff leaving domain is non-polluting to receiving waters</w:t>
            </w:r>
          </w:p>
        </w:tc>
        <w:tc>
          <w:tcPr>
            <w:tcW w:w="2954" w:type="dxa"/>
            <w:vAlign w:val="center"/>
          </w:tcPr>
          <w:p w14:paraId="55C1AA67"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pH</w:t>
            </w:r>
          </w:p>
        </w:tc>
        <w:tc>
          <w:tcPr>
            <w:tcW w:w="5096" w:type="dxa"/>
            <w:vAlign w:val="center"/>
          </w:tcPr>
          <w:p w14:paraId="01B32124"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7.1 – 8.2 as developed in accordance with section .3 the </w:t>
            </w:r>
            <w:r w:rsidRPr="009D480A">
              <w:rPr>
                <w:rFonts w:cstheme="minorHAnsi"/>
                <w:i/>
                <w:iCs/>
                <w:szCs w:val="18"/>
              </w:rPr>
              <w:t>Queensland Water Quality Guideline 2009 (see Rehabilitation Management Plan for dataset)</w:t>
            </w:r>
          </w:p>
        </w:tc>
      </w:tr>
      <w:tr w:rsidR="000C7472" w:rsidRPr="009D480A" w14:paraId="01DCFBA7"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5346E5C5"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61E99619"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59302DA0"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28532639"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EC (salinity)</w:t>
            </w:r>
          </w:p>
        </w:tc>
        <w:tc>
          <w:tcPr>
            <w:tcW w:w="5096" w:type="dxa"/>
            <w:vAlign w:val="center"/>
          </w:tcPr>
          <w:p w14:paraId="18EE1D0B" w14:textId="173E7E0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&lt; 520</w:t>
            </w:r>
            <w:r w:rsidR="00FC2510">
              <w:rPr>
                <w:rFonts w:cstheme="minorHAnsi"/>
                <w:szCs w:val="18"/>
              </w:rPr>
              <w:t xml:space="preserve"> </w:t>
            </w:r>
            <w:r w:rsidRPr="009D480A">
              <w:rPr>
                <w:rFonts w:cstheme="minorHAnsi"/>
                <w:szCs w:val="18"/>
              </w:rPr>
              <w:t xml:space="preserve">μs/cm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554B4219"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15AEE22E"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7127AE24"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1A508B19"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1EF506D7"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Total suspended solids (TSS) (sediment loss)</w:t>
            </w:r>
          </w:p>
        </w:tc>
        <w:tc>
          <w:tcPr>
            <w:tcW w:w="5096" w:type="dxa"/>
            <w:vAlign w:val="center"/>
          </w:tcPr>
          <w:p w14:paraId="391427E5" w14:textId="208FA4DF"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&lt; 1</w:t>
            </w:r>
            <w:r w:rsidR="00FC2510">
              <w:rPr>
                <w:rFonts w:cstheme="minorHAnsi"/>
                <w:szCs w:val="18"/>
              </w:rPr>
              <w:t>,</w:t>
            </w:r>
            <w:r w:rsidRPr="009D480A">
              <w:rPr>
                <w:rFonts w:cstheme="minorHAnsi"/>
                <w:szCs w:val="18"/>
              </w:rPr>
              <w:t xml:space="preserve">097 mg/L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64AD45F0"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4333A4FB"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2F4CFA3D"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3728D3D2"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3452FB14" w14:textId="77777777" w:rsidR="000C7472" w:rsidRPr="009D480A" w:rsidRDefault="000C7472" w:rsidP="000C7472">
            <w:pPr>
              <w:autoSpaceDE w:val="0"/>
              <w:autoSpaceDN w:val="0"/>
              <w:adjustRightInd w:val="0"/>
              <w:spacing w:after="10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Sulphate</w:t>
            </w:r>
          </w:p>
        </w:tc>
        <w:tc>
          <w:tcPr>
            <w:tcW w:w="5096" w:type="dxa"/>
            <w:vAlign w:val="center"/>
          </w:tcPr>
          <w:p w14:paraId="6E76F54C" w14:textId="5FEED8A4"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&lt; 36</w:t>
            </w:r>
            <w:r w:rsidR="00FC2510">
              <w:rPr>
                <w:rFonts w:cstheme="minorHAnsi"/>
                <w:szCs w:val="18"/>
              </w:rPr>
              <w:t xml:space="preserve"> </w:t>
            </w:r>
            <w:r w:rsidRPr="009D480A">
              <w:rPr>
                <w:rFonts w:cstheme="minorHAnsi"/>
                <w:szCs w:val="18"/>
              </w:rPr>
              <w:t xml:space="preserve">mg/L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35BBE3E7"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66610697"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3346B91B"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3B380A04"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6FE500AF" w14:textId="77777777" w:rsidR="000C7472" w:rsidRPr="009D480A" w:rsidRDefault="000C7472" w:rsidP="000C7472">
            <w:pPr>
              <w:autoSpaceDE w:val="0"/>
              <w:autoSpaceDN w:val="0"/>
              <w:adjustRightInd w:val="0"/>
              <w:spacing w:after="10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Groundcover</w:t>
            </w:r>
          </w:p>
        </w:tc>
        <w:tc>
          <w:tcPr>
            <w:tcW w:w="5096" w:type="dxa"/>
            <w:vAlign w:val="center"/>
          </w:tcPr>
          <w:p w14:paraId="3F58337C"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&gt;50%</w:t>
            </w:r>
            <w:r>
              <w:rPr>
                <w:rFonts w:cstheme="minorHAnsi"/>
                <w:szCs w:val="18"/>
              </w:rPr>
              <w:t xml:space="preserve"> established and persistent groundcover that is not significantly different from non-mining affected land that is or will be used for a similar purpose</w:t>
            </w:r>
          </w:p>
        </w:tc>
      </w:tr>
      <w:tr w:rsidR="000C7472" w:rsidRPr="009D480A" w14:paraId="62743636"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0422F62E" w14:textId="77777777" w:rsidR="000C7472" w:rsidRPr="00FC2510" w:rsidRDefault="000C7472" w:rsidP="000C7472">
            <w:pPr>
              <w:pStyle w:val="BodyText"/>
              <w:spacing w:before="40" w:after="40"/>
              <w:jc w:val="center"/>
              <w:rPr>
                <w:rFonts w:cstheme="minorHAnsi"/>
                <w:b/>
                <w:bCs/>
                <w:szCs w:val="18"/>
              </w:rPr>
            </w:pPr>
          </w:p>
        </w:tc>
        <w:tc>
          <w:tcPr>
            <w:tcW w:w="882" w:type="dxa"/>
            <w:vMerge w:val="restart"/>
            <w:vAlign w:val="center"/>
          </w:tcPr>
          <w:p w14:paraId="4C4AED58"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Stable</w:t>
            </w:r>
          </w:p>
        </w:tc>
        <w:tc>
          <w:tcPr>
            <w:tcW w:w="3562" w:type="dxa"/>
            <w:vMerge w:val="restart"/>
            <w:vAlign w:val="center"/>
          </w:tcPr>
          <w:p w14:paraId="7180305E" w14:textId="77777777" w:rsidR="000C7472" w:rsidRPr="009D480A" w:rsidRDefault="000C7472" w:rsidP="000C7472">
            <w:pPr>
              <w:autoSpaceDE w:val="0"/>
              <w:autoSpaceDN w:val="0"/>
              <w:adjustRightInd w:val="0"/>
              <w:spacing w:after="10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Landforms are both geotechnically and erosionally stable</w:t>
            </w:r>
          </w:p>
        </w:tc>
        <w:tc>
          <w:tcPr>
            <w:tcW w:w="2954" w:type="dxa"/>
            <w:vAlign w:val="center"/>
          </w:tcPr>
          <w:p w14:paraId="5DCC7976"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Factor of safety</w:t>
            </w:r>
          </w:p>
        </w:tc>
        <w:tc>
          <w:tcPr>
            <w:tcW w:w="5096" w:type="dxa"/>
            <w:vAlign w:val="center"/>
          </w:tcPr>
          <w:p w14:paraId="085C92B1"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 1.5 as defined in Guideline </w:t>
            </w:r>
            <w:r w:rsidRPr="009D480A">
              <w:rPr>
                <w:rFonts w:cstheme="minorHAnsi"/>
                <w:i/>
                <w:iCs/>
                <w:szCs w:val="18"/>
              </w:rPr>
              <w:t>Geotechnical considerations in open pit mines (State of Western Australia 1999).</w:t>
            </w:r>
          </w:p>
        </w:tc>
      </w:tr>
      <w:tr w:rsidR="000C7472" w:rsidRPr="009D480A" w14:paraId="733FC47B"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1F50B260"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75D7D0E8"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737651C9"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1D2C6F74"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Slope gradient</w:t>
            </w:r>
          </w:p>
        </w:tc>
        <w:tc>
          <w:tcPr>
            <w:tcW w:w="5096" w:type="dxa"/>
            <w:vAlign w:val="center"/>
          </w:tcPr>
          <w:p w14:paraId="4CBC6A1D"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Maximum </w:t>
            </w:r>
            <w:r>
              <w:rPr>
                <w:rFonts w:cstheme="minorHAnsi"/>
                <w:szCs w:val="18"/>
              </w:rPr>
              <w:t>15</w:t>
            </w:r>
            <w:r w:rsidRPr="009D480A">
              <w:rPr>
                <w:rFonts w:cstheme="minorHAnsi"/>
                <w:szCs w:val="18"/>
              </w:rPr>
              <w:t xml:space="preserve">% with </w:t>
            </w:r>
            <w:r>
              <w:rPr>
                <w:rFonts w:cstheme="minorHAnsi"/>
                <w:szCs w:val="18"/>
              </w:rPr>
              <w:t xml:space="preserve">slope </w:t>
            </w:r>
          </w:p>
        </w:tc>
      </w:tr>
      <w:tr w:rsidR="000C7472" w:rsidRPr="009D480A" w14:paraId="3C1A984B"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70619CBD" w14:textId="77777777" w:rsidR="000C7472" w:rsidRPr="00FC2510" w:rsidRDefault="000C7472" w:rsidP="000C7472">
            <w:pPr>
              <w:pStyle w:val="BodyText"/>
              <w:spacing w:before="40" w:after="40"/>
              <w:jc w:val="center"/>
              <w:rPr>
                <w:rFonts w:cstheme="minorHAnsi"/>
                <w:b/>
                <w:bCs/>
                <w:szCs w:val="18"/>
              </w:rPr>
            </w:pPr>
          </w:p>
        </w:tc>
        <w:tc>
          <w:tcPr>
            <w:tcW w:w="882" w:type="dxa"/>
            <w:vAlign w:val="center"/>
          </w:tcPr>
          <w:p w14:paraId="6BC6FAD0"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Land use</w:t>
            </w:r>
          </w:p>
        </w:tc>
        <w:tc>
          <w:tcPr>
            <w:tcW w:w="3562" w:type="dxa"/>
            <w:vAlign w:val="center"/>
          </w:tcPr>
          <w:p w14:paraId="4B90FD04"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Rehabilitation is suitable for sustainable grazing</w:t>
            </w:r>
          </w:p>
        </w:tc>
        <w:tc>
          <w:tcPr>
            <w:tcW w:w="2954" w:type="dxa"/>
            <w:vAlign w:val="center"/>
          </w:tcPr>
          <w:p w14:paraId="14475B3F"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Land suitability assessment by a suitably qualified person</w:t>
            </w:r>
          </w:p>
        </w:tc>
        <w:tc>
          <w:tcPr>
            <w:tcW w:w="5096" w:type="dxa"/>
            <w:vAlign w:val="center"/>
          </w:tcPr>
          <w:p w14:paraId="10843CBB"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Equal to or greater than a Class 4 as defined in Appendix A; Land use limitation subclass threshold limits</w:t>
            </w:r>
          </w:p>
        </w:tc>
      </w:tr>
      <w:tr w:rsidR="000C7472" w:rsidRPr="009D480A" w14:paraId="3AC9866C"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restart"/>
            <w:vAlign w:val="center"/>
          </w:tcPr>
          <w:p w14:paraId="63513E39" w14:textId="77777777" w:rsidR="000C7472" w:rsidRPr="00FC2510" w:rsidRDefault="000C7472" w:rsidP="000C7472">
            <w:pPr>
              <w:pStyle w:val="BodyText"/>
              <w:spacing w:before="40" w:after="40"/>
              <w:jc w:val="center"/>
              <w:rPr>
                <w:rFonts w:cstheme="minorHAnsi"/>
                <w:b/>
                <w:bCs/>
                <w:szCs w:val="18"/>
              </w:rPr>
            </w:pPr>
            <w:r w:rsidRPr="00FC2510">
              <w:rPr>
                <w:rFonts w:cstheme="minorHAnsi"/>
                <w:b/>
                <w:bCs/>
                <w:szCs w:val="18"/>
              </w:rPr>
              <w:t>Water area</w:t>
            </w:r>
          </w:p>
        </w:tc>
        <w:tc>
          <w:tcPr>
            <w:tcW w:w="882" w:type="dxa"/>
            <w:vMerge w:val="restart"/>
            <w:vAlign w:val="center"/>
          </w:tcPr>
          <w:p w14:paraId="3ECD0DC3"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Non-polluting</w:t>
            </w:r>
          </w:p>
        </w:tc>
        <w:tc>
          <w:tcPr>
            <w:tcW w:w="3562" w:type="dxa"/>
            <w:vMerge w:val="restart"/>
            <w:vAlign w:val="center"/>
          </w:tcPr>
          <w:p w14:paraId="5B95D1BF"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Groundwater bioaccumulation</w:t>
            </w:r>
          </w:p>
        </w:tc>
        <w:tc>
          <w:tcPr>
            <w:tcW w:w="2954" w:type="dxa"/>
            <w:vAlign w:val="center"/>
          </w:tcPr>
          <w:p w14:paraId="1D9C7969"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Salinity</w:t>
            </w:r>
          </w:p>
        </w:tc>
        <w:tc>
          <w:tcPr>
            <w:tcW w:w="5096" w:type="dxa"/>
            <w:vAlign w:val="center"/>
          </w:tcPr>
          <w:p w14:paraId="16EA6FA3"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&lt;13,000 EC</w:t>
            </w:r>
          </w:p>
        </w:tc>
      </w:tr>
      <w:tr w:rsidR="000C7472" w:rsidRPr="009D480A" w14:paraId="70B7CB24"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6036BEA4"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2F3C7883"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3DE818C0"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0C0A4B74"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Sulphate</w:t>
            </w:r>
          </w:p>
        </w:tc>
        <w:tc>
          <w:tcPr>
            <w:tcW w:w="5096" w:type="dxa"/>
            <w:vAlign w:val="center"/>
          </w:tcPr>
          <w:p w14:paraId="01FD627B"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&lt;3,500 mg/L</w:t>
            </w:r>
          </w:p>
        </w:tc>
      </w:tr>
      <w:tr w:rsidR="000C7472" w:rsidRPr="009D480A" w14:paraId="05ABF4CC"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55F928B4"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529B5F46"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2DA2F120"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5F09134B"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Arsenic</w:t>
            </w:r>
          </w:p>
        </w:tc>
        <w:tc>
          <w:tcPr>
            <w:tcW w:w="5096" w:type="dxa"/>
            <w:vAlign w:val="center"/>
          </w:tcPr>
          <w:p w14:paraId="7A3606B3"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&lt;0.04 mg/L</w:t>
            </w:r>
          </w:p>
        </w:tc>
      </w:tr>
      <w:tr w:rsidR="000C7472" w:rsidRPr="009D480A" w14:paraId="1B37C05A"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30DADBA6"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57294938"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65EAC1FB"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7A20B5D0"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Molybdenum</w:t>
            </w:r>
          </w:p>
        </w:tc>
        <w:tc>
          <w:tcPr>
            <w:tcW w:w="5096" w:type="dxa"/>
            <w:vAlign w:val="center"/>
          </w:tcPr>
          <w:p w14:paraId="53EBE186" w14:textId="70B07B7D"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&lt;0.06</w:t>
            </w:r>
            <w:r w:rsidR="00FC2510">
              <w:rPr>
                <w:rFonts w:cstheme="minorHAnsi"/>
                <w:szCs w:val="18"/>
              </w:rPr>
              <w:t xml:space="preserve"> </w:t>
            </w:r>
            <w:r>
              <w:rPr>
                <w:rFonts w:cstheme="minorHAnsi"/>
                <w:szCs w:val="18"/>
              </w:rPr>
              <w:t>mg/L</w:t>
            </w:r>
          </w:p>
        </w:tc>
      </w:tr>
      <w:tr w:rsidR="000C7472" w:rsidRPr="009D480A" w14:paraId="5040832C"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44DAFB09"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1FDD66E8"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0BC19592"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1C93B9DD"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Selenium</w:t>
            </w:r>
          </w:p>
        </w:tc>
        <w:tc>
          <w:tcPr>
            <w:tcW w:w="5096" w:type="dxa"/>
            <w:vAlign w:val="center"/>
          </w:tcPr>
          <w:p w14:paraId="6A4E131F"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&lt;0.09 mg/L</w:t>
            </w:r>
          </w:p>
        </w:tc>
      </w:tr>
      <w:tr w:rsidR="000C7472" w:rsidRPr="009D480A" w14:paraId="24075CB7"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55F512F0" w14:textId="77777777" w:rsidR="000C7472" w:rsidRPr="00FC2510" w:rsidRDefault="000C7472" w:rsidP="000C7472">
            <w:pPr>
              <w:pStyle w:val="BodyText"/>
              <w:spacing w:before="40" w:after="40"/>
              <w:jc w:val="center"/>
              <w:rPr>
                <w:rFonts w:cstheme="minorHAnsi"/>
                <w:b/>
                <w:bCs/>
                <w:szCs w:val="18"/>
              </w:rPr>
            </w:pPr>
          </w:p>
        </w:tc>
        <w:tc>
          <w:tcPr>
            <w:tcW w:w="882" w:type="dxa"/>
            <w:vMerge/>
            <w:vAlign w:val="center"/>
          </w:tcPr>
          <w:p w14:paraId="35E466DE"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Align w:val="center"/>
          </w:tcPr>
          <w:p w14:paraId="164B18C9"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Deep drainage (seepage) from domain is non-polluting to recognised groundwater resources</w:t>
            </w:r>
          </w:p>
        </w:tc>
        <w:tc>
          <w:tcPr>
            <w:tcW w:w="2954" w:type="dxa"/>
            <w:vAlign w:val="center"/>
          </w:tcPr>
          <w:p w14:paraId="5A028B18" w14:textId="77777777" w:rsidR="000C7472"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Groundwater investigation trigger levels</w:t>
            </w:r>
          </w:p>
        </w:tc>
        <w:tc>
          <w:tcPr>
            <w:tcW w:w="5096" w:type="dxa"/>
            <w:vAlign w:val="center"/>
          </w:tcPr>
          <w:p w14:paraId="2E9EFAC6" w14:textId="77777777" w:rsidR="000C7472"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Condition C41 of the EA</w:t>
            </w:r>
          </w:p>
        </w:tc>
      </w:tr>
      <w:tr w:rsidR="000C7472" w:rsidRPr="009D480A" w14:paraId="788D34AD"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497CA9B4" w14:textId="77777777" w:rsidR="000C7472" w:rsidRPr="00FC2510" w:rsidRDefault="000C7472" w:rsidP="000C7472">
            <w:pPr>
              <w:pStyle w:val="BodyText"/>
              <w:spacing w:before="40" w:after="40"/>
              <w:jc w:val="center"/>
              <w:rPr>
                <w:rFonts w:cstheme="minorHAnsi"/>
                <w:b/>
                <w:bCs/>
                <w:szCs w:val="18"/>
              </w:rPr>
            </w:pPr>
          </w:p>
        </w:tc>
        <w:tc>
          <w:tcPr>
            <w:tcW w:w="882" w:type="dxa"/>
            <w:vAlign w:val="center"/>
          </w:tcPr>
          <w:p w14:paraId="4E873455" w14:textId="77777777" w:rsidR="000C7472" w:rsidRPr="009D480A" w:rsidRDefault="000C7472" w:rsidP="000C7472">
            <w:pPr>
              <w:pStyle w:val="BodyText"/>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Water use</w:t>
            </w:r>
          </w:p>
        </w:tc>
        <w:tc>
          <w:tcPr>
            <w:tcW w:w="3562" w:type="dxa"/>
            <w:vAlign w:val="center"/>
          </w:tcPr>
          <w:p w14:paraId="33EF87D5" w14:textId="77777777" w:rsidR="000C7472" w:rsidRPr="009D480A"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Aquatic habitat</w:t>
            </w:r>
          </w:p>
        </w:tc>
        <w:tc>
          <w:tcPr>
            <w:tcW w:w="2954" w:type="dxa"/>
            <w:vAlign w:val="center"/>
          </w:tcPr>
          <w:p w14:paraId="073ABFE3" w14:textId="77777777" w:rsidR="000C7472"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Bird species</w:t>
            </w:r>
          </w:p>
        </w:tc>
        <w:tc>
          <w:tcPr>
            <w:tcW w:w="5096" w:type="dxa"/>
            <w:vAlign w:val="center"/>
          </w:tcPr>
          <w:p w14:paraId="73E02235" w14:textId="77777777" w:rsidR="000C7472" w:rsidRDefault="000C7472" w:rsidP="000C7472">
            <w:pPr>
              <w:autoSpaceDE w:val="0"/>
              <w:autoSpaceDN w:val="0"/>
              <w:adjustRightInd w:val="0"/>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≥8</w:t>
            </w:r>
          </w:p>
        </w:tc>
      </w:tr>
      <w:tr w:rsidR="000C7472" w:rsidRPr="009D480A" w14:paraId="31A735C6"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restart"/>
            <w:vAlign w:val="center"/>
          </w:tcPr>
          <w:p w14:paraId="5C2AC090"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r w:rsidRPr="00FC2510">
              <w:rPr>
                <w:rFonts w:asciiTheme="minorHAnsi" w:hAnsiTheme="minorHAnsi" w:cstheme="minorHAnsi"/>
                <w:b/>
                <w:bCs/>
                <w:szCs w:val="18"/>
              </w:rPr>
              <w:t>Native bushland corridor</w:t>
            </w:r>
          </w:p>
        </w:tc>
        <w:tc>
          <w:tcPr>
            <w:tcW w:w="882" w:type="dxa"/>
            <w:vMerge w:val="restart"/>
            <w:vAlign w:val="center"/>
          </w:tcPr>
          <w:p w14:paraId="6F2A4DEB"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Non-polluting</w:t>
            </w:r>
          </w:p>
        </w:tc>
        <w:tc>
          <w:tcPr>
            <w:tcW w:w="3562" w:type="dxa"/>
            <w:vMerge w:val="restart"/>
            <w:vAlign w:val="center"/>
          </w:tcPr>
          <w:p w14:paraId="44FC2901"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Surface runoff leaving domain is non-polluting to receiving waters</w:t>
            </w:r>
          </w:p>
        </w:tc>
        <w:tc>
          <w:tcPr>
            <w:tcW w:w="2954" w:type="dxa"/>
            <w:vAlign w:val="center"/>
          </w:tcPr>
          <w:p w14:paraId="18BDF64A"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pH</w:t>
            </w:r>
          </w:p>
        </w:tc>
        <w:tc>
          <w:tcPr>
            <w:tcW w:w="5096" w:type="dxa"/>
            <w:vAlign w:val="center"/>
          </w:tcPr>
          <w:p w14:paraId="4A9E3013"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7.1 – 8.2 as developed in accordance with section .3 the </w:t>
            </w:r>
            <w:r w:rsidRPr="009D480A">
              <w:rPr>
                <w:rFonts w:cstheme="minorHAnsi"/>
                <w:i/>
                <w:iCs/>
                <w:szCs w:val="18"/>
              </w:rPr>
              <w:t>Queensland Water Quality Guideline 2009 (see Rehabilitation Management Plan for dataset)</w:t>
            </w:r>
          </w:p>
        </w:tc>
      </w:tr>
      <w:tr w:rsidR="000C7472" w:rsidRPr="009D480A" w14:paraId="67F8C43C"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76C6C3D8"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p>
        </w:tc>
        <w:tc>
          <w:tcPr>
            <w:tcW w:w="882" w:type="dxa"/>
            <w:vMerge/>
            <w:vAlign w:val="center"/>
          </w:tcPr>
          <w:p w14:paraId="42542A48"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31E6ECE4"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031AAD6A"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EC (salinity)</w:t>
            </w:r>
          </w:p>
        </w:tc>
        <w:tc>
          <w:tcPr>
            <w:tcW w:w="5096" w:type="dxa"/>
            <w:vAlign w:val="center"/>
          </w:tcPr>
          <w:p w14:paraId="317B7308"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&lt; 520μs/cm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0240C25B"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4D8D29D5"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p>
        </w:tc>
        <w:tc>
          <w:tcPr>
            <w:tcW w:w="882" w:type="dxa"/>
            <w:vMerge/>
            <w:vAlign w:val="center"/>
          </w:tcPr>
          <w:p w14:paraId="3B8AA9C5"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519FB8CA"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77810F7F"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Total suspended solids (TSS) (sediment loss)</w:t>
            </w:r>
          </w:p>
        </w:tc>
        <w:tc>
          <w:tcPr>
            <w:tcW w:w="5096" w:type="dxa"/>
            <w:vAlign w:val="center"/>
          </w:tcPr>
          <w:p w14:paraId="2D3C6D7B" w14:textId="2F843A01"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&lt; 1</w:t>
            </w:r>
            <w:r w:rsidR="00FC2510">
              <w:rPr>
                <w:rFonts w:cstheme="minorHAnsi"/>
                <w:szCs w:val="18"/>
              </w:rPr>
              <w:t>,</w:t>
            </w:r>
            <w:r w:rsidRPr="009D480A">
              <w:rPr>
                <w:rFonts w:cstheme="minorHAnsi"/>
                <w:szCs w:val="18"/>
              </w:rPr>
              <w:t xml:space="preserve">097 mg/L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3E308F79"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096CD928"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p>
        </w:tc>
        <w:tc>
          <w:tcPr>
            <w:tcW w:w="882" w:type="dxa"/>
            <w:vMerge/>
            <w:vAlign w:val="center"/>
          </w:tcPr>
          <w:p w14:paraId="2FD37A93"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5F1215DC"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53DD79EA"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Sulphate</w:t>
            </w:r>
          </w:p>
        </w:tc>
        <w:tc>
          <w:tcPr>
            <w:tcW w:w="5096" w:type="dxa"/>
            <w:vAlign w:val="center"/>
          </w:tcPr>
          <w:p w14:paraId="729AF832" w14:textId="46D84FAF"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&lt; 36</w:t>
            </w:r>
            <w:r w:rsidR="00FC2510">
              <w:rPr>
                <w:rFonts w:cstheme="minorHAnsi"/>
                <w:szCs w:val="18"/>
              </w:rPr>
              <w:t xml:space="preserve"> </w:t>
            </w:r>
            <w:r w:rsidRPr="009D480A">
              <w:rPr>
                <w:rFonts w:cstheme="minorHAnsi"/>
                <w:szCs w:val="18"/>
              </w:rPr>
              <w:t xml:space="preserve">mg/L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3ACBB603"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67FCF1CB"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p>
        </w:tc>
        <w:tc>
          <w:tcPr>
            <w:tcW w:w="882" w:type="dxa"/>
            <w:vMerge w:val="restart"/>
            <w:vAlign w:val="center"/>
          </w:tcPr>
          <w:p w14:paraId="6DD4D49B"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Stable</w:t>
            </w:r>
          </w:p>
        </w:tc>
        <w:tc>
          <w:tcPr>
            <w:tcW w:w="3562" w:type="dxa"/>
            <w:vMerge w:val="restart"/>
            <w:vAlign w:val="center"/>
          </w:tcPr>
          <w:p w14:paraId="18ED32AD"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Landforms are both geotechnically and erosionally stable</w:t>
            </w:r>
          </w:p>
        </w:tc>
        <w:tc>
          <w:tcPr>
            <w:tcW w:w="2954" w:type="dxa"/>
            <w:vAlign w:val="center"/>
          </w:tcPr>
          <w:p w14:paraId="5EBDCDC5"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Factor of safety</w:t>
            </w:r>
          </w:p>
        </w:tc>
        <w:tc>
          <w:tcPr>
            <w:tcW w:w="5096" w:type="dxa"/>
            <w:vAlign w:val="center"/>
          </w:tcPr>
          <w:p w14:paraId="328BDDE0"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 1.5 as defined in Guideline </w:t>
            </w:r>
            <w:r w:rsidRPr="009D480A">
              <w:rPr>
                <w:rFonts w:cstheme="minorHAnsi"/>
                <w:i/>
                <w:iCs/>
                <w:szCs w:val="18"/>
              </w:rPr>
              <w:t>Geotechnical considerations in open pit mines (State of Western Australia 1999).</w:t>
            </w:r>
          </w:p>
        </w:tc>
      </w:tr>
      <w:tr w:rsidR="000C7472" w:rsidRPr="009D480A" w14:paraId="6AA95579"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3412708D"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p>
        </w:tc>
        <w:tc>
          <w:tcPr>
            <w:tcW w:w="882" w:type="dxa"/>
            <w:vMerge/>
            <w:vAlign w:val="center"/>
          </w:tcPr>
          <w:p w14:paraId="4274946F"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0D6F3D8B"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7F98C174"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Slope gradient</w:t>
            </w:r>
          </w:p>
        </w:tc>
        <w:tc>
          <w:tcPr>
            <w:tcW w:w="5096" w:type="dxa"/>
            <w:vAlign w:val="center"/>
          </w:tcPr>
          <w:p w14:paraId="224275AE"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Maximum 33% with rock mulch or other suitable controls</w:t>
            </w:r>
          </w:p>
        </w:tc>
      </w:tr>
      <w:tr w:rsidR="000C7472" w:rsidRPr="009D480A" w14:paraId="1940750F"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7D40E4CF"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p>
        </w:tc>
        <w:tc>
          <w:tcPr>
            <w:tcW w:w="882" w:type="dxa"/>
            <w:vMerge/>
            <w:vAlign w:val="center"/>
          </w:tcPr>
          <w:p w14:paraId="3D96E1F2"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6066C76C"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61FD5126"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Groundcover</w:t>
            </w:r>
          </w:p>
        </w:tc>
        <w:tc>
          <w:tcPr>
            <w:tcW w:w="5096" w:type="dxa"/>
            <w:vAlign w:val="center"/>
          </w:tcPr>
          <w:p w14:paraId="4E1F139E"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&gt;50%</w:t>
            </w:r>
          </w:p>
        </w:tc>
      </w:tr>
      <w:tr w:rsidR="000C7472" w:rsidRPr="009D480A" w14:paraId="0674D35F"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58D78010"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p>
        </w:tc>
        <w:tc>
          <w:tcPr>
            <w:tcW w:w="882" w:type="dxa"/>
            <w:vAlign w:val="center"/>
          </w:tcPr>
          <w:p w14:paraId="5E58C7D1"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Land use</w:t>
            </w:r>
          </w:p>
        </w:tc>
        <w:tc>
          <w:tcPr>
            <w:tcW w:w="3562" w:type="dxa"/>
            <w:vAlign w:val="center"/>
          </w:tcPr>
          <w:p w14:paraId="0EF68D3F"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Rehabilitation has some characteristics of native bushland.</w:t>
            </w:r>
          </w:p>
        </w:tc>
        <w:tc>
          <w:tcPr>
            <w:tcW w:w="2954" w:type="dxa"/>
            <w:vAlign w:val="center"/>
          </w:tcPr>
          <w:p w14:paraId="23956814"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Native species</w:t>
            </w:r>
          </w:p>
          <w:p w14:paraId="35C697F7"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richness:</w:t>
            </w:r>
          </w:p>
          <w:p w14:paraId="1EC0AA43"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Trees</w:t>
            </w:r>
          </w:p>
          <w:p w14:paraId="60508369"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Shrubs</w:t>
            </w:r>
          </w:p>
          <w:p w14:paraId="0BCE4065"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Tree canopy cover</w:t>
            </w:r>
          </w:p>
        </w:tc>
        <w:tc>
          <w:tcPr>
            <w:tcW w:w="5096" w:type="dxa"/>
            <w:vAlign w:val="center"/>
          </w:tcPr>
          <w:p w14:paraId="02890FBA"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≥2</w:t>
            </w:r>
          </w:p>
          <w:p w14:paraId="5F2D0C6A"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≥3</w:t>
            </w:r>
          </w:p>
          <w:p w14:paraId="5E42210A"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≥16%</w:t>
            </w:r>
          </w:p>
          <w:p w14:paraId="29FA6802"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As per BioCondition benchmarks for regional ecosystem condition assessment, DSITI 2018.</w:t>
            </w:r>
          </w:p>
        </w:tc>
      </w:tr>
      <w:tr w:rsidR="000C7472" w:rsidRPr="009D480A" w14:paraId="45FCAC56"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restart"/>
            <w:vAlign w:val="center"/>
          </w:tcPr>
          <w:p w14:paraId="4ADD914B" w14:textId="77777777" w:rsidR="000C7472" w:rsidRPr="00FC2510" w:rsidRDefault="000C7472" w:rsidP="000C7472">
            <w:pPr>
              <w:pStyle w:val="BodyText"/>
              <w:spacing w:before="40" w:beforeAutospacing="0" w:after="40" w:afterAutospacing="0"/>
              <w:jc w:val="center"/>
              <w:rPr>
                <w:rFonts w:asciiTheme="minorHAnsi" w:hAnsiTheme="minorHAnsi" w:cstheme="minorHAnsi"/>
                <w:b/>
                <w:bCs/>
                <w:szCs w:val="18"/>
              </w:rPr>
            </w:pPr>
            <w:r w:rsidRPr="00FC2510">
              <w:rPr>
                <w:rFonts w:asciiTheme="minorHAnsi" w:hAnsiTheme="minorHAnsi" w:cstheme="minorHAnsi"/>
                <w:b/>
                <w:bCs/>
                <w:szCs w:val="18"/>
              </w:rPr>
              <w:t>Self-sustaining vegetation</w:t>
            </w:r>
          </w:p>
        </w:tc>
        <w:tc>
          <w:tcPr>
            <w:tcW w:w="882" w:type="dxa"/>
            <w:vMerge w:val="restart"/>
            <w:vAlign w:val="center"/>
          </w:tcPr>
          <w:p w14:paraId="311BC369"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Non-polluting</w:t>
            </w:r>
          </w:p>
        </w:tc>
        <w:tc>
          <w:tcPr>
            <w:tcW w:w="3562" w:type="dxa"/>
            <w:vMerge w:val="restart"/>
            <w:vAlign w:val="center"/>
          </w:tcPr>
          <w:p w14:paraId="112472D5" w14:textId="77777777" w:rsidR="000C7472" w:rsidRPr="009D480A" w:rsidRDefault="000C7472" w:rsidP="000C7472">
            <w:pPr>
              <w:autoSpaceDE w:val="0"/>
              <w:autoSpaceDN w:val="0"/>
              <w:adjustRightInd w:val="0"/>
              <w:spacing w:after="10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Water leaving domain is non-polluting to receiving waters</w:t>
            </w:r>
          </w:p>
        </w:tc>
        <w:tc>
          <w:tcPr>
            <w:tcW w:w="2954" w:type="dxa"/>
            <w:vAlign w:val="center"/>
          </w:tcPr>
          <w:p w14:paraId="3E560722"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pH</w:t>
            </w:r>
          </w:p>
        </w:tc>
        <w:tc>
          <w:tcPr>
            <w:tcW w:w="5096" w:type="dxa"/>
            <w:vAlign w:val="center"/>
          </w:tcPr>
          <w:p w14:paraId="055C6E35"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7.1 – 8.2 as developed in accordance with section .3 the </w:t>
            </w:r>
            <w:r w:rsidRPr="009D480A">
              <w:rPr>
                <w:rFonts w:cstheme="minorHAnsi"/>
                <w:i/>
                <w:iCs/>
                <w:szCs w:val="18"/>
              </w:rPr>
              <w:t>Queensland Water Quality Guideline 2009 (see Rehabilitation Management Plan for dataset)</w:t>
            </w:r>
          </w:p>
        </w:tc>
      </w:tr>
      <w:tr w:rsidR="000C7472" w:rsidRPr="009D480A" w14:paraId="226978CF"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096C4B38" w14:textId="77777777" w:rsidR="000C7472" w:rsidRPr="009D480A" w:rsidRDefault="000C7472" w:rsidP="000C7472">
            <w:pPr>
              <w:pStyle w:val="BodyText"/>
              <w:spacing w:before="40" w:beforeAutospacing="0" w:after="40" w:afterAutospacing="0"/>
              <w:jc w:val="center"/>
              <w:rPr>
                <w:rFonts w:asciiTheme="minorHAnsi" w:hAnsiTheme="minorHAnsi" w:cstheme="minorHAnsi"/>
                <w:szCs w:val="18"/>
              </w:rPr>
            </w:pPr>
          </w:p>
        </w:tc>
        <w:tc>
          <w:tcPr>
            <w:tcW w:w="882" w:type="dxa"/>
            <w:vMerge/>
            <w:vAlign w:val="center"/>
          </w:tcPr>
          <w:p w14:paraId="1A8E4D02"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602CF8E7" w14:textId="77777777" w:rsidR="000C7472" w:rsidRPr="009D480A" w:rsidRDefault="000C7472" w:rsidP="000C7472">
            <w:pPr>
              <w:autoSpaceDE w:val="0"/>
              <w:autoSpaceDN w:val="0"/>
              <w:adjustRightInd w:val="0"/>
              <w:spacing w:after="10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38559215"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EC (salinity)</w:t>
            </w:r>
          </w:p>
        </w:tc>
        <w:tc>
          <w:tcPr>
            <w:tcW w:w="5096" w:type="dxa"/>
            <w:vAlign w:val="center"/>
          </w:tcPr>
          <w:p w14:paraId="45D1F324" w14:textId="1EDF6E23"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&lt; 520</w:t>
            </w:r>
            <w:r w:rsidR="00FC2510">
              <w:rPr>
                <w:rFonts w:cstheme="minorHAnsi"/>
                <w:szCs w:val="18"/>
              </w:rPr>
              <w:t xml:space="preserve"> </w:t>
            </w:r>
            <w:r w:rsidRPr="009D480A">
              <w:rPr>
                <w:rFonts w:cstheme="minorHAnsi"/>
                <w:szCs w:val="18"/>
              </w:rPr>
              <w:t xml:space="preserve">μs/cm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78D7B129"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434C50AD" w14:textId="77777777" w:rsidR="000C7472" w:rsidRPr="009D480A" w:rsidRDefault="000C7472" w:rsidP="000C7472">
            <w:pPr>
              <w:pStyle w:val="BodyText"/>
              <w:spacing w:before="40" w:beforeAutospacing="0" w:after="40" w:afterAutospacing="0"/>
              <w:jc w:val="center"/>
              <w:rPr>
                <w:rFonts w:asciiTheme="minorHAnsi" w:hAnsiTheme="minorHAnsi" w:cstheme="minorHAnsi"/>
                <w:szCs w:val="18"/>
              </w:rPr>
            </w:pPr>
          </w:p>
        </w:tc>
        <w:tc>
          <w:tcPr>
            <w:tcW w:w="882" w:type="dxa"/>
            <w:vMerge/>
            <w:vAlign w:val="center"/>
          </w:tcPr>
          <w:p w14:paraId="61BFCE85"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16629DB5"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6048F6FA"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Total suspended solids (TSS) (sediment loss)</w:t>
            </w:r>
          </w:p>
        </w:tc>
        <w:tc>
          <w:tcPr>
            <w:tcW w:w="5096" w:type="dxa"/>
            <w:vAlign w:val="center"/>
          </w:tcPr>
          <w:p w14:paraId="6A37C6EF" w14:textId="0B7E0D9C"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&lt; 1</w:t>
            </w:r>
            <w:r w:rsidR="00FC2510">
              <w:rPr>
                <w:rFonts w:cstheme="minorHAnsi"/>
                <w:szCs w:val="18"/>
              </w:rPr>
              <w:t>,</w:t>
            </w:r>
            <w:r w:rsidRPr="009D480A">
              <w:rPr>
                <w:rFonts w:cstheme="minorHAnsi"/>
                <w:szCs w:val="18"/>
              </w:rPr>
              <w:t xml:space="preserve">097 mg/L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2B5F5ABA"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05B47925" w14:textId="77777777" w:rsidR="000C7472" w:rsidRPr="009D480A" w:rsidRDefault="000C7472" w:rsidP="000C7472">
            <w:pPr>
              <w:pStyle w:val="BodyText"/>
              <w:spacing w:before="40" w:beforeAutospacing="0" w:after="40" w:afterAutospacing="0"/>
              <w:jc w:val="center"/>
              <w:rPr>
                <w:rFonts w:asciiTheme="minorHAnsi" w:hAnsiTheme="minorHAnsi" w:cstheme="minorHAnsi"/>
                <w:szCs w:val="18"/>
              </w:rPr>
            </w:pPr>
          </w:p>
        </w:tc>
        <w:tc>
          <w:tcPr>
            <w:tcW w:w="882" w:type="dxa"/>
            <w:vMerge/>
            <w:vAlign w:val="center"/>
          </w:tcPr>
          <w:p w14:paraId="77982EAB"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24435919"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46BDDB0A"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Sulphate</w:t>
            </w:r>
          </w:p>
        </w:tc>
        <w:tc>
          <w:tcPr>
            <w:tcW w:w="5096" w:type="dxa"/>
            <w:vAlign w:val="center"/>
          </w:tcPr>
          <w:p w14:paraId="7C88E8FE" w14:textId="0E958DF3"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&lt; 36</w:t>
            </w:r>
            <w:r w:rsidR="00FC2510">
              <w:rPr>
                <w:rFonts w:cstheme="minorHAnsi"/>
                <w:szCs w:val="18"/>
              </w:rPr>
              <w:t xml:space="preserve"> </w:t>
            </w:r>
            <w:r w:rsidRPr="009D480A">
              <w:rPr>
                <w:rFonts w:cstheme="minorHAnsi"/>
                <w:szCs w:val="18"/>
              </w:rPr>
              <w:t xml:space="preserve">mg/L as developed in accordance with section 4.3 the </w:t>
            </w:r>
            <w:r w:rsidRPr="009D480A">
              <w:rPr>
                <w:rFonts w:cstheme="minorHAnsi"/>
                <w:i/>
                <w:iCs/>
                <w:szCs w:val="18"/>
              </w:rPr>
              <w:t>Queensland Water Quality Guideline 2009 (see Rehabilitation Management Plan for dataset)</w:t>
            </w:r>
          </w:p>
        </w:tc>
      </w:tr>
      <w:tr w:rsidR="000C7472" w:rsidRPr="009D480A" w14:paraId="443C93C6" w14:textId="77777777" w:rsidTr="00B71DC6">
        <w:trPr>
          <w:trHeight w:val="20"/>
        </w:trPr>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04284E31" w14:textId="77777777" w:rsidR="000C7472" w:rsidRPr="009D480A" w:rsidRDefault="000C7472" w:rsidP="000C7472">
            <w:pPr>
              <w:pStyle w:val="BodyText"/>
              <w:spacing w:before="40" w:beforeAutospacing="0" w:after="40" w:afterAutospacing="0"/>
              <w:jc w:val="center"/>
              <w:rPr>
                <w:rFonts w:asciiTheme="minorHAnsi" w:hAnsiTheme="minorHAnsi" w:cstheme="minorHAnsi"/>
                <w:szCs w:val="18"/>
              </w:rPr>
            </w:pPr>
          </w:p>
        </w:tc>
        <w:tc>
          <w:tcPr>
            <w:tcW w:w="882" w:type="dxa"/>
            <w:vMerge w:val="restart"/>
            <w:vAlign w:val="center"/>
          </w:tcPr>
          <w:p w14:paraId="194C5F42"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Stable</w:t>
            </w:r>
          </w:p>
        </w:tc>
        <w:tc>
          <w:tcPr>
            <w:tcW w:w="3562" w:type="dxa"/>
            <w:vMerge w:val="restart"/>
            <w:vAlign w:val="center"/>
          </w:tcPr>
          <w:p w14:paraId="21EF15F5"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Landforms are both geotechnically and erosionally stable</w:t>
            </w:r>
          </w:p>
        </w:tc>
        <w:tc>
          <w:tcPr>
            <w:tcW w:w="2954" w:type="dxa"/>
            <w:vAlign w:val="center"/>
          </w:tcPr>
          <w:p w14:paraId="6C2A2D92"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Factor of safety</w:t>
            </w:r>
          </w:p>
        </w:tc>
        <w:tc>
          <w:tcPr>
            <w:tcW w:w="5096" w:type="dxa"/>
            <w:vAlign w:val="center"/>
          </w:tcPr>
          <w:p w14:paraId="29232484"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xml:space="preserve">≥ 1.5 as defined in Guideline </w:t>
            </w:r>
            <w:r w:rsidRPr="009D480A">
              <w:rPr>
                <w:rFonts w:cstheme="minorHAnsi"/>
                <w:i/>
                <w:iCs/>
                <w:szCs w:val="18"/>
              </w:rPr>
              <w:t>Geotechnical considerations in open pit mines (State of Western Australia 1999).</w:t>
            </w:r>
          </w:p>
        </w:tc>
      </w:tr>
      <w:tr w:rsidR="000C7472" w:rsidRPr="009D480A" w14:paraId="18DF2E8B" w14:textId="77777777" w:rsidTr="00B71DC6">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62FDF921" w14:textId="77777777" w:rsidR="000C7472" w:rsidRPr="009D480A" w:rsidRDefault="000C7472" w:rsidP="000C7472">
            <w:pPr>
              <w:pStyle w:val="BodyText"/>
              <w:spacing w:before="40" w:beforeAutospacing="0" w:after="40" w:afterAutospacing="0"/>
              <w:jc w:val="center"/>
              <w:rPr>
                <w:rFonts w:asciiTheme="minorHAnsi" w:hAnsiTheme="minorHAnsi" w:cstheme="minorHAnsi"/>
                <w:szCs w:val="18"/>
              </w:rPr>
            </w:pPr>
          </w:p>
        </w:tc>
        <w:tc>
          <w:tcPr>
            <w:tcW w:w="882" w:type="dxa"/>
            <w:vMerge/>
            <w:vAlign w:val="center"/>
          </w:tcPr>
          <w:p w14:paraId="444B5DE6"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3562" w:type="dxa"/>
            <w:vMerge/>
            <w:vAlign w:val="center"/>
          </w:tcPr>
          <w:p w14:paraId="1A5E2483"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p>
        </w:tc>
        <w:tc>
          <w:tcPr>
            <w:tcW w:w="2954" w:type="dxa"/>
            <w:vAlign w:val="center"/>
          </w:tcPr>
          <w:p w14:paraId="28AB74E8"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Slope gradient</w:t>
            </w:r>
          </w:p>
        </w:tc>
        <w:tc>
          <w:tcPr>
            <w:tcW w:w="5096" w:type="dxa"/>
            <w:vAlign w:val="center"/>
          </w:tcPr>
          <w:p w14:paraId="54B0AE6A"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Maximum for high walls:</w:t>
            </w:r>
          </w:p>
          <w:p w14:paraId="191FF2F3"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- 33% for Tertiary</w:t>
            </w:r>
          </w:p>
          <w:p w14:paraId="79B810F7"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- 50% for weathered Permian</w:t>
            </w:r>
          </w:p>
          <w:p w14:paraId="256FD8E1"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- 100% for fresh Permian</w:t>
            </w:r>
          </w:p>
          <w:p w14:paraId="4EE00109"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 Maximum for inward facing spoil:</w:t>
            </w:r>
          </w:p>
          <w:p w14:paraId="0294932F"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25% with rock mulch or other suitable controls</w:t>
            </w:r>
          </w:p>
        </w:tc>
      </w:tr>
      <w:tr w:rsidR="000C7472" w:rsidRPr="009D480A" w14:paraId="6AFD9BD4" w14:textId="77777777" w:rsidTr="00B71DC6">
        <w:trPr>
          <w:trHeight w:val="698"/>
        </w:trPr>
        <w:tc>
          <w:tcPr>
            <w:cnfStyle w:val="001000000000" w:firstRow="0" w:lastRow="0" w:firstColumn="1" w:lastColumn="0" w:oddVBand="0" w:evenVBand="0" w:oddHBand="0" w:evenHBand="0" w:firstRowFirstColumn="0" w:firstRowLastColumn="0" w:lastRowFirstColumn="0" w:lastRowLastColumn="0"/>
            <w:tcW w:w="1181" w:type="dxa"/>
            <w:vMerge/>
            <w:vAlign w:val="center"/>
          </w:tcPr>
          <w:p w14:paraId="45095461" w14:textId="77777777" w:rsidR="000C7472" w:rsidRPr="009D480A" w:rsidRDefault="000C7472" w:rsidP="000C7472">
            <w:pPr>
              <w:pStyle w:val="BodyText"/>
              <w:spacing w:before="40" w:beforeAutospacing="0" w:after="40" w:afterAutospacing="0"/>
              <w:jc w:val="center"/>
              <w:rPr>
                <w:rFonts w:asciiTheme="minorHAnsi" w:hAnsiTheme="minorHAnsi" w:cstheme="minorHAnsi"/>
                <w:szCs w:val="18"/>
              </w:rPr>
            </w:pPr>
          </w:p>
        </w:tc>
        <w:tc>
          <w:tcPr>
            <w:tcW w:w="882" w:type="dxa"/>
            <w:vAlign w:val="center"/>
          </w:tcPr>
          <w:p w14:paraId="11F6DB77"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Land use</w:t>
            </w:r>
          </w:p>
        </w:tc>
        <w:tc>
          <w:tcPr>
            <w:tcW w:w="3562" w:type="dxa"/>
            <w:vAlign w:val="center"/>
          </w:tcPr>
          <w:p w14:paraId="464E2FFC"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Self-sustaining vegetation</w:t>
            </w:r>
          </w:p>
        </w:tc>
        <w:tc>
          <w:tcPr>
            <w:tcW w:w="2954" w:type="dxa"/>
            <w:vAlign w:val="center"/>
          </w:tcPr>
          <w:p w14:paraId="4093A286" w14:textId="77777777" w:rsidR="000C7472" w:rsidRPr="009D480A" w:rsidRDefault="000C7472" w:rsidP="000C7472">
            <w:pPr>
              <w:pStyle w:val="BodyText"/>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Groundcover</w:t>
            </w:r>
          </w:p>
        </w:tc>
        <w:tc>
          <w:tcPr>
            <w:tcW w:w="5096" w:type="dxa"/>
            <w:vAlign w:val="center"/>
          </w:tcPr>
          <w:p w14:paraId="7ACECF8F" w14:textId="77777777" w:rsidR="000C7472" w:rsidRPr="009D480A" w:rsidRDefault="000C7472" w:rsidP="000C7472">
            <w:pPr>
              <w:autoSpaceDE w:val="0"/>
              <w:autoSpaceDN w:val="0"/>
              <w:adjustRightInd w:val="0"/>
              <w:spacing w:before="40" w:beforeAutospacing="0" w:after="40" w:afterAutospacing="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9D480A">
              <w:rPr>
                <w:rFonts w:cstheme="minorHAnsi"/>
                <w:szCs w:val="18"/>
              </w:rPr>
              <w:t>&gt;50%</w:t>
            </w:r>
          </w:p>
        </w:tc>
      </w:tr>
    </w:tbl>
    <w:p w14:paraId="6C31415D" w14:textId="6528D69C" w:rsidR="00D53180" w:rsidRPr="004F478C" w:rsidRDefault="00D53180" w:rsidP="00D53180">
      <w:pPr>
        <w:pStyle w:val="BodyText"/>
        <w:rPr>
          <w:highlight w:val="green"/>
        </w:rPr>
        <w:sectPr w:rsidR="00D53180" w:rsidRPr="004F478C" w:rsidSect="000C7472">
          <w:pgSz w:w="16839" w:h="11907" w:orient="landscape" w:code="9"/>
          <w:pgMar w:top="1440" w:right="1134" w:bottom="1440" w:left="1440" w:header="340" w:footer="340" w:gutter="0"/>
          <w:cols w:space="708"/>
          <w:docGrid w:linePitch="360"/>
        </w:sectPr>
      </w:pPr>
    </w:p>
    <w:p w14:paraId="06486919" w14:textId="77777777" w:rsidR="000C7472" w:rsidRPr="00C92CFF" w:rsidRDefault="000C7472" w:rsidP="000C7472">
      <w:pPr>
        <w:pStyle w:val="Heading4"/>
        <w:numPr>
          <w:ilvl w:val="3"/>
          <w:numId w:val="4"/>
        </w:numPr>
      </w:pPr>
      <w:r w:rsidRPr="00C92CFF">
        <w:lastRenderedPageBreak/>
        <w:t>Final void post mining land use</w:t>
      </w:r>
    </w:p>
    <w:p w14:paraId="22F49CA8" w14:textId="77777777" w:rsidR="000C7472" w:rsidRDefault="000C7472" w:rsidP="000C7472">
      <w:pPr>
        <w:pStyle w:val="BodyText"/>
        <w:rPr>
          <w:rFonts w:ascii="Arial" w:hAnsi="Arial" w:cs="Arial"/>
        </w:rPr>
      </w:pPr>
      <w:r w:rsidRPr="00C92CFF">
        <w:rPr>
          <w:rFonts w:ascii="Arial" w:hAnsi="Arial" w:cs="Arial"/>
        </w:rPr>
        <w:t>Post mining land use for final voids has been identified as</w:t>
      </w:r>
      <w:r>
        <w:rPr>
          <w:rFonts w:ascii="Arial" w:hAnsi="Arial" w:cs="Arial"/>
        </w:rPr>
        <w:t xml:space="preserve"> sustainable grazing/water body,</w:t>
      </w:r>
      <w:r w:rsidRPr="00C92CFF">
        <w:rPr>
          <w:rFonts w:ascii="Arial" w:hAnsi="Arial" w:cs="Arial"/>
        </w:rPr>
        <w:t xml:space="preserve"> native bushland corridor and self-sustaining vegetated cover</w:t>
      </w:r>
      <w:r>
        <w:rPr>
          <w:rFonts w:ascii="Arial" w:hAnsi="Arial" w:cs="Arial"/>
        </w:rPr>
        <w:t xml:space="preserve"> (defined within rehabilitation domains)</w:t>
      </w:r>
      <w:r w:rsidRPr="00C92CFF">
        <w:rPr>
          <w:rFonts w:ascii="Arial" w:hAnsi="Arial" w:cs="Arial"/>
        </w:rPr>
        <w:t xml:space="preserve">. </w:t>
      </w:r>
      <w:r>
        <w:rPr>
          <w:rFonts w:ascii="Arial" w:hAnsi="Arial" w:cs="Arial"/>
        </w:rPr>
        <w:t>All voids are to be partially backfilled to accommodate reduced spoil slopes and to achieve the post mining land uses.</w:t>
      </w:r>
    </w:p>
    <w:p w14:paraId="1D2A91D4" w14:textId="77777777" w:rsidR="000C7472" w:rsidRDefault="000C7472" w:rsidP="000C7472">
      <w:pPr>
        <w:pStyle w:val="BodyText"/>
        <w:rPr>
          <w:rFonts w:ascii="Arial" w:hAnsi="Arial" w:cs="Arial"/>
        </w:rPr>
      </w:pPr>
      <w:r>
        <w:rPr>
          <w:rFonts w:ascii="Arial" w:hAnsi="Arial" w:cs="Arial"/>
        </w:rPr>
        <w:t>Water bodies are expected to form part of the final void landscape; however, this is not expected to occur until 50 to 55 years post mining. The water body domain is presented as a sub-set of the sustainable grazing domain. Waterbodies will be fenced either prior to relinquishment or once groundwater daylights (whichever is sooner), to prevent cattle from accessing groundwater with fences to be maintained by the landowner. It is anticipated that aquatic bird life will reside in these areas, with current modelled salinity showing the areas will not become hypersaline.</w:t>
      </w:r>
    </w:p>
    <w:p w14:paraId="05293FB8" w14:textId="77777777" w:rsidR="000C7472" w:rsidRDefault="000C7472" w:rsidP="000C7472">
      <w:pPr>
        <w:pStyle w:val="BodyText"/>
        <w:rPr>
          <w:rFonts w:ascii="Arial" w:hAnsi="Arial" w:cs="Arial"/>
        </w:rPr>
      </w:pPr>
      <w:r>
        <w:rPr>
          <w:rFonts w:ascii="Arial" w:hAnsi="Arial" w:cs="Arial"/>
        </w:rPr>
        <w:t>The native bushland corridor rehabilitation has been designed to integrate with the existing vegetation around areas disturbed for mining. Areas with a final landform between 33% and 100% will be rehabilitated to bushland. With much of the surrounding area extensively cleared for agricultural use, remaining remnant vegetation exists on riparian corridors associated with Nogoa River and its tributaries. The native bushland corridor has been designed to be 100 m wide along the highwall of voids ABCD, which will provide improved connectivity with existing corridors. Native bushland corridor is expected to occupy 150 ha (or 2.5%) of the total rehabilitated area.</w:t>
      </w:r>
    </w:p>
    <w:p w14:paraId="1A7E372F" w14:textId="28DA9E77" w:rsidR="000C7472" w:rsidRDefault="000C7472" w:rsidP="000C7472">
      <w:pPr>
        <w:pStyle w:val="BodyText"/>
        <w:rPr>
          <w:rFonts w:ascii="Arial" w:hAnsi="Arial" w:cs="Arial"/>
        </w:rPr>
      </w:pPr>
      <w:r>
        <w:rPr>
          <w:rFonts w:ascii="Arial" w:hAnsi="Arial" w:cs="Arial"/>
        </w:rPr>
        <w:t>Sustainable grazing is planned for the outward facing low</w:t>
      </w:r>
      <w:r w:rsidR="00A86D31">
        <w:rPr>
          <w:rFonts w:ascii="Arial" w:hAnsi="Arial" w:cs="Arial"/>
        </w:rPr>
        <w:t xml:space="preserve"> </w:t>
      </w:r>
      <w:r>
        <w:rPr>
          <w:rFonts w:ascii="Arial" w:hAnsi="Arial" w:cs="Arial"/>
        </w:rPr>
        <w:t>wall spoil slope. This is planned for areas with a slope ranging between 10% to 15% and is approved in the current Ensham Mine EA. Cattle will be allowed to graze in areas up to 25% slope.</w:t>
      </w:r>
    </w:p>
    <w:p w14:paraId="7717C888" w14:textId="77777777" w:rsidR="000C7472" w:rsidRDefault="000C7472" w:rsidP="000C7472">
      <w:pPr>
        <w:pStyle w:val="BodyText"/>
        <w:rPr>
          <w:rFonts w:ascii="Arial" w:hAnsi="Arial" w:cs="Arial"/>
        </w:rPr>
      </w:pPr>
      <w:r>
        <w:rPr>
          <w:rFonts w:ascii="Arial" w:hAnsi="Arial" w:cs="Arial"/>
        </w:rPr>
        <w:t xml:space="preserve">Slope angles of 100% or more will support self-sustaining vegetation cover. </w:t>
      </w:r>
    </w:p>
    <w:p w14:paraId="66750E07" w14:textId="77777777" w:rsidR="000C7472" w:rsidRPr="00417480" w:rsidRDefault="000C7472" w:rsidP="000C7472">
      <w:pPr>
        <w:pStyle w:val="Heading4"/>
        <w:numPr>
          <w:ilvl w:val="3"/>
          <w:numId w:val="4"/>
        </w:numPr>
      </w:pPr>
      <w:r>
        <w:t xml:space="preserve">Future </w:t>
      </w:r>
      <w:r w:rsidRPr="00417480">
        <w:t>management plans</w:t>
      </w:r>
    </w:p>
    <w:p w14:paraId="33A80FDD" w14:textId="77777777" w:rsidR="000C7472" w:rsidRDefault="000C7472" w:rsidP="000C7472">
      <w:r>
        <w:t xml:space="preserve">A </w:t>
      </w:r>
      <w:r w:rsidRPr="0037428D">
        <w:t>Post Closure Management Plan (PCMP) to be prepared at least 18 months prior to final coal processing on site and be implemented for a nominal period of at least 30 years (or shorter if the site has proven to be stable and to the satisfaction of administering authority).  The PCMP will require ongoing monitoring of surface water, groundwater, seepage, erosion, integrity and effectiveness of final cover systems and the health and resilience of native</w:t>
      </w:r>
      <w:r>
        <w:t xml:space="preserve"> vegetation cover.</w:t>
      </w:r>
    </w:p>
    <w:p w14:paraId="5943EF2E" w14:textId="1CAE83B6" w:rsidR="00C12AD6" w:rsidRDefault="00C12AD6" w:rsidP="00C12AD6">
      <w:pPr>
        <w:pStyle w:val="Heading3"/>
      </w:pPr>
      <w:bookmarkStart w:id="292" w:name="_Toc87278373"/>
      <w:r>
        <w:t>Risk mitigation and management</w:t>
      </w:r>
      <w:bookmarkEnd w:id="292"/>
    </w:p>
    <w:p w14:paraId="21842E35" w14:textId="70D29694" w:rsidR="004A5069" w:rsidRDefault="004A5069" w:rsidP="004A5069">
      <w:pPr>
        <w:pStyle w:val="BodyText"/>
      </w:pPr>
      <w:r>
        <w:t>According to documentation prepared</w:t>
      </w:r>
      <w:r w:rsidRPr="004A5069">
        <w:t xml:space="preserve"> by Ensham to support the State EA Amendment Application (Ensham</w:t>
      </w:r>
      <w:r>
        <w:t>), the rehabilitated landforms A (South), A (North), B, CD, E for the</w:t>
      </w:r>
      <w:r w:rsidRPr="004A5069">
        <w:t xml:space="preserve"> </w:t>
      </w:r>
      <w:r w:rsidRPr="0081651E">
        <w:t>selected ‘Final Option’ (</w:t>
      </w:r>
      <w:r w:rsidRPr="00620689">
        <w:rPr>
          <w:i/>
          <w:iCs/>
        </w:rPr>
        <w:t>Option 2 – ‘Beneficial use’</w:t>
      </w:r>
      <w:r w:rsidRPr="0081651E">
        <w:t>)</w:t>
      </w:r>
      <w:r>
        <w:t xml:space="preserve"> will operate as groundwater sinks (Section </w:t>
      </w:r>
      <w:r>
        <w:fldChar w:fldCharType="begin"/>
      </w:r>
      <w:r>
        <w:instrText xml:space="preserve"> REF _Ref59014143 \n \h </w:instrText>
      </w:r>
      <w:r>
        <w:fldChar w:fldCharType="separate"/>
      </w:r>
      <w:r w:rsidR="00937ADD">
        <w:t>5.4.4</w:t>
      </w:r>
      <w:r>
        <w:fldChar w:fldCharType="end"/>
      </w:r>
      <w:r>
        <w:t>). The assessment concluded these landforms pose a low risk of environmental harm, with commitments to implementing the following key risk mitigation and management measures</w:t>
      </w:r>
      <w:r w:rsidR="004C52BE">
        <w:t>.</w:t>
      </w:r>
    </w:p>
    <w:p w14:paraId="3CBD9846" w14:textId="24D49C43" w:rsidR="00AA3453" w:rsidRDefault="00B00447" w:rsidP="001628AA">
      <w:pPr>
        <w:pStyle w:val="ListParagraph"/>
        <w:numPr>
          <w:ilvl w:val="0"/>
          <w:numId w:val="79"/>
        </w:numPr>
        <w:spacing w:before="80" w:beforeAutospacing="0" w:after="80" w:afterAutospacing="0"/>
        <w:contextualSpacing w:val="0"/>
      </w:pPr>
      <w:r>
        <w:t>P</w:t>
      </w:r>
      <w:r w:rsidRPr="00B00447">
        <w:t xml:space="preserve">artial backfilling of the open-cuts to </w:t>
      </w:r>
      <w:r w:rsidR="004C52BE">
        <w:t>produce</w:t>
      </w:r>
      <w:r w:rsidRPr="00B00447">
        <w:t xml:space="preserve"> a rehabilitated landform consistent with the regional topography protected by permanent landforms</w:t>
      </w:r>
      <w:r>
        <w:t xml:space="preserve"> (Section</w:t>
      </w:r>
      <w:r w:rsidR="004A141B">
        <w:t xml:space="preserve"> </w:t>
      </w:r>
      <w:r w:rsidR="004A141B">
        <w:fldChar w:fldCharType="begin"/>
      </w:r>
      <w:r w:rsidR="004A141B">
        <w:instrText xml:space="preserve"> REF _Ref58925637 \n \h </w:instrText>
      </w:r>
      <w:r w:rsidR="004A141B">
        <w:fldChar w:fldCharType="separate"/>
      </w:r>
      <w:r w:rsidR="00937ADD">
        <w:t>5.4.3</w:t>
      </w:r>
      <w:r w:rsidR="004A141B">
        <w:fldChar w:fldCharType="end"/>
      </w:r>
      <w:r>
        <w:t>). The partial backfilling will reduce the volume and area of poor quality ‘pit lake’ water remaining at equilibrium post-mining</w:t>
      </w:r>
      <w:r w:rsidR="00B8283C">
        <w:t>.</w:t>
      </w:r>
      <w:r w:rsidR="00AA3453">
        <w:t xml:space="preserve"> </w:t>
      </w:r>
    </w:p>
    <w:p w14:paraId="0EFF5E22" w14:textId="329ED359" w:rsidR="00AA3453" w:rsidRDefault="00AA3453" w:rsidP="001628AA">
      <w:pPr>
        <w:pStyle w:val="ListParagraph"/>
        <w:spacing w:before="80" w:beforeAutospacing="0" w:after="80" w:afterAutospacing="0"/>
        <w:contextualSpacing w:val="0"/>
      </w:pPr>
      <w:r>
        <w:t xml:space="preserve">The RVP indicated that </w:t>
      </w:r>
      <w:r w:rsidRPr="00CE590C">
        <w:t xml:space="preserve">that in order to prevent groundwater from daylighting in </w:t>
      </w:r>
      <w:r>
        <w:t xml:space="preserve">the </w:t>
      </w:r>
      <w:r w:rsidRPr="00CE590C">
        <w:t>A to E pits, considerable fill</w:t>
      </w:r>
      <w:r>
        <w:t xml:space="preserve"> material</w:t>
      </w:r>
      <w:r w:rsidRPr="00CE590C">
        <w:t xml:space="preserve"> would be required</w:t>
      </w:r>
      <w:r>
        <w:t xml:space="preserve"> (with filling activities</w:t>
      </w:r>
      <w:r w:rsidRPr="00CE590C">
        <w:t xml:space="preserve"> increas</w:t>
      </w:r>
      <w:r>
        <w:t>ing</w:t>
      </w:r>
      <w:r w:rsidRPr="00CE590C">
        <w:t xml:space="preserve"> groundwater level</w:t>
      </w:r>
      <w:r>
        <w:t>s</w:t>
      </w:r>
      <w:r w:rsidRPr="00CE590C">
        <w:t>,</w:t>
      </w:r>
      <w:r>
        <w:t xml:space="preserve"> and in turn,</w:t>
      </w:r>
      <w:r w:rsidRPr="00CE590C">
        <w:t xml:space="preserve"> </w:t>
      </w:r>
      <w:r>
        <w:t xml:space="preserve">the requirement for </w:t>
      </w:r>
      <w:r w:rsidRPr="00CE590C">
        <w:t>further fill</w:t>
      </w:r>
      <w:r>
        <w:t xml:space="preserve"> material)</w:t>
      </w:r>
      <w:r w:rsidRPr="00CE590C">
        <w:t xml:space="preserve">. </w:t>
      </w:r>
      <w:r>
        <w:t>Ensham (2019b) concluded that due to the volume of fill material required</w:t>
      </w:r>
      <w:r w:rsidRPr="00CE590C">
        <w:t xml:space="preserve">, </w:t>
      </w:r>
      <w:r>
        <w:t xml:space="preserve">together with </w:t>
      </w:r>
      <w:r w:rsidRPr="00CE590C">
        <w:t>the</w:t>
      </w:r>
      <w:r>
        <w:t xml:space="preserve"> small </w:t>
      </w:r>
      <w:r w:rsidRPr="00CE590C">
        <w:t xml:space="preserve">areas where groundwater would </w:t>
      </w:r>
      <w:r>
        <w:t>‘</w:t>
      </w:r>
      <w:r w:rsidRPr="00CE590C">
        <w:t>daylight</w:t>
      </w:r>
      <w:r>
        <w:t>’</w:t>
      </w:r>
      <w:r w:rsidRPr="00CE590C">
        <w:t xml:space="preserve">, significant period before groundwater is predicted </w:t>
      </w:r>
      <w:r>
        <w:t xml:space="preserve">to ‘daylight’ </w:t>
      </w:r>
      <w:r w:rsidRPr="00CE590C">
        <w:t xml:space="preserve">and low risk of </w:t>
      </w:r>
      <w:r>
        <w:t xml:space="preserve">environmental </w:t>
      </w:r>
      <w:r w:rsidRPr="00CE590C">
        <w:t xml:space="preserve">harm constituted by the existence of the </w:t>
      </w:r>
      <w:r>
        <w:t xml:space="preserve">small volume of ‘pit lake’ water remaining in </w:t>
      </w:r>
      <w:r w:rsidRPr="00CE590C">
        <w:t xml:space="preserve">the </w:t>
      </w:r>
      <w:r>
        <w:t xml:space="preserve">rehabilitated </w:t>
      </w:r>
      <w:r w:rsidRPr="00CE590C">
        <w:t xml:space="preserve">landform, </w:t>
      </w:r>
      <w:r>
        <w:t>additional backfilling to eliminate groundwater ‘daylighting’ was not warranted</w:t>
      </w:r>
      <w:r w:rsidRPr="00CE590C">
        <w:t>.</w:t>
      </w:r>
    </w:p>
    <w:p w14:paraId="6B31160D" w14:textId="1D4032EE" w:rsidR="00B00447" w:rsidRDefault="00B00447" w:rsidP="001628AA">
      <w:pPr>
        <w:pStyle w:val="BodyText"/>
        <w:numPr>
          <w:ilvl w:val="0"/>
          <w:numId w:val="78"/>
        </w:numPr>
        <w:spacing w:before="80" w:after="80"/>
      </w:pPr>
      <w:r>
        <w:t>E</w:t>
      </w:r>
      <w:r w:rsidRPr="00B00447">
        <w:t>xisting levees will be incorporated into the landform design</w:t>
      </w:r>
      <w:r>
        <w:t xml:space="preserve"> to provide flood immunity and exclude the rehabilitated areas from flood interactions up to and including a 0.1% AEP event (Section </w:t>
      </w:r>
      <w:r>
        <w:fldChar w:fldCharType="begin"/>
      </w:r>
      <w:r>
        <w:instrText xml:space="preserve"> REF _Ref58925637 \n \h </w:instrText>
      </w:r>
      <w:r>
        <w:fldChar w:fldCharType="separate"/>
      </w:r>
      <w:r w:rsidR="00937ADD">
        <w:t>5.4.3</w:t>
      </w:r>
      <w:r>
        <w:fldChar w:fldCharType="end"/>
      </w:r>
      <w:r>
        <w:t>).</w:t>
      </w:r>
    </w:p>
    <w:p w14:paraId="67D9F4ED" w14:textId="563A98D4" w:rsidR="004A5069" w:rsidRDefault="00B8283C" w:rsidP="00683D42">
      <w:pPr>
        <w:pStyle w:val="BodyText"/>
        <w:numPr>
          <w:ilvl w:val="0"/>
          <w:numId w:val="78"/>
        </w:numPr>
      </w:pPr>
      <w:r>
        <w:lastRenderedPageBreak/>
        <w:t xml:space="preserve">Rehabilitated </w:t>
      </w:r>
      <w:r w:rsidRPr="00B8283C">
        <w:t xml:space="preserve">F and Y pits </w:t>
      </w:r>
      <w:r>
        <w:t xml:space="preserve">will also be subject to partial </w:t>
      </w:r>
      <w:r w:rsidR="00E62B3D">
        <w:t>backfilling;</w:t>
      </w:r>
      <w:r>
        <w:t xml:space="preserve"> </w:t>
      </w:r>
      <w:r w:rsidR="00D52659">
        <w:t>however,</w:t>
      </w:r>
      <w:r>
        <w:t xml:space="preserve"> their design is such that </w:t>
      </w:r>
      <w:r w:rsidR="00E62B3D">
        <w:t xml:space="preserve">the </w:t>
      </w:r>
      <w:r w:rsidRPr="00B8283C">
        <w:t>floor level</w:t>
      </w:r>
      <w:r>
        <w:t>s</w:t>
      </w:r>
      <w:r w:rsidRPr="00B8283C">
        <w:t xml:space="preserve"> </w:t>
      </w:r>
      <w:r w:rsidR="00AA3453">
        <w:t xml:space="preserve">will be </w:t>
      </w:r>
      <w:r w:rsidRPr="00B8283C">
        <w:t xml:space="preserve">above stabilised groundwater levels. </w:t>
      </w:r>
      <w:r>
        <w:t>N</w:t>
      </w:r>
      <w:r w:rsidRPr="00B8283C">
        <w:t xml:space="preserve">o groundwater is </w:t>
      </w:r>
      <w:r w:rsidR="00AA3453">
        <w:t xml:space="preserve">therefore </w:t>
      </w:r>
      <w:r w:rsidRPr="00B8283C">
        <w:t>expected to ‘daylight’ in the rehabilitated F and Y areas</w:t>
      </w:r>
      <w:r w:rsidR="00E62B3D">
        <w:t>,</w:t>
      </w:r>
      <w:r w:rsidR="00AA3453">
        <w:t xml:space="preserve"> eliminating the risk of poor quality ‘pit lake’ water remaining in the landform post-mining.</w:t>
      </w:r>
      <w:r w:rsidRPr="00B8283C">
        <w:t xml:space="preserve"> Only surface water runoff will report to the lowest point in these rehabilitated landforms, and in turn, drain through the backfill material to the watertable</w:t>
      </w:r>
      <w:r w:rsidR="00AA3453">
        <w:t xml:space="preserve"> (Section </w:t>
      </w:r>
      <w:r w:rsidR="00AA3453">
        <w:fldChar w:fldCharType="begin"/>
      </w:r>
      <w:r w:rsidR="00AA3453">
        <w:instrText xml:space="preserve"> REF _Ref59015554 \n \h </w:instrText>
      </w:r>
      <w:r w:rsidR="00AA3453">
        <w:fldChar w:fldCharType="separate"/>
      </w:r>
      <w:r w:rsidR="00937ADD">
        <w:t>5.4.4</w:t>
      </w:r>
      <w:r w:rsidR="00AA3453">
        <w:fldChar w:fldCharType="end"/>
      </w:r>
      <w:r w:rsidR="00AA3453">
        <w:t>)</w:t>
      </w:r>
      <w:r>
        <w:t xml:space="preserve">. </w:t>
      </w:r>
    </w:p>
    <w:p w14:paraId="53136953" w14:textId="77777777" w:rsidR="00D53180" w:rsidRDefault="00D53180">
      <w:pPr>
        <w:rPr>
          <w:b/>
          <w:sz w:val="32"/>
          <w:szCs w:val="36"/>
        </w:rPr>
      </w:pPr>
      <w:r>
        <w:br w:type="page"/>
      </w:r>
    </w:p>
    <w:p w14:paraId="06385D23" w14:textId="28E46464" w:rsidR="00153434" w:rsidRDefault="00D53180" w:rsidP="00153434">
      <w:pPr>
        <w:pStyle w:val="Heading2"/>
      </w:pPr>
      <w:bookmarkStart w:id="293" w:name="_Toc87278374"/>
      <w:r>
        <w:lastRenderedPageBreak/>
        <w:t xml:space="preserve">Case </w:t>
      </w:r>
      <w:r w:rsidR="009D6EEC">
        <w:t>s</w:t>
      </w:r>
      <w:r>
        <w:t xml:space="preserve">tudy </w:t>
      </w:r>
      <w:r w:rsidR="009D6EEC">
        <w:t>s</w:t>
      </w:r>
      <w:r w:rsidR="00153434">
        <w:t>ummary</w:t>
      </w:r>
      <w:bookmarkEnd w:id="293"/>
    </w:p>
    <w:p w14:paraId="020CEF5C" w14:textId="0AFED617" w:rsidR="00080B7E" w:rsidRDefault="00080B7E" w:rsidP="00080B7E">
      <w:pPr>
        <w:pStyle w:val="BodyText"/>
      </w:pPr>
      <w:bookmarkStart w:id="294" w:name="_Hlk57631997"/>
      <w:r>
        <w:t>A summary of the</w:t>
      </w:r>
      <w:r w:rsidRPr="00080B7E">
        <w:t xml:space="preserve"> key findings</w:t>
      </w:r>
      <w:r>
        <w:t xml:space="preserve"> reported for the four case studies is presented in </w:t>
      </w:r>
      <w:r>
        <w:fldChar w:fldCharType="begin"/>
      </w:r>
      <w:r>
        <w:instrText xml:space="preserve"> REF _Ref59375730 \h </w:instrText>
      </w:r>
      <w:r>
        <w:fldChar w:fldCharType="separate"/>
      </w:r>
      <w:r w:rsidR="00937ADD">
        <w:t xml:space="preserve">Table </w:t>
      </w:r>
      <w:r w:rsidR="00937ADD">
        <w:rPr>
          <w:noProof/>
        </w:rPr>
        <w:t>5</w:t>
      </w:r>
      <w:r w:rsidR="00937ADD">
        <w:noBreakHyphen/>
      </w:r>
      <w:r w:rsidR="00937ADD">
        <w:rPr>
          <w:noProof/>
        </w:rPr>
        <w:t>14</w:t>
      </w:r>
      <w:r>
        <w:fldChar w:fldCharType="end"/>
      </w:r>
      <w:r>
        <w:t xml:space="preserve">. In general, residual voids in Queensland with design features that minimise surface run-off are likely to equilibrate to </w:t>
      </w:r>
      <w:r w:rsidRPr="00133EA6">
        <w:rPr>
          <w:i/>
          <w:iCs/>
        </w:rPr>
        <w:t>terminal sink flow regimes</w:t>
      </w:r>
      <w:r>
        <w:t xml:space="preserve"> with ‘pit lake’ water qualities that exhibit increasing salt (and possibly acidity and metal) concentrations over time (Section </w:t>
      </w:r>
      <w:r>
        <w:fldChar w:fldCharType="begin"/>
      </w:r>
      <w:r>
        <w:instrText xml:space="preserve"> REF _Ref55982230 \n \h </w:instrText>
      </w:r>
      <w:r>
        <w:fldChar w:fldCharType="separate"/>
      </w:r>
      <w:r w:rsidR="00937ADD">
        <w:t>3.2.1</w:t>
      </w:r>
      <w:r>
        <w:fldChar w:fldCharType="end"/>
      </w:r>
      <w:bookmarkStart w:id="295" w:name="_Hlk59520518"/>
      <w:r>
        <w:t xml:space="preserve">). Of the case studies explored, </w:t>
      </w:r>
      <w:r w:rsidR="00DB7EB5">
        <w:t xml:space="preserve">the </w:t>
      </w:r>
      <w:r>
        <w:t xml:space="preserve">Olive Downs (Section </w:t>
      </w:r>
      <w:r>
        <w:fldChar w:fldCharType="begin"/>
      </w:r>
      <w:r>
        <w:instrText xml:space="preserve"> REF _Ref59102476 \n \h </w:instrText>
      </w:r>
      <w:r>
        <w:fldChar w:fldCharType="separate"/>
      </w:r>
      <w:r w:rsidR="00937ADD">
        <w:t>5.1</w:t>
      </w:r>
      <w:r>
        <w:fldChar w:fldCharType="end"/>
      </w:r>
      <w:r>
        <w:t xml:space="preserve">), Middlemount (Section </w:t>
      </w:r>
      <w:r>
        <w:fldChar w:fldCharType="begin"/>
      </w:r>
      <w:r>
        <w:instrText xml:space="preserve"> REF _Ref59102490 \n \h </w:instrText>
      </w:r>
      <w:r>
        <w:fldChar w:fldCharType="separate"/>
      </w:r>
      <w:r w:rsidR="00937ADD">
        <w:t>5.2</w:t>
      </w:r>
      <w:r>
        <w:fldChar w:fldCharType="end"/>
      </w:r>
      <w:r>
        <w:t xml:space="preserve">) </w:t>
      </w:r>
      <w:r w:rsidRPr="004175C7">
        <w:t>and Jellinbah</w:t>
      </w:r>
      <w:r>
        <w:t xml:space="preserve"> (Section</w:t>
      </w:r>
      <w:r w:rsidR="004A141B">
        <w:t xml:space="preserve"> </w:t>
      </w:r>
      <w:r w:rsidR="004A141B">
        <w:fldChar w:fldCharType="begin"/>
      </w:r>
      <w:r w:rsidR="004A141B">
        <w:instrText xml:space="preserve"> REF _Ref62138253 \n \h </w:instrText>
      </w:r>
      <w:r w:rsidR="004A141B">
        <w:fldChar w:fldCharType="separate"/>
      </w:r>
      <w:r w:rsidR="00937ADD">
        <w:t>5.3</w:t>
      </w:r>
      <w:r w:rsidR="004A141B">
        <w:fldChar w:fldCharType="end"/>
      </w:r>
      <w:r>
        <w:t xml:space="preserve">) coal mines will each have multiple residual voids remaining in the landscape post-mining that were assessed by the operators to ultimately equilibrate to </w:t>
      </w:r>
      <w:r w:rsidRPr="00133EA6">
        <w:rPr>
          <w:i/>
          <w:iCs/>
        </w:rPr>
        <w:t>terminal sink flow regimes</w:t>
      </w:r>
      <w:r w:rsidR="00DB7EB5" w:rsidRPr="00DB7EB5">
        <w:t>,</w:t>
      </w:r>
      <w:r>
        <w:t xml:space="preserve"> with ‘pit lake’ levels equilibrating below overflow levels</w:t>
      </w:r>
      <w:r w:rsidR="004175C7">
        <w:t xml:space="preserve"> and reaching hypersaline conditions </w:t>
      </w:r>
      <w:r w:rsidR="004175C7" w:rsidRPr="004175C7">
        <w:t>over variable timescales (</w:t>
      </w:r>
      <w:r w:rsidR="00470861">
        <w:t>100-550 years</w:t>
      </w:r>
      <w:r w:rsidR="004175C7" w:rsidRPr="004175C7">
        <w:t>).</w:t>
      </w:r>
      <w:r w:rsidRPr="004175C7">
        <w:t xml:space="preserve"> For these mine sites, residual voids situated in floodplain areas will incorporate design features to provide protection from flood waters up to and including a PMF event</w:t>
      </w:r>
      <w:r w:rsidR="004175C7" w:rsidRPr="004175C7">
        <w:t xml:space="preserve"> (Olive Downs and Middlemount) or </w:t>
      </w:r>
      <w:r w:rsidR="004175C7" w:rsidRPr="004175C7">
        <w:rPr>
          <w:rFonts w:cstheme="minorHAnsi"/>
          <w:szCs w:val="18"/>
        </w:rPr>
        <w:t>up to and including a 0.1% AEP event</w:t>
      </w:r>
      <w:r w:rsidRPr="004175C7">
        <w:t xml:space="preserve"> </w:t>
      </w:r>
      <w:bookmarkStart w:id="296" w:name="_Hlk59101899"/>
      <w:r w:rsidR="004175C7" w:rsidRPr="004175C7">
        <w:t xml:space="preserve">(Jellinbah). </w:t>
      </w:r>
      <w:r w:rsidRPr="004175C7">
        <w:t>The risk assessments</w:t>
      </w:r>
      <w:r>
        <w:t xml:space="preserve"> reported for each of these cases studies </w:t>
      </w:r>
      <w:r w:rsidRPr="00FF1128">
        <w:t xml:space="preserve">concluded </w:t>
      </w:r>
      <w:r>
        <w:t xml:space="preserve">that </w:t>
      </w:r>
      <w:r w:rsidRPr="00FF1128">
        <w:t xml:space="preserve">the </w:t>
      </w:r>
      <w:r>
        <w:t xml:space="preserve">residual </w:t>
      </w:r>
      <w:r w:rsidRPr="00FF1128">
        <w:t>voids pose a low risk of environmental harm</w:t>
      </w:r>
      <w:r>
        <w:t xml:space="preserve">. </w:t>
      </w:r>
      <w:bookmarkEnd w:id="296"/>
    </w:p>
    <w:p w14:paraId="454750B9" w14:textId="46B5E760" w:rsidR="00080B7E" w:rsidRDefault="00080B7E" w:rsidP="00080B7E">
      <w:pPr>
        <w:pStyle w:val="BodyText"/>
      </w:pPr>
      <w:r w:rsidRPr="00BB1189">
        <w:t xml:space="preserve">In accordance with the EA, the Ensham coal mine (Section </w:t>
      </w:r>
      <w:r w:rsidR="004A141B">
        <w:fldChar w:fldCharType="begin"/>
      </w:r>
      <w:r w:rsidR="004A141B">
        <w:instrText xml:space="preserve"> REF _Ref62138265 \n \h </w:instrText>
      </w:r>
      <w:r w:rsidR="004A141B">
        <w:fldChar w:fldCharType="separate"/>
      </w:r>
      <w:r w:rsidR="00937ADD">
        <w:t>5.4</w:t>
      </w:r>
      <w:r w:rsidR="004A141B">
        <w:fldChar w:fldCharType="end"/>
      </w:r>
      <w:r w:rsidRPr="00BB1189">
        <w:t>) undertook a staged R</w:t>
      </w:r>
      <w:r w:rsidR="00470861">
        <w:t>V</w:t>
      </w:r>
      <w:r w:rsidRPr="00BB1189">
        <w:t xml:space="preserve">P to evaluate three options for rehabilitation of the open-cut areas. The final (preferred) option, determined by way of a TBLA, was </w:t>
      </w:r>
      <w:r w:rsidRPr="00934911">
        <w:rPr>
          <w:i/>
          <w:iCs/>
        </w:rPr>
        <w:t>Option 2 – ‘Beneficial use’;</w:t>
      </w:r>
      <w:r w:rsidRPr="00BB1189">
        <w:t xml:space="preserve"> which involves partial backfilling of the open-cuts to </w:t>
      </w:r>
      <w:r w:rsidR="004C52BE">
        <w:t>produce</w:t>
      </w:r>
      <w:r w:rsidRPr="00BB1189">
        <w:t xml:space="preserve"> a rehabilitated landform consistent with the regional topography protected by permanent landforms. The rehabilitated landforms that overlap the floodplain area will operate as groundwater sinks</w:t>
      </w:r>
      <w:r w:rsidR="004C52BE">
        <w:t>;</w:t>
      </w:r>
      <w:r w:rsidRPr="00BB1189">
        <w:t xml:space="preserve"> however</w:t>
      </w:r>
      <w:r w:rsidR="004C52BE">
        <w:t>,</w:t>
      </w:r>
      <w:r w:rsidRPr="00BB1189">
        <w:t xml:space="preserve"> partial backfilling will reduce the area and volume of groundwater presenting (‘daylighting’) in the landscape. The two pits to the north of the floodplain area are designed such that the floor level is above stabilised groundwater levels and no groundwater will ‘daylight’. Each rehabilitated void will be isolated from the floodplain by rehabilitated landforms providing flood immunity up to and including a 0.1% AEP event. Similar to the other case studies, Ensham concluded that the rehabilitated landforms will pose a low risk of environmental harm.</w:t>
      </w:r>
    </w:p>
    <w:p w14:paraId="7BBC3989" w14:textId="25DA8553" w:rsidR="00F63F55" w:rsidRPr="004D51F5" w:rsidRDefault="00080B7E" w:rsidP="00BC4812">
      <w:pPr>
        <w:pStyle w:val="BodyText"/>
      </w:pPr>
      <w:r>
        <w:t xml:space="preserve">For each of the cases studies, the characterisation of the residual void’s flow regime and the assignment of risk relies on coupled analytical or numerical modelling that carries a range of assumptions/simplifications and a level of uncertainty. </w:t>
      </w:r>
      <w:r w:rsidR="00C7465B" w:rsidRPr="00C7465B">
        <w:t xml:space="preserve">The </w:t>
      </w:r>
      <w:r w:rsidR="006D2945">
        <w:t xml:space="preserve">actual </w:t>
      </w:r>
      <w:r w:rsidR="00C7465B">
        <w:t>flow regime</w:t>
      </w:r>
      <w:r w:rsidR="00C7465B" w:rsidRPr="00C7465B">
        <w:t xml:space="preserve"> of the </w:t>
      </w:r>
      <w:r w:rsidR="00C7465B">
        <w:t xml:space="preserve">residual void </w:t>
      </w:r>
      <w:r w:rsidR="00C7465B" w:rsidRPr="00C7465B">
        <w:t xml:space="preserve">may </w:t>
      </w:r>
      <w:r w:rsidR="00743B40">
        <w:t xml:space="preserve">ultimately </w:t>
      </w:r>
      <w:r w:rsidR="00C7465B" w:rsidRPr="00C7465B">
        <w:t>differ from the model predictions</w:t>
      </w:r>
      <w:r w:rsidR="009704E7">
        <w:t xml:space="preserve"> and pose a different level of risk to that assigned by the operator.</w:t>
      </w:r>
      <w:r w:rsidR="00C7465B" w:rsidRPr="00C7465B">
        <w:t xml:space="preserve"> </w:t>
      </w:r>
      <w:bookmarkStart w:id="297" w:name="_Hlk59551865"/>
      <w:r w:rsidR="00CF1987">
        <w:t>A range of p</w:t>
      </w:r>
      <w:r w:rsidR="004D51F5">
        <w:t xml:space="preserve">redictive modelling </w:t>
      </w:r>
      <w:r w:rsidR="00CF1987">
        <w:t>limitations</w:t>
      </w:r>
      <w:r w:rsidR="004D51F5">
        <w:t xml:space="preserve">, and their implications for assessing potential impacts, were </w:t>
      </w:r>
      <w:r w:rsidR="00F63F55">
        <w:t>identified by the IESC in their advice documents for the case studies</w:t>
      </w:r>
      <w:bookmarkEnd w:id="297"/>
      <w:r w:rsidR="004D51F5">
        <w:t>. These included:</w:t>
      </w:r>
      <w:r w:rsidR="004D51F5" w:rsidRPr="004D51F5">
        <w:t xml:space="preserve"> </w:t>
      </w:r>
    </w:p>
    <w:p w14:paraId="1A662DDC" w14:textId="0ED221B4" w:rsidR="00F63F55" w:rsidRPr="004D51F5" w:rsidRDefault="004C52BE" w:rsidP="001628AA">
      <w:pPr>
        <w:pStyle w:val="BodyText"/>
        <w:numPr>
          <w:ilvl w:val="0"/>
          <w:numId w:val="63"/>
        </w:numPr>
        <w:spacing w:before="80" w:after="80"/>
      </w:pPr>
      <w:r>
        <w:t>t</w:t>
      </w:r>
      <w:r w:rsidR="00F63F55" w:rsidRPr="004D51F5">
        <w:t>he potential for density-driven flow in increasingly saline ‘pit lake</w:t>
      </w:r>
      <w:r w:rsidR="004D51F5">
        <w:t>s</w:t>
      </w:r>
      <w:r w:rsidR="00F63F55" w:rsidRPr="004D51F5">
        <w:t>’ to reverse hydraulic gradients, promoting seepage into the surrounding groundwater system</w:t>
      </w:r>
      <w:r w:rsidR="004D51F5">
        <w:t xml:space="preserve"> (Middlemount and Jellinbah)</w:t>
      </w:r>
      <w:r>
        <w:t>;</w:t>
      </w:r>
    </w:p>
    <w:p w14:paraId="2992D901" w14:textId="406FDBB5" w:rsidR="00F63F55" w:rsidRPr="004D51F5" w:rsidRDefault="004C52BE" w:rsidP="001628AA">
      <w:pPr>
        <w:pStyle w:val="BodyText"/>
        <w:numPr>
          <w:ilvl w:val="0"/>
          <w:numId w:val="63"/>
        </w:numPr>
        <w:spacing w:before="80" w:after="80"/>
      </w:pPr>
      <w:r>
        <w:t>f</w:t>
      </w:r>
      <w:r w:rsidR="00F63F55" w:rsidRPr="004D51F5">
        <w:t>ault structures (and associated fracture systems) that intersect or occur in proximity to residual voids may have the potential to affect long-term equilibrium conditions and associated risks</w:t>
      </w:r>
      <w:r w:rsidR="004D51F5">
        <w:t xml:space="preserve"> (Middlemount)</w:t>
      </w:r>
      <w:r>
        <w:t>;</w:t>
      </w:r>
      <w:r w:rsidR="00F63F55" w:rsidRPr="004D51F5">
        <w:t xml:space="preserve"> </w:t>
      </w:r>
    </w:p>
    <w:p w14:paraId="56E06D43" w14:textId="7AEA0C53" w:rsidR="004D51F5" w:rsidRPr="00712456" w:rsidRDefault="004C52BE" w:rsidP="001628AA">
      <w:pPr>
        <w:pStyle w:val="BodyText"/>
        <w:numPr>
          <w:ilvl w:val="0"/>
          <w:numId w:val="63"/>
        </w:numPr>
        <w:spacing w:before="80" w:after="80"/>
      </w:pPr>
      <w:r>
        <w:t>t</w:t>
      </w:r>
      <w:r w:rsidR="004D51F5" w:rsidRPr="004D51F5">
        <w:t xml:space="preserve">he effects of extreme events (e.g. successive high-rainfall years) </w:t>
      </w:r>
      <w:r w:rsidR="004D51F5">
        <w:t xml:space="preserve">and future climatic regimes </w:t>
      </w:r>
      <w:r w:rsidR="004D51F5" w:rsidRPr="004D51F5">
        <w:t>on ‘</w:t>
      </w:r>
      <w:r w:rsidR="004D51F5" w:rsidRPr="00712456">
        <w:t>pit lake’ water level</w:t>
      </w:r>
      <w:r w:rsidR="004D51F5" w:rsidRPr="009330DD">
        <w:t>s and implications for overtopping and temporary change</w:t>
      </w:r>
      <w:r w:rsidR="00FA0A5B" w:rsidRPr="009330DD">
        <w:t>s</w:t>
      </w:r>
      <w:r w:rsidR="004D51F5" w:rsidRPr="009330DD">
        <w:t xml:space="preserve"> to flow regime</w:t>
      </w:r>
      <w:r w:rsidR="00FA0A5B" w:rsidRPr="000F4E0C">
        <w:t>s</w:t>
      </w:r>
      <w:r w:rsidR="004D51F5" w:rsidRPr="000F4E0C">
        <w:t xml:space="preserve"> (Middlemount and Jellinbah)</w:t>
      </w:r>
      <w:r>
        <w:t>; and</w:t>
      </w:r>
    </w:p>
    <w:p w14:paraId="24BA04EF" w14:textId="7FE7C8D4" w:rsidR="00C65B87" w:rsidRPr="0033743E" w:rsidRDefault="004C52BE" w:rsidP="00712456">
      <w:pPr>
        <w:pStyle w:val="ListParagraph"/>
        <w:numPr>
          <w:ilvl w:val="0"/>
          <w:numId w:val="63"/>
        </w:numPr>
      </w:pPr>
      <w:r>
        <w:t>t</w:t>
      </w:r>
      <w:r w:rsidR="00C65B87" w:rsidRPr="0033743E">
        <w:t>he effects of future climatic regimes on</w:t>
      </w:r>
      <w:r w:rsidR="00C65B87" w:rsidRPr="00712456">
        <w:t xml:space="preserve"> </w:t>
      </w:r>
      <w:r w:rsidR="00C65B87" w:rsidRPr="009330DD">
        <w:t>rainf</w:t>
      </w:r>
      <w:r w:rsidR="00C65B87" w:rsidRPr="0044221C">
        <w:t>al</w:t>
      </w:r>
      <w:r w:rsidR="00C65B87" w:rsidRPr="000F4E0C">
        <w:t xml:space="preserve">l </w:t>
      </w:r>
      <w:r w:rsidR="00C65B87" w:rsidRPr="00712456">
        <w:t>extremes and the potential for flooding eve</w:t>
      </w:r>
      <w:r w:rsidR="00712456" w:rsidRPr="00712456">
        <w:t>n</w:t>
      </w:r>
      <w:r w:rsidR="00C65B87" w:rsidRPr="00712456">
        <w:t>ts</w:t>
      </w:r>
      <w:r w:rsidR="00712456" w:rsidRPr="00712456">
        <w:t xml:space="preserve"> to o</w:t>
      </w:r>
      <w:r w:rsidR="00C65B87" w:rsidRPr="00712456">
        <w:t>vertop levees and intercept the residual void</w:t>
      </w:r>
      <w:r w:rsidR="00712456" w:rsidRPr="00712456">
        <w:t xml:space="preserve"> (Jellinbah)</w:t>
      </w:r>
      <w:r w:rsidR="00C65B87" w:rsidRPr="00712456">
        <w:t>.</w:t>
      </w:r>
    </w:p>
    <w:p w14:paraId="0C58D2C7" w14:textId="4E4CFBED" w:rsidR="00C7465B" w:rsidRDefault="009704E7" w:rsidP="00BC4812">
      <w:pPr>
        <w:pStyle w:val="BodyText"/>
      </w:pPr>
      <w:r>
        <w:t>Model updates and future validation with appropriate site-specific data will assist in overcoming some of the inherent uncertainties of modelling</w:t>
      </w:r>
      <w:r w:rsidR="009330DD">
        <w:t xml:space="preserve"> and climate change effects, </w:t>
      </w:r>
      <w:r>
        <w:t>and the accompanying assessment of environmental risk</w:t>
      </w:r>
      <w:r w:rsidRPr="009704E7">
        <w:t>.</w:t>
      </w:r>
      <w:r w:rsidR="00AA1789">
        <w:t xml:space="preserve"> </w:t>
      </w:r>
    </w:p>
    <w:p w14:paraId="489D8946" w14:textId="6495A43D" w:rsidR="00743B40" w:rsidRDefault="009704E7" w:rsidP="00BC4812">
      <w:pPr>
        <w:pStyle w:val="BodyText"/>
      </w:pPr>
      <w:r>
        <w:t>Post</w:t>
      </w:r>
      <w:r w:rsidR="00743B40">
        <w:t>-</w:t>
      </w:r>
      <w:r>
        <w:t>relinquishment there remains a risk</w:t>
      </w:r>
      <w:r w:rsidR="006D2945">
        <w:t xml:space="preserve"> </w:t>
      </w:r>
      <w:r>
        <w:t xml:space="preserve">that the </w:t>
      </w:r>
      <w:r w:rsidRPr="00C7465B">
        <w:t>rehabilitated area</w:t>
      </w:r>
      <w:r>
        <w:t xml:space="preserve"> or engineered structures may require management in perpetuity</w:t>
      </w:r>
      <w:r w:rsidR="006D2945">
        <w:t>,</w:t>
      </w:r>
      <w:r>
        <w:t xml:space="preserve"> or in some cases the </w:t>
      </w:r>
      <w:r w:rsidRPr="00C7465B">
        <w:t>structure may fail</w:t>
      </w:r>
      <w:r>
        <w:t xml:space="preserve"> </w:t>
      </w:r>
      <w:r w:rsidR="006D2945">
        <w:t xml:space="preserve">(e.g. due to seismic activity) </w:t>
      </w:r>
      <w:r>
        <w:t>and r</w:t>
      </w:r>
      <w:r w:rsidRPr="00C7465B">
        <w:t>equire remedial action to address or prevent potential environmental harm.</w:t>
      </w:r>
      <w:r w:rsidR="00743B40">
        <w:t xml:space="preserve"> </w:t>
      </w:r>
      <w:r w:rsidR="00743B40" w:rsidRPr="00743B40">
        <w:t>Recent amendments to the Environmental Protection Act 1994 (Qld) (EP Act)</w:t>
      </w:r>
      <w:r w:rsidR="00170CC3">
        <w:t xml:space="preserve"> </w:t>
      </w:r>
      <w:r w:rsidR="00170CC3" w:rsidRPr="00170CC3">
        <w:t xml:space="preserve">have been made to minimise risks associated with project relinquishment requirements </w:t>
      </w:r>
      <w:r w:rsidR="00170CC3">
        <w:t>(</w:t>
      </w:r>
      <w:r w:rsidR="00170CC3" w:rsidRPr="00170CC3">
        <w:t>i.e. following completion of the project</w:t>
      </w:r>
      <w:r w:rsidR="00170CC3">
        <w:t>)</w:t>
      </w:r>
      <w:r w:rsidR="00170CC3" w:rsidRPr="00170CC3">
        <w:t xml:space="preserve">. Specifically, these include a residual risk framework that seeks to ensure that risks remaining on a resource site following completion of resource activities are identified, costed and managed. </w:t>
      </w:r>
      <w:r w:rsidR="00170CC3">
        <w:t xml:space="preserve"> </w:t>
      </w:r>
    </w:p>
    <w:p w14:paraId="54664A20" w14:textId="791CD64D" w:rsidR="004E4E68" w:rsidRPr="00CC2067" w:rsidRDefault="004E4E68" w:rsidP="004E4E68">
      <w:pPr>
        <w:pStyle w:val="BodyText"/>
        <w:rPr>
          <w:rFonts w:ascii="Arial" w:hAnsi="Arial" w:cs="Arial"/>
        </w:rPr>
      </w:pPr>
      <w:r w:rsidRPr="00CC2067">
        <w:rPr>
          <w:rFonts w:ascii="Arial" w:hAnsi="Arial" w:cs="Arial"/>
        </w:rPr>
        <w:lastRenderedPageBreak/>
        <w:t xml:space="preserve">All mine case studies have developed their rehabilitation planning </w:t>
      </w:r>
      <w:r w:rsidR="00D53180">
        <w:rPr>
          <w:rFonts w:ascii="Arial" w:hAnsi="Arial" w:cs="Arial"/>
        </w:rPr>
        <w:t>in line with</w:t>
      </w:r>
      <w:r w:rsidR="00D53180" w:rsidRPr="00CC2067">
        <w:rPr>
          <w:rFonts w:ascii="Arial" w:hAnsi="Arial" w:cs="Arial"/>
        </w:rPr>
        <w:t xml:space="preserve"> </w:t>
      </w:r>
      <w:r w:rsidRPr="00CC2067">
        <w:rPr>
          <w:rFonts w:ascii="Arial" w:hAnsi="Arial" w:cs="Arial"/>
        </w:rPr>
        <w:t xml:space="preserve">Queensland Government policies, to achieve safe, non-polluting, stable landforms that are able to sustain a </w:t>
      </w:r>
      <w:r w:rsidR="004E6DDD">
        <w:rPr>
          <w:rFonts w:ascii="Arial" w:hAnsi="Arial" w:cs="Arial"/>
        </w:rPr>
        <w:t xml:space="preserve">PMLU, </w:t>
      </w:r>
      <w:r w:rsidRPr="00CC2067">
        <w:rPr>
          <w:rFonts w:ascii="Arial" w:hAnsi="Arial" w:cs="Arial"/>
        </w:rPr>
        <w:t xml:space="preserve">where one exists. </w:t>
      </w:r>
    </w:p>
    <w:p w14:paraId="73369CF7" w14:textId="0630567B" w:rsidR="004E4E68" w:rsidRPr="00CC2067" w:rsidRDefault="004E4E68" w:rsidP="004E4E68">
      <w:pPr>
        <w:pStyle w:val="BodyText"/>
        <w:rPr>
          <w:rFonts w:ascii="Arial" w:hAnsi="Arial" w:cs="Arial"/>
        </w:rPr>
      </w:pPr>
      <w:r w:rsidRPr="00CC2067">
        <w:rPr>
          <w:rFonts w:ascii="Arial" w:hAnsi="Arial" w:cs="Arial"/>
        </w:rPr>
        <w:t>Each mine has taken a slightly different approach to the development of rehabilitation objectives</w:t>
      </w:r>
      <w:r>
        <w:rPr>
          <w:rFonts w:ascii="Arial" w:hAnsi="Arial" w:cs="Arial"/>
        </w:rPr>
        <w:t>;</w:t>
      </w:r>
      <w:r w:rsidRPr="00CC2067">
        <w:rPr>
          <w:rFonts w:ascii="Arial" w:hAnsi="Arial" w:cs="Arial"/>
        </w:rPr>
        <w:t xml:space="preserve"> however</w:t>
      </w:r>
      <w:r>
        <w:rPr>
          <w:rFonts w:ascii="Arial" w:hAnsi="Arial" w:cs="Arial"/>
        </w:rPr>
        <w:t>,</w:t>
      </w:r>
      <w:r w:rsidRPr="00CC2067">
        <w:rPr>
          <w:rFonts w:ascii="Arial" w:hAnsi="Arial" w:cs="Arial"/>
        </w:rPr>
        <w:t xml:space="preserve"> the themes are consistent and feed into the rehabilitation goals. These themes include final landform and re-shaping, safety, remediation of hazards and reducing impacts on the surrounding environment.</w:t>
      </w:r>
    </w:p>
    <w:p w14:paraId="1130ACCA" w14:textId="18C5EA08" w:rsidR="004E4E68" w:rsidRPr="00CC2067" w:rsidRDefault="004E4E68" w:rsidP="004E4E68">
      <w:pPr>
        <w:pStyle w:val="BodyText"/>
        <w:rPr>
          <w:rFonts w:ascii="Arial" w:hAnsi="Arial" w:cs="Arial"/>
        </w:rPr>
      </w:pPr>
      <w:r w:rsidRPr="00CC2067">
        <w:rPr>
          <w:rFonts w:ascii="Arial" w:hAnsi="Arial" w:cs="Arial"/>
        </w:rPr>
        <w:t xml:space="preserve">Of the four mines, only two have committed to rehabilitating the final voids to a </w:t>
      </w:r>
      <w:r>
        <w:rPr>
          <w:rFonts w:ascii="Arial" w:hAnsi="Arial" w:cs="Arial"/>
        </w:rPr>
        <w:t>PMLU</w:t>
      </w:r>
      <w:r w:rsidRPr="00CC2067">
        <w:rPr>
          <w:rFonts w:ascii="Arial" w:hAnsi="Arial" w:cs="Arial"/>
        </w:rPr>
        <w:t xml:space="preserve">, being Olive Downs </w:t>
      </w:r>
      <w:r>
        <w:rPr>
          <w:rFonts w:ascii="Arial" w:hAnsi="Arial" w:cs="Arial"/>
        </w:rPr>
        <w:t xml:space="preserve">(Section </w:t>
      </w:r>
      <w:r>
        <w:rPr>
          <w:rFonts w:ascii="Arial" w:hAnsi="Arial" w:cs="Arial"/>
        </w:rPr>
        <w:fldChar w:fldCharType="begin"/>
      </w:r>
      <w:r>
        <w:rPr>
          <w:rFonts w:ascii="Arial" w:hAnsi="Arial" w:cs="Arial"/>
        </w:rPr>
        <w:instrText xml:space="preserve"> REF _Ref59181140 \n \h </w:instrText>
      </w:r>
      <w:r>
        <w:rPr>
          <w:rFonts w:ascii="Arial" w:hAnsi="Arial" w:cs="Arial"/>
        </w:rPr>
      </w:r>
      <w:r>
        <w:rPr>
          <w:rFonts w:ascii="Arial" w:hAnsi="Arial" w:cs="Arial"/>
        </w:rPr>
        <w:fldChar w:fldCharType="separate"/>
      </w:r>
      <w:r w:rsidR="00937ADD">
        <w:rPr>
          <w:rFonts w:ascii="Arial" w:hAnsi="Arial" w:cs="Arial"/>
        </w:rPr>
        <w:t>5.1.6</w:t>
      </w:r>
      <w:r>
        <w:rPr>
          <w:rFonts w:ascii="Arial" w:hAnsi="Arial" w:cs="Arial"/>
        </w:rPr>
        <w:fldChar w:fldCharType="end"/>
      </w:r>
      <w:r>
        <w:rPr>
          <w:rFonts w:ascii="Arial" w:hAnsi="Arial" w:cs="Arial"/>
        </w:rPr>
        <w:t xml:space="preserve">) </w:t>
      </w:r>
      <w:r w:rsidRPr="00CC2067">
        <w:rPr>
          <w:rFonts w:ascii="Arial" w:hAnsi="Arial" w:cs="Arial"/>
        </w:rPr>
        <w:t>and Ensham</w:t>
      </w:r>
      <w:r>
        <w:rPr>
          <w:rFonts w:ascii="Arial" w:hAnsi="Arial" w:cs="Arial"/>
        </w:rPr>
        <w:t xml:space="preserve"> (Section </w:t>
      </w:r>
      <w:r>
        <w:rPr>
          <w:rFonts w:ascii="Arial" w:hAnsi="Arial" w:cs="Arial"/>
        </w:rPr>
        <w:fldChar w:fldCharType="begin"/>
      </w:r>
      <w:r>
        <w:rPr>
          <w:rFonts w:ascii="Arial" w:hAnsi="Arial" w:cs="Arial"/>
        </w:rPr>
        <w:instrText xml:space="preserve"> REF _Ref59181125 \n \h </w:instrText>
      </w:r>
      <w:r>
        <w:rPr>
          <w:rFonts w:ascii="Arial" w:hAnsi="Arial" w:cs="Arial"/>
        </w:rPr>
      </w:r>
      <w:r>
        <w:rPr>
          <w:rFonts w:ascii="Arial" w:hAnsi="Arial" w:cs="Arial"/>
        </w:rPr>
        <w:fldChar w:fldCharType="separate"/>
      </w:r>
      <w:r w:rsidR="00937ADD">
        <w:rPr>
          <w:rFonts w:ascii="Arial" w:hAnsi="Arial" w:cs="Arial"/>
        </w:rPr>
        <w:t>5.4.6</w:t>
      </w:r>
      <w:r>
        <w:rPr>
          <w:rFonts w:ascii="Arial" w:hAnsi="Arial" w:cs="Arial"/>
        </w:rPr>
        <w:fldChar w:fldCharType="end"/>
      </w:r>
      <w:r>
        <w:rPr>
          <w:rFonts w:ascii="Arial" w:hAnsi="Arial" w:cs="Arial"/>
        </w:rPr>
        <w:t>)</w:t>
      </w:r>
      <w:r w:rsidRPr="00CC2067">
        <w:rPr>
          <w:rFonts w:ascii="Arial" w:hAnsi="Arial" w:cs="Arial"/>
        </w:rPr>
        <w:t xml:space="preserve">. Olive Downs is not yet operational, and rehabilitation management plans or void studies were not available for review (and potentially not yet developed). As such, their commitments to </w:t>
      </w:r>
      <w:r>
        <w:rPr>
          <w:rFonts w:ascii="Arial" w:hAnsi="Arial" w:cs="Arial"/>
        </w:rPr>
        <w:t>PMLU</w:t>
      </w:r>
      <w:r w:rsidRPr="00CC2067">
        <w:rPr>
          <w:rFonts w:ascii="Arial" w:hAnsi="Arial" w:cs="Arial"/>
        </w:rPr>
        <w:t xml:space="preserve"> of final voids is basic, with areas rehabilitated to groundcover for small mammal habitat and cliff habitat for highwalls. There is little detail available on how these areas are to be rehabilitated. </w:t>
      </w:r>
    </w:p>
    <w:p w14:paraId="13617B01" w14:textId="3A710B53" w:rsidR="004E4E68" w:rsidRPr="00CC2067" w:rsidRDefault="004E4E68" w:rsidP="004E4E68">
      <w:pPr>
        <w:pStyle w:val="BodyText"/>
        <w:rPr>
          <w:rFonts w:ascii="Arial" w:hAnsi="Arial" w:cs="Arial"/>
        </w:rPr>
      </w:pPr>
      <w:r w:rsidRPr="00CC2067">
        <w:rPr>
          <w:rFonts w:ascii="Arial" w:hAnsi="Arial" w:cs="Arial"/>
        </w:rPr>
        <w:t xml:space="preserve">Ensham mine is well into operation with many </w:t>
      </w:r>
      <w:r>
        <w:rPr>
          <w:rFonts w:ascii="Arial" w:hAnsi="Arial" w:cs="Arial"/>
        </w:rPr>
        <w:t xml:space="preserve">spoil </w:t>
      </w:r>
      <w:r w:rsidRPr="00CC2067">
        <w:rPr>
          <w:rFonts w:ascii="Arial" w:hAnsi="Arial" w:cs="Arial"/>
        </w:rPr>
        <w:t>areas already rehabilitated. The mine has developed a comprehensive plan for void rehabilitation,</w:t>
      </w:r>
      <w:r>
        <w:rPr>
          <w:rFonts w:ascii="Arial" w:hAnsi="Arial" w:cs="Arial"/>
        </w:rPr>
        <w:t xml:space="preserve"> </w:t>
      </w:r>
      <w:r w:rsidR="0019693B">
        <w:rPr>
          <w:rFonts w:ascii="Arial" w:hAnsi="Arial" w:cs="Arial"/>
        </w:rPr>
        <w:t xml:space="preserve">which was </w:t>
      </w:r>
      <w:r>
        <w:rPr>
          <w:rFonts w:ascii="Arial" w:hAnsi="Arial" w:cs="Arial"/>
        </w:rPr>
        <w:t>informed by a RVP. Ensham mine has identified</w:t>
      </w:r>
      <w:r w:rsidRPr="00CC2067">
        <w:rPr>
          <w:rFonts w:ascii="Arial" w:hAnsi="Arial" w:cs="Arial"/>
        </w:rPr>
        <w:t xml:space="preserve"> several domains intended </w:t>
      </w:r>
      <w:r>
        <w:rPr>
          <w:rFonts w:ascii="Arial" w:hAnsi="Arial" w:cs="Arial"/>
        </w:rPr>
        <w:t xml:space="preserve">for </w:t>
      </w:r>
      <w:r w:rsidRPr="00CC2067">
        <w:rPr>
          <w:rFonts w:ascii="Arial" w:hAnsi="Arial" w:cs="Arial"/>
        </w:rPr>
        <w:t xml:space="preserve">different </w:t>
      </w:r>
      <w:r>
        <w:rPr>
          <w:rFonts w:ascii="Arial" w:hAnsi="Arial" w:cs="Arial"/>
        </w:rPr>
        <w:t>land</w:t>
      </w:r>
      <w:r w:rsidRPr="00CC2067">
        <w:rPr>
          <w:rFonts w:ascii="Arial" w:hAnsi="Arial" w:cs="Arial"/>
        </w:rPr>
        <w:t xml:space="preserve"> us</w:t>
      </w:r>
      <w:r>
        <w:rPr>
          <w:rFonts w:ascii="Arial" w:hAnsi="Arial" w:cs="Arial"/>
        </w:rPr>
        <w:t>e</w:t>
      </w:r>
      <w:r w:rsidRPr="00CC2067">
        <w:rPr>
          <w:rFonts w:ascii="Arial" w:hAnsi="Arial" w:cs="Arial"/>
        </w:rPr>
        <w:t xml:space="preserve"> (aquatic, bushland and grazing)</w:t>
      </w:r>
      <w:r>
        <w:rPr>
          <w:rFonts w:ascii="Arial" w:hAnsi="Arial" w:cs="Arial"/>
        </w:rPr>
        <w:t xml:space="preserve"> and has </w:t>
      </w:r>
      <w:r w:rsidRPr="00CC2067">
        <w:rPr>
          <w:rFonts w:ascii="Arial" w:hAnsi="Arial" w:cs="Arial"/>
        </w:rPr>
        <w:t xml:space="preserve">considered surrounding areas </w:t>
      </w:r>
      <w:r>
        <w:rPr>
          <w:rFonts w:ascii="Arial" w:hAnsi="Arial" w:cs="Arial"/>
        </w:rPr>
        <w:t xml:space="preserve">to </w:t>
      </w:r>
      <w:r w:rsidRPr="00CC2067">
        <w:rPr>
          <w:rFonts w:ascii="Arial" w:hAnsi="Arial" w:cs="Arial"/>
        </w:rPr>
        <w:t>maximise the effectiveness of rehabilitated areas (i.e. improving bushland corridors).</w:t>
      </w:r>
    </w:p>
    <w:p w14:paraId="579A0A39" w14:textId="1A301204" w:rsidR="003C238F" w:rsidRPr="009765F4" w:rsidRDefault="004E4E68" w:rsidP="00E416C8">
      <w:pPr>
        <w:pStyle w:val="BodyText"/>
        <w:rPr>
          <w:rFonts w:ascii="Arial" w:hAnsi="Arial" w:cs="Arial"/>
        </w:rPr>
        <w:sectPr w:rsidR="003C238F" w:rsidRPr="009765F4" w:rsidSect="00F66109">
          <w:pgSz w:w="11907" w:h="16839" w:code="9"/>
          <w:pgMar w:top="1440" w:right="1440" w:bottom="1134" w:left="1440" w:header="340" w:footer="340" w:gutter="0"/>
          <w:cols w:space="708"/>
          <w:docGrid w:linePitch="360"/>
        </w:sectPr>
      </w:pPr>
      <w:r w:rsidRPr="00CC2067">
        <w:rPr>
          <w:rFonts w:ascii="Arial" w:hAnsi="Arial" w:cs="Arial"/>
        </w:rPr>
        <w:t xml:space="preserve">Middlemount </w:t>
      </w:r>
      <w:r>
        <w:rPr>
          <w:rFonts w:ascii="Arial" w:hAnsi="Arial" w:cs="Arial"/>
        </w:rPr>
        <w:t xml:space="preserve">(Section </w:t>
      </w:r>
      <w:r>
        <w:rPr>
          <w:rFonts w:ascii="Arial" w:hAnsi="Arial" w:cs="Arial"/>
        </w:rPr>
        <w:fldChar w:fldCharType="begin"/>
      </w:r>
      <w:r>
        <w:rPr>
          <w:rFonts w:ascii="Arial" w:hAnsi="Arial" w:cs="Arial"/>
        </w:rPr>
        <w:instrText xml:space="preserve"> REF _Ref59181239 \n \h </w:instrText>
      </w:r>
      <w:r>
        <w:rPr>
          <w:rFonts w:ascii="Arial" w:hAnsi="Arial" w:cs="Arial"/>
        </w:rPr>
      </w:r>
      <w:r>
        <w:rPr>
          <w:rFonts w:ascii="Arial" w:hAnsi="Arial" w:cs="Arial"/>
        </w:rPr>
        <w:fldChar w:fldCharType="separate"/>
      </w:r>
      <w:r w:rsidR="00937ADD">
        <w:rPr>
          <w:rFonts w:ascii="Arial" w:hAnsi="Arial" w:cs="Arial"/>
        </w:rPr>
        <w:t>5.2.6</w:t>
      </w:r>
      <w:r>
        <w:rPr>
          <w:rFonts w:ascii="Arial" w:hAnsi="Arial" w:cs="Arial"/>
        </w:rPr>
        <w:fldChar w:fldCharType="end"/>
      </w:r>
      <w:r>
        <w:rPr>
          <w:rFonts w:ascii="Arial" w:hAnsi="Arial" w:cs="Arial"/>
        </w:rPr>
        <w:t xml:space="preserve">) </w:t>
      </w:r>
      <w:r w:rsidRPr="00CC2067">
        <w:rPr>
          <w:rFonts w:ascii="Arial" w:hAnsi="Arial" w:cs="Arial"/>
        </w:rPr>
        <w:t xml:space="preserve">and Jellinbah </w:t>
      </w:r>
      <w:r>
        <w:rPr>
          <w:rFonts w:ascii="Arial" w:hAnsi="Arial" w:cs="Arial"/>
        </w:rPr>
        <w:t xml:space="preserve">(Section </w:t>
      </w:r>
      <w:r>
        <w:rPr>
          <w:rFonts w:ascii="Arial" w:hAnsi="Arial" w:cs="Arial"/>
        </w:rPr>
        <w:fldChar w:fldCharType="begin"/>
      </w:r>
      <w:r>
        <w:rPr>
          <w:rFonts w:ascii="Arial" w:hAnsi="Arial" w:cs="Arial"/>
        </w:rPr>
        <w:instrText xml:space="preserve"> REF _Ref59181247 \n \h </w:instrText>
      </w:r>
      <w:r>
        <w:rPr>
          <w:rFonts w:ascii="Arial" w:hAnsi="Arial" w:cs="Arial"/>
        </w:rPr>
      </w:r>
      <w:r>
        <w:rPr>
          <w:rFonts w:ascii="Arial" w:hAnsi="Arial" w:cs="Arial"/>
        </w:rPr>
        <w:fldChar w:fldCharType="separate"/>
      </w:r>
      <w:r w:rsidR="00937ADD">
        <w:rPr>
          <w:rFonts w:ascii="Arial" w:hAnsi="Arial" w:cs="Arial"/>
        </w:rPr>
        <w:t>5.3.6</w:t>
      </w:r>
      <w:r>
        <w:rPr>
          <w:rFonts w:ascii="Arial" w:hAnsi="Arial" w:cs="Arial"/>
        </w:rPr>
        <w:fldChar w:fldCharType="end"/>
      </w:r>
      <w:r>
        <w:rPr>
          <w:rFonts w:ascii="Arial" w:hAnsi="Arial" w:cs="Arial"/>
        </w:rPr>
        <w:t xml:space="preserve">) mines </w:t>
      </w:r>
      <w:r w:rsidRPr="00CC2067">
        <w:rPr>
          <w:rFonts w:ascii="Arial" w:hAnsi="Arial" w:cs="Arial"/>
        </w:rPr>
        <w:t xml:space="preserve">do not have a </w:t>
      </w:r>
      <w:r>
        <w:rPr>
          <w:rFonts w:ascii="Arial" w:hAnsi="Arial" w:cs="Arial"/>
        </w:rPr>
        <w:t>PMLU. Both mines</w:t>
      </w:r>
      <w:r w:rsidRPr="00CC2067">
        <w:rPr>
          <w:rFonts w:ascii="Arial" w:hAnsi="Arial" w:cs="Arial"/>
        </w:rPr>
        <w:t xml:space="preserve"> intend to leave a void water body that is safe</w:t>
      </w:r>
      <w:r w:rsidR="00117FFD">
        <w:rPr>
          <w:rFonts w:ascii="Arial" w:hAnsi="Arial" w:cs="Arial"/>
        </w:rPr>
        <w:t>,</w:t>
      </w:r>
      <w:r w:rsidRPr="00CC2067">
        <w:rPr>
          <w:rFonts w:ascii="Arial" w:hAnsi="Arial" w:cs="Arial"/>
        </w:rPr>
        <w:t xml:space="preserve"> with exclusions to some wildlife (excluding birds), cattle and humans. With no final land use for these areas, there are no objectives or completion criteria developed for sustaining a </w:t>
      </w:r>
      <w:r w:rsidR="004E6DDD">
        <w:rPr>
          <w:rFonts w:ascii="Arial" w:hAnsi="Arial" w:cs="Arial"/>
        </w:rPr>
        <w:t>PMLU</w:t>
      </w:r>
      <w:r w:rsidRPr="00CC2067">
        <w:rPr>
          <w:rFonts w:ascii="Arial" w:hAnsi="Arial" w:cs="Arial"/>
        </w:rPr>
        <w:t>.</w:t>
      </w:r>
      <w:bookmarkEnd w:id="294"/>
      <w:bookmarkEnd w:id="295"/>
    </w:p>
    <w:p w14:paraId="220B6D15" w14:textId="19100BB0" w:rsidR="00AA2131" w:rsidRDefault="00C145A3" w:rsidP="00C145A3">
      <w:pPr>
        <w:pStyle w:val="Caption"/>
      </w:pPr>
      <w:bookmarkStart w:id="298" w:name="_Ref59375730"/>
      <w:bookmarkStart w:id="299" w:name="_Toc65140595"/>
      <w:bookmarkStart w:id="300" w:name="_Hlk59377644"/>
      <w:r>
        <w:lastRenderedPageBreak/>
        <w:t xml:space="preserve">Table </w:t>
      </w:r>
      <w:fldSimple w:instr=" STYLEREF 1 \s ">
        <w:r w:rsidR="00937ADD">
          <w:rPr>
            <w:noProof/>
          </w:rPr>
          <w:t>5</w:t>
        </w:r>
      </w:fldSimple>
      <w:r w:rsidR="002714CC">
        <w:noBreakHyphen/>
      </w:r>
      <w:fldSimple w:instr=" SEQ Table \* ARABIC \s 1 ">
        <w:r w:rsidR="00937ADD">
          <w:rPr>
            <w:noProof/>
          </w:rPr>
          <w:t>14</w:t>
        </w:r>
      </w:fldSimple>
      <w:bookmarkEnd w:id="298"/>
      <w:r>
        <w:t xml:space="preserve"> Summary of key findings from the case study analysis</w:t>
      </w:r>
      <w:r w:rsidR="00153434">
        <w:t xml:space="preserve"> </w:t>
      </w:r>
      <w:r w:rsidR="00153434" w:rsidRPr="00153434">
        <w:rPr>
          <w:vertAlign w:val="superscript"/>
        </w:rPr>
        <w:t>(1)</w:t>
      </w:r>
      <w:bookmarkEnd w:id="299"/>
    </w:p>
    <w:tbl>
      <w:tblPr>
        <w:tblStyle w:val="Plainblue"/>
        <w:tblW w:w="14029"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361"/>
        <w:gridCol w:w="2036"/>
        <w:gridCol w:w="2658"/>
        <w:gridCol w:w="2658"/>
        <w:gridCol w:w="2658"/>
        <w:gridCol w:w="2658"/>
      </w:tblGrid>
      <w:tr w:rsidR="000C6365" w:rsidRPr="0063634B" w14:paraId="411BC85D" w14:textId="77777777" w:rsidTr="007F34AE">
        <w:trPr>
          <w:cnfStyle w:val="100000000000" w:firstRow="1" w:lastRow="0" w:firstColumn="0" w:lastColumn="0" w:oddVBand="0" w:evenVBand="0" w:oddHBand="0" w:evenHBand="0" w:firstRowFirstColumn="0" w:firstRowLastColumn="0" w:lastRowFirstColumn="0" w:lastRowLastColumn="0"/>
          <w:trHeight w:val="98"/>
          <w:tblHeader/>
        </w:trPr>
        <w:tc>
          <w:tcPr>
            <w:cnfStyle w:val="001000000000" w:firstRow="0" w:lastRow="0" w:firstColumn="1" w:lastColumn="0" w:oddVBand="0" w:evenVBand="0" w:oddHBand="0" w:evenHBand="0" w:firstRowFirstColumn="0" w:firstRowLastColumn="0" w:lastRowFirstColumn="0" w:lastRowLastColumn="0"/>
            <w:tcW w:w="1361" w:type="dxa"/>
            <w:vMerge w:val="restart"/>
            <w:vAlign w:val="center"/>
          </w:tcPr>
          <w:p w14:paraId="31C6F2F2" w14:textId="3D51C356" w:rsidR="000C6365" w:rsidRDefault="000C6365" w:rsidP="00C34B29">
            <w:pPr>
              <w:pStyle w:val="BodyText"/>
              <w:spacing w:before="0" w:beforeAutospacing="0" w:afterAutospacing="0" w:line="300" w:lineRule="auto"/>
              <w:rPr>
                <w:rFonts w:cstheme="minorHAnsi"/>
                <w:bCs/>
                <w:szCs w:val="18"/>
              </w:rPr>
            </w:pPr>
            <w:r>
              <w:rPr>
                <w:rFonts w:asciiTheme="minorHAnsi" w:hAnsiTheme="minorHAnsi" w:cstheme="minorHAnsi"/>
                <w:bCs/>
                <w:szCs w:val="18"/>
              </w:rPr>
              <w:t>Theme</w:t>
            </w:r>
          </w:p>
        </w:tc>
        <w:tc>
          <w:tcPr>
            <w:tcW w:w="2036" w:type="dxa"/>
            <w:vMerge w:val="restart"/>
            <w:vAlign w:val="center"/>
          </w:tcPr>
          <w:p w14:paraId="3862ECC8" w14:textId="3344EAA5" w:rsidR="000C6365" w:rsidRDefault="000C6365" w:rsidP="00C34B29">
            <w:pPr>
              <w:pStyle w:val="BodyText"/>
              <w:spacing w:before="0" w:beforeAutospacing="0" w:afterAutospacing="0" w:line="300" w:lineRule="auto"/>
              <w:jc w:val="center"/>
              <w:cnfStyle w:val="100000000000" w:firstRow="1" w:lastRow="0" w:firstColumn="0" w:lastColumn="0" w:oddVBand="0" w:evenVBand="0" w:oddHBand="0" w:evenHBand="0" w:firstRowFirstColumn="0" w:firstRowLastColumn="0" w:lastRowFirstColumn="0" w:lastRowLastColumn="0"/>
              <w:rPr>
                <w:rFonts w:cstheme="minorHAnsi"/>
                <w:bCs/>
                <w:szCs w:val="18"/>
              </w:rPr>
            </w:pPr>
            <w:r>
              <w:rPr>
                <w:rFonts w:asciiTheme="minorHAnsi" w:hAnsiTheme="minorHAnsi" w:cstheme="minorHAnsi"/>
                <w:bCs/>
                <w:szCs w:val="18"/>
              </w:rPr>
              <w:t>Parameter</w:t>
            </w:r>
          </w:p>
        </w:tc>
        <w:tc>
          <w:tcPr>
            <w:tcW w:w="10632" w:type="dxa"/>
            <w:gridSpan w:val="4"/>
            <w:vAlign w:val="center"/>
          </w:tcPr>
          <w:p w14:paraId="1FBD6D6E" w14:textId="3D9B85C4" w:rsidR="000C6365" w:rsidRDefault="000C6365" w:rsidP="00C34B29">
            <w:pPr>
              <w:pStyle w:val="BodyText"/>
              <w:spacing w:before="0" w:beforeAutospacing="0" w:afterAutospacing="0" w:line="300" w:lineRule="auto"/>
              <w:jc w:val="center"/>
              <w:cnfStyle w:val="100000000000" w:firstRow="1" w:lastRow="0" w:firstColumn="0" w:lastColumn="0" w:oddVBand="0" w:evenVBand="0" w:oddHBand="0" w:evenHBand="0" w:firstRowFirstColumn="0" w:firstRowLastColumn="0" w:lastRowFirstColumn="0" w:lastRowLastColumn="0"/>
              <w:rPr>
                <w:rFonts w:cstheme="minorHAnsi"/>
                <w:bCs/>
                <w:szCs w:val="18"/>
              </w:rPr>
            </w:pPr>
            <w:r>
              <w:rPr>
                <w:rFonts w:cstheme="minorHAnsi"/>
                <w:bCs/>
                <w:szCs w:val="18"/>
              </w:rPr>
              <w:t>Mine site case study</w:t>
            </w:r>
          </w:p>
        </w:tc>
      </w:tr>
      <w:tr w:rsidR="000C6365" w:rsidRPr="0063634B" w14:paraId="7BF9273B" w14:textId="6F25D0F7" w:rsidTr="00080B7E">
        <w:trPr>
          <w:cnfStyle w:val="100000000000" w:firstRow="1" w:lastRow="0" w:firstColumn="0" w:lastColumn="0" w:oddVBand="0" w:evenVBand="0" w:oddHBand="0" w:evenHBand="0" w:firstRowFirstColumn="0" w:firstRowLastColumn="0" w:lastRowFirstColumn="0" w:lastRowLastColumn="0"/>
          <w:trHeight w:val="98"/>
          <w:tblHeader/>
        </w:trPr>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0FC5C4E1" w14:textId="6307CD09" w:rsidR="000C6365" w:rsidRPr="00921247" w:rsidRDefault="000C6365" w:rsidP="00C34B29">
            <w:pPr>
              <w:pStyle w:val="BodyText"/>
              <w:spacing w:before="0" w:beforeAutospacing="0" w:afterAutospacing="0" w:line="300" w:lineRule="auto"/>
              <w:rPr>
                <w:rFonts w:asciiTheme="minorHAnsi" w:hAnsiTheme="minorHAnsi" w:cstheme="minorHAnsi"/>
                <w:bCs/>
                <w:szCs w:val="18"/>
              </w:rPr>
            </w:pPr>
          </w:p>
        </w:tc>
        <w:tc>
          <w:tcPr>
            <w:tcW w:w="2036" w:type="dxa"/>
            <w:vMerge/>
            <w:vAlign w:val="center"/>
          </w:tcPr>
          <w:p w14:paraId="311E9C11" w14:textId="2081EBEF" w:rsidR="000C6365" w:rsidRPr="00921247" w:rsidRDefault="000C6365" w:rsidP="00C34B29">
            <w:pPr>
              <w:pStyle w:val="BodyText"/>
              <w:spacing w:before="0" w:beforeAutospacing="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18"/>
              </w:rPr>
            </w:pPr>
          </w:p>
        </w:tc>
        <w:tc>
          <w:tcPr>
            <w:tcW w:w="2658" w:type="dxa"/>
            <w:vAlign w:val="center"/>
          </w:tcPr>
          <w:p w14:paraId="7E561815" w14:textId="0353ECCE" w:rsidR="000C6365" w:rsidRPr="00921247" w:rsidRDefault="000C6365" w:rsidP="00C34B29">
            <w:pPr>
              <w:pStyle w:val="BodyText"/>
              <w:spacing w:before="0" w:beforeAutospacing="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18"/>
              </w:rPr>
            </w:pPr>
            <w:r>
              <w:rPr>
                <w:rFonts w:asciiTheme="minorHAnsi" w:hAnsiTheme="minorHAnsi" w:cstheme="minorHAnsi"/>
                <w:bCs/>
                <w:szCs w:val="18"/>
              </w:rPr>
              <w:t>Olive Downs</w:t>
            </w:r>
          </w:p>
        </w:tc>
        <w:tc>
          <w:tcPr>
            <w:tcW w:w="2658" w:type="dxa"/>
            <w:vAlign w:val="center"/>
          </w:tcPr>
          <w:p w14:paraId="47E6CAA6" w14:textId="3839947F" w:rsidR="000C6365" w:rsidRPr="00921247" w:rsidRDefault="000C6365" w:rsidP="00C34B29">
            <w:pPr>
              <w:pStyle w:val="BodyText"/>
              <w:spacing w:before="0" w:beforeAutospacing="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Cs w:val="18"/>
              </w:rPr>
            </w:pPr>
            <w:r>
              <w:rPr>
                <w:rFonts w:asciiTheme="minorHAnsi" w:hAnsiTheme="minorHAnsi" w:cstheme="minorHAnsi"/>
                <w:bCs/>
                <w:szCs w:val="18"/>
              </w:rPr>
              <w:t>Middlemount</w:t>
            </w:r>
          </w:p>
        </w:tc>
        <w:tc>
          <w:tcPr>
            <w:tcW w:w="2658" w:type="dxa"/>
            <w:vAlign w:val="center"/>
          </w:tcPr>
          <w:p w14:paraId="42868F21" w14:textId="38151A38" w:rsidR="000C6365" w:rsidRDefault="000C6365" w:rsidP="00C34B29">
            <w:pPr>
              <w:pStyle w:val="BodyText"/>
              <w:spacing w:before="0" w:beforeAutospacing="0" w:afterAutospacing="0" w:line="300" w:lineRule="auto"/>
              <w:jc w:val="center"/>
              <w:cnfStyle w:val="100000000000" w:firstRow="1" w:lastRow="0" w:firstColumn="0" w:lastColumn="0" w:oddVBand="0" w:evenVBand="0" w:oddHBand="0" w:evenHBand="0" w:firstRowFirstColumn="0" w:firstRowLastColumn="0" w:lastRowFirstColumn="0" w:lastRowLastColumn="0"/>
              <w:rPr>
                <w:rFonts w:cstheme="minorHAnsi"/>
                <w:bCs/>
                <w:szCs w:val="18"/>
              </w:rPr>
            </w:pPr>
            <w:r>
              <w:rPr>
                <w:rFonts w:cstheme="minorHAnsi"/>
                <w:bCs/>
                <w:szCs w:val="18"/>
              </w:rPr>
              <w:t>Jellinbah</w:t>
            </w:r>
          </w:p>
        </w:tc>
        <w:tc>
          <w:tcPr>
            <w:tcW w:w="2658" w:type="dxa"/>
            <w:vAlign w:val="center"/>
          </w:tcPr>
          <w:p w14:paraId="18CE810E" w14:textId="4FFF6C42" w:rsidR="000C6365" w:rsidRDefault="000C6365" w:rsidP="00C34B29">
            <w:pPr>
              <w:pStyle w:val="BodyText"/>
              <w:spacing w:before="0" w:beforeAutospacing="0" w:afterAutospacing="0" w:line="300" w:lineRule="auto"/>
              <w:jc w:val="center"/>
              <w:cnfStyle w:val="100000000000" w:firstRow="1" w:lastRow="0" w:firstColumn="0" w:lastColumn="0" w:oddVBand="0" w:evenVBand="0" w:oddHBand="0" w:evenHBand="0" w:firstRowFirstColumn="0" w:firstRowLastColumn="0" w:lastRowFirstColumn="0" w:lastRowLastColumn="0"/>
              <w:rPr>
                <w:rFonts w:cstheme="minorHAnsi"/>
                <w:bCs/>
                <w:szCs w:val="18"/>
              </w:rPr>
            </w:pPr>
            <w:r>
              <w:rPr>
                <w:rFonts w:cstheme="minorHAnsi"/>
                <w:bCs/>
                <w:szCs w:val="18"/>
              </w:rPr>
              <w:t>Ensham</w:t>
            </w:r>
          </w:p>
        </w:tc>
      </w:tr>
      <w:tr w:rsidR="00B23380" w:rsidRPr="0063634B" w14:paraId="3BE21115"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restart"/>
            <w:vAlign w:val="center"/>
          </w:tcPr>
          <w:p w14:paraId="6A0E02D8" w14:textId="66EB1D82" w:rsidR="00B23380" w:rsidRPr="000C6365" w:rsidRDefault="00B23380" w:rsidP="00C34B29">
            <w:pPr>
              <w:pStyle w:val="BodyText"/>
              <w:spacing w:before="0" w:beforeAutospacing="0" w:afterAutospacing="0" w:line="300" w:lineRule="auto"/>
              <w:rPr>
                <w:rFonts w:cstheme="minorHAnsi"/>
                <w:b/>
                <w:bCs/>
                <w:szCs w:val="18"/>
              </w:rPr>
            </w:pPr>
            <w:r>
              <w:rPr>
                <w:rFonts w:cstheme="minorHAnsi"/>
                <w:b/>
                <w:bCs/>
                <w:szCs w:val="18"/>
              </w:rPr>
              <w:t>Latest project status</w:t>
            </w:r>
          </w:p>
        </w:tc>
        <w:tc>
          <w:tcPr>
            <w:tcW w:w="2036" w:type="dxa"/>
            <w:vAlign w:val="center"/>
          </w:tcPr>
          <w:p w14:paraId="36900B2F" w14:textId="1C5CE524" w:rsidR="00B23380" w:rsidRDefault="00B23380"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State approval received</w:t>
            </w:r>
          </w:p>
        </w:tc>
        <w:tc>
          <w:tcPr>
            <w:tcW w:w="2658" w:type="dxa"/>
            <w:vAlign w:val="center"/>
          </w:tcPr>
          <w:p w14:paraId="4F09E76F" w14:textId="42B15F73" w:rsidR="00B23380" w:rsidRPr="0063634B" w:rsidRDefault="00B23380"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4A00739A" w14:textId="5C7D00F5" w:rsidR="00B23380" w:rsidRPr="0063634B" w:rsidRDefault="00B23380"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0E5FB277" w14:textId="70F70705" w:rsidR="00B23380" w:rsidRPr="0063634B" w:rsidRDefault="00B23380"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084E38B4" w14:textId="5180E007" w:rsidR="00B23380" w:rsidRPr="0063634B" w:rsidRDefault="00B23380"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r>
      <w:tr w:rsidR="00B23380" w:rsidRPr="0063634B" w14:paraId="602560CC"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1F23962B" w14:textId="77777777" w:rsidR="00B23380" w:rsidRPr="000C6365" w:rsidRDefault="00B23380" w:rsidP="00C34B29">
            <w:pPr>
              <w:pStyle w:val="BodyText"/>
              <w:spacing w:before="0" w:beforeAutospacing="0" w:afterAutospacing="0" w:line="300" w:lineRule="auto"/>
              <w:rPr>
                <w:rFonts w:cstheme="minorHAnsi"/>
                <w:b/>
                <w:bCs/>
                <w:szCs w:val="18"/>
              </w:rPr>
            </w:pPr>
          </w:p>
        </w:tc>
        <w:tc>
          <w:tcPr>
            <w:tcW w:w="2036" w:type="dxa"/>
            <w:vAlign w:val="center"/>
          </w:tcPr>
          <w:p w14:paraId="3344BE86" w14:textId="16DF3BCA" w:rsidR="00B23380" w:rsidRDefault="00B23380"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Federal approval received</w:t>
            </w:r>
          </w:p>
        </w:tc>
        <w:tc>
          <w:tcPr>
            <w:tcW w:w="2658" w:type="dxa"/>
            <w:vAlign w:val="center"/>
          </w:tcPr>
          <w:p w14:paraId="6F4DD86B" w14:textId="2847C72C" w:rsidR="00B23380" w:rsidRPr="0063634B" w:rsidRDefault="00B23380"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1874747D" w14:textId="68FE45D5" w:rsidR="00B23380" w:rsidRPr="0063634B" w:rsidRDefault="00B23380"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46A59D60" w14:textId="21DB91AF" w:rsidR="00B23380" w:rsidRPr="0063634B" w:rsidRDefault="00B23380"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5A934E08" w14:textId="0A488C02" w:rsidR="00B23380" w:rsidRPr="0063634B" w:rsidRDefault="00B23380"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TBA</w:t>
            </w:r>
          </w:p>
        </w:tc>
      </w:tr>
      <w:tr w:rsidR="000722F6" w:rsidRPr="0063634B" w14:paraId="6C29FA58"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restart"/>
            <w:vAlign w:val="center"/>
          </w:tcPr>
          <w:p w14:paraId="1B4F532D" w14:textId="12E99941" w:rsidR="000722F6" w:rsidRPr="000136A5" w:rsidRDefault="000722F6" w:rsidP="00C34B29">
            <w:pPr>
              <w:pStyle w:val="BodyText"/>
              <w:spacing w:before="0" w:beforeAutospacing="0" w:afterAutospacing="0" w:line="300" w:lineRule="auto"/>
              <w:rPr>
                <w:rFonts w:cstheme="minorHAnsi"/>
                <w:b/>
                <w:bCs/>
                <w:szCs w:val="18"/>
              </w:rPr>
            </w:pPr>
            <w:r w:rsidRPr="000136A5">
              <w:rPr>
                <w:rFonts w:cstheme="minorHAnsi"/>
                <w:b/>
                <w:bCs/>
                <w:szCs w:val="18"/>
              </w:rPr>
              <w:t>Physical setting</w:t>
            </w:r>
          </w:p>
        </w:tc>
        <w:tc>
          <w:tcPr>
            <w:tcW w:w="2036" w:type="dxa"/>
            <w:vAlign w:val="center"/>
          </w:tcPr>
          <w:p w14:paraId="4D36B572" w14:textId="4AEBE105" w:rsidR="000722F6" w:rsidRPr="000136A5" w:rsidRDefault="000722F6"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0136A5">
              <w:rPr>
                <w:rFonts w:cstheme="minorHAnsi"/>
                <w:szCs w:val="18"/>
              </w:rPr>
              <w:t>Climate</w:t>
            </w:r>
          </w:p>
        </w:tc>
        <w:tc>
          <w:tcPr>
            <w:tcW w:w="2658" w:type="dxa"/>
            <w:vAlign w:val="center"/>
          </w:tcPr>
          <w:p w14:paraId="46DBB6EC" w14:textId="3ABABCB4" w:rsidR="000722F6"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Sub-tropical</w:t>
            </w:r>
          </w:p>
        </w:tc>
        <w:tc>
          <w:tcPr>
            <w:tcW w:w="2658" w:type="dxa"/>
            <w:vAlign w:val="center"/>
          </w:tcPr>
          <w:p w14:paraId="760553C6" w14:textId="601998BF"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w:t>
            </w:r>
            <w:r w:rsidRPr="005A38BC">
              <w:rPr>
                <w:rFonts w:cstheme="minorHAnsi"/>
                <w:szCs w:val="18"/>
              </w:rPr>
              <w:t>emi-arid to sub-tropical</w:t>
            </w:r>
          </w:p>
        </w:tc>
        <w:tc>
          <w:tcPr>
            <w:tcW w:w="2658" w:type="dxa"/>
            <w:vAlign w:val="center"/>
          </w:tcPr>
          <w:p w14:paraId="456BBD2E" w14:textId="17866DFD"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Sub-tropical</w:t>
            </w:r>
          </w:p>
        </w:tc>
        <w:tc>
          <w:tcPr>
            <w:tcW w:w="2658" w:type="dxa"/>
            <w:vAlign w:val="center"/>
          </w:tcPr>
          <w:p w14:paraId="51455711" w14:textId="51174B22"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Sub-tropical</w:t>
            </w:r>
          </w:p>
        </w:tc>
      </w:tr>
      <w:tr w:rsidR="000722F6" w:rsidRPr="0063634B" w14:paraId="49C50854"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4D0D1CF8" w14:textId="773B7E0B" w:rsidR="000722F6" w:rsidRPr="000136A5" w:rsidRDefault="000722F6" w:rsidP="00C34B29">
            <w:pPr>
              <w:pStyle w:val="BodyText"/>
              <w:spacing w:before="0" w:beforeAutospacing="0" w:afterAutospacing="0" w:line="300" w:lineRule="auto"/>
              <w:rPr>
                <w:rFonts w:cstheme="minorHAnsi"/>
                <w:b/>
                <w:bCs/>
                <w:szCs w:val="18"/>
              </w:rPr>
            </w:pPr>
          </w:p>
        </w:tc>
        <w:tc>
          <w:tcPr>
            <w:tcW w:w="2036" w:type="dxa"/>
            <w:vAlign w:val="center"/>
          </w:tcPr>
          <w:p w14:paraId="0B1D4238" w14:textId="73A0BDB2" w:rsidR="000722F6" w:rsidRPr="000136A5" w:rsidRDefault="000722F6"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0136A5">
              <w:rPr>
                <w:rFonts w:cstheme="minorHAnsi"/>
                <w:szCs w:val="18"/>
              </w:rPr>
              <w:t>Geological basin</w:t>
            </w:r>
          </w:p>
        </w:tc>
        <w:tc>
          <w:tcPr>
            <w:tcW w:w="2658" w:type="dxa"/>
            <w:vAlign w:val="center"/>
          </w:tcPr>
          <w:p w14:paraId="7C8215F0" w14:textId="3EF3F0B9"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Bowen Basin</w:t>
            </w:r>
          </w:p>
        </w:tc>
        <w:tc>
          <w:tcPr>
            <w:tcW w:w="2658" w:type="dxa"/>
            <w:vAlign w:val="center"/>
          </w:tcPr>
          <w:p w14:paraId="25908FDA" w14:textId="19EFA4BC"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Bowen Basin</w:t>
            </w:r>
          </w:p>
        </w:tc>
        <w:tc>
          <w:tcPr>
            <w:tcW w:w="2658" w:type="dxa"/>
            <w:vAlign w:val="center"/>
          </w:tcPr>
          <w:p w14:paraId="35EB54D2" w14:textId="2A85F1FB"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Bowen Basin</w:t>
            </w:r>
          </w:p>
        </w:tc>
        <w:tc>
          <w:tcPr>
            <w:tcW w:w="2658" w:type="dxa"/>
            <w:vAlign w:val="center"/>
          </w:tcPr>
          <w:p w14:paraId="2021BFBA" w14:textId="2D0EF121"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Bowen Basin</w:t>
            </w:r>
          </w:p>
        </w:tc>
      </w:tr>
      <w:tr w:rsidR="000722F6" w:rsidRPr="0063634B" w14:paraId="2F1C14D9"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1F608D16" w14:textId="77777777" w:rsidR="000722F6" w:rsidRPr="000136A5" w:rsidRDefault="000722F6" w:rsidP="00C34B29">
            <w:pPr>
              <w:pStyle w:val="BodyText"/>
              <w:spacing w:before="0" w:beforeAutospacing="0" w:afterAutospacing="0" w:line="300" w:lineRule="auto"/>
              <w:rPr>
                <w:rFonts w:cstheme="minorHAnsi"/>
                <w:b/>
                <w:bCs/>
                <w:szCs w:val="18"/>
              </w:rPr>
            </w:pPr>
          </w:p>
        </w:tc>
        <w:tc>
          <w:tcPr>
            <w:tcW w:w="2036" w:type="dxa"/>
            <w:vAlign w:val="center"/>
          </w:tcPr>
          <w:p w14:paraId="56115085" w14:textId="4D83BBA6" w:rsidR="000722F6" w:rsidRPr="000136A5" w:rsidRDefault="000722F6"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0136A5">
              <w:rPr>
                <w:rFonts w:cstheme="minorHAnsi"/>
                <w:szCs w:val="18"/>
              </w:rPr>
              <w:t>Drainage basin (and catchment)</w:t>
            </w:r>
          </w:p>
        </w:tc>
        <w:tc>
          <w:tcPr>
            <w:tcW w:w="2658" w:type="dxa"/>
            <w:vAlign w:val="center"/>
          </w:tcPr>
          <w:p w14:paraId="71098665" w14:textId="77777777" w:rsidR="000722F6"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Fitzroy Basin </w:t>
            </w:r>
          </w:p>
          <w:p w14:paraId="714ADBC0" w14:textId="5D967B6A"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w:t>
            </w:r>
            <w:r w:rsidRPr="00A37877">
              <w:rPr>
                <w:rFonts w:cstheme="minorHAnsi"/>
                <w:szCs w:val="18"/>
              </w:rPr>
              <w:t>Isaac River</w:t>
            </w:r>
            <w:r>
              <w:rPr>
                <w:rFonts w:cstheme="minorHAnsi"/>
                <w:szCs w:val="18"/>
              </w:rPr>
              <w:t>)</w:t>
            </w:r>
          </w:p>
        </w:tc>
        <w:tc>
          <w:tcPr>
            <w:tcW w:w="2658" w:type="dxa"/>
            <w:vAlign w:val="center"/>
          </w:tcPr>
          <w:p w14:paraId="13DA94AD" w14:textId="77777777" w:rsidR="000722F6"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Fitzroy Basin</w:t>
            </w:r>
          </w:p>
          <w:p w14:paraId="5FDD41FE" w14:textId="4D211FC0" w:rsidR="000722F6" w:rsidRPr="0063634B" w:rsidRDefault="000722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(MacKenzie River)</w:t>
            </w:r>
          </w:p>
        </w:tc>
        <w:tc>
          <w:tcPr>
            <w:tcW w:w="2658" w:type="dxa"/>
            <w:vAlign w:val="center"/>
          </w:tcPr>
          <w:p w14:paraId="15EA1B62" w14:textId="77777777" w:rsidR="000722F6" w:rsidRDefault="000722F6" w:rsidP="00B23380">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Fitzroy Basin</w:t>
            </w:r>
          </w:p>
          <w:p w14:paraId="4639A72F" w14:textId="512943E9" w:rsidR="000722F6" w:rsidRPr="0063634B" w:rsidRDefault="000722F6" w:rsidP="00B23380">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(MacKenzie River)</w:t>
            </w:r>
          </w:p>
        </w:tc>
        <w:tc>
          <w:tcPr>
            <w:tcW w:w="2658" w:type="dxa"/>
            <w:vAlign w:val="center"/>
          </w:tcPr>
          <w:p w14:paraId="2CCF7DDB" w14:textId="67E95269" w:rsidR="000722F6" w:rsidRPr="001A29AE"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Fitzroy Basin (</w:t>
            </w:r>
            <w:r w:rsidRPr="001A29AE">
              <w:rPr>
                <w:rFonts w:cstheme="minorHAnsi"/>
                <w:szCs w:val="18"/>
              </w:rPr>
              <w:t xml:space="preserve">Nogoa River </w:t>
            </w:r>
            <w:r>
              <w:rPr>
                <w:rFonts w:cstheme="minorHAnsi"/>
                <w:szCs w:val="18"/>
              </w:rPr>
              <w:t xml:space="preserve">and </w:t>
            </w:r>
            <w:r w:rsidRPr="001A29AE">
              <w:rPr>
                <w:rFonts w:cstheme="minorHAnsi"/>
                <w:szCs w:val="18"/>
              </w:rPr>
              <w:t>Comet River</w:t>
            </w:r>
            <w:r>
              <w:rPr>
                <w:rFonts w:cstheme="minorHAnsi"/>
                <w:szCs w:val="18"/>
              </w:rPr>
              <w:t>)</w:t>
            </w:r>
          </w:p>
        </w:tc>
      </w:tr>
      <w:tr w:rsidR="000722F6" w:rsidRPr="0063634B" w14:paraId="467B714D" w14:textId="77777777" w:rsidTr="009C0859">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1500E509" w14:textId="77777777" w:rsidR="000722F6" w:rsidRPr="000136A5" w:rsidRDefault="000722F6" w:rsidP="001A29AE">
            <w:pPr>
              <w:pStyle w:val="BodyText"/>
              <w:spacing w:before="0" w:line="300" w:lineRule="auto"/>
              <w:rPr>
                <w:rFonts w:cstheme="minorHAnsi"/>
                <w:b/>
                <w:bCs/>
                <w:szCs w:val="18"/>
              </w:rPr>
            </w:pPr>
          </w:p>
        </w:tc>
        <w:tc>
          <w:tcPr>
            <w:tcW w:w="2036" w:type="dxa"/>
            <w:vAlign w:val="center"/>
          </w:tcPr>
          <w:p w14:paraId="5E5F3FC4" w14:textId="395D3E87" w:rsidR="000722F6" w:rsidRPr="000136A5" w:rsidRDefault="000722F6" w:rsidP="001A29AE">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Groundwater salinity of coal measures</w:t>
            </w:r>
          </w:p>
        </w:tc>
        <w:tc>
          <w:tcPr>
            <w:tcW w:w="2658" w:type="dxa"/>
            <w:vAlign w:val="center"/>
          </w:tcPr>
          <w:p w14:paraId="071E3692" w14:textId="1F1B14E3" w:rsidR="000722F6" w:rsidRPr="000136A5"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Brackish to moderately saline </w:t>
            </w:r>
          </w:p>
        </w:tc>
        <w:tc>
          <w:tcPr>
            <w:tcW w:w="2658" w:type="dxa"/>
            <w:vAlign w:val="center"/>
          </w:tcPr>
          <w:p w14:paraId="2D2035E3" w14:textId="282C71B5" w:rsidR="000722F6" w:rsidRPr="000136A5"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Moderately saline</w:t>
            </w:r>
          </w:p>
        </w:tc>
        <w:tc>
          <w:tcPr>
            <w:tcW w:w="2658" w:type="dxa"/>
            <w:vAlign w:val="center"/>
          </w:tcPr>
          <w:p w14:paraId="47C01DCE" w14:textId="065D61D0" w:rsidR="000722F6"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Brackish</w:t>
            </w:r>
          </w:p>
        </w:tc>
        <w:tc>
          <w:tcPr>
            <w:tcW w:w="2658" w:type="dxa"/>
            <w:vAlign w:val="center"/>
          </w:tcPr>
          <w:p w14:paraId="30444798" w14:textId="4F65F9B0" w:rsidR="000722F6"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Brackish</w:t>
            </w:r>
          </w:p>
        </w:tc>
      </w:tr>
      <w:tr w:rsidR="000722F6" w:rsidRPr="0063634B" w14:paraId="7A9806C1" w14:textId="77777777" w:rsidTr="000722F6">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620C0954" w14:textId="547D4DBA" w:rsidR="000722F6" w:rsidRPr="000136A5" w:rsidRDefault="000722F6" w:rsidP="001A29AE">
            <w:pPr>
              <w:pStyle w:val="BodyText"/>
              <w:spacing w:before="0" w:line="300" w:lineRule="auto"/>
              <w:rPr>
                <w:rFonts w:cstheme="minorHAnsi"/>
                <w:b/>
                <w:bCs/>
                <w:szCs w:val="18"/>
              </w:rPr>
            </w:pPr>
          </w:p>
        </w:tc>
        <w:tc>
          <w:tcPr>
            <w:tcW w:w="2036" w:type="dxa"/>
            <w:vAlign w:val="center"/>
          </w:tcPr>
          <w:p w14:paraId="02CED222" w14:textId="1EA31388" w:rsidR="000722F6" w:rsidRPr="000136A5" w:rsidRDefault="000722F6" w:rsidP="001A29AE">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Major fault structures in proximity to residual void</w:t>
            </w:r>
          </w:p>
        </w:tc>
        <w:tc>
          <w:tcPr>
            <w:tcW w:w="2658" w:type="dxa"/>
            <w:vAlign w:val="center"/>
          </w:tcPr>
          <w:p w14:paraId="53600412" w14:textId="759C17A1" w:rsidR="000722F6" w:rsidRPr="000136A5"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w:t>
            </w:r>
          </w:p>
        </w:tc>
        <w:tc>
          <w:tcPr>
            <w:tcW w:w="2658" w:type="dxa"/>
            <w:vAlign w:val="center"/>
          </w:tcPr>
          <w:p w14:paraId="2588F658" w14:textId="47814782" w:rsidR="000722F6" w:rsidRPr="000136A5"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0722F6">
              <w:rPr>
                <w:rFonts w:cstheme="minorHAnsi"/>
                <w:szCs w:val="18"/>
              </w:rPr>
              <w:t>Jellinbah Fault</w:t>
            </w:r>
          </w:p>
        </w:tc>
        <w:tc>
          <w:tcPr>
            <w:tcW w:w="2658" w:type="dxa"/>
            <w:vAlign w:val="center"/>
          </w:tcPr>
          <w:p w14:paraId="125F433F" w14:textId="3EEE8A1F" w:rsidR="000722F6"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w:t>
            </w:r>
          </w:p>
        </w:tc>
        <w:tc>
          <w:tcPr>
            <w:tcW w:w="2658" w:type="dxa"/>
            <w:vAlign w:val="center"/>
          </w:tcPr>
          <w:p w14:paraId="6BA380FB" w14:textId="48626C2F" w:rsidR="000722F6"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w:t>
            </w:r>
          </w:p>
        </w:tc>
      </w:tr>
      <w:tr w:rsidR="000722F6" w:rsidRPr="0063634B" w14:paraId="4E6144E2"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20DB453D" w14:textId="77777777" w:rsidR="000722F6" w:rsidRPr="000136A5" w:rsidRDefault="000722F6" w:rsidP="001A29AE">
            <w:pPr>
              <w:pStyle w:val="BodyText"/>
              <w:spacing w:before="0" w:beforeAutospacing="0" w:afterAutospacing="0" w:line="300" w:lineRule="auto"/>
              <w:rPr>
                <w:rFonts w:cstheme="minorHAnsi"/>
                <w:b/>
                <w:bCs/>
                <w:szCs w:val="18"/>
              </w:rPr>
            </w:pPr>
          </w:p>
        </w:tc>
        <w:tc>
          <w:tcPr>
            <w:tcW w:w="2036" w:type="dxa"/>
            <w:vAlign w:val="center"/>
          </w:tcPr>
          <w:p w14:paraId="16FBEBDC" w14:textId="4C470635" w:rsidR="000722F6" w:rsidRPr="000136A5" w:rsidRDefault="000722F6" w:rsidP="001A29AE">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0136A5">
              <w:rPr>
                <w:rFonts w:cstheme="minorHAnsi"/>
                <w:szCs w:val="18"/>
              </w:rPr>
              <w:t>Remnant vegetation</w:t>
            </w:r>
          </w:p>
        </w:tc>
        <w:tc>
          <w:tcPr>
            <w:tcW w:w="2658" w:type="dxa"/>
            <w:vAlign w:val="center"/>
          </w:tcPr>
          <w:p w14:paraId="59942153" w14:textId="7EE3C61F" w:rsidR="000722F6" w:rsidRPr="0063634B"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0136A5">
              <w:rPr>
                <w:rFonts w:cstheme="minorHAnsi"/>
                <w:szCs w:val="18"/>
              </w:rPr>
              <w:t>Dominated by eucalypt woodlands on riparian corridors and flood plains</w:t>
            </w:r>
          </w:p>
        </w:tc>
        <w:tc>
          <w:tcPr>
            <w:tcW w:w="2658" w:type="dxa"/>
            <w:vAlign w:val="center"/>
          </w:tcPr>
          <w:p w14:paraId="22CF5528" w14:textId="1B2D91A1" w:rsidR="000722F6" w:rsidRPr="0063634B"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0136A5">
              <w:rPr>
                <w:rFonts w:cstheme="minorHAnsi"/>
                <w:szCs w:val="18"/>
              </w:rPr>
              <w:t>Dominated by eucalypt woodlands on riparian corridors and flood plains</w:t>
            </w:r>
          </w:p>
        </w:tc>
        <w:tc>
          <w:tcPr>
            <w:tcW w:w="2658" w:type="dxa"/>
          </w:tcPr>
          <w:p w14:paraId="07029782" w14:textId="4AA8E736" w:rsidR="000722F6" w:rsidRPr="001A29AE"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Pr>
                <w:rFonts w:cstheme="minorHAnsi"/>
                <w:szCs w:val="18"/>
              </w:rPr>
              <w:t>Dominated by eucalypt woodlands on riparian corridors and flood plains</w:t>
            </w:r>
          </w:p>
        </w:tc>
        <w:tc>
          <w:tcPr>
            <w:tcW w:w="2658" w:type="dxa"/>
          </w:tcPr>
          <w:p w14:paraId="097AFDA4" w14:textId="3062C390" w:rsidR="000722F6" w:rsidRPr="001A29AE" w:rsidRDefault="000722F6"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Pr>
                <w:rFonts w:cstheme="minorHAnsi"/>
                <w:szCs w:val="18"/>
              </w:rPr>
              <w:t>Dominated by eucalypt woodlands on riparian corridors and flood plains</w:t>
            </w:r>
          </w:p>
        </w:tc>
      </w:tr>
      <w:tr w:rsidR="00153434" w:rsidRPr="0063634B" w14:paraId="080E5721"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restart"/>
            <w:vAlign w:val="center"/>
          </w:tcPr>
          <w:p w14:paraId="3C98B6A1" w14:textId="743EDC88" w:rsidR="00153434" w:rsidRPr="000C6365" w:rsidRDefault="00153434" w:rsidP="00C34B29">
            <w:pPr>
              <w:pStyle w:val="BodyText"/>
              <w:spacing w:before="0" w:beforeAutospacing="0" w:afterAutospacing="0" w:line="300" w:lineRule="auto"/>
              <w:rPr>
                <w:rFonts w:cstheme="minorHAnsi"/>
                <w:b/>
                <w:bCs/>
                <w:szCs w:val="18"/>
              </w:rPr>
            </w:pPr>
            <w:r w:rsidRPr="000C6365">
              <w:rPr>
                <w:rFonts w:cstheme="minorHAnsi"/>
                <w:b/>
                <w:bCs/>
                <w:szCs w:val="18"/>
              </w:rPr>
              <w:t xml:space="preserve">Proposed </w:t>
            </w:r>
            <w:r>
              <w:rPr>
                <w:rFonts w:cstheme="minorHAnsi"/>
                <w:b/>
                <w:bCs/>
                <w:szCs w:val="18"/>
              </w:rPr>
              <w:t>residual voids</w:t>
            </w:r>
          </w:p>
        </w:tc>
        <w:tc>
          <w:tcPr>
            <w:tcW w:w="2036" w:type="dxa"/>
            <w:vAlign w:val="center"/>
          </w:tcPr>
          <w:p w14:paraId="49A30405" w14:textId="34D91328" w:rsidR="00153434" w:rsidRDefault="00153434"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Total number</w:t>
            </w:r>
          </w:p>
        </w:tc>
        <w:tc>
          <w:tcPr>
            <w:tcW w:w="2658" w:type="dxa"/>
            <w:vAlign w:val="center"/>
          </w:tcPr>
          <w:p w14:paraId="0DDE233D" w14:textId="253F2D78" w:rsidR="00153434" w:rsidRPr="001A29AE" w:rsidRDefault="00153434"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3</w:t>
            </w:r>
          </w:p>
        </w:tc>
        <w:tc>
          <w:tcPr>
            <w:tcW w:w="2658" w:type="dxa"/>
            <w:vAlign w:val="center"/>
          </w:tcPr>
          <w:p w14:paraId="1DFA9276" w14:textId="521E0AB2"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2</w:t>
            </w:r>
          </w:p>
        </w:tc>
        <w:tc>
          <w:tcPr>
            <w:tcW w:w="2658" w:type="dxa"/>
            <w:vAlign w:val="center"/>
          </w:tcPr>
          <w:p w14:paraId="30D16E4B" w14:textId="7177339A"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8</w:t>
            </w:r>
          </w:p>
        </w:tc>
        <w:tc>
          <w:tcPr>
            <w:tcW w:w="2658" w:type="dxa"/>
            <w:vAlign w:val="center"/>
          </w:tcPr>
          <w:p w14:paraId="6D80FA47" w14:textId="13B44795"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12</w:t>
            </w:r>
          </w:p>
        </w:tc>
      </w:tr>
      <w:tr w:rsidR="00153434" w:rsidRPr="0063634B" w14:paraId="2AE8600F"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2E047225" w14:textId="77777777" w:rsidR="00153434" w:rsidRPr="000C6365" w:rsidRDefault="00153434" w:rsidP="00C34B29">
            <w:pPr>
              <w:pStyle w:val="BodyText"/>
              <w:spacing w:before="0" w:beforeAutospacing="0" w:afterAutospacing="0" w:line="300" w:lineRule="auto"/>
              <w:rPr>
                <w:rFonts w:cstheme="minorHAnsi"/>
                <w:b/>
                <w:bCs/>
                <w:szCs w:val="18"/>
              </w:rPr>
            </w:pPr>
          </w:p>
        </w:tc>
        <w:tc>
          <w:tcPr>
            <w:tcW w:w="2036" w:type="dxa"/>
            <w:vAlign w:val="center"/>
          </w:tcPr>
          <w:p w14:paraId="7B9BB07B" w14:textId="572DF69F" w:rsidR="00153434" w:rsidRDefault="00153434"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Total surface area</w:t>
            </w:r>
          </w:p>
        </w:tc>
        <w:tc>
          <w:tcPr>
            <w:tcW w:w="2658" w:type="dxa"/>
            <w:vAlign w:val="center"/>
          </w:tcPr>
          <w:p w14:paraId="1ECE63FC" w14:textId="04741BBD"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C145A3">
              <w:rPr>
                <w:rFonts w:cstheme="minorHAnsi"/>
                <w:szCs w:val="18"/>
              </w:rPr>
              <w:t>N</w:t>
            </w:r>
            <w:r>
              <w:rPr>
                <w:rFonts w:cstheme="minorHAnsi"/>
                <w:szCs w:val="18"/>
              </w:rPr>
              <w:t>ot reported</w:t>
            </w:r>
          </w:p>
        </w:tc>
        <w:tc>
          <w:tcPr>
            <w:tcW w:w="2658" w:type="dxa"/>
            <w:vAlign w:val="center"/>
          </w:tcPr>
          <w:p w14:paraId="6EDE736A" w14:textId="17EFBAAB"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D73722">
              <w:rPr>
                <w:rFonts w:cstheme="minorHAnsi"/>
                <w:szCs w:val="18"/>
              </w:rPr>
              <w:t>595 ha</w:t>
            </w:r>
          </w:p>
        </w:tc>
        <w:tc>
          <w:tcPr>
            <w:tcW w:w="2658" w:type="dxa"/>
            <w:vAlign w:val="center"/>
          </w:tcPr>
          <w:p w14:paraId="66FEA48A" w14:textId="334BF0BC"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744 ha</w:t>
            </w:r>
          </w:p>
        </w:tc>
        <w:tc>
          <w:tcPr>
            <w:tcW w:w="2658" w:type="dxa"/>
            <w:vAlign w:val="center"/>
          </w:tcPr>
          <w:p w14:paraId="51FB25DD" w14:textId="1FC27B9D"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Not reported</w:t>
            </w:r>
          </w:p>
        </w:tc>
      </w:tr>
      <w:tr w:rsidR="00153434" w:rsidRPr="0063634B" w14:paraId="0EA01A9A"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083E5BAC" w14:textId="77777777" w:rsidR="00153434" w:rsidRPr="000C6365" w:rsidRDefault="00153434" w:rsidP="00C34B29">
            <w:pPr>
              <w:pStyle w:val="BodyText"/>
              <w:spacing w:before="0" w:beforeAutospacing="0" w:afterAutospacing="0" w:line="300" w:lineRule="auto"/>
              <w:rPr>
                <w:rFonts w:cstheme="minorHAnsi"/>
                <w:b/>
                <w:bCs/>
                <w:szCs w:val="18"/>
              </w:rPr>
            </w:pPr>
          </w:p>
        </w:tc>
        <w:tc>
          <w:tcPr>
            <w:tcW w:w="2036" w:type="dxa"/>
            <w:vAlign w:val="center"/>
          </w:tcPr>
          <w:p w14:paraId="5B4F81FE" w14:textId="71A2671C" w:rsidR="00153434" w:rsidRDefault="00153434"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Number of </w:t>
            </w:r>
            <w:r w:rsidR="00DF6E0C">
              <w:rPr>
                <w:rFonts w:cstheme="minorHAnsi"/>
                <w:szCs w:val="18"/>
              </w:rPr>
              <w:t xml:space="preserve">proposed </w:t>
            </w:r>
            <w:r>
              <w:rPr>
                <w:rFonts w:cstheme="minorHAnsi"/>
                <w:szCs w:val="18"/>
              </w:rPr>
              <w:t xml:space="preserve">residual voids in floodplain </w:t>
            </w:r>
          </w:p>
        </w:tc>
        <w:tc>
          <w:tcPr>
            <w:tcW w:w="2658" w:type="dxa"/>
            <w:vAlign w:val="center"/>
          </w:tcPr>
          <w:p w14:paraId="143AC312" w14:textId="38242B37"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2</w:t>
            </w:r>
          </w:p>
        </w:tc>
        <w:tc>
          <w:tcPr>
            <w:tcW w:w="2658" w:type="dxa"/>
            <w:vAlign w:val="center"/>
          </w:tcPr>
          <w:p w14:paraId="2D5A3C31" w14:textId="03A4F73A"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1</w:t>
            </w:r>
          </w:p>
        </w:tc>
        <w:tc>
          <w:tcPr>
            <w:tcW w:w="2658" w:type="dxa"/>
            <w:vAlign w:val="center"/>
          </w:tcPr>
          <w:p w14:paraId="79C3F58B" w14:textId="1565A370"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2</w:t>
            </w:r>
          </w:p>
        </w:tc>
        <w:tc>
          <w:tcPr>
            <w:tcW w:w="2658" w:type="dxa"/>
            <w:vAlign w:val="center"/>
          </w:tcPr>
          <w:p w14:paraId="6DAFDC37" w14:textId="23439D9D"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6</w:t>
            </w:r>
          </w:p>
        </w:tc>
      </w:tr>
      <w:tr w:rsidR="00051EC2" w:rsidRPr="0063634B" w14:paraId="207AEF9D" w14:textId="4539AA29" w:rsidTr="00080B7E">
        <w:tc>
          <w:tcPr>
            <w:cnfStyle w:val="001000000000" w:firstRow="0" w:lastRow="0" w:firstColumn="1" w:lastColumn="0" w:oddVBand="0" w:evenVBand="0" w:oddHBand="0" w:evenHBand="0" w:firstRowFirstColumn="0" w:firstRowLastColumn="0" w:lastRowFirstColumn="0" w:lastRowLastColumn="0"/>
            <w:tcW w:w="1361" w:type="dxa"/>
            <w:vMerge w:val="restart"/>
            <w:vAlign w:val="center"/>
          </w:tcPr>
          <w:p w14:paraId="2062F5FA" w14:textId="1E01249B" w:rsidR="00051EC2" w:rsidRPr="000C6365" w:rsidRDefault="00051EC2" w:rsidP="00C34B29">
            <w:pPr>
              <w:pStyle w:val="BodyText"/>
              <w:spacing w:before="0" w:beforeAutospacing="0" w:afterAutospacing="0" w:line="300" w:lineRule="auto"/>
              <w:rPr>
                <w:rFonts w:asciiTheme="minorHAnsi" w:hAnsiTheme="minorHAnsi" w:cstheme="minorHAnsi"/>
                <w:b/>
                <w:bCs/>
                <w:szCs w:val="18"/>
              </w:rPr>
            </w:pPr>
            <w:r w:rsidRPr="000C6365">
              <w:rPr>
                <w:rFonts w:asciiTheme="minorHAnsi" w:hAnsiTheme="minorHAnsi" w:cstheme="minorHAnsi"/>
                <w:b/>
                <w:bCs/>
                <w:szCs w:val="18"/>
              </w:rPr>
              <w:t>Assessment approach</w:t>
            </w:r>
          </w:p>
        </w:tc>
        <w:tc>
          <w:tcPr>
            <w:tcW w:w="2036" w:type="dxa"/>
            <w:vAlign w:val="center"/>
          </w:tcPr>
          <w:p w14:paraId="0F832EE5" w14:textId="0EC0C683" w:rsidR="00051EC2" w:rsidRPr="0063634B" w:rsidRDefault="00051EC2"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Coupled water </w:t>
            </w:r>
            <w:r w:rsidR="0032056F">
              <w:rPr>
                <w:rFonts w:cstheme="minorHAnsi"/>
                <w:szCs w:val="18"/>
              </w:rPr>
              <w:t xml:space="preserve">balance </w:t>
            </w:r>
            <w:r>
              <w:rPr>
                <w:rFonts w:cstheme="minorHAnsi"/>
                <w:szCs w:val="18"/>
              </w:rPr>
              <w:t>and salinity modelling</w:t>
            </w:r>
          </w:p>
        </w:tc>
        <w:tc>
          <w:tcPr>
            <w:tcW w:w="2658" w:type="dxa"/>
            <w:vAlign w:val="center"/>
          </w:tcPr>
          <w:p w14:paraId="7B837DD0" w14:textId="488944D3"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 (relying on the looping of historical climate data)</w:t>
            </w:r>
          </w:p>
        </w:tc>
        <w:tc>
          <w:tcPr>
            <w:tcW w:w="2658" w:type="dxa"/>
            <w:vAlign w:val="center"/>
          </w:tcPr>
          <w:p w14:paraId="6D48E4B5" w14:textId="37A8A4DD"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 (relying on the looping of historical climate data)</w:t>
            </w:r>
          </w:p>
        </w:tc>
        <w:tc>
          <w:tcPr>
            <w:tcW w:w="2658" w:type="dxa"/>
            <w:vAlign w:val="center"/>
          </w:tcPr>
          <w:p w14:paraId="565B1B14" w14:textId="570209D4"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 (relying on the looping of historical climate data)</w:t>
            </w:r>
          </w:p>
        </w:tc>
        <w:tc>
          <w:tcPr>
            <w:tcW w:w="2658" w:type="dxa"/>
            <w:vAlign w:val="center"/>
          </w:tcPr>
          <w:p w14:paraId="5041C9F3" w14:textId="6F12943E"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E43176">
              <w:rPr>
                <w:rFonts w:cstheme="minorHAnsi"/>
                <w:szCs w:val="18"/>
              </w:rPr>
              <w:t>Yes</w:t>
            </w:r>
            <w:r w:rsidR="00E43176" w:rsidRPr="00E43176">
              <w:rPr>
                <w:rFonts w:cstheme="minorHAnsi"/>
                <w:szCs w:val="18"/>
              </w:rPr>
              <w:t xml:space="preserve"> </w:t>
            </w:r>
            <w:r w:rsidR="00E43176" w:rsidRPr="0033743E">
              <w:rPr>
                <w:rFonts w:cstheme="minorHAnsi"/>
                <w:szCs w:val="18"/>
                <w:vertAlign w:val="superscript"/>
              </w:rPr>
              <w:t>(3)</w:t>
            </w:r>
            <w:r w:rsidR="00E43176">
              <w:rPr>
                <w:rFonts w:cstheme="minorHAnsi"/>
                <w:szCs w:val="18"/>
              </w:rPr>
              <w:t xml:space="preserve"> </w:t>
            </w:r>
          </w:p>
        </w:tc>
      </w:tr>
      <w:tr w:rsidR="00051EC2" w:rsidRPr="0063634B" w14:paraId="4A4594B8"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361957A8" w14:textId="77777777" w:rsidR="00051EC2" w:rsidRPr="000C6365" w:rsidRDefault="00051EC2" w:rsidP="00C34B29">
            <w:pPr>
              <w:pStyle w:val="BodyText"/>
              <w:spacing w:before="0" w:beforeAutospacing="0" w:afterAutospacing="0" w:line="300" w:lineRule="auto"/>
              <w:rPr>
                <w:rFonts w:cstheme="minorHAnsi"/>
                <w:b/>
                <w:bCs/>
                <w:szCs w:val="18"/>
              </w:rPr>
            </w:pPr>
          </w:p>
        </w:tc>
        <w:tc>
          <w:tcPr>
            <w:tcW w:w="2036" w:type="dxa"/>
            <w:vAlign w:val="center"/>
          </w:tcPr>
          <w:p w14:paraId="0544930A" w14:textId="75F0E39A" w:rsidR="00051EC2" w:rsidRDefault="0032056F"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Water balance </w:t>
            </w:r>
            <w:r w:rsidR="00E43176">
              <w:rPr>
                <w:rFonts w:cstheme="minorHAnsi"/>
                <w:szCs w:val="18"/>
              </w:rPr>
              <w:t xml:space="preserve">and </w:t>
            </w:r>
            <w:r>
              <w:rPr>
                <w:rFonts w:cstheme="minorHAnsi"/>
                <w:szCs w:val="18"/>
              </w:rPr>
              <w:t>s</w:t>
            </w:r>
            <w:r w:rsidR="00E43176">
              <w:rPr>
                <w:rFonts w:cstheme="minorHAnsi"/>
                <w:szCs w:val="18"/>
              </w:rPr>
              <w:t>alinity s</w:t>
            </w:r>
            <w:r w:rsidR="00051EC2">
              <w:rPr>
                <w:rFonts w:cstheme="minorHAnsi"/>
                <w:szCs w:val="18"/>
              </w:rPr>
              <w:t>ensitivity analysis (parameter)</w:t>
            </w:r>
          </w:p>
        </w:tc>
        <w:tc>
          <w:tcPr>
            <w:tcW w:w="2658" w:type="dxa"/>
            <w:vAlign w:val="center"/>
          </w:tcPr>
          <w:p w14:paraId="32C9934B" w14:textId="50A57283"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 (evaporation factors)</w:t>
            </w:r>
          </w:p>
        </w:tc>
        <w:tc>
          <w:tcPr>
            <w:tcW w:w="2658" w:type="dxa"/>
            <w:vAlign w:val="center"/>
          </w:tcPr>
          <w:p w14:paraId="7A24619C" w14:textId="25AEDAA0"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w:t>
            </w:r>
          </w:p>
        </w:tc>
        <w:tc>
          <w:tcPr>
            <w:tcW w:w="2658" w:type="dxa"/>
            <w:vAlign w:val="center"/>
          </w:tcPr>
          <w:p w14:paraId="60C194CE" w14:textId="1FBA35F3"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 (climate change)</w:t>
            </w:r>
          </w:p>
        </w:tc>
        <w:tc>
          <w:tcPr>
            <w:tcW w:w="2658" w:type="dxa"/>
            <w:vAlign w:val="center"/>
          </w:tcPr>
          <w:p w14:paraId="7D769BD7" w14:textId="289D84A4"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Unsure </w:t>
            </w:r>
            <w:r w:rsidRPr="00080B7E">
              <w:rPr>
                <w:rFonts w:cstheme="minorHAnsi"/>
                <w:szCs w:val="18"/>
                <w:vertAlign w:val="superscript"/>
              </w:rPr>
              <w:t>(3)</w:t>
            </w:r>
          </w:p>
        </w:tc>
      </w:tr>
      <w:tr w:rsidR="00051EC2" w:rsidRPr="0063634B" w14:paraId="46234158"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631807E8" w14:textId="77777777" w:rsidR="00051EC2" w:rsidRPr="000C6365" w:rsidRDefault="00051EC2" w:rsidP="00C34B29">
            <w:pPr>
              <w:pStyle w:val="BodyText"/>
              <w:spacing w:before="0" w:line="300" w:lineRule="auto"/>
              <w:rPr>
                <w:rFonts w:cstheme="minorHAnsi"/>
                <w:b/>
                <w:bCs/>
                <w:szCs w:val="18"/>
              </w:rPr>
            </w:pPr>
          </w:p>
        </w:tc>
        <w:tc>
          <w:tcPr>
            <w:tcW w:w="2036" w:type="dxa"/>
            <w:vAlign w:val="center"/>
          </w:tcPr>
          <w:p w14:paraId="2BF43B08" w14:textId="52ABBC6D" w:rsidR="00051EC2" w:rsidRDefault="00051EC2" w:rsidP="00C34B29">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Consideration of climate change impacts in </w:t>
            </w:r>
            <w:r w:rsidR="00731881">
              <w:rPr>
                <w:rFonts w:cstheme="minorHAnsi"/>
                <w:szCs w:val="18"/>
              </w:rPr>
              <w:t>water balance</w:t>
            </w:r>
            <w:r>
              <w:rPr>
                <w:rFonts w:cstheme="minorHAnsi"/>
                <w:szCs w:val="18"/>
              </w:rPr>
              <w:t xml:space="preserve"> modelling</w:t>
            </w:r>
          </w:p>
        </w:tc>
        <w:tc>
          <w:tcPr>
            <w:tcW w:w="2658" w:type="dxa"/>
            <w:vAlign w:val="center"/>
          </w:tcPr>
          <w:p w14:paraId="53895D06" w14:textId="3DEEAD13" w:rsidR="00051EC2" w:rsidRDefault="00731881"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bookmarkStart w:id="301" w:name="_Hlk62485105"/>
            <w:r>
              <w:rPr>
                <w:rFonts w:cstheme="minorHAnsi"/>
                <w:szCs w:val="18"/>
              </w:rPr>
              <w:t xml:space="preserve">Partial </w:t>
            </w:r>
            <w:r w:rsidRPr="0033743E">
              <w:rPr>
                <w:rFonts w:cstheme="minorHAnsi"/>
                <w:szCs w:val="18"/>
                <w:vertAlign w:val="superscript"/>
              </w:rPr>
              <w:t>(4)</w:t>
            </w:r>
            <w:bookmarkEnd w:id="301"/>
          </w:p>
        </w:tc>
        <w:tc>
          <w:tcPr>
            <w:tcW w:w="2658" w:type="dxa"/>
            <w:vAlign w:val="center"/>
          </w:tcPr>
          <w:p w14:paraId="57C29515" w14:textId="31EE81C0" w:rsidR="00051EC2" w:rsidRDefault="00731881"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Partial </w:t>
            </w:r>
            <w:r w:rsidRPr="000D0208">
              <w:rPr>
                <w:rFonts w:cstheme="minorHAnsi"/>
                <w:szCs w:val="18"/>
                <w:vertAlign w:val="superscript"/>
              </w:rPr>
              <w:t>(4)</w:t>
            </w:r>
          </w:p>
        </w:tc>
        <w:tc>
          <w:tcPr>
            <w:tcW w:w="2658" w:type="dxa"/>
            <w:vAlign w:val="center"/>
          </w:tcPr>
          <w:p w14:paraId="5EDE21AA" w14:textId="3C8E926F" w:rsidR="00051EC2" w:rsidRDefault="00731881"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0ABE6B33" w14:textId="0ECCD034" w:rsidR="00051EC2" w:rsidRDefault="000400A9"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Unsure </w:t>
            </w:r>
            <w:r w:rsidRPr="0033743E">
              <w:rPr>
                <w:rFonts w:cstheme="minorHAnsi"/>
                <w:szCs w:val="18"/>
                <w:vertAlign w:val="superscript"/>
              </w:rPr>
              <w:t>(3)</w:t>
            </w:r>
          </w:p>
        </w:tc>
      </w:tr>
      <w:tr w:rsidR="003E193E" w:rsidRPr="0063634B" w14:paraId="2FE4BC44"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183FB18E" w14:textId="77777777" w:rsidR="003E193E" w:rsidRPr="000C6365" w:rsidRDefault="003E193E" w:rsidP="00C34B29">
            <w:pPr>
              <w:pStyle w:val="BodyText"/>
              <w:spacing w:before="0" w:line="300" w:lineRule="auto"/>
              <w:rPr>
                <w:rFonts w:cstheme="minorHAnsi"/>
                <w:b/>
                <w:bCs/>
                <w:szCs w:val="18"/>
              </w:rPr>
            </w:pPr>
          </w:p>
        </w:tc>
        <w:tc>
          <w:tcPr>
            <w:tcW w:w="2036" w:type="dxa"/>
            <w:vAlign w:val="center"/>
          </w:tcPr>
          <w:p w14:paraId="5E8B6488" w14:textId="201327D9" w:rsidR="003E193E" w:rsidRDefault="00731881" w:rsidP="00C34B29">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Consideration of climate change impacts in flood modelling</w:t>
            </w:r>
          </w:p>
        </w:tc>
        <w:tc>
          <w:tcPr>
            <w:tcW w:w="2658" w:type="dxa"/>
            <w:vAlign w:val="center"/>
          </w:tcPr>
          <w:p w14:paraId="249CAE58" w14:textId="70F0FBE9" w:rsidR="003E193E" w:rsidRDefault="00731881"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w:t>
            </w:r>
            <w:r w:rsidR="00346AD6">
              <w:rPr>
                <w:rFonts w:cstheme="minorHAnsi"/>
                <w:szCs w:val="18"/>
              </w:rPr>
              <w:t>, but modelled PMF event</w:t>
            </w:r>
          </w:p>
        </w:tc>
        <w:tc>
          <w:tcPr>
            <w:tcW w:w="2658" w:type="dxa"/>
            <w:vAlign w:val="center"/>
          </w:tcPr>
          <w:p w14:paraId="29D91FE4" w14:textId="62FFEB05" w:rsidR="003E193E" w:rsidRDefault="00346AD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 but modelled PMF event</w:t>
            </w:r>
          </w:p>
        </w:tc>
        <w:tc>
          <w:tcPr>
            <w:tcW w:w="2658" w:type="dxa"/>
            <w:vAlign w:val="center"/>
          </w:tcPr>
          <w:p w14:paraId="09A930F8" w14:textId="72E0C392" w:rsidR="003E193E" w:rsidRDefault="00346AD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 but modelled to 0.1% AEP event</w:t>
            </w:r>
          </w:p>
        </w:tc>
        <w:tc>
          <w:tcPr>
            <w:tcW w:w="2658" w:type="dxa"/>
            <w:vAlign w:val="center"/>
          </w:tcPr>
          <w:p w14:paraId="3AC843FB" w14:textId="7BF5B5F4" w:rsidR="003E193E" w:rsidRDefault="007B0BD1"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 but modelled to extreme (50% greater than 0.1% AEP: ≈PMF) event</w:t>
            </w:r>
          </w:p>
        </w:tc>
      </w:tr>
      <w:tr w:rsidR="00051EC2" w:rsidRPr="0063634B" w14:paraId="2E4F4E71"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517EA5F8" w14:textId="77777777" w:rsidR="00051EC2" w:rsidRPr="000C6365" w:rsidRDefault="00051EC2" w:rsidP="00C34B29">
            <w:pPr>
              <w:pStyle w:val="BodyText"/>
              <w:spacing w:before="0" w:beforeAutospacing="0" w:afterAutospacing="0" w:line="300" w:lineRule="auto"/>
              <w:rPr>
                <w:rFonts w:cstheme="minorHAnsi"/>
                <w:b/>
                <w:bCs/>
                <w:szCs w:val="18"/>
              </w:rPr>
            </w:pPr>
          </w:p>
        </w:tc>
        <w:tc>
          <w:tcPr>
            <w:tcW w:w="2036" w:type="dxa"/>
            <w:vAlign w:val="center"/>
          </w:tcPr>
          <w:p w14:paraId="02B20CFD" w14:textId="3F1C2353" w:rsidR="00051EC2" w:rsidRDefault="00051EC2"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Receiving environment impact assessment</w:t>
            </w:r>
          </w:p>
        </w:tc>
        <w:tc>
          <w:tcPr>
            <w:tcW w:w="2658" w:type="dxa"/>
            <w:vAlign w:val="center"/>
          </w:tcPr>
          <w:p w14:paraId="03A8FCFD" w14:textId="27692015"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04FE166F" w14:textId="3FA607AF"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22AF645A" w14:textId="45E3F001"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3DA99895" w14:textId="15FB783B"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r>
      <w:tr w:rsidR="00051EC2" w:rsidRPr="0063634B" w14:paraId="7BFB58D6"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7A1526CF" w14:textId="77777777" w:rsidR="00051EC2" w:rsidRPr="000C6365" w:rsidRDefault="00051EC2" w:rsidP="00C34B29">
            <w:pPr>
              <w:pStyle w:val="BodyText"/>
              <w:spacing w:before="0" w:beforeAutospacing="0" w:afterAutospacing="0" w:line="300" w:lineRule="auto"/>
              <w:rPr>
                <w:rFonts w:cstheme="minorHAnsi"/>
                <w:b/>
                <w:bCs/>
                <w:szCs w:val="18"/>
              </w:rPr>
            </w:pPr>
          </w:p>
        </w:tc>
        <w:tc>
          <w:tcPr>
            <w:tcW w:w="2036" w:type="dxa"/>
            <w:vAlign w:val="center"/>
          </w:tcPr>
          <w:p w14:paraId="187EBE33" w14:textId="4ACBE8A7" w:rsidR="00051EC2" w:rsidRDefault="00051EC2"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TBLA of multiple rehabilitation options</w:t>
            </w:r>
          </w:p>
        </w:tc>
        <w:tc>
          <w:tcPr>
            <w:tcW w:w="2658" w:type="dxa"/>
            <w:vAlign w:val="center"/>
          </w:tcPr>
          <w:p w14:paraId="51536CB0" w14:textId="4C3271CD"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w:t>
            </w:r>
          </w:p>
        </w:tc>
        <w:tc>
          <w:tcPr>
            <w:tcW w:w="2658" w:type="dxa"/>
            <w:vAlign w:val="center"/>
          </w:tcPr>
          <w:p w14:paraId="087D84B1" w14:textId="090C720D"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Unsure </w:t>
            </w:r>
            <w:r w:rsidRPr="00080B7E">
              <w:rPr>
                <w:rFonts w:cstheme="minorHAnsi"/>
                <w:szCs w:val="18"/>
                <w:vertAlign w:val="superscript"/>
              </w:rPr>
              <w:t>(</w:t>
            </w:r>
            <w:r>
              <w:rPr>
                <w:rFonts w:cstheme="minorHAnsi"/>
                <w:szCs w:val="18"/>
                <w:vertAlign w:val="superscript"/>
              </w:rPr>
              <w:t>2</w:t>
            </w:r>
            <w:r w:rsidRPr="00080B7E">
              <w:rPr>
                <w:rFonts w:cstheme="minorHAnsi"/>
                <w:szCs w:val="18"/>
                <w:vertAlign w:val="superscript"/>
              </w:rPr>
              <w:t>)</w:t>
            </w:r>
          </w:p>
        </w:tc>
        <w:tc>
          <w:tcPr>
            <w:tcW w:w="2658" w:type="dxa"/>
            <w:vAlign w:val="center"/>
          </w:tcPr>
          <w:p w14:paraId="52582B3A" w14:textId="5D57359D"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No</w:t>
            </w:r>
          </w:p>
        </w:tc>
        <w:tc>
          <w:tcPr>
            <w:tcW w:w="2658" w:type="dxa"/>
            <w:vAlign w:val="center"/>
          </w:tcPr>
          <w:p w14:paraId="1B7F415D" w14:textId="394E64DF" w:rsidR="00051EC2" w:rsidRPr="0063634B" w:rsidRDefault="00051EC2"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r>
      <w:tr w:rsidR="00153434" w:rsidRPr="0063634B" w14:paraId="6117DF98"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restart"/>
            <w:vAlign w:val="center"/>
          </w:tcPr>
          <w:p w14:paraId="6F2CFCB9" w14:textId="10B06A6A" w:rsidR="00153434" w:rsidRPr="000C6365" w:rsidRDefault="00153434" w:rsidP="00C34B29">
            <w:pPr>
              <w:pStyle w:val="BodyText"/>
              <w:spacing w:before="0" w:beforeAutospacing="0" w:afterAutospacing="0" w:line="300" w:lineRule="auto"/>
              <w:rPr>
                <w:rFonts w:cstheme="minorHAnsi"/>
                <w:b/>
                <w:bCs/>
                <w:szCs w:val="18"/>
              </w:rPr>
            </w:pPr>
            <w:r>
              <w:rPr>
                <w:rFonts w:cstheme="minorHAnsi"/>
                <w:b/>
                <w:bCs/>
                <w:szCs w:val="18"/>
              </w:rPr>
              <w:t>Rehabilitation</w:t>
            </w:r>
          </w:p>
        </w:tc>
        <w:tc>
          <w:tcPr>
            <w:tcW w:w="2036" w:type="dxa"/>
            <w:vAlign w:val="center"/>
          </w:tcPr>
          <w:p w14:paraId="2BE832FB" w14:textId="2F11DF0C" w:rsidR="00153434" w:rsidRDefault="00153434"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Partial backfill</w:t>
            </w:r>
          </w:p>
        </w:tc>
        <w:tc>
          <w:tcPr>
            <w:tcW w:w="2658" w:type="dxa"/>
            <w:vAlign w:val="center"/>
          </w:tcPr>
          <w:p w14:paraId="05F87EB6" w14:textId="2655A1A6"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3</w:t>
            </w:r>
          </w:p>
        </w:tc>
        <w:tc>
          <w:tcPr>
            <w:tcW w:w="2658" w:type="dxa"/>
            <w:vAlign w:val="center"/>
          </w:tcPr>
          <w:p w14:paraId="2921B016" w14:textId="2F7246A5"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2</w:t>
            </w:r>
          </w:p>
        </w:tc>
        <w:tc>
          <w:tcPr>
            <w:tcW w:w="2658" w:type="dxa"/>
            <w:vAlign w:val="center"/>
          </w:tcPr>
          <w:p w14:paraId="0C6CF6AA" w14:textId="3AF86DD6"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Unsure</w:t>
            </w:r>
          </w:p>
        </w:tc>
        <w:tc>
          <w:tcPr>
            <w:tcW w:w="2658" w:type="dxa"/>
            <w:vAlign w:val="center"/>
          </w:tcPr>
          <w:p w14:paraId="4B3F93DA" w14:textId="3407ED22"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12</w:t>
            </w:r>
          </w:p>
        </w:tc>
      </w:tr>
      <w:tr w:rsidR="00153434" w:rsidRPr="0063634B" w14:paraId="7EC147F8"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77C84F82" w14:textId="77777777" w:rsidR="00153434" w:rsidRPr="000C6365" w:rsidRDefault="00153434" w:rsidP="00C34B29">
            <w:pPr>
              <w:pStyle w:val="BodyText"/>
              <w:spacing w:before="0" w:beforeAutospacing="0" w:afterAutospacing="0" w:line="300" w:lineRule="auto"/>
              <w:rPr>
                <w:rFonts w:cstheme="minorHAnsi"/>
                <w:b/>
                <w:bCs/>
                <w:szCs w:val="18"/>
              </w:rPr>
            </w:pPr>
          </w:p>
        </w:tc>
        <w:tc>
          <w:tcPr>
            <w:tcW w:w="2036" w:type="dxa"/>
            <w:vAlign w:val="center"/>
          </w:tcPr>
          <w:p w14:paraId="5A9F1CE5" w14:textId="717C7B24" w:rsidR="00153434" w:rsidRDefault="00153434"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Complete backfill</w:t>
            </w:r>
          </w:p>
        </w:tc>
        <w:tc>
          <w:tcPr>
            <w:tcW w:w="2658" w:type="dxa"/>
            <w:vAlign w:val="center"/>
          </w:tcPr>
          <w:p w14:paraId="252461F9" w14:textId="45FFB4EE"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10</w:t>
            </w:r>
          </w:p>
        </w:tc>
        <w:tc>
          <w:tcPr>
            <w:tcW w:w="2658" w:type="dxa"/>
            <w:vAlign w:val="center"/>
          </w:tcPr>
          <w:p w14:paraId="7FCF4CB1" w14:textId="2C77D0F7"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Nil</w:t>
            </w:r>
          </w:p>
        </w:tc>
        <w:tc>
          <w:tcPr>
            <w:tcW w:w="2658" w:type="dxa"/>
            <w:vAlign w:val="center"/>
          </w:tcPr>
          <w:p w14:paraId="4EBE2E31" w14:textId="32B30359"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Nil</w:t>
            </w:r>
          </w:p>
        </w:tc>
        <w:tc>
          <w:tcPr>
            <w:tcW w:w="2658" w:type="dxa"/>
            <w:vAlign w:val="center"/>
          </w:tcPr>
          <w:p w14:paraId="70FEEC6F" w14:textId="77445FCB"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Nil</w:t>
            </w:r>
          </w:p>
        </w:tc>
      </w:tr>
      <w:tr w:rsidR="00153434" w:rsidRPr="0063634B" w14:paraId="2E9C0B64"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2EF7A39C" w14:textId="1CCBDD72" w:rsidR="00153434" w:rsidRPr="000C6365" w:rsidRDefault="00153434" w:rsidP="00C34B29">
            <w:pPr>
              <w:pStyle w:val="BodyText"/>
              <w:spacing w:before="0" w:beforeAutospacing="0" w:afterAutospacing="0" w:line="300" w:lineRule="auto"/>
              <w:rPr>
                <w:rFonts w:cstheme="minorHAnsi"/>
                <w:b/>
                <w:bCs/>
                <w:szCs w:val="18"/>
              </w:rPr>
            </w:pPr>
          </w:p>
        </w:tc>
        <w:tc>
          <w:tcPr>
            <w:tcW w:w="2036" w:type="dxa"/>
            <w:vAlign w:val="center"/>
          </w:tcPr>
          <w:p w14:paraId="6D4C6645" w14:textId="07EC20B1" w:rsidR="00153434" w:rsidRDefault="00153434"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AF2A54">
              <w:t>Minimisation of catchment area of residual voids</w:t>
            </w:r>
          </w:p>
        </w:tc>
        <w:tc>
          <w:tcPr>
            <w:tcW w:w="2658" w:type="dxa"/>
            <w:vAlign w:val="center"/>
          </w:tcPr>
          <w:p w14:paraId="26FC53AA" w14:textId="31178435"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39225821" w14:textId="7501ED82"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759BCCBE" w14:textId="17393E0F"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c>
          <w:tcPr>
            <w:tcW w:w="2658" w:type="dxa"/>
            <w:vAlign w:val="center"/>
          </w:tcPr>
          <w:p w14:paraId="750A7E4B" w14:textId="4D34AD23"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Yes</w:t>
            </w:r>
          </w:p>
        </w:tc>
      </w:tr>
      <w:tr w:rsidR="00153434" w:rsidRPr="0063634B" w14:paraId="45FA70DE"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31D61095" w14:textId="77777777" w:rsidR="00153434" w:rsidRPr="000C6365" w:rsidRDefault="00153434" w:rsidP="00C34B29">
            <w:pPr>
              <w:pStyle w:val="BodyText"/>
              <w:spacing w:before="0" w:beforeAutospacing="0" w:afterAutospacing="0" w:line="300" w:lineRule="auto"/>
              <w:rPr>
                <w:rFonts w:cstheme="minorHAnsi"/>
                <w:b/>
                <w:bCs/>
                <w:szCs w:val="18"/>
              </w:rPr>
            </w:pPr>
          </w:p>
        </w:tc>
        <w:tc>
          <w:tcPr>
            <w:tcW w:w="2036" w:type="dxa"/>
            <w:vAlign w:val="center"/>
          </w:tcPr>
          <w:p w14:paraId="7C46FD11" w14:textId="12F73C66" w:rsidR="00153434" w:rsidRDefault="00153434"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t>Engineered f</w:t>
            </w:r>
            <w:r w:rsidRPr="00AF2A54">
              <w:t>lood protection</w:t>
            </w:r>
          </w:p>
        </w:tc>
        <w:tc>
          <w:tcPr>
            <w:tcW w:w="2658" w:type="dxa"/>
            <w:vAlign w:val="center"/>
          </w:tcPr>
          <w:p w14:paraId="4A676651" w14:textId="086CB84C"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Yes; </w:t>
            </w:r>
            <w:r w:rsidRPr="00456295">
              <w:rPr>
                <w:rFonts w:cstheme="minorHAnsi"/>
                <w:szCs w:val="18"/>
              </w:rPr>
              <w:t>up to and including a PMF event</w:t>
            </w:r>
          </w:p>
        </w:tc>
        <w:tc>
          <w:tcPr>
            <w:tcW w:w="2658" w:type="dxa"/>
            <w:vAlign w:val="center"/>
          </w:tcPr>
          <w:p w14:paraId="7BCD160D" w14:textId="5D47EF6F"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D52438">
              <w:rPr>
                <w:rFonts w:cstheme="minorHAnsi"/>
                <w:szCs w:val="18"/>
              </w:rPr>
              <w:t>Yes; up to and including a PMF event</w:t>
            </w:r>
          </w:p>
        </w:tc>
        <w:tc>
          <w:tcPr>
            <w:tcW w:w="2658" w:type="dxa"/>
            <w:vAlign w:val="center"/>
          </w:tcPr>
          <w:p w14:paraId="05D3EEC2" w14:textId="3A75D6E3"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Yes; </w:t>
            </w:r>
            <w:r w:rsidRPr="00A344F6">
              <w:rPr>
                <w:rFonts w:cstheme="minorHAnsi"/>
                <w:szCs w:val="18"/>
              </w:rPr>
              <w:t>up to and including a 0.1% AEP event</w:t>
            </w:r>
          </w:p>
        </w:tc>
        <w:tc>
          <w:tcPr>
            <w:tcW w:w="2658" w:type="dxa"/>
            <w:vAlign w:val="center"/>
          </w:tcPr>
          <w:p w14:paraId="2E7B29AC" w14:textId="494178E1" w:rsidR="00153434" w:rsidRPr="0063634B" w:rsidRDefault="00153434"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D52438">
              <w:rPr>
                <w:rFonts w:cstheme="minorHAnsi"/>
                <w:szCs w:val="18"/>
              </w:rPr>
              <w:t xml:space="preserve">Yes; </w:t>
            </w:r>
            <w:r w:rsidRPr="00A344F6">
              <w:rPr>
                <w:rFonts w:cstheme="minorHAnsi"/>
                <w:szCs w:val="18"/>
              </w:rPr>
              <w:t>up to and including a 0.1% AEP event</w:t>
            </w:r>
          </w:p>
        </w:tc>
      </w:tr>
      <w:tr w:rsidR="00153434" w:rsidRPr="0063634B" w14:paraId="0266B51E"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0047B61F" w14:textId="77777777" w:rsidR="00153434" w:rsidRPr="000C6365" w:rsidRDefault="00153434" w:rsidP="001A29AE">
            <w:pPr>
              <w:pStyle w:val="BodyText"/>
              <w:spacing w:before="0" w:beforeAutospacing="0" w:afterAutospacing="0" w:line="300" w:lineRule="auto"/>
              <w:rPr>
                <w:rFonts w:cstheme="minorHAnsi"/>
                <w:b/>
                <w:bCs/>
                <w:szCs w:val="18"/>
              </w:rPr>
            </w:pPr>
          </w:p>
        </w:tc>
        <w:tc>
          <w:tcPr>
            <w:tcW w:w="2036" w:type="dxa"/>
            <w:vAlign w:val="center"/>
          </w:tcPr>
          <w:p w14:paraId="5A2270F7" w14:textId="15E69DAA" w:rsidR="00153434" w:rsidRPr="00EE7106" w:rsidRDefault="000136A5" w:rsidP="001A29AE">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0136A5">
              <w:rPr>
                <w:rFonts w:cstheme="minorHAnsi"/>
                <w:szCs w:val="18"/>
              </w:rPr>
              <w:t>Rehabilitation goals</w:t>
            </w:r>
          </w:p>
        </w:tc>
        <w:tc>
          <w:tcPr>
            <w:tcW w:w="2658" w:type="dxa"/>
            <w:vAlign w:val="center"/>
          </w:tcPr>
          <w:p w14:paraId="7654AC4A" w14:textId="36BB90DE" w:rsidR="00153434" w:rsidRPr="00C145A3" w:rsidRDefault="000136A5"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0136A5">
              <w:rPr>
                <w:rFonts w:cstheme="minorHAnsi"/>
                <w:szCs w:val="18"/>
              </w:rPr>
              <w:t>Consistent with Queensland guidelines</w:t>
            </w:r>
          </w:p>
        </w:tc>
        <w:tc>
          <w:tcPr>
            <w:tcW w:w="2658" w:type="dxa"/>
          </w:tcPr>
          <w:p w14:paraId="29628513" w14:textId="58ACB894" w:rsidR="00153434" w:rsidRPr="001A29AE" w:rsidRDefault="000136A5"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0136A5">
              <w:t>Consistent with Queensland guidelines</w:t>
            </w:r>
          </w:p>
        </w:tc>
        <w:tc>
          <w:tcPr>
            <w:tcW w:w="2658" w:type="dxa"/>
          </w:tcPr>
          <w:p w14:paraId="4397FCD9" w14:textId="32DB0FCA" w:rsidR="00153434" w:rsidRPr="001A29AE" w:rsidRDefault="000136A5"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0136A5">
              <w:t>Consistent with Queensland guidelines</w:t>
            </w:r>
          </w:p>
        </w:tc>
        <w:tc>
          <w:tcPr>
            <w:tcW w:w="2658" w:type="dxa"/>
          </w:tcPr>
          <w:p w14:paraId="38CBED98" w14:textId="21B7139C" w:rsidR="00153434" w:rsidRPr="001A29AE" w:rsidRDefault="000136A5" w:rsidP="001A29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0136A5">
              <w:t>Consistent with Queensland guidelines</w:t>
            </w:r>
          </w:p>
        </w:tc>
      </w:tr>
      <w:tr w:rsidR="000136A5" w:rsidRPr="0063634B" w14:paraId="17641FC8" w14:textId="77777777" w:rsidTr="000136A5">
        <w:trPr>
          <w:trHeight w:val="906"/>
        </w:trPr>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14336817" w14:textId="77777777" w:rsidR="000136A5" w:rsidRPr="000C6365" w:rsidRDefault="000136A5" w:rsidP="000136A5">
            <w:pPr>
              <w:pStyle w:val="BodyText"/>
              <w:spacing w:before="0" w:beforeAutospacing="0" w:afterAutospacing="0" w:line="300" w:lineRule="auto"/>
              <w:rPr>
                <w:rFonts w:cstheme="minorHAnsi"/>
                <w:b/>
                <w:bCs/>
                <w:szCs w:val="18"/>
              </w:rPr>
            </w:pPr>
          </w:p>
        </w:tc>
        <w:tc>
          <w:tcPr>
            <w:tcW w:w="2036" w:type="dxa"/>
            <w:vAlign w:val="center"/>
          </w:tcPr>
          <w:p w14:paraId="132D08A9" w14:textId="02410E4F" w:rsidR="000136A5" w:rsidRPr="00EE7106" w:rsidRDefault="000136A5" w:rsidP="000136A5">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0136A5">
              <w:rPr>
                <w:rFonts w:cstheme="minorHAnsi"/>
                <w:szCs w:val="18"/>
              </w:rPr>
              <w:t>PMLU</w:t>
            </w:r>
          </w:p>
        </w:tc>
        <w:tc>
          <w:tcPr>
            <w:tcW w:w="2658" w:type="dxa"/>
            <w:vAlign w:val="center"/>
          </w:tcPr>
          <w:p w14:paraId="41B1E7C1" w14:textId="408FB455" w:rsidR="000136A5" w:rsidRPr="00C145A3" w:rsidRDefault="000136A5" w:rsidP="000136A5">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F73F45">
              <w:t>Fauna habitat</w:t>
            </w:r>
          </w:p>
        </w:tc>
        <w:tc>
          <w:tcPr>
            <w:tcW w:w="2658" w:type="dxa"/>
            <w:vAlign w:val="center"/>
          </w:tcPr>
          <w:p w14:paraId="61149EF8" w14:textId="64060222" w:rsidR="000136A5" w:rsidRPr="001A29AE" w:rsidRDefault="000136A5" w:rsidP="000136A5">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F73F45">
              <w:t>None</w:t>
            </w:r>
          </w:p>
        </w:tc>
        <w:tc>
          <w:tcPr>
            <w:tcW w:w="2658" w:type="dxa"/>
            <w:vAlign w:val="center"/>
          </w:tcPr>
          <w:p w14:paraId="6F237159" w14:textId="558CC9B6" w:rsidR="000136A5" w:rsidRPr="001A29AE" w:rsidRDefault="000136A5" w:rsidP="000136A5">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F73F45">
              <w:t>None</w:t>
            </w:r>
          </w:p>
        </w:tc>
        <w:tc>
          <w:tcPr>
            <w:tcW w:w="2658" w:type="dxa"/>
            <w:vAlign w:val="center"/>
          </w:tcPr>
          <w:p w14:paraId="3FC01C93" w14:textId="77777777" w:rsidR="000136A5" w:rsidRDefault="000136A5" w:rsidP="000136A5">
            <w:pPr>
              <w:pStyle w:val="ListParagraph"/>
              <w:autoSpaceDE w:val="0"/>
              <w:autoSpaceDN w:val="0"/>
              <w:adjustRightInd w:val="0"/>
              <w:spacing w:after="0" w:line="300" w:lineRule="auto"/>
              <w:ind w:left="250"/>
              <w:jc w:val="center"/>
              <w:cnfStyle w:val="000000000000" w:firstRow="0" w:lastRow="0" w:firstColumn="0" w:lastColumn="0" w:oddVBand="0" w:evenVBand="0" w:oddHBand="0" w:evenHBand="0" w:firstRowFirstColumn="0" w:firstRowLastColumn="0" w:lastRowFirstColumn="0" w:lastRowLastColumn="0"/>
            </w:pPr>
            <w:r w:rsidRPr="00F73F45">
              <w:t>Sustainable grazing/water body</w:t>
            </w:r>
            <w:r>
              <w:t xml:space="preserve"> </w:t>
            </w:r>
          </w:p>
          <w:p w14:paraId="3AC0780E" w14:textId="15FA55F4" w:rsidR="000136A5" w:rsidRDefault="000136A5" w:rsidP="000136A5">
            <w:pPr>
              <w:pStyle w:val="ListParagraph"/>
              <w:autoSpaceDE w:val="0"/>
              <w:autoSpaceDN w:val="0"/>
              <w:adjustRightInd w:val="0"/>
              <w:spacing w:after="0" w:line="300" w:lineRule="auto"/>
              <w:ind w:left="250"/>
              <w:jc w:val="center"/>
              <w:cnfStyle w:val="000000000000" w:firstRow="0" w:lastRow="0" w:firstColumn="0" w:lastColumn="0" w:oddVBand="0" w:evenVBand="0" w:oddHBand="0" w:evenHBand="0" w:firstRowFirstColumn="0" w:firstRowLastColumn="0" w:lastRowFirstColumn="0" w:lastRowLastColumn="0"/>
            </w:pPr>
            <w:r>
              <w:t>Native bushland corridor</w:t>
            </w:r>
          </w:p>
          <w:p w14:paraId="3DC05AB1" w14:textId="04CA804A" w:rsidR="000136A5" w:rsidRPr="001A29AE" w:rsidRDefault="000136A5" w:rsidP="000136A5">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t>Self-sustaining vegetation</w:t>
            </w:r>
          </w:p>
        </w:tc>
      </w:tr>
      <w:tr w:rsidR="004175C7" w:rsidRPr="0063634B" w14:paraId="457DC9B4"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restart"/>
            <w:vAlign w:val="center"/>
          </w:tcPr>
          <w:p w14:paraId="41C74420" w14:textId="408D419F" w:rsidR="004175C7" w:rsidRPr="000C6365" w:rsidRDefault="0098602B" w:rsidP="00D52438">
            <w:pPr>
              <w:pStyle w:val="BodyText"/>
              <w:spacing w:before="0" w:beforeAutospacing="0" w:afterAutospacing="0" w:line="300" w:lineRule="auto"/>
              <w:rPr>
                <w:rFonts w:cstheme="minorHAnsi"/>
                <w:b/>
                <w:bCs/>
                <w:szCs w:val="18"/>
              </w:rPr>
            </w:pPr>
            <w:r>
              <w:rPr>
                <w:rFonts w:cstheme="minorHAnsi"/>
                <w:b/>
                <w:bCs/>
                <w:szCs w:val="18"/>
              </w:rPr>
              <w:t>Projected</w:t>
            </w:r>
            <w:r w:rsidR="004175C7" w:rsidRPr="000C6365">
              <w:rPr>
                <w:rFonts w:cstheme="minorHAnsi"/>
                <w:b/>
                <w:bCs/>
                <w:szCs w:val="18"/>
              </w:rPr>
              <w:t xml:space="preserve"> flow regime</w:t>
            </w:r>
            <w:r>
              <w:rPr>
                <w:rFonts w:cstheme="minorHAnsi"/>
                <w:b/>
                <w:bCs/>
                <w:szCs w:val="18"/>
              </w:rPr>
              <w:t xml:space="preserve"> at equilibrium</w:t>
            </w:r>
          </w:p>
        </w:tc>
        <w:tc>
          <w:tcPr>
            <w:tcW w:w="2036" w:type="dxa"/>
            <w:vAlign w:val="center"/>
          </w:tcPr>
          <w:p w14:paraId="148D4D07" w14:textId="0DE8254A" w:rsidR="00386566" w:rsidRDefault="004175C7" w:rsidP="000136A5">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Type</w:t>
            </w:r>
          </w:p>
        </w:tc>
        <w:tc>
          <w:tcPr>
            <w:tcW w:w="2658" w:type="dxa"/>
            <w:vAlign w:val="center"/>
          </w:tcPr>
          <w:p w14:paraId="0BD0D160" w14:textId="42772FF9" w:rsidR="004175C7" w:rsidRPr="0063634B" w:rsidRDefault="004175C7"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Terminal sinks</w:t>
            </w:r>
          </w:p>
        </w:tc>
        <w:tc>
          <w:tcPr>
            <w:tcW w:w="2658" w:type="dxa"/>
            <w:vAlign w:val="center"/>
          </w:tcPr>
          <w:p w14:paraId="64FCFC75" w14:textId="5FBF00BA" w:rsidR="004175C7" w:rsidRPr="0063634B" w:rsidRDefault="004175C7"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270C35">
              <w:t>Terminal sinks</w:t>
            </w:r>
          </w:p>
        </w:tc>
        <w:tc>
          <w:tcPr>
            <w:tcW w:w="2658" w:type="dxa"/>
            <w:vAlign w:val="center"/>
          </w:tcPr>
          <w:p w14:paraId="586DF144" w14:textId="1D6E88B1" w:rsidR="004175C7" w:rsidRPr="0063634B" w:rsidRDefault="004175C7"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Terminal</w:t>
            </w:r>
            <w:r w:rsidR="0098602B">
              <w:rPr>
                <w:rFonts w:cstheme="minorHAnsi"/>
                <w:szCs w:val="18"/>
              </w:rPr>
              <w:t xml:space="preserve"> sinks</w:t>
            </w:r>
          </w:p>
        </w:tc>
        <w:tc>
          <w:tcPr>
            <w:tcW w:w="2658" w:type="dxa"/>
            <w:vAlign w:val="center"/>
          </w:tcPr>
          <w:p w14:paraId="0CCD929A" w14:textId="30A76A99" w:rsidR="004175C7" w:rsidRPr="007F34AE" w:rsidRDefault="004175C7" w:rsidP="007F34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Terminal sinks (7 voids) designed to </w:t>
            </w:r>
            <w:r w:rsidRPr="001A29AE">
              <w:rPr>
                <w:rFonts w:cstheme="minorHAnsi"/>
                <w:szCs w:val="18"/>
              </w:rPr>
              <w:t>reduce the volume and area of poor quality ‘pit lake’ water remaining at equilibrium post-mining</w:t>
            </w:r>
            <w:r>
              <w:rPr>
                <w:rFonts w:cstheme="minorHAnsi"/>
                <w:szCs w:val="18"/>
              </w:rPr>
              <w:t>. Five voids will be designed to eliminate groundwater inflow altogether.</w:t>
            </w:r>
          </w:p>
        </w:tc>
      </w:tr>
      <w:tr w:rsidR="00CE31F3" w:rsidRPr="0063634B" w14:paraId="7D90A893"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36E96580" w14:textId="77777777" w:rsidR="00CE31F3" w:rsidRPr="000C6365" w:rsidRDefault="00CE31F3" w:rsidP="00D52438">
            <w:pPr>
              <w:pStyle w:val="BodyText"/>
              <w:spacing w:before="0" w:line="300" w:lineRule="auto"/>
              <w:rPr>
                <w:rFonts w:cstheme="minorHAnsi"/>
                <w:b/>
                <w:bCs/>
                <w:szCs w:val="18"/>
              </w:rPr>
            </w:pPr>
          </w:p>
        </w:tc>
        <w:tc>
          <w:tcPr>
            <w:tcW w:w="2036" w:type="dxa"/>
            <w:vAlign w:val="center"/>
          </w:tcPr>
          <w:p w14:paraId="32E7AD20" w14:textId="48BC2B94" w:rsidR="00CE31F3" w:rsidRDefault="00CE31F3" w:rsidP="00D52438">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Volume of ‘pit lake’ water</w:t>
            </w:r>
          </w:p>
        </w:tc>
        <w:tc>
          <w:tcPr>
            <w:tcW w:w="2658" w:type="dxa"/>
            <w:vAlign w:val="center"/>
          </w:tcPr>
          <w:p w14:paraId="7CE9855B" w14:textId="01AE20BC" w:rsidR="00CE31F3" w:rsidRPr="004F478C" w:rsidRDefault="00CE31F3"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4F478C">
              <w:rPr>
                <w:rFonts w:cstheme="minorHAnsi"/>
                <w:szCs w:val="18"/>
              </w:rPr>
              <w:t>Not reported</w:t>
            </w:r>
          </w:p>
        </w:tc>
        <w:tc>
          <w:tcPr>
            <w:tcW w:w="2658" w:type="dxa"/>
            <w:vAlign w:val="center"/>
          </w:tcPr>
          <w:p w14:paraId="25ADE102" w14:textId="52E1C5A8" w:rsidR="00CE31F3" w:rsidRPr="004F478C" w:rsidRDefault="00CE31F3"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4F478C">
              <w:rPr>
                <w:rFonts w:cstheme="minorHAnsi"/>
                <w:szCs w:val="18"/>
              </w:rPr>
              <w:t>~ 2 GL</w:t>
            </w:r>
          </w:p>
        </w:tc>
        <w:tc>
          <w:tcPr>
            <w:tcW w:w="2658" w:type="dxa"/>
            <w:vAlign w:val="center"/>
          </w:tcPr>
          <w:p w14:paraId="1A9DC167" w14:textId="0B333956" w:rsidR="00CE31F3" w:rsidRPr="004F478C" w:rsidRDefault="00CE31F3"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4F478C">
              <w:rPr>
                <w:rFonts w:cstheme="minorHAnsi"/>
                <w:szCs w:val="18"/>
              </w:rPr>
              <w:t>~ 29 GL</w:t>
            </w:r>
          </w:p>
        </w:tc>
        <w:tc>
          <w:tcPr>
            <w:tcW w:w="2658" w:type="dxa"/>
            <w:vAlign w:val="center"/>
          </w:tcPr>
          <w:p w14:paraId="31113E52" w14:textId="7D27BA8C" w:rsidR="00CE31F3" w:rsidRPr="004F478C" w:rsidRDefault="00CE31F3" w:rsidP="007F34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4F478C">
              <w:rPr>
                <w:rFonts w:cstheme="minorHAnsi"/>
                <w:szCs w:val="18"/>
              </w:rPr>
              <w:t>~ 21 GL</w:t>
            </w:r>
          </w:p>
        </w:tc>
      </w:tr>
      <w:tr w:rsidR="000136A5" w:rsidRPr="0063634B" w14:paraId="3CBF2A4A"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41E2A9B3" w14:textId="77777777" w:rsidR="000136A5" w:rsidRPr="000C6365" w:rsidRDefault="000136A5" w:rsidP="00D52438">
            <w:pPr>
              <w:pStyle w:val="BodyText"/>
              <w:spacing w:before="0" w:line="300" w:lineRule="auto"/>
              <w:rPr>
                <w:rFonts w:cstheme="minorHAnsi"/>
                <w:b/>
                <w:bCs/>
                <w:szCs w:val="18"/>
              </w:rPr>
            </w:pPr>
          </w:p>
        </w:tc>
        <w:tc>
          <w:tcPr>
            <w:tcW w:w="2036" w:type="dxa"/>
            <w:vAlign w:val="center"/>
          </w:tcPr>
          <w:p w14:paraId="2F951610" w14:textId="631D6A20" w:rsidR="000136A5" w:rsidRDefault="000136A5" w:rsidP="00D52438">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Time to reach equilibrated ‘pit lake’ water levels </w:t>
            </w:r>
          </w:p>
        </w:tc>
        <w:tc>
          <w:tcPr>
            <w:tcW w:w="2658" w:type="dxa"/>
            <w:vAlign w:val="center"/>
          </w:tcPr>
          <w:p w14:paraId="057C3C15" w14:textId="7178E74B" w:rsidR="000136A5" w:rsidRDefault="00CE31F3"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100-200 years post mining</w:t>
            </w:r>
          </w:p>
        </w:tc>
        <w:tc>
          <w:tcPr>
            <w:tcW w:w="2658" w:type="dxa"/>
            <w:vAlign w:val="center"/>
          </w:tcPr>
          <w:p w14:paraId="0A19A40F" w14:textId="6B666700" w:rsidR="000136A5" w:rsidRDefault="00DF6E0C"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&lt; 10 years</w:t>
            </w:r>
          </w:p>
        </w:tc>
        <w:tc>
          <w:tcPr>
            <w:tcW w:w="2658" w:type="dxa"/>
            <w:vAlign w:val="center"/>
          </w:tcPr>
          <w:p w14:paraId="14B7904B" w14:textId="32AF214E" w:rsidR="000136A5" w:rsidRPr="00DF6E0C" w:rsidRDefault="00DF6E0C" w:rsidP="00DF6E0C">
            <w:pPr>
              <w:autoSpaceDE w:val="0"/>
              <w:autoSpaceDN w:val="0"/>
              <w:adjustRightInd w:val="0"/>
              <w:spacing w:before="0" w:beforeAutospacing="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 </w:t>
            </w:r>
            <w:r w:rsidRPr="00DF6E0C">
              <w:rPr>
                <w:rFonts w:cstheme="minorHAnsi"/>
                <w:szCs w:val="18"/>
              </w:rPr>
              <w:t>0-125 years</w:t>
            </w:r>
          </w:p>
        </w:tc>
        <w:tc>
          <w:tcPr>
            <w:tcW w:w="2658" w:type="dxa"/>
            <w:vAlign w:val="center"/>
          </w:tcPr>
          <w:p w14:paraId="6127539A" w14:textId="7EC7F067" w:rsidR="000136A5" w:rsidRDefault="00CE31F3" w:rsidP="007F34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110-190 years post-mining</w:t>
            </w:r>
          </w:p>
        </w:tc>
      </w:tr>
      <w:tr w:rsidR="004175C7" w:rsidRPr="0063634B" w14:paraId="6E0101F3"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2BE086F0" w14:textId="77777777" w:rsidR="004175C7" w:rsidRPr="000C6365" w:rsidRDefault="004175C7" w:rsidP="00D52438">
            <w:pPr>
              <w:pStyle w:val="BodyText"/>
              <w:spacing w:before="0" w:line="300" w:lineRule="auto"/>
              <w:rPr>
                <w:rFonts w:cstheme="minorHAnsi"/>
                <w:b/>
                <w:bCs/>
                <w:szCs w:val="18"/>
              </w:rPr>
            </w:pPr>
          </w:p>
        </w:tc>
        <w:tc>
          <w:tcPr>
            <w:tcW w:w="2036" w:type="dxa"/>
            <w:vAlign w:val="center"/>
          </w:tcPr>
          <w:p w14:paraId="5FA56506" w14:textId="09E62669" w:rsidR="004175C7" w:rsidRDefault="000136A5" w:rsidP="00D52438">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Overtopping potential</w:t>
            </w:r>
          </w:p>
        </w:tc>
        <w:tc>
          <w:tcPr>
            <w:tcW w:w="2658" w:type="dxa"/>
            <w:vAlign w:val="center"/>
          </w:tcPr>
          <w:p w14:paraId="67218E17" w14:textId="700951A6" w:rsidR="004175C7" w:rsidRDefault="000136A5" w:rsidP="00957073">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 xml:space="preserve">‘Pit lake’ water level </w:t>
            </w:r>
            <w:r w:rsidR="00F3761E">
              <w:rPr>
                <w:rFonts w:cstheme="minorHAnsi"/>
                <w:szCs w:val="18"/>
              </w:rPr>
              <w:t xml:space="preserve">is projected to </w:t>
            </w:r>
            <w:r>
              <w:rPr>
                <w:rFonts w:cstheme="minorHAnsi"/>
                <w:szCs w:val="18"/>
              </w:rPr>
              <w:t>remain b</w:t>
            </w:r>
            <w:r w:rsidR="004175C7">
              <w:rPr>
                <w:rFonts w:cstheme="minorHAnsi"/>
                <w:szCs w:val="18"/>
              </w:rPr>
              <w:t>elow overflow levels</w:t>
            </w:r>
          </w:p>
        </w:tc>
        <w:tc>
          <w:tcPr>
            <w:tcW w:w="2658" w:type="dxa"/>
            <w:vAlign w:val="center"/>
          </w:tcPr>
          <w:p w14:paraId="0D54EC50" w14:textId="2CD80128" w:rsidR="004175C7" w:rsidRPr="00270C35" w:rsidRDefault="00F3761E"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pPr>
            <w:r w:rsidRPr="00F3761E">
              <w:rPr>
                <w:rFonts w:cstheme="minorHAnsi"/>
                <w:szCs w:val="18"/>
              </w:rPr>
              <w:t>‘Pit lake’ water level is projected to remain below overflow levels</w:t>
            </w:r>
          </w:p>
        </w:tc>
        <w:tc>
          <w:tcPr>
            <w:tcW w:w="2658" w:type="dxa"/>
            <w:vAlign w:val="center"/>
          </w:tcPr>
          <w:p w14:paraId="0DFA7861" w14:textId="08A700E4" w:rsidR="004175C7" w:rsidRDefault="00F3761E"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F3761E">
              <w:rPr>
                <w:rFonts w:cstheme="minorHAnsi"/>
                <w:szCs w:val="18"/>
              </w:rPr>
              <w:t>‘Pit lake’ water level is projected to remain below overflow levels</w:t>
            </w:r>
          </w:p>
        </w:tc>
        <w:tc>
          <w:tcPr>
            <w:tcW w:w="2658" w:type="dxa"/>
            <w:vAlign w:val="center"/>
          </w:tcPr>
          <w:p w14:paraId="5CE8E75F" w14:textId="15DAAA73" w:rsidR="004175C7" w:rsidRDefault="00F3761E" w:rsidP="007F34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F3761E">
              <w:rPr>
                <w:rFonts w:cstheme="minorHAnsi"/>
                <w:szCs w:val="18"/>
              </w:rPr>
              <w:t>‘Pit lake’ water level is projected to remain below overflow levels</w:t>
            </w:r>
          </w:p>
        </w:tc>
      </w:tr>
      <w:tr w:rsidR="004175C7" w:rsidRPr="0063634B" w14:paraId="4697B6CB" w14:textId="77777777" w:rsidTr="00080B7E">
        <w:tc>
          <w:tcPr>
            <w:cnfStyle w:val="001000000000" w:firstRow="0" w:lastRow="0" w:firstColumn="1" w:lastColumn="0" w:oddVBand="0" w:evenVBand="0" w:oddHBand="0" w:evenHBand="0" w:firstRowFirstColumn="0" w:firstRowLastColumn="0" w:lastRowFirstColumn="0" w:lastRowLastColumn="0"/>
            <w:tcW w:w="1361" w:type="dxa"/>
            <w:vMerge/>
            <w:vAlign w:val="center"/>
          </w:tcPr>
          <w:p w14:paraId="2AEE61A9" w14:textId="77777777" w:rsidR="004175C7" w:rsidRPr="000C6365" w:rsidRDefault="004175C7" w:rsidP="00D52438">
            <w:pPr>
              <w:pStyle w:val="BodyText"/>
              <w:spacing w:before="0" w:line="300" w:lineRule="auto"/>
              <w:rPr>
                <w:rFonts w:cstheme="minorHAnsi"/>
                <w:b/>
                <w:bCs/>
                <w:szCs w:val="18"/>
              </w:rPr>
            </w:pPr>
          </w:p>
        </w:tc>
        <w:tc>
          <w:tcPr>
            <w:tcW w:w="2036" w:type="dxa"/>
            <w:vAlign w:val="center"/>
          </w:tcPr>
          <w:p w14:paraId="16254ED0" w14:textId="0CF6DA3B" w:rsidR="004175C7" w:rsidRDefault="0098602B" w:rsidP="00D52438">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T</w:t>
            </w:r>
            <w:r w:rsidR="000136A5">
              <w:rPr>
                <w:rFonts w:cstheme="minorHAnsi"/>
                <w:szCs w:val="18"/>
              </w:rPr>
              <w:t>imeframe for h</w:t>
            </w:r>
            <w:r w:rsidR="004175C7">
              <w:rPr>
                <w:rFonts w:cstheme="minorHAnsi"/>
                <w:szCs w:val="18"/>
              </w:rPr>
              <w:t>ypersaline conditions</w:t>
            </w:r>
            <w:r w:rsidR="000136A5">
              <w:rPr>
                <w:rFonts w:cstheme="minorHAnsi"/>
                <w:szCs w:val="18"/>
              </w:rPr>
              <w:t xml:space="preserve"> to be reached</w:t>
            </w:r>
          </w:p>
        </w:tc>
        <w:tc>
          <w:tcPr>
            <w:tcW w:w="2658" w:type="dxa"/>
            <w:vAlign w:val="center"/>
          </w:tcPr>
          <w:p w14:paraId="304D40CE" w14:textId="14E3E543" w:rsidR="004175C7" w:rsidRDefault="004175C7"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150 to 550 years post-mining</w:t>
            </w:r>
          </w:p>
        </w:tc>
        <w:tc>
          <w:tcPr>
            <w:tcW w:w="2658" w:type="dxa"/>
            <w:vAlign w:val="center"/>
          </w:tcPr>
          <w:p w14:paraId="1EBBDE01" w14:textId="648C8E3C" w:rsidR="004175C7" w:rsidRPr="00270C35" w:rsidRDefault="004175C7"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pPr>
            <w:r>
              <w:t>100 years post-mining</w:t>
            </w:r>
          </w:p>
        </w:tc>
        <w:tc>
          <w:tcPr>
            <w:tcW w:w="2658" w:type="dxa"/>
            <w:vAlign w:val="center"/>
          </w:tcPr>
          <w:p w14:paraId="28408490" w14:textId="448FFF4A" w:rsidR="004175C7" w:rsidRDefault="004175C7" w:rsidP="00D52438">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Within 100 years post</w:t>
            </w:r>
            <w:r w:rsidR="00D75F20">
              <w:rPr>
                <w:rFonts w:cstheme="minorHAnsi"/>
                <w:szCs w:val="18"/>
              </w:rPr>
              <w:t>-</w:t>
            </w:r>
            <w:r>
              <w:rPr>
                <w:rFonts w:cstheme="minorHAnsi"/>
                <w:szCs w:val="18"/>
              </w:rPr>
              <w:t>mining</w:t>
            </w:r>
          </w:p>
        </w:tc>
        <w:tc>
          <w:tcPr>
            <w:tcW w:w="2658" w:type="dxa"/>
            <w:vAlign w:val="center"/>
          </w:tcPr>
          <w:p w14:paraId="4E2A44A1" w14:textId="5E69ABC4" w:rsidR="004175C7" w:rsidRDefault="004175C7" w:rsidP="007F34AE">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Within 240 years post-mining</w:t>
            </w:r>
          </w:p>
        </w:tc>
      </w:tr>
      <w:tr w:rsidR="00DD42B1" w:rsidRPr="0063634B" w14:paraId="06906970" w14:textId="77777777" w:rsidTr="00080B7E">
        <w:tc>
          <w:tcPr>
            <w:cnfStyle w:val="001000000000" w:firstRow="0" w:lastRow="0" w:firstColumn="1" w:lastColumn="0" w:oddVBand="0" w:evenVBand="0" w:oddHBand="0" w:evenHBand="0" w:firstRowFirstColumn="0" w:firstRowLastColumn="0" w:lastRowFirstColumn="0" w:lastRowLastColumn="0"/>
            <w:tcW w:w="1361" w:type="dxa"/>
            <w:vAlign w:val="center"/>
          </w:tcPr>
          <w:p w14:paraId="096F5B1B" w14:textId="49649F7D" w:rsidR="00DD42B1" w:rsidRPr="0019693B" w:rsidRDefault="00DD42B1" w:rsidP="00C34B29">
            <w:pPr>
              <w:pStyle w:val="BodyText"/>
              <w:spacing w:before="0" w:beforeAutospacing="0" w:afterAutospacing="0" w:line="300" w:lineRule="auto"/>
              <w:rPr>
                <w:rFonts w:cstheme="minorHAnsi"/>
                <w:b/>
                <w:bCs/>
                <w:szCs w:val="18"/>
              </w:rPr>
            </w:pPr>
            <w:r w:rsidRPr="0019693B">
              <w:rPr>
                <w:rFonts w:cstheme="minorHAnsi"/>
                <w:b/>
                <w:bCs/>
                <w:szCs w:val="18"/>
              </w:rPr>
              <w:t>Risk</w:t>
            </w:r>
            <w:r w:rsidR="0098602B" w:rsidRPr="0019693B">
              <w:rPr>
                <w:rFonts w:cstheme="minorHAnsi"/>
                <w:b/>
                <w:bCs/>
                <w:szCs w:val="18"/>
              </w:rPr>
              <w:t xml:space="preserve"> potential</w:t>
            </w:r>
            <w:r w:rsidR="0019693B" w:rsidRPr="0019693B">
              <w:rPr>
                <w:rFonts w:cstheme="minorHAnsi"/>
                <w:b/>
                <w:bCs/>
                <w:szCs w:val="18"/>
              </w:rPr>
              <w:t xml:space="preserve"> assigned by proponent</w:t>
            </w:r>
          </w:p>
        </w:tc>
        <w:tc>
          <w:tcPr>
            <w:tcW w:w="2036" w:type="dxa"/>
            <w:vAlign w:val="center"/>
          </w:tcPr>
          <w:p w14:paraId="1006BD81" w14:textId="72A2035E" w:rsidR="00DD42B1" w:rsidRPr="0019693B" w:rsidRDefault="00EE7106" w:rsidP="00C34B29">
            <w:pPr>
              <w:autoSpaceDE w:val="0"/>
              <w:autoSpaceDN w:val="0"/>
              <w:adjustRightInd w:val="0"/>
              <w:spacing w:before="0" w:beforeAutospacing="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Cs w:val="18"/>
              </w:rPr>
            </w:pPr>
            <w:r w:rsidRPr="0019693B">
              <w:rPr>
                <w:rFonts w:cstheme="minorHAnsi"/>
                <w:szCs w:val="18"/>
              </w:rPr>
              <w:t>Assigned r</w:t>
            </w:r>
            <w:r w:rsidR="00DD42B1" w:rsidRPr="0019693B">
              <w:rPr>
                <w:rFonts w:cstheme="minorHAnsi"/>
                <w:szCs w:val="18"/>
              </w:rPr>
              <w:t>isk to receiving env</w:t>
            </w:r>
            <w:r w:rsidRPr="0019693B">
              <w:rPr>
                <w:rFonts w:cstheme="minorHAnsi"/>
                <w:szCs w:val="18"/>
              </w:rPr>
              <w:t>ironment</w:t>
            </w:r>
          </w:p>
        </w:tc>
        <w:tc>
          <w:tcPr>
            <w:tcW w:w="2658" w:type="dxa"/>
            <w:vAlign w:val="center"/>
          </w:tcPr>
          <w:p w14:paraId="6DA0B528" w14:textId="28006B46" w:rsidR="00DD42B1" w:rsidRPr="0019693B" w:rsidRDefault="00DD42B1"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19693B">
              <w:rPr>
                <w:rFonts w:cstheme="minorHAnsi"/>
                <w:szCs w:val="18"/>
              </w:rPr>
              <w:t>Low</w:t>
            </w:r>
          </w:p>
        </w:tc>
        <w:tc>
          <w:tcPr>
            <w:tcW w:w="2658" w:type="dxa"/>
            <w:vAlign w:val="center"/>
          </w:tcPr>
          <w:p w14:paraId="4952C1AE" w14:textId="08FE4ACE" w:rsidR="00DD42B1" w:rsidRPr="0019693B" w:rsidRDefault="00D52438"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19693B">
              <w:rPr>
                <w:rFonts w:cstheme="minorHAnsi"/>
                <w:szCs w:val="18"/>
              </w:rPr>
              <w:t>Low</w:t>
            </w:r>
          </w:p>
        </w:tc>
        <w:tc>
          <w:tcPr>
            <w:tcW w:w="2658" w:type="dxa"/>
            <w:vAlign w:val="center"/>
          </w:tcPr>
          <w:p w14:paraId="06DD1DAF" w14:textId="14EFC29F" w:rsidR="00DD42B1" w:rsidRPr="0019693B" w:rsidRDefault="00D90B69"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19693B">
              <w:rPr>
                <w:rFonts w:cstheme="minorHAnsi"/>
                <w:szCs w:val="18"/>
              </w:rPr>
              <w:t>Low</w:t>
            </w:r>
          </w:p>
        </w:tc>
        <w:tc>
          <w:tcPr>
            <w:tcW w:w="2658" w:type="dxa"/>
            <w:vAlign w:val="center"/>
          </w:tcPr>
          <w:p w14:paraId="6BC88482" w14:textId="21654326" w:rsidR="00DD42B1" w:rsidRPr="0019693B" w:rsidRDefault="00A344F6"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rPr>
            </w:pPr>
            <w:r w:rsidRPr="0019693B">
              <w:rPr>
                <w:rFonts w:cstheme="minorHAnsi"/>
                <w:szCs w:val="18"/>
              </w:rPr>
              <w:t>Low</w:t>
            </w:r>
          </w:p>
        </w:tc>
      </w:tr>
      <w:tr w:rsidR="0019693B" w:rsidRPr="0063634B" w14:paraId="105A1193" w14:textId="77777777" w:rsidTr="00080B7E">
        <w:tc>
          <w:tcPr>
            <w:cnfStyle w:val="001000000000" w:firstRow="0" w:lastRow="0" w:firstColumn="1" w:lastColumn="0" w:oddVBand="0" w:evenVBand="0" w:oddHBand="0" w:evenHBand="0" w:firstRowFirstColumn="0" w:firstRowLastColumn="0" w:lastRowFirstColumn="0" w:lastRowLastColumn="0"/>
            <w:tcW w:w="1361" w:type="dxa"/>
            <w:vAlign w:val="center"/>
          </w:tcPr>
          <w:p w14:paraId="4A21066F" w14:textId="75BC31D7" w:rsidR="0019693B" w:rsidRPr="008317FB" w:rsidRDefault="0019693B" w:rsidP="00C34B29">
            <w:pPr>
              <w:pStyle w:val="BodyText"/>
              <w:spacing w:before="0" w:line="300" w:lineRule="auto"/>
              <w:rPr>
                <w:rFonts w:cstheme="minorHAnsi"/>
                <w:b/>
                <w:bCs/>
                <w:szCs w:val="18"/>
                <w:highlight w:val="yellow"/>
              </w:rPr>
            </w:pPr>
            <w:bookmarkStart w:id="302" w:name="_Hlk64368094"/>
            <w:r w:rsidRPr="0019693B">
              <w:rPr>
                <w:rFonts w:cstheme="minorHAnsi"/>
                <w:b/>
                <w:bCs/>
                <w:szCs w:val="18"/>
              </w:rPr>
              <w:lastRenderedPageBreak/>
              <w:t>Potential impacts identified by IESC</w:t>
            </w:r>
            <w:bookmarkEnd w:id="302"/>
          </w:p>
        </w:tc>
        <w:tc>
          <w:tcPr>
            <w:tcW w:w="2036" w:type="dxa"/>
            <w:vAlign w:val="center"/>
          </w:tcPr>
          <w:p w14:paraId="7000AE95" w14:textId="17F8CB91" w:rsidR="0019693B" w:rsidRPr="008317FB" w:rsidRDefault="009765F4" w:rsidP="00C34B29">
            <w:pPr>
              <w:autoSpaceDE w:val="0"/>
              <w:autoSpaceDN w:val="0"/>
              <w:adjustRightInd w:val="0"/>
              <w:spacing w:line="300" w:lineRule="auto"/>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9765F4">
              <w:rPr>
                <w:rFonts w:cstheme="minorHAnsi"/>
                <w:szCs w:val="18"/>
              </w:rPr>
              <w:t>Potential impacts to receiving environment</w:t>
            </w:r>
          </w:p>
        </w:tc>
        <w:tc>
          <w:tcPr>
            <w:tcW w:w="2658" w:type="dxa"/>
            <w:vAlign w:val="center"/>
          </w:tcPr>
          <w:p w14:paraId="5BA04DCE" w14:textId="38870C24" w:rsidR="0019693B" w:rsidRDefault="0019693B" w:rsidP="0019693B">
            <w:pPr>
              <w:autoSpaceDE w:val="0"/>
              <w:autoSpaceDN w:val="0"/>
              <w:adjustRightInd w:val="0"/>
              <w:spacing w:before="60" w:after="60" w:line="300" w:lineRule="auto"/>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Waste rock emplacements will:</w:t>
            </w:r>
          </w:p>
          <w:p w14:paraId="6DC755BC" w14:textId="65FA59AB" w:rsidR="0019693B" w:rsidRDefault="0019693B" w:rsidP="0019693B">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R</w:t>
            </w:r>
            <w:r w:rsidRPr="0019693B">
              <w:rPr>
                <w:rFonts w:cstheme="minorHAnsi"/>
                <w:szCs w:val="18"/>
              </w:rPr>
              <w:t>educe potential floodplain habitat</w:t>
            </w:r>
            <w:r>
              <w:rPr>
                <w:rFonts w:cstheme="minorHAnsi"/>
                <w:szCs w:val="18"/>
              </w:rPr>
              <w:t>.</w:t>
            </w:r>
          </w:p>
          <w:p w14:paraId="6536774C" w14:textId="4A24D45B" w:rsidR="0019693B" w:rsidRPr="0019693B" w:rsidRDefault="0019693B" w:rsidP="0019693B">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I</w:t>
            </w:r>
            <w:r w:rsidRPr="0019693B">
              <w:rPr>
                <w:rFonts w:cstheme="minorHAnsi"/>
                <w:szCs w:val="18"/>
              </w:rPr>
              <w:t>mpact remnant floodplain vegetation</w:t>
            </w:r>
            <w:r>
              <w:rPr>
                <w:rFonts w:cstheme="minorHAnsi"/>
                <w:szCs w:val="18"/>
              </w:rPr>
              <w:t>.</w:t>
            </w:r>
          </w:p>
        </w:tc>
        <w:tc>
          <w:tcPr>
            <w:tcW w:w="2658" w:type="dxa"/>
            <w:vAlign w:val="center"/>
          </w:tcPr>
          <w:p w14:paraId="25715FE1" w14:textId="77777777" w:rsidR="0019693B" w:rsidRDefault="0019693B" w:rsidP="0019693B">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sidRPr="0019693B">
              <w:rPr>
                <w:rFonts w:cstheme="minorHAnsi"/>
                <w:szCs w:val="18"/>
              </w:rPr>
              <w:t xml:space="preserve">Groundwater leakage from </w:t>
            </w:r>
            <w:r>
              <w:rPr>
                <w:rFonts w:cstheme="minorHAnsi"/>
                <w:szCs w:val="18"/>
              </w:rPr>
              <w:t>f</w:t>
            </w:r>
            <w:r w:rsidRPr="0019693B">
              <w:rPr>
                <w:rFonts w:cstheme="minorHAnsi"/>
                <w:szCs w:val="18"/>
              </w:rPr>
              <w:t>inal voids due to probable fracturing associated with the Jellinbah Faul</w:t>
            </w:r>
            <w:r>
              <w:rPr>
                <w:rFonts w:cstheme="minorHAnsi"/>
                <w:szCs w:val="18"/>
              </w:rPr>
              <w:t>t.</w:t>
            </w:r>
          </w:p>
          <w:p w14:paraId="5D5978DD" w14:textId="77777777" w:rsidR="0019693B" w:rsidRDefault="0019693B" w:rsidP="0019693B">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sidRPr="0019693B">
              <w:rPr>
                <w:rFonts w:cstheme="minorHAnsi"/>
                <w:szCs w:val="18"/>
              </w:rPr>
              <w:t>Changes to water quantity and quality within the floodplain from the</w:t>
            </w:r>
            <w:r>
              <w:rPr>
                <w:rFonts w:cstheme="minorHAnsi"/>
                <w:szCs w:val="18"/>
              </w:rPr>
              <w:t xml:space="preserve"> residual </w:t>
            </w:r>
            <w:r w:rsidRPr="0019693B">
              <w:rPr>
                <w:rFonts w:cstheme="minorHAnsi"/>
                <w:szCs w:val="18"/>
              </w:rPr>
              <w:t>voids as a result of potential overtopping and leakage into or from groundwater.</w:t>
            </w:r>
          </w:p>
          <w:p w14:paraId="758B9179" w14:textId="5FE7CF76" w:rsidR="009765F4" w:rsidRPr="0019693B" w:rsidRDefault="009765F4" w:rsidP="0019693B">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Pr>
                <w:rFonts w:cstheme="minorHAnsi"/>
                <w:szCs w:val="18"/>
              </w:rPr>
              <w:t>D</w:t>
            </w:r>
            <w:r w:rsidRPr="009765F4">
              <w:rPr>
                <w:rFonts w:cstheme="minorHAnsi"/>
                <w:szCs w:val="18"/>
              </w:rPr>
              <w:t>ensity driven groundwater flow</w:t>
            </w:r>
            <w:r>
              <w:rPr>
                <w:rFonts w:cstheme="minorHAnsi"/>
                <w:szCs w:val="18"/>
              </w:rPr>
              <w:t xml:space="preserve"> altering the flow regime of the residual voids.</w:t>
            </w:r>
          </w:p>
        </w:tc>
        <w:tc>
          <w:tcPr>
            <w:tcW w:w="2658" w:type="dxa"/>
            <w:vAlign w:val="center"/>
          </w:tcPr>
          <w:p w14:paraId="0A53F33C" w14:textId="77777777" w:rsidR="0019693B" w:rsidRDefault="009765F4" w:rsidP="009765F4">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sidRPr="009765F4">
              <w:rPr>
                <w:rFonts w:cstheme="minorHAnsi"/>
                <w:szCs w:val="18"/>
              </w:rPr>
              <w:t>Extreme events and changing climatic conditions to cause changes to the predicted void behaviour containing increasingly saline water.</w:t>
            </w:r>
          </w:p>
          <w:p w14:paraId="0658BA42" w14:textId="12B6D3EB" w:rsidR="009765F4" w:rsidRPr="009765F4" w:rsidRDefault="009765F4" w:rsidP="009765F4">
            <w:pPr>
              <w:numPr>
                <w:ilvl w:val="0"/>
                <w:numId w:val="50"/>
              </w:numPr>
              <w:autoSpaceDE w:val="0"/>
              <w:autoSpaceDN w:val="0"/>
              <w:adjustRightInd w:val="0"/>
              <w:spacing w:before="60" w:after="60" w:line="300" w:lineRule="auto"/>
              <w:ind w:left="245" w:hanging="245"/>
              <w:contextualSpacing/>
              <w:cnfStyle w:val="000000000000" w:firstRow="0" w:lastRow="0" w:firstColumn="0" w:lastColumn="0" w:oddVBand="0" w:evenVBand="0" w:oddHBand="0" w:evenHBand="0" w:firstRowFirstColumn="0" w:firstRowLastColumn="0" w:lastRowFirstColumn="0" w:lastRowLastColumn="0"/>
              <w:rPr>
                <w:rFonts w:cstheme="minorHAnsi"/>
                <w:szCs w:val="18"/>
              </w:rPr>
            </w:pPr>
            <w:r w:rsidRPr="009765F4">
              <w:rPr>
                <w:rFonts w:cstheme="minorHAnsi"/>
                <w:szCs w:val="18"/>
              </w:rPr>
              <w:t>Cumulative impacts on groundwater, surface water a</w:t>
            </w:r>
            <w:r>
              <w:rPr>
                <w:rFonts w:cstheme="minorHAnsi"/>
                <w:szCs w:val="18"/>
              </w:rPr>
              <w:t>nd</w:t>
            </w:r>
            <w:r w:rsidRPr="009765F4">
              <w:rPr>
                <w:rFonts w:cstheme="minorHAnsi"/>
                <w:szCs w:val="18"/>
              </w:rPr>
              <w:t xml:space="preserve"> terrestrial and aquatic ecosystems from</w:t>
            </w:r>
            <w:r>
              <w:rPr>
                <w:rFonts w:cstheme="minorHAnsi"/>
                <w:szCs w:val="18"/>
              </w:rPr>
              <w:t xml:space="preserve"> the hypersaline residual voids.</w:t>
            </w:r>
          </w:p>
        </w:tc>
        <w:tc>
          <w:tcPr>
            <w:tcW w:w="2658" w:type="dxa"/>
            <w:vAlign w:val="center"/>
          </w:tcPr>
          <w:p w14:paraId="14EE2DA7" w14:textId="47FA57D6" w:rsidR="0019693B" w:rsidRPr="008317FB" w:rsidRDefault="0019693B" w:rsidP="00C34B29">
            <w:pPr>
              <w:pStyle w:val="ListParagraph"/>
              <w:autoSpaceDE w:val="0"/>
              <w:autoSpaceDN w:val="0"/>
              <w:adjustRightInd w:val="0"/>
              <w:spacing w:before="0" w:beforeAutospacing="0" w:after="0" w:afterAutospacing="0" w:line="300" w:lineRule="auto"/>
              <w:ind w:left="250"/>
              <w:jc w:val="center"/>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19693B">
              <w:rPr>
                <w:rFonts w:cstheme="minorHAnsi"/>
                <w:szCs w:val="18"/>
              </w:rPr>
              <w:t>TBA</w:t>
            </w:r>
          </w:p>
        </w:tc>
      </w:tr>
    </w:tbl>
    <w:p w14:paraId="5A47A4BA" w14:textId="77777777" w:rsidR="00153434" w:rsidRPr="00153434" w:rsidRDefault="00153434" w:rsidP="00153434">
      <w:pPr>
        <w:pStyle w:val="BodyText"/>
        <w:spacing w:before="0" w:after="0"/>
        <w:rPr>
          <w:b/>
          <w:bCs/>
          <w:i/>
          <w:iCs/>
          <w:sz w:val="18"/>
          <w:szCs w:val="18"/>
        </w:rPr>
      </w:pPr>
      <w:r w:rsidRPr="00153434">
        <w:rPr>
          <w:b/>
          <w:bCs/>
          <w:i/>
          <w:iCs/>
          <w:sz w:val="18"/>
          <w:szCs w:val="18"/>
        </w:rPr>
        <w:t>Notes:</w:t>
      </w:r>
    </w:p>
    <w:p w14:paraId="40CA5924" w14:textId="089AD6D3" w:rsidR="00153434" w:rsidRDefault="00153434" w:rsidP="00153434">
      <w:pPr>
        <w:pStyle w:val="BodyText"/>
        <w:spacing w:before="0" w:after="0"/>
        <w:rPr>
          <w:i/>
          <w:iCs/>
          <w:sz w:val="18"/>
          <w:szCs w:val="18"/>
        </w:rPr>
      </w:pPr>
      <w:r>
        <w:rPr>
          <w:i/>
          <w:iCs/>
          <w:sz w:val="18"/>
          <w:szCs w:val="18"/>
        </w:rPr>
        <w:t>N/a: Not available.</w:t>
      </w:r>
    </w:p>
    <w:p w14:paraId="37301B85" w14:textId="499FD961" w:rsidR="00153434" w:rsidRDefault="00153434" w:rsidP="00153434">
      <w:pPr>
        <w:pStyle w:val="BodyText"/>
        <w:spacing w:before="0" w:after="0"/>
        <w:rPr>
          <w:i/>
          <w:iCs/>
          <w:sz w:val="18"/>
          <w:szCs w:val="18"/>
        </w:rPr>
      </w:pPr>
      <w:r>
        <w:rPr>
          <w:i/>
          <w:iCs/>
          <w:sz w:val="18"/>
          <w:szCs w:val="18"/>
        </w:rPr>
        <w:t>TBA: to be assessed.</w:t>
      </w:r>
    </w:p>
    <w:p w14:paraId="1463317D" w14:textId="254BAD35" w:rsidR="00153434" w:rsidRPr="00DF6E0C" w:rsidRDefault="00153434" w:rsidP="00153434">
      <w:pPr>
        <w:pStyle w:val="BodyText"/>
        <w:spacing w:before="0" w:after="0"/>
        <w:rPr>
          <w:i/>
          <w:iCs/>
          <w:sz w:val="18"/>
          <w:szCs w:val="18"/>
        </w:rPr>
      </w:pPr>
      <w:r w:rsidRPr="00153434">
        <w:rPr>
          <w:i/>
          <w:iCs/>
          <w:sz w:val="18"/>
          <w:szCs w:val="18"/>
        </w:rPr>
        <w:t>(1</w:t>
      </w:r>
      <w:r>
        <w:rPr>
          <w:i/>
          <w:iCs/>
          <w:sz w:val="18"/>
          <w:szCs w:val="18"/>
        </w:rPr>
        <w:t xml:space="preserve">) The contents of the table are derived from publicly available documents made available by the mine site operator. </w:t>
      </w:r>
      <w:r w:rsidR="00080B7E">
        <w:rPr>
          <w:i/>
          <w:iCs/>
          <w:sz w:val="18"/>
          <w:szCs w:val="18"/>
        </w:rPr>
        <w:t xml:space="preserve">The case study </w:t>
      </w:r>
      <w:r w:rsidR="00DF6E0C">
        <w:rPr>
          <w:i/>
          <w:iCs/>
          <w:sz w:val="18"/>
          <w:szCs w:val="18"/>
        </w:rPr>
        <w:t>outcomes</w:t>
      </w:r>
      <w:r w:rsidR="00080B7E">
        <w:rPr>
          <w:i/>
          <w:iCs/>
          <w:sz w:val="18"/>
          <w:szCs w:val="18"/>
        </w:rPr>
        <w:t xml:space="preserve"> documented in Section </w:t>
      </w:r>
      <w:r w:rsidR="00080B7E">
        <w:rPr>
          <w:i/>
          <w:iCs/>
          <w:sz w:val="18"/>
          <w:szCs w:val="18"/>
        </w:rPr>
        <w:fldChar w:fldCharType="begin"/>
      </w:r>
      <w:r w:rsidR="00080B7E">
        <w:rPr>
          <w:i/>
          <w:iCs/>
          <w:sz w:val="18"/>
          <w:szCs w:val="18"/>
        </w:rPr>
        <w:instrText xml:space="preserve"> REF _Ref56587130 \n \h </w:instrText>
      </w:r>
      <w:r w:rsidR="00080B7E">
        <w:rPr>
          <w:i/>
          <w:iCs/>
          <w:sz w:val="18"/>
          <w:szCs w:val="18"/>
        </w:rPr>
      </w:r>
      <w:r w:rsidR="00080B7E">
        <w:rPr>
          <w:i/>
          <w:iCs/>
          <w:sz w:val="18"/>
          <w:szCs w:val="18"/>
        </w:rPr>
        <w:fldChar w:fldCharType="separate"/>
      </w:r>
      <w:r w:rsidR="00937ADD">
        <w:rPr>
          <w:i/>
          <w:iCs/>
          <w:sz w:val="18"/>
          <w:szCs w:val="18"/>
        </w:rPr>
        <w:t>5</w:t>
      </w:r>
      <w:r w:rsidR="00080B7E">
        <w:rPr>
          <w:i/>
          <w:iCs/>
          <w:sz w:val="18"/>
          <w:szCs w:val="18"/>
        </w:rPr>
        <w:fldChar w:fldCharType="end"/>
      </w:r>
      <w:r w:rsidR="00080B7E">
        <w:rPr>
          <w:i/>
          <w:iCs/>
          <w:sz w:val="18"/>
          <w:szCs w:val="18"/>
        </w:rPr>
        <w:t xml:space="preserve"> and </w:t>
      </w:r>
      <w:r w:rsidR="00DF6E0C" w:rsidRPr="00DF6E0C">
        <w:rPr>
          <w:sz w:val="18"/>
          <w:szCs w:val="18"/>
        </w:rPr>
        <w:t>listed</w:t>
      </w:r>
      <w:r w:rsidR="00DF6E0C">
        <w:rPr>
          <w:sz w:val="18"/>
          <w:szCs w:val="18"/>
        </w:rPr>
        <w:t xml:space="preserve"> in</w:t>
      </w:r>
      <w:r w:rsidR="00DF6E0C" w:rsidRPr="00DF6E0C">
        <w:rPr>
          <w:sz w:val="18"/>
          <w:szCs w:val="18"/>
        </w:rPr>
        <w:t xml:space="preserve"> </w:t>
      </w:r>
      <w:r w:rsidR="00DF6E0C" w:rsidRPr="00DF6E0C">
        <w:rPr>
          <w:i/>
          <w:iCs/>
          <w:sz w:val="18"/>
          <w:szCs w:val="18"/>
        </w:rPr>
        <w:fldChar w:fldCharType="begin"/>
      </w:r>
      <w:r w:rsidR="00DF6E0C" w:rsidRPr="00DF6E0C">
        <w:rPr>
          <w:i/>
          <w:iCs/>
          <w:sz w:val="18"/>
          <w:szCs w:val="18"/>
        </w:rPr>
        <w:instrText xml:space="preserve"> REF _Ref59375730 \h </w:instrText>
      </w:r>
      <w:r w:rsidR="00DF6E0C">
        <w:rPr>
          <w:i/>
          <w:iCs/>
          <w:sz w:val="18"/>
          <w:szCs w:val="18"/>
        </w:rPr>
        <w:instrText xml:space="preserve"> \* MERGEFORMAT </w:instrText>
      </w:r>
      <w:r w:rsidR="00DF6E0C" w:rsidRPr="00DF6E0C">
        <w:rPr>
          <w:i/>
          <w:iCs/>
          <w:sz w:val="18"/>
          <w:szCs w:val="18"/>
        </w:rPr>
      </w:r>
      <w:r w:rsidR="00DF6E0C" w:rsidRPr="00DF6E0C">
        <w:rPr>
          <w:i/>
          <w:iCs/>
          <w:sz w:val="18"/>
          <w:szCs w:val="18"/>
        </w:rPr>
        <w:fldChar w:fldCharType="separate"/>
      </w:r>
      <w:r w:rsidR="00937ADD" w:rsidRPr="00937ADD">
        <w:rPr>
          <w:sz w:val="18"/>
          <w:szCs w:val="18"/>
        </w:rPr>
        <w:t xml:space="preserve">Table </w:t>
      </w:r>
      <w:r w:rsidR="00937ADD" w:rsidRPr="00937ADD">
        <w:rPr>
          <w:noProof/>
          <w:sz w:val="18"/>
          <w:szCs w:val="18"/>
        </w:rPr>
        <w:t>5</w:t>
      </w:r>
      <w:r w:rsidR="00937ADD" w:rsidRPr="00937ADD">
        <w:rPr>
          <w:noProof/>
          <w:sz w:val="18"/>
          <w:szCs w:val="18"/>
        </w:rPr>
        <w:noBreakHyphen/>
        <w:t>14</w:t>
      </w:r>
      <w:r w:rsidR="00DF6E0C" w:rsidRPr="00DF6E0C">
        <w:rPr>
          <w:i/>
          <w:iCs/>
          <w:sz w:val="18"/>
          <w:szCs w:val="18"/>
        </w:rPr>
        <w:fldChar w:fldCharType="end"/>
      </w:r>
      <w:r w:rsidR="00DF6E0C">
        <w:rPr>
          <w:i/>
          <w:iCs/>
          <w:sz w:val="18"/>
          <w:szCs w:val="18"/>
        </w:rPr>
        <w:t xml:space="preserve"> were not subject to </w:t>
      </w:r>
      <w:r w:rsidR="00080B7E" w:rsidRPr="00DF6E0C">
        <w:rPr>
          <w:i/>
          <w:iCs/>
          <w:sz w:val="18"/>
          <w:szCs w:val="18"/>
        </w:rPr>
        <w:t xml:space="preserve">review </w:t>
      </w:r>
      <w:r w:rsidR="00DF6E0C">
        <w:rPr>
          <w:i/>
          <w:iCs/>
          <w:sz w:val="18"/>
          <w:szCs w:val="18"/>
        </w:rPr>
        <w:t>as part of this</w:t>
      </w:r>
      <w:r w:rsidR="00080B7E" w:rsidRPr="00DF6E0C">
        <w:rPr>
          <w:i/>
          <w:iCs/>
          <w:sz w:val="18"/>
          <w:szCs w:val="18"/>
        </w:rPr>
        <w:t xml:space="preserve"> scoping study.  </w:t>
      </w:r>
    </w:p>
    <w:p w14:paraId="2530377A" w14:textId="00682394" w:rsidR="00A344F6" w:rsidRDefault="00080B7E" w:rsidP="00153434">
      <w:pPr>
        <w:pStyle w:val="BodyText"/>
        <w:spacing w:before="0" w:after="0"/>
        <w:rPr>
          <w:i/>
          <w:iCs/>
          <w:sz w:val="18"/>
          <w:szCs w:val="18"/>
        </w:rPr>
      </w:pPr>
      <w:r>
        <w:rPr>
          <w:i/>
          <w:iCs/>
          <w:sz w:val="18"/>
          <w:szCs w:val="18"/>
        </w:rPr>
        <w:t xml:space="preserve">(2) </w:t>
      </w:r>
      <w:r w:rsidR="00A344F6" w:rsidRPr="00153434">
        <w:rPr>
          <w:i/>
          <w:iCs/>
          <w:sz w:val="18"/>
          <w:szCs w:val="18"/>
        </w:rPr>
        <w:t>A Residual Void Study was completed by Middlemount in 2014. As the report is not publicly accessible it is not known whether a TBLA of different options was undertaken.</w:t>
      </w:r>
    </w:p>
    <w:p w14:paraId="2D49C0A7" w14:textId="22760AE5" w:rsidR="001A29AE" w:rsidRDefault="00080B7E" w:rsidP="00080B7E">
      <w:pPr>
        <w:pStyle w:val="BodyText"/>
        <w:spacing w:before="0" w:after="0"/>
        <w:rPr>
          <w:i/>
          <w:iCs/>
          <w:sz w:val="18"/>
          <w:szCs w:val="18"/>
        </w:rPr>
      </w:pPr>
      <w:r>
        <w:rPr>
          <w:i/>
          <w:iCs/>
          <w:sz w:val="18"/>
          <w:szCs w:val="18"/>
        </w:rPr>
        <w:t xml:space="preserve">(3) </w:t>
      </w:r>
      <w:r w:rsidR="00E43176">
        <w:rPr>
          <w:i/>
          <w:iCs/>
          <w:sz w:val="18"/>
          <w:szCs w:val="18"/>
        </w:rPr>
        <w:t xml:space="preserve">Further detail concerning the water balance and salinity modelling, sensitivity analysis and flood modelling of the Ensham RVP are contained in </w:t>
      </w:r>
      <w:r>
        <w:rPr>
          <w:i/>
          <w:iCs/>
          <w:sz w:val="18"/>
          <w:szCs w:val="18"/>
        </w:rPr>
        <w:t>technical reports accompanying the</w:t>
      </w:r>
      <w:r w:rsidR="00E43176">
        <w:rPr>
          <w:i/>
          <w:iCs/>
          <w:sz w:val="18"/>
          <w:szCs w:val="18"/>
        </w:rPr>
        <w:t xml:space="preserve"> main document</w:t>
      </w:r>
      <w:r>
        <w:rPr>
          <w:i/>
          <w:iCs/>
          <w:sz w:val="18"/>
          <w:szCs w:val="18"/>
        </w:rPr>
        <w:t xml:space="preserve"> </w:t>
      </w:r>
      <w:r w:rsidR="00E43176">
        <w:rPr>
          <w:i/>
          <w:iCs/>
          <w:sz w:val="18"/>
          <w:szCs w:val="18"/>
        </w:rPr>
        <w:t xml:space="preserve">which </w:t>
      </w:r>
      <w:r>
        <w:rPr>
          <w:i/>
          <w:iCs/>
          <w:sz w:val="18"/>
          <w:szCs w:val="18"/>
        </w:rPr>
        <w:t>were</w:t>
      </w:r>
      <w:r w:rsidR="0003580C">
        <w:rPr>
          <w:i/>
          <w:iCs/>
          <w:sz w:val="18"/>
          <w:szCs w:val="18"/>
        </w:rPr>
        <w:t xml:space="preserve"> not</w:t>
      </w:r>
      <w:r>
        <w:rPr>
          <w:i/>
          <w:iCs/>
          <w:sz w:val="18"/>
          <w:szCs w:val="18"/>
        </w:rPr>
        <w:t xml:space="preserve"> available for this scoping study.  </w:t>
      </w:r>
    </w:p>
    <w:p w14:paraId="71B0C3B3" w14:textId="2167BB75" w:rsidR="00731881" w:rsidRPr="00153434" w:rsidRDefault="00731881" w:rsidP="00080B7E">
      <w:pPr>
        <w:pStyle w:val="BodyText"/>
        <w:spacing w:before="0" w:after="0"/>
        <w:rPr>
          <w:i/>
          <w:iCs/>
          <w:sz w:val="18"/>
          <w:szCs w:val="18"/>
        </w:rPr>
      </w:pPr>
      <w:r>
        <w:rPr>
          <w:i/>
          <w:iCs/>
          <w:sz w:val="18"/>
          <w:szCs w:val="18"/>
        </w:rPr>
        <w:t xml:space="preserve">(4) Partial assessment of potential climate change impacts </w:t>
      </w:r>
      <w:r w:rsidR="008C3F11">
        <w:rPr>
          <w:i/>
          <w:iCs/>
          <w:sz w:val="18"/>
          <w:szCs w:val="18"/>
        </w:rPr>
        <w:t>based on</w:t>
      </w:r>
      <w:r>
        <w:rPr>
          <w:i/>
          <w:iCs/>
          <w:sz w:val="18"/>
          <w:szCs w:val="18"/>
        </w:rPr>
        <w:t xml:space="preserve"> sensitivity modelling</w:t>
      </w:r>
      <w:r w:rsidR="0033743E">
        <w:rPr>
          <w:i/>
          <w:iCs/>
          <w:sz w:val="18"/>
          <w:szCs w:val="18"/>
        </w:rPr>
        <w:t>.</w:t>
      </w:r>
    </w:p>
    <w:bookmarkEnd w:id="300"/>
    <w:p w14:paraId="579A1BE1" w14:textId="12B8118D" w:rsidR="00220001" w:rsidRPr="00153434" w:rsidRDefault="00220001" w:rsidP="00153434">
      <w:pPr>
        <w:pStyle w:val="BodyText"/>
        <w:spacing w:before="0" w:after="0"/>
        <w:rPr>
          <w:i/>
          <w:iCs/>
          <w:sz w:val="18"/>
          <w:szCs w:val="18"/>
        </w:rPr>
        <w:sectPr w:rsidR="00220001" w:rsidRPr="00153434" w:rsidSect="00220001">
          <w:pgSz w:w="16839" w:h="11907" w:orient="landscape" w:code="9"/>
          <w:pgMar w:top="1440" w:right="1134" w:bottom="1440" w:left="1440" w:header="340" w:footer="340" w:gutter="0"/>
          <w:cols w:space="708"/>
          <w:docGrid w:linePitch="360"/>
        </w:sectPr>
      </w:pPr>
    </w:p>
    <w:p w14:paraId="75A6482A" w14:textId="50CC7510" w:rsidR="00A01C7D" w:rsidRDefault="00660E52" w:rsidP="00A01C7D">
      <w:pPr>
        <w:pStyle w:val="Heading1"/>
      </w:pPr>
      <w:bookmarkStart w:id="303" w:name="_Ref59458810"/>
      <w:bookmarkStart w:id="304" w:name="_Toc87278375"/>
      <w:bookmarkStart w:id="305" w:name="_Hlk57314656"/>
      <w:r>
        <w:lastRenderedPageBreak/>
        <w:t xml:space="preserve">Development of </w:t>
      </w:r>
      <w:r w:rsidR="00B66AB7">
        <w:t xml:space="preserve">a </w:t>
      </w:r>
      <w:r>
        <w:t>r</w:t>
      </w:r>
      <w:r w:rsidR="005F163B">
        <w:t xml:space="preserve">isk assessment </w:t>
      </w:r>
      <w:r w:rsidR="007403CF">
        <w:t>approach</w:t>
      </w:r>
      <w:bookmarkEnd w:id="303"/>
      <w:bookmarkEnd w:id="304"/>
    </w:p>
    <w:bookmarkStart w:id="306" w:name="_Hlk59521358"/>
    <w:p w14:paraId="6FCDC910" w14:textId="1BF43AFD" w:rsidR="0048078C" w:rsidRDefault="0048078C" w:rsidP="00C9011A">
      <w:pPr>
        <w:pStyle w:val="BodyText"/>
      </w:pPr>
      <w:r>
        <w:rPr>
          <w:noProof/>
        </w:rPr>
        <mc:AlternateContent>
          <mc:Choice Requires="wps">
            <w:drawing>
              <wp:inline distT="0" distB="0" distL="0" distR="0" wp14:anchorId="0387BCCD" wp14:editId="43983301">
                <wp:extent cx="5716988" cy="699715"/>
                <wp:effectExtent l="0" t="0" r="1714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988" cy="699715"/>
                        </a:xfrm>
                        <a:prstGeom prst="rect">
                          <a:avLst/>
                        </a:prstGeom>
                        <a:solidFill>
                          <a:schemeClr val="bg1">
                            <a:lumMod val="85000"/>
                          </a:schemeClr>
                        </a:solidFill>
                        <a:ln w="9525">
                          <a:solidFill>
                            <a:srgbClr val="000000"/>
                          </a:solidFill>
                          <a:miter lim="800000"/>
                          <a:headEnd/>
                          <a:tailEnd/>
                        </a:ln>
                      </wps:spPr>
                      <wps:txbx>
                        <w:txbxContent>
                          <w:p w14:paraId="7B0BBA8F" w14:textId="17AB987F" w:rsidR="0048078C" w:rsidRDefault="001341F2" w:rsidP="0048078C">
                            <w:pPr>
                              <w:pStyle w:val="BodyText"/>
                            </w:pPr>
                            <w:r>
                              <w:t xml:space="preserve">IESC </w:t>
                            </w:r>
                            <w:r w:rsidR="0048078C">
                              <w:t xml:space="preserve">note: The following approach has been developed by Coffey Services Australia Pty Ltd </w:t>
                            </w:r>
                            <w:r w:rsidR="00572834">
                              <w:t xml:space="preserve">and Eco Logical Services Australia Pty Ltd </w:t>
                            </w:r>
                            <w:r w:rsidR="0048078C">
                              <w:t xml:space="preserve">as an example only. The </w:t>
                            </w:r>
                            <w:hyperlink r:id="rId36" w:history="1">
                              <w:r w:rsidR="0048078C" w:rsidRPr="00427BDB">
                                <w:rPr>
                                  <w:rStyle w:val="Hyperlink"/>
                                </w:rPr>
                                <w:t>IESC Information Guidelines</w:t>
                              </w:r>
                            </w:hyperlink>
                            <w:r w:rsidR="0048078C">
                              <w:t xml:space="preserve"> </w:t>
                            </w:r>
                            <w:r w:rsidR="00427BDB">
                              <w:t>outline what types of information are required to enable the IESC to provide robust scientific advice to government regulators on the potential water-related impacts of CSG and large coal mining projects.</w:t>
                            </w:r>
                          </w:p>
                        </w:txbxContent>
                      </wps:txbx>
                      <wps:bodyPr rot="0" vert="horz" wrap="square" lIns="91440" tIns="45720" rIns="91440" bIns="45720" anchor="t" anchorCtr="0">
                        <a:spAutoFit/>
                      </wps:bodyPr>
                    </wps:wsp>
                  </a:graphicData>
                </a:graphic>
              </wp:inline>
            </w:drawing>
          </mc:Choice>
          <mc:Fallback>
            <w:pict>
              <v:shape w14:anchorId="0387BCCD" id="_x0000_s1027" type="#_x0000_t202" style="width:450.15pt;height:5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" fillcolor="#d8d8d8 [2732]">
                <v:textbox style="mso-fit-shape-to-text:t">
                  <w:txbxContent>
                    <w:p w14:paraId="7B0BBA8F" w14:textId="17AB987F" w:rsidR="0048078C" w:rsidRDefault="001341F2" w:rsidP="0048078C">
                      <w:pPr>
                        <w:pStyle w:val="BodyText"/>
                      </w:pPr>
                      <w:r>
                        <w:t xml:space="preserve">IESC </w:t>
                      </w:r>
                      <w:r w:rsidR="0048078C">
                        <w:t xml:space="preserve">note: The following approach has been developed by Coffey Services Australia Pty Ltd </w:t>
                      </w:r>
                      <w:r w:rsidR="00572834">
                        <w:t xml:space="preserve">and Eco Logical Services Australia Pty Ltd </w:t>
                      </w:r>
                      <w:r w:rsidR="0048078C">
                        <w:t xml:space="preserve">as an example only. The </w:t>
                      </w:r>
                      <w:hyperlink r:id="rId51" w:history="1">
                        <w:r w:rsidR="0048078C" w:rsidRPr="00427BDB">
                          <w:rPr>
                            <w:rStyle w:val="Hyperlink"/>
                          </w:rPr>
                          <w:t>IESC Information Guidelines</w:t>
                        </w:r>
                      </w:hyperlink>
                      <w:r w:rsidR="0048078C">
                        <w:t xml:space="preserve"> </w:t>
                      </w:r>
                      <w:r w:rsidR="00427BDB">
                        <w:t>outline what types of information are required to enable the IESC to provide robust scientific advice to government regulators on the potential water-related impacts of CSG and large coal mining projects.</w:t>
                      </w:r>
                    </w:p>
                  </w:txbxContent>
                </v:textbox>
                <w10:anchorlock/>
              </v:shape>
            </w:pict>
          </mc:Fallback>
        </mc:AlternateContent>
      </w:r>
    </w:p>
    <w:p w14:paraId="1DFD8777" w14:textId="111A2B84" w:rsidR="00C9011A" w:rsidRDefault="00196452" w:rsidP="00C9011A">
      <w:pPr>
        <w:pStyle w:val="BodyText"/>
      </w:pPr>
      <w:r>
        <w:t>On the basis of the outcomes of the case study analysis (Section</w:t>
      </w:r>
      <w:r w:rsidR="00A17B9F">
        <w:t xml:space="preserve"> </w:t>
      </w:r>
      <w:r w:rsidR="00A17B9F">
        <w:fldChar w:fldCharType="begin"/>
      </w:r>
      <w:r w:rsidR="00A17B9F">
        <w:instrText xml:space="preserve"> REF _Ref56587130 \n \h </w:instrText>
      </w:r>
      <w:r w:rsidR="00A17B9F">
        <w:fldChar w:fldCharType="separate"/>
      </w:r>
      <w:r w:rsidR="00937ADD">
        <w:t>5</w:t>
      </w:r>
      <w:r w:rsidR="00A17B9F">
        <w:fldChar w:fldCharType="end"/>
      </w:r>
      <w:r>
        <w:t xml:space="preserve">), an option to </w:t>
      </w:r>
      <w:r w:rsidR="00C9011A">
        <w:t xml:space="preserve">assist the IESC in understanding </w:t>
      </w:r>
      <w:r>
        <w:t xml:space="preserve">project specific and cumulative risks of residual coal mine voids on water resources and the receiving environment </w:t>
      </w:r>
      <w:r w:rsidR="00E6525C">
        <w:t xml:space="preserve">in Queensland </w:t>
      </w:r>
      <w:r>
        <w:t xml:space="preserve">is to </w:t>
      </w:r>
      <w:r w:rsidR="00192E3A">
        <w:t>build</w:t>
      </w:r>
      <w:r>
        <w:t xml:space="preserve"> on the </w:t>
      </w:r>
      <w:r w:rsidR="00A17B9F">
        <w:t xml:space="preserve">contents </w:t>
      </w:r>
      <w:r>
        <w:t xml:space="preserve">of the database developed in the scoping study.  </w:t>
      </w:r>
    </w:p>
    <w:p w14:paraId="65B1EC0F" w14:textId="1AF870D6" w:rsidR="00BF7E5D" w:rsidRPr="000D0208" w:rsidRDefault="00BF7E5D" w:rsidP="0033743E">
      <w:pPr>
        <w:pStyle w:val="BodyText"/>
        <w:rPr>
          <w:sz w:val="16"/>
        </w:rPr>
      </w:pPr>
      <w:bookmarkStart w:id="307" w:name="_Hlk62135036"/>
      <w:bookmarkEnd w:id="306"/>
      <w:r>
        <w:t xml:space="preserve">As a first consideration, the basic hydraulic mine geometry can aid in determination of the propensity of a void to be a </w:t>
      </w:r>
      <w:r w:rsidR="00CF4B59">
        <w:t xml:space="preserve">terminal </w:t>
      </w:r>
      <w:r>
        <w:t>sink, source or flow-through feature in the landscape</w:t>
      </w:r>
      <w:r w:rsidR="00B66AB7">
        <w:t xml:space="preserve"> and this is used either as a guide to developing final void strategies (e.g. Ensham) or as a default to constrain environmental risk (e.g. Olive Downs)</w:t>
      </w:r>
      <w:r>
        <w:t>. Thus, under equilibrium external (surface water and atmospheric) water balance conditions, specific geometries</w:t>
      </w:r>
      <w:r w:rsidR="00B66AB7">
        <w:t xml:space="preserve"> and climatic environments</w:t>
      </w:r>
      <w:r>
        <w:t xml:space="preserve"> favour particular groundwater flow conditions (Section </w:t>
      </w:r>
      <w:r w:rsidR="00E6525C">
        <w:fldChar w:fldCharType="begin"/>
      </w:r>
      <w:r w:rsidR="00E6525C">
        <w:instrText xml:space="preserve"> REF _Ref56586189 \n \h </w:instrText>
      </w:r>
      <w:r w:rsidR="00E6525C">
        <w:fldChar w:fldCharType="separate"/>
      </w:r>
      <w:r w:rsidR="00937ADD">
        <w:t>3</w:t>
      </w:r>
      <w:r w:rsidR="00E6525C">
        <w:fldChar w:fldCharType="end"/>
      </w:r>
      <w:r>
        <w:t xml:space="preserve">). </w:t>
      </w:r>
    </w:p>
    <w:bookmarkEnd w:id="307"/>
    <w:p w14:paraId="45FA60DA" w14:textId="48EC04C8" w:rsidR="00B57A60" w:rsidRDefault="00196452" w:rsidP="00196452">
      <w:pPr>
        <w:pStyle w:val="BodyText"/>
      </w:pPr>
      <w:r>
        <w:t xml:space="preserve">The case study analysis (Section </w:t>
      </w:r>
      <w:r>
        <w:fldChar w:fldCharType="begin"/>
      </w:r>
      <w:r>
        <w:instrText xml:space="preserve"> REF _Ref56587130 \n \h </w:instrText>
      </w:r>
      <w:r>
        <w:fldChar w:fldCharType="separate"/>
      </w:r>
      <w:r w:rsidR="00937ADD">
        <w:t>5</w:t>
      </w:r>
      <w:r>
        <w:fldChar w:fldCharType="end"/>
      </w:r>
      <w:r>
        <w:t xml:space="preserve">) has demonstrated </w:t>
      </w:r>
      <w:bookmarkStart w:id="308" w:name="_Hlk59521382"/>
      <w:r>
        <w:t xml:space="preserve">that </w:t>
      </w:r>
      <w:r w:rsidR="0012057F">
        <w:t>site</w:t>
      </w:r>
      <w:r w:rsidR="004C52BE">
        <w:t>-</w:t>
      </w:r>
      <w:r w:rsidR="0012057F">
        <w:t xml:space="preserve">specific assessments prepared by mine </w:t>
      </w:r>
      <w:r w:rsidR="002C4345">
        <w:t xml:space="preserve">site </w:t>
      </w:r>
      <w:r w:rsidR="0012057F">
        <w:t>operator</w:t>
      </w:r>
      <w:r w:rsidR="002C4345">
        <w:t>s</w:t>
      </w:r>
      <w:r w:rsidR="0012057F">
        <w:t xml:space="preserve"> as part of State and/or</w:t>
      </w:r>
      <w:r w:rsidR="002C4345">
        <w:t xml:space="preserve"> Commonwealth </w:t>
      </w:r>
      <w:r w:rsidR="0012057F">
        <w:t>environmental approval process</w:t>
      </w:r>
      <w:r w:rsidR="002C4345">
        <w:t>es</w:t>
      </w:r>
      <w:r w:rsidR="0012057F">
        <w:t xml:space="preserve"> </w:t>
      </w:r>
      <w:bookmarkEnd w:id="308"/>
      <w:r>
        <w:t xml:space="preserve">(whether publicly available or available through State or Commonwealth agencies) contains </w:t>
      </w:r>
      <w:r w:rsidR="0012057F">
        <w:t>key information</w:t>
      </w:r>
      <w:r w:rsidR="00B92F14">
        <w:t xml:space="preserve"> that characterise</w:t>
      </w:r>
      <w:r w:rsidR="0012057F">
        <w:t>s</w:t>
      </w:r>
      <w:r w:rsidR="00B92F14">
        <w:t xml:space="preserve"> </w:t>
      </w:r>
      <w:r w:rsidR="002C4345">
        <w:t xml:space="preserve">proposed </w:t>
      </w:r>
      <w:r w:rsidR="00B92F14">
        <w:t>residual coal mine voids</w:t>
      </w:r>
      <w:r w:rsidR="002C4345">
        <w:t xml:space="preserve"> (</w:t>
      </w:r>
      <w:r w:rsidR="00B92F14">
        <w:t xml:space="preserve">including </w:t>
      </w:r>
      <w:r w:rsidR="002C4345">
        <w:t xml:space="preserve">their </w:t>
      </w:r>
      <w:r w:rsidR="00B92F14">
        <w:t xml:space="preserve">proposed </w:t>
      </w:r>
      <w:r w:rsidR="00192E3A">
        <w:t xml:space="preserve">rehabilitation </w:t>
      </w:r>
      <w:r w:rsidR="00B92F14">
        <w:t>design</w:t>
      </w:r>
      <w:r w:rsidR="00192E3A">
        <w:t xml:space="preserve"> </w:t>
      </w:r>
      <w:r w:rsidR="00B92F14">
        <w:t>and projected flow regime</w:t>
      </w:r>
      <w:r w:rsidR="002C4345">
        <w:t>)</w:t>
      </w:r>
      <w:r w:rsidR="00B92F14">
        <w:t xml:space="preserve">. </w:t>
      </w:r>
    </w:p>
    <w:p w14:paraId="2BFCB082" w14:textId="7E827950" w:rsidR="00B66AB7" w:rsidRDefault="00B66AB7" w:rsidP="00B66AB7">
      <w:pPr>
        <w:pStyle w:val="BodyText"/>
      </w:pPr>
      <w:r>
        <w:t xml:space="preserve">Quantification of the components in </w:t>
      </w:r>
      <w:r>
        <w:fldChar w:fldCharType="begin"/>
      </w:r>
      <w:r>
        <w:instrText xml:space="preserve"> REF _Ref59375730 \h </w:instrText>
      </w:r>
      <w:r>
        <w:fldChar w:fldCharType="separate"/>
      </w:r>
      <w:r w:rsidR="00937ADD">
        <w:t xml:space="preserve">Table </w:t>
      </w:r>
      <w:r w:rsidR="00937ADD">
        <w:rPr>
          <w:noProof/>
        </w:rPr>
        <w:t>5</w:t>
      </w:r>
      <w:r w:rsidR="00937ADD">
        <w:noBreakHyphen/>
      </w:r>
      <w:r w:rsidR="00937ADD">
        <w:rPr>
          <w:noProof/>
        </w:rPr>
        <w:t>14</w:t>
      </w:r>
      <w:r>
        <w:fldChar w:fldCharType="end"/>
      </w:r>
      <w:r>
        <w:t xml:space="preserve"> can therefore provide an initial assessment of the risk posed for a specific mine void and allow consideration against rehabilitation and final cumulative risks. Collating and recording the parameters listed in </w:t>
      </w:r>
      <w:r>
        <w:fldChar w:fldCharType="begin"/>
      </w:r>
      <w:r>
        <w:instrText xml:space="preserve"> REF _Ref59375730 \h </w:instrText>
      </w:r>
      <w:r>
        <w:fldChar w:fldCharType="separate"/>
      </w:r>
      <w:r w:rsidR="00937ADD">
        <w:t xml:space="preserve">Table </w:t>
      </w:r>
      <w:r w:rsidR="00937ADD">
        <w:rPr>
          <w:noProof/>
        </w:rPr>
        <w:t>5</w:t>
      </w:r>
      <w:r w:rsidR="00937ADD">
        <w:noBreakHyphen/>
      </w:r>
      <w:r w:rsidR="00937ADD">
        <w:rPr>
          <w:noProof/>
        </w:rPr>
        <w:t>14</w:t>
      </w:r>
      <w:r>
        <w:fldChar w:fldCharType="end"/>
      </w:r>
      <w:r>
        <w:t xml:space="preserve"> for all approved open coal mines in Queensland</w:t>
      </w:r>
      <w:r>
        <w:rPr>
          <w:rStyle w:val="FootnoteReference"/>
        </w:rPr>
        <w:footnoteReference w:id="3"/>
      </w:r>
      <w:r>
        <w:t xml:space="preserve"> would assist in informing the assignment of risk potential of proposed residual voids across the State.</w:t>
      </w:r>
    </w:p>
    <w:p w14:paraId="2E0F282B" w14:textId="3DEA5156" w:rsidR="00196452" w:rsidRDefault="00D31615" w:rsidP="00196452">
      <w:pPr>
        <w:pStyle w:val="BodyText"/>
      </w:pPr>
      <w:r>
        <w:t xml:space="preserve">The parameters listed in </w:t>
      </w:r>
      <w:r w:rsidR="00B57A60">
        <w:fldChar w:fldCharType="begin"/>
      </w:r>
      <w:r w:rsidR="00B57A60">
        <w:instrText xml:space="preserve"> REF _Ref59375730 \h </w:instrText>
      </w:r>
      <w:r w:rsidR="00B57A60">
        <w:fldChar w:fldCharType="separate"/>
      </w:r>
      <w:r w:rsidR="00937ADD">
        <w:t xml:space="preserve">Table </w:t>
      </w:r>
      <w:r w:rsidR="00937ADD">
        <w:rPr>
          <w:noProof/>
        </w:rPr>
        <w:t>5</w:t>
      </w:r>
      <w:r w:rsidR="00937ADD">
        <w:noBreakHyphen/>
      </w:r>
      <w:r w:rsidR="00937ADD">
        <w:rPr>
          <w:noProof/>
        </w:rPr>
        <w:t>14</w:t>
      </w:r>
      <w:r w:rsidR="00B57A60">
        <w:fldChar w:fldCharType="end"/>
      </w:r>
      <w:r w:rsidR="00B57A60">
        <w:t xml:space="preserve"> </w:t>
      </w:r>
      <w:r>
        <w:t xml:space="preserve">are not exhaustive and others </w:t>
      </w:r>
      <w:r w:rsidR="00B57A60">
        <w:t xml:space="preserve">may be identified as part of this exercise that </w:t>
      </w:r>
      <w:r>
        <w:t>are</w:t>
      </w:r>
      <w:r w:rsidR="00B57A60">
        <w:t xml:space="preserve"> considered important in assigning the risk potential of these features.</w:t>
      </w:r>
      <w:r w:rsidR="00D052B0">
        <w:rPr>
          <w:rStyle w:val="FootnoteReference"/>
        </w:rPr>
        <w:footnoteReference w:id="4"/>
      </w:r>
      <w:r w:rsidR="00B57A60">
        <w:t xml:space="preserve"> </w:t>
      </w:r>
      <w:r w:rsidR="00196452">
        <w:t>Digitising the projected outline of residual voids (if different to the already digitised open-cut area) would also assist in the spatial representation of the risk.</w:t>
      </w:r>
      <w:r w:rsidR="00E13F65">
        <w:t xml:space="preserve"> </w:t>
      </w:r>
    </w:p>
    <w:p w14:paraId="1684CC92" w14:textId="76EE8F83" w:rsidR="00196452" w:rsidRDefault="00196452" w:rsidP="00196452">
      <w:pPr>
        <w:pStyle w:val="BodyText"/>
      </w:pPr>
      <w:r>
        <w:t>The output of this exercise</w:t>
      </w:r>
      <w:r w:rsidR="003647D9">
        <w:t xml:space="preserve"> </w:t>
      </w:r>
      <w:r>
        <w:t xml:space="preserve">would be a comprehensive database </w:t>
      </w:r>
      <w:r w:rsidR="002C4345">
        <w:t xml:space="preserve">(and accompanying spatial files) </w:t>
      </w:r>
      <w:r>
        <w:t xml:space="preserve">of </w:t>
      </w:r>
      <w:r w:rsidR="00192E3A">
        <w:t>key</w:t>
      </w:r>
      <w:r w:rsidR="00B92F14">
        <w:t xml:space="preserve"> details for </w:t>
      </w:r>
      <w:r w:rsidR="00031A14">
        <w:t>approved</w:t>
      </w:r>
      <w:r>
        <w:t xml:space="preserve"> residual coal mine voids in Queensland</w:t>
      </w:r>
      <w:r w:rsidR="002C4345">
        <w:t>.</w:t>
      </w:r>
      <w:r w:rsidR="00C42BDC">
        <w:t xml:space="preserve"> </w:t>
      </w:r>
      <w:r w:rsidR="00B92F14">
        <w:t>Current d</w:t>
      </w:r>
      <w:r w:rsidR="00C42BDC">
        <w:t xml:space="preserve">ata gaps and uncertainties </w:t>
      </w:r>
      <w:r w:rsidR="00B57A60">
        <w:t>c</w:t>
      </w:r>
      <w:r w:rsidR="00C42BDC">
        <w:t>ould also be identified in the database.</w:t>
      </w:r>
      <w:r w:rsidR="00E62584" w:rsidRPr="00E62584">
        <w:t xml:space="preserve"> </w:t>
      </w:r>
    </w:p>
    <w:p w14:paraId="5AEE9DCE" w14:textId="223A7976" w:rsidR="00D31615" w:rsidRDefault="003647D9" w:rsidP="00C42BDC">
      <w:pPr>
        <w:pStyle w:val="BodyText"/>
      </w:pPr>
      <w:bookmarkStart w:id="309" w:name="_Hlk59521418"/>
      <w:r>
        <w:t>I</w:t>
      </w:r>
      <w:r w:rsidR="00C7039E">
        <w:t>nformation from t</w:t>
      </w:r>
      <w:r w:rsidR="002C4345">
        <w:t xml:space="preserve">his </w:t>
      </w:r>
      <w:r w:rsidR="00C7039E">
        <w:t xml:space="preserve">database could be used to generate a comparative risk profile of </w:t>
      </w:r>
      <w:r w:rsidR="00031A14">
        <w:t xml:space="preserve">approved </w:t>
      </w:r>
      <w:r w:rsidR="00C7039E">
        <w:t>residual coal</w:t>
      </w:r>
      <w:r w:rsidR="00B92F14">
        <w:t xml:space="preserve"> mine</w:t>
      </w:r>
      <w:r w:rsidR="00C7039E">
        <w:t xml:space="preserve"> voids </w:t>
      </w:r>
      <w:r w:rsidR="00B92F14">
        <w:t xml:space="preserve">to </w:t>
      </w:r>
      <w:r w:rsidR="0051042C">
        <w:t xml:space="preserve">enable </w:t>
      </w:r>
      <w:r w:rsidR="00192E3A">
        <w:t xml:space="preserve">the </w:t>
      </w:r>
      <w:r>
        <w:t xml:space="preserve">relative </w:t>
      </w:r>
      <w:r w:rsidR="00192E3A">
        <w:t xml:space="preserve">risk of an individual </w:t>
      </w:r>
      <w:r w:rsidR="002C4345">
        <w:t xml:space="preserve">coal </w:t>
      </w:r>
      <w:r w:rsidR="00192E3A">
        <w:t>mine site and</w:t>
      </w:r>
      <w:r w:rsidR="00C7039E">
        <w:t xml:space="preserve"> </w:t>
      </w:r>
      <w:r w:rsidR="00192E3A">
        <w:t xml:space="preserve">the </w:t>
      </w:r>
      <w:r w:rsidR="00C7039E">
        <w:t>cumulative</w:t>
      </w:r>
      <w:r>
        <w:t xml:space="preserve"> risk </w:t>
      </w:r>
      <w:r w:rsidR="00192E3A">
        <w:t xml:space="preserve">of multiple </w:t>
      </w:r>
      <w:r w:rsidR="002C4345">
        <w:t xml:space="preserve">coal </w:t>
      </w:r>
      <w:r w:rsidR="00192E3A">
        <w:t xml:space="preserve">mine sites </w:t>
      </w:r>
      <w:r>
        <w:t>to be understood</w:t>
      </w:r>
      <w:r w:rsidR="00DC232D">
        <w:t xml:space="preserve"> by the IESC</w:t>
      </w:r>
      <w:r w:rsidR="00192E3A">
        <w:t xml:space="preserve"> when assessing new </w:t>
      </w:r>
      <w:r w:rsidR="00E62584">
        <w:t xml:space="preserve">coal mine development proposals and </w:t>
      </w:r>
      <w:r w:rsidR="00192E3A">
        <w:t>amendments to existing EAs</w:t>
      </w:r>
      <w:r>
        <w:t>.</w:t>
      </w:r>
      <w:r w:rsidR="00D31615">
        <w:t xml:space="preserve"> </w:t>
      </w:r>
    </w:p>
    <w:p w14:paraId="6E167CDE" w14:textId="1A3978D5" w:rsidR="00D31615" w:rsidRDefault="007556D4" w:rsidP="00C42BDC">
      <w:pPr>
        <w:pStyle w:val="BodyText"/>
      </w:pPr>
      <w:r>
        <w:lastRenderedPageBreak/>
        <w:t>The Queensland Emergency Risk Management Framework (QERMF) documented in the Risk Assessment Process Handbook (</w:t>
      </w:r>
      <w:r w:rsidRPr="007556D4">
        <w:t>Queensland Fire and Emergency Services</w:t>
      </w:r>
      <w:r>
        <w:t xml:space="preserve">, </w:t>
      </w:r>
      <w:r w:rsidRPr="007556D4">
        <w:t>2018</w:t>
      </w:r>
      <w:r>
        <w:t xml:space="preserve">) describes a risk assessment methodology for disaster management planning in Queensland that could be applied to generate </w:t>
      </w:r>
      <w:r w:rsidR="001C0C3E">
        <w:t>a</w:t>
      </w:r>
      <w:r>
        <w:t xml:space="preserve"> comparative risk profile</w:t>
      </w:r>
      <w:r w:rsidR="00F8713A">
        <w:t xml:space="preserve"> for residual coal mine voids in the State</w:t>
      </w:r>
      <w:r>
        <w:t xml:space="preserve">. </w:t>
      </w:r>
    </w:p>
    <w:p w14:paraId="3DD9E03B" w14:textId="77777777" w:rsidR="00937ADD" w:rsidRDefault="00F8713A" w:rsidP="00937ADD">
      <w:pPr>
        <w:pStyle w:val="BodyText"/>
        <w:rPr>
          <w:sz w:val="18"/>
          <w:szCs w:val="18"/>
        </w:rPr>
      </w:pPr>
      <w:r>
        <w:t xml:space="preserve">The risk assessment approach underpinning the QERMF includes two key </w:t>
      </w:r>
      <w:r w:rsidR="004C52BE">
        <w:t>processes:</w:t>
      </w:r>
      <w:r>
        <w:t xml:space="preserve"> identify</w:t>
      </w:r>
      <w:r w:rsidR="000F13C9">
        <w:t>ing</w:t>
      </w:r>
      <w:r>
        <w:t xml:space="preserve"> the risk and then assign</w:t>
      </w:r>
      <w:r w:rsidR="000F13C9">
        <w:t>ing</w:t>
      </w:r>
      <w:r>
        <w:t xml:space="preserve"> the level of risk. </w:t>
      </w:r>
      <w:r w:rsidR="00093605">
        <w:t xml:space="preserve">Specifically, </w:t>
      </w:r>
      <w:r w:rsidR="00093605" w:rsidRPr="00E62940">
        <w:rPr>
          <w:i/>
          <w:iCs/>
        </w:rPr>
        <w:t>Process 1</w:t>
      </w:r>
      <w:r w:rsidR="00093605">
        <w:t xml:space="preserve"> allows for an initial identification of risk in relation to the probability of a hazard occurring versus its impact upon the environment, while </w:t>
      </w:r>
      <w:r w:rsidR="00093605" w:rsidRPr="00E62940">
        <w:rPr>
          <w:i/>
          <w:iCs/>
        </w:rPr>
        <w:t>Process 2</w:t>
      </w:r>
      <w:r w:rsidR="00093605">
        <w:t xml:space="preserve"> allows for greater analysis </w:t>
      </w:r>
      <w:r w:rsidR="000F13C9">
        <w:t>of</w:t>
      </w:r>
      <w:r w:rsidR="00093605">
        <w:t xml:space="preserve"> the identified risk and the assignment of a level of risk. </w:t>
      </w:r>
      <w:r>
        <w:t xml:space="preserve">The outcomes of these two processes are used to populate multiple risk management documents including the Risk Assessment Table </w:t>
      </w:r>
      <w:r w:rsidR="007C5710">
        <w:t xml:space="preserve">and Decision Log </w:t>
      </w:r>
      <w:r>
        <w:t xml:space="preserve">as </w:t>
      </w:r>
      <w:r w:rsidRPr="00E62940">
        <w:rPr>
          <w:szCs w:val="20"/>
        </w:rPr>
        <w:t xml:space="preserve">outlined in </w:t>
      </w:r>
      <w:r w:rsidRPr="00E62940">
        <w:rPr>
          <w:szCs w:val="20"/>
        </w:rPr>
        <w:fldChar w:fldCharType="begin"/>
      </w:r>
      <w:r w:rsidRPr="00E62940">
        <w:rPr>
          <w:szCs w:val="20"/>
        </w:rPr>
        <w:instrText xml:space="preserve"> REF _Ref62116031 \h </w:instrText>
      </w:r>
      <w:r w:rsidR="00E62940">
        <w:rPr>
          <w:szCs w:val="20"/>
        </w:rPr>
        <w:instrText xml:space="preserve"> \* MERGEFORMAT </w:instrText>
      </w:r>
      <w:r w:rsidRPr="00E62940">
        <w:rPr>
          <w:szCs w:val="20"/>
        </w:rPr>
      </w:r>
      <w:r w:rsidRPr="00E62940">
        <w:rPr>
          <w:szCs w:val="20"/>
        </w:rPr>
        <w:fldChar w:fldCharType="separate"/>
      </w:r>
      <w:r w:rsidR="00937ADD" w:rsidRPr="00937ADD">
        <w:rPr>
          <w:noProof/>
          <w:szCs w:val="20"/>
        </w:rPr>
        <w:br w:type="page"/>
      </w:r>
    </w:p>
    <w:p w14:paraId="30F6B854" w14:textId="36CBE3CA" w:rsidR="00B66AB7" w:rsidRDefault="00937ADD" w:rsidP="007C5710">
      <w:pPr>
        <w:pStyle w:val="BodyText"/>
      </w:pPr>
      <w:r w:rsidRPr="007F538E">
        <w:rPr>
          <w:noProof/>
          <w:sz w:val="18"/>
          <w:szCs w:val="18"/>
        </w:rPr>
        <w:lastRenderedPageBreak/>
        <w:t>Figure</w:t>
      </w:r>
      <w:r w:rsidRPr="007F538E">
        <w:rPr>
          <w:sz w:val="18"/>
          <w:szCs w:val="18"/>
        </w:rPr>
        <w:t xml:space="preserve"> </w:t>
      </w:r>
      <w:r>
        <w:rPr>
          <w:noProof/>
          <w:sz w:val="18"/>
          <w:szCs w:val="18"/>
        </w:rPr>
        <w:t>6</w:t>
      </w:r>
      <w:r w:rsidRPr="007F538E">
        <w:rPr>
          <w:sz w:val="18"/>
          <w:szCs w:val="18"/>
        </w:rPr>
        <w:noBreakHyphen/>
      </w:r>
      <w:r>
        <w:rPr>
          <w:noProof/>
          <w:sz w:val="18"/>
          <w:szCs w:val="18"/>
        </w:rPr>
        <w:t>1</w:t>
      </w:r>
      <w:r w:rsidR="00F8713A" w:rsidRPr="00E62940">
        <w:rPr>
          <w:szCs w:val="20"/>
        </w:rPr>
        <w:fldChar w:fldCharType="end"/>
      </w:r>
      <w:r w:rsidR="00F8713A" w:rsidRPr="00E62940">
        <w:rPr>
          <w:szCs w:val="20"/>
        </w:rPr>
        <w:t>.</w:t>
      </w:r>
      <w:r w:rsidR="007C5710" w:rsidRPr="007C5710">
        <w:t xml:space="preserve"> </w:t>
      </w:r>
      <w:r w:rsidR="007C5710">
        <w:t>The Risk Register</w:t>
      </w:r>
      <w:r w:rsidR="00B340A8">
        <w:t>,</w:t>
      </w:r>
      <w:r w:rsidR="007C5710">
        <w:t xml:space="preserve"> used in the consideration and planning of </w:t>
      </w:r>
      <w:r w:rsidR="00B340A8">
        <w:t xml:space="preserve">management and </w:t>
      </w:r>
      <w:r w:rsidR="007C5710">
        <w:t>treatment options</w:t>
      </w:r>
      <w:r w:rsidR="00B340A8">
        <w:t>,</w:t>
      </w:r>
      <w:r w:rsidR="007C5710">
        <w:t xml:space="preserve"> </w:t>
      </w:r>
      <w:r w:rsidR="00E92FD2">
        <w:t xml:space="preserve">will require the involvement of DES and local government and </w:t>
      </w:r>
      <w:r w:rsidR="00B340A8">
        <w:t xml:space="preserve">may </w:t>
      </w:r>
      <w:r w:rsidR="00E92FD2">
        <w:t>be undertaken as a subsequent stage to the risk assessment</w:t>
      </w:r>
      <w:r w:rsidR="007C5710">
        <w:t>.</w:t>
      </w:r>
    </w:p>
    <w:p w14:paraId="715C1E8C" w14:textId="77777777" w:rsidR="00E62940" w:rsidRDefault="00E62940" w:rsidP="007C5710">
      <w:pPr>
        <w:pStyle w:val="BodyText"/>
      </w:pPr>
    </w:p>
    <w:p w14:paraId="4CEB0D79" w14:textId="77777777" w:rsidR="00332DB2" w:rsidRDefault="00332DB2">
      <w:pPr>
        <w:rPr>
          <w:sz w:val="18"/>
          <w:szCs w:val="18"/>
        </w:rPr>
      </w:pPr>
      <w:bookmarkStart w:id="310" w:name="_Ref62116031"/>
      <w:bookmarkStart w:id="311" w:name="_Toc65140613"/>
      <w:r>
        <w:rPr>
          <w:sz w:val="18"/>
          <w:szCs w:val="18"/>
        </w:rPr>
        <w:br w:type="page"/>
      </w:r>
    </w:p>
    <w:p w14:paraId="00422DDD" w14:textId="06FDCAB5" w:rsidR="00AD2DEB" w:rsidRPr="007F538E" w:rsidRDefault="00F8713A" w:rsidP="00B66AB7">
      <w:pPr>
        <w:pStyle w:val="BodyText"/>
        <w:rPr>
          <w:sz w:val="18"/>
          <w:szCs w:val="18"/>
        </w:rPr>
      </w:pPr>
      <w:r w:rsidRPr="007F538E">
        <w:rPr>
          <w:sz w:val="18"/>
          <w:szCs w:val="18"/>
        </w:rPr>
        <w:lastRenderedPageBreak/>
        <w:t xml:space="preserve">Figure </w:t>
      </w:r>
      <w:r w:rsidR="002706A0" w:rsidRPr="007F538E">
        <w:rPr>
          <w:sz w:val="18"/>
          <w:szCs w:val="18"/>
        </w:rPr>
        <w:fldChar w:fldCharType="begin"/>
      </w:r>
      <w:r w:rsidR="002706A0" w:rsidRPr="007F538E">
        <w:rPr>
          <w:sz w:val="18"/>
          <w:szCs w:val="18"/>
        </w:rPr>
        <w:instrText xml:space="preserve"> STYLEREF 1 \s </w:instrText>
      </w:r>
      <w:r w:rsidR="002706A0" w:rsidRPr="007F538E">
        <w:rPr>
          <w:sz w:val="18"/>
          <w:szCs w:val="18"/>
        </w:rPr>
        <w:fldChar w:fldCharType="separate"/>
      </w:r>
      <w:r w:rsidR="00937ADD">
        <w:rPr>
          <w:noProof/>
          <w:sz w:val="18"/>
          <w:szCs w:val="18"/>
        </w:rPr>
        <w:t>6</w:t>
      </w:r>
      <w:r w:rsidR="002706A0" w:rsidRPr="007F538E">
        <w:rPr>
          <w:sz w:val="18"/>
          <w:szCs w:val="18"/>
        </w:rPr>
        <w:fldChar w:fldCharType="end"/>
      </w:r>
      <w:r w:rsidR="002706A0" w:rsidRPr="007F538E">
        <w:rPr>
          <w:sz w:val="18"/>
          <w:szCs w:val="18"/>
        </w:rPr>
        <w:noBreakHyphen/>
      </w:r>
      <w:r w:rsidR="002706A0" w:rsidRPr="007F538E">
        <w:rPr>
          <w:sz w:val="18"/>
          <w:szCs w:val="18"/>
        </w:rPr>
        <w:fldChar w:fldCharType="begin"/>
      </w:r>
      <w:r w:rsidR="002706A0" w:rsidRPr="007F538E">
        <w:rPr>
          <w:sz w:val="18"/>
          <w:szCs w:val="18"/>
        </w:rPr>
        <w:instrText xml:space="preserve"> SEQ Figure \* ARABIC \s 1 </w:instrText>
      </w:r>
      <w:r w:rsidR="002706A0" w:rsidRPr="007F538E">
        <w:rPr>
          <w:sz w:val="18"/>
          <w:szCs w:val="18"/>
        </w:rPr>
        <w:fldChar w:fldCharType="separate"/>
      </w:r>
      <w:r w:rsidR="00937ADD">
        <w:rPr>
          <w:noProof/>
          <w:sz w:val="18"/>
          <w:szCs w:val="18"/>
        </w:rPr>
        <w:t>1</w:t>
      </w:r>
      <w:r w:rsidR="002706A0" w:rsidRPr="007F538E">
        <w:rPr>
          <w:sz w:val="18"/>
          <w:szCs w:val="18"/>
        </w:rPr>
        <w:fldChar w:fldCharType="end"/>
      </w:r>
      <w:bookmarkEnd w:id="310"/>
      <w:r w:rsidRPr="007F538E">
        <w:rPr>
          <w:sz w:val="18"/>
          <w:szCs w:val="18"/>
        </w:rPr>
        <w:t xml:space="preserve"> Snapshot of QERMF risk assessment approach (Queensland Fire and Emergency Services, 2018)</w:t>
      </w:r>
      <w:bookmarkEnd w:id="311"/>
    </w:p>
    <w:p w14:paraId="2D4B1868" w14:textId="168B7CDF" w:rsidR="00F8713A" w:rsidRDefault="00F8713A" w:rsidP="00B66AB7">
      <w:pPr>
        <w:pStyle w:val="BodyText"/>
      </w:pPr>
      <w:r>
        <w:rPr>
          <w:noProof/>
        </w:rPr>
        <w:drawing>
          <wp:inline distT="0" distB="0" distL="0" distR="0" wp14:anchorId="33082085" wp14:editId="42C5D024">
            <wp:extent cx="5286375" cy="7207918"/>
            <wp:effectExtent l="0" t="0" r="0" b="0"/>
            <wp:docPr id="7" name="Picture 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cess diagram.jpg"/>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5330160" cy="7267618"/>
                    </a:xfrm>
                    <a:prstGeom prst="rect">
                      <a:avLst/>
                    </a:prstGeom>
                    <a:ln>
                      <a:noFill/>
                    </a:ln>
                    <a:extLst>
                      <a:ext uri="{53640926-AAD7-44D8-BBD7-CCE9431645EC}">
                        <a14:shadowObscured xmlns:a14="http://schemas.microsoft.com/office/drawing/2010/main"/>
                      </a:ext>
                    </a:extLst>
                  </pic:spPr>
                </pic:pic>
              </a:graphicData>
            </a:graphic>
          </wp:inline>
        </w:drawing>
      </w:r>
    </w:p>
    <w:p w14:paraId="2A70CCEC" w14:textId="33B24CF1" w:rsidR="006F3B57" w:rsidRDefault="006F3B57" w:rsidP="00F8713A">
      <w:pPr>
        <w:pStyle w:val="BodyText"/>
      </w:pPr>
      <w:bookmarkStart w:id="312" w:name="_Hlk62138547"/>
      <w:r>
        <w:t>The QERMF risk assessment approach would need to be tailored to accommodate the objectives of the residual void risk assessment and the nature of the data and information that would be used in defining or assigning the various attributes in each step. An important distinction is that the risk assessment would rely on defining the hazard probability (</w:t>
      </w:r>
      <w:r w:rsidRPr="00E62940">
        <w:rPr>
          <w:i/>
          <w:iCs/>
        </w:rPr>
        <w:t>Process 1, Step 1</w:t>
      </w:r>
      <w:r>
        <w:t>) and likelihood (</w:t>
      </w:r>
      <w:r w:rsidRPr="00E62940">
        <w:rPr>
          <w:i/>
          <w:iCs/>
        </w:rPr>
        <w:t>Process 2, Step 1</w:t>
      </w:r>
      <w:r>
        <w:t xml:space="preserve">) attributes based on model projections (if available) rather historical data as applied in the QERMF.  </w:t>
      </w:r>
    </w:p>
    <w:p w14:paraId="565BD57E" w14:textId="6F427062" w:rsidR="00093605" w:rsidRDefault="00E964A5" w:rsidP="00093605">
      <w:pPr>
        <w:pStyle w:val="BodyText"/>
      </w:pPr>
      <w:r>
        <w:lastRenderedPageBreak/>
        <w:t>In the context of this study, p</w:t>
      </w:r>
      <w:r w:rsidR="00093605">
        <w:t xml:space="preserve">otential hazards of residual coal voids that </w:t>
      </w:r>
      <w:r w:rsidR="000F13C9">
        <w:t xml:space="preserve">could be </w:t>
      </w:r>
      <w:r w:rsidR="00093605">
        <w:t>consider</w:t>
      </w:r>
      <w:r w:rsidR="000F13C9">
        <w:t>ed</w:t>
      </w:r>
      <w:r w:rsidR="00093605">
        <w:t xml:space="preserve"> in the risk matrix include: </w:t>
      </w:r>
    </w:p>
    <w:p w14:paraId="3ABE2FFF" w14:textId="2A3D2DEC" w:rsidR="00E964A5" w:rsidRDefault="004C52BE" w:rsidP="00093605">
      <w:pPr>
        <w:pStyle w:val="BodyText"/>
        <w:numPr>
          <w:ilvl w:val="0"/>
          <w:numId w:val="89"/>
        </w:numPr>
      </w:pPr>
      <w:r>
        <w:t>o</w:t>
      </w:r>
      <w:r w:rsidR="00093605">
        <w:t>vertopping of the residual void</w:t>
      </w:r>
      <w:r>
        <w:t>;</w:t>
      </w:r>
    </w:p>
    <w:p w14:paraId="357541EE" w14:textId="08DEC26D" w:rsidR="00E964A5" w:rsidRDefault="004C52BE" w:rsidP="00093605">
      <w:pPr>
        <w:pStyle w:val="BodyText"/>
        <w:numPr>
          <w:ilvl w:val="0"/>
          <w:numId w:val="89"/>
        </w:numPr>
      </w:pPr>
      <w:r>
        <w:t>f</w:t>
      </w:r>
      <w:r w:rsidR="00093605">
        <w:t>lood inundation of residual voids located in floodplains</w:t>
      </w:r>
      <w:r>
        <w:t>;</w:t>
      </w:r>
    </w:p>
    <w:p w14:paraId="58D990E8" w14:textId="6E517EBA" w:rsidR="00E964A5" w:rsidRDefault="004C52BE" w:rsidP="00093605">
      <w:pPr>
        <w:pStyle w:val="BodyText"/>
        <w:numPr>
          <w:ilvl w:val="0"/>
          <w:numId w:val="89"/>
        </w:numPr>
      </w:pPr>
      <w:r>
        <w:t>g</w:t>
      </w:r>
      <w:r w:rsidR="00093605">
        <w:t xml:space="preserve">roundwater seepage from residual void (i.e. in the event that a residual void evolves into a </w:t>
      </w:r>
      <w:r w:rsidR="00093605" w:rsidRPr="00E62940">
        <w:rPr>
          <w:i/>
          <w:iCs/>
        </w:rPr>
        <w:t>source</w:t>
      </w:r>
      <w:r w:rsidR="00093605">
        <w:t xml:space="preserve"> or </w:t>
      </w:r>
      <w:r w:rsidR="00093605" w:rsidRPr="00E62940">
        <w:rPr>
          <w:i/>
          <w:iCs/>
        </w:rPr>
        <w:t>groundwater/surface water flow regime</w:t>
      </w:r>
      <w:r w:rsidR="00093605">
        <w:t xml:space="preserve"> or fault structures intersect a </w:t>
      </w:r>
      <w:r w:rsidR="00093605" w:rsidRPr="00B10F5D">
        <w:rPr>
          <w:i/>
          <w:iCs/>
        </w:rPr>
        <w:t>terminal sink flow regime</w:t>
      </w:r>
      <w:r w:rsidR="00093605">
        <w:t>)</w:t>
      </w:r>
      <w:r>
        <w:t>;</w:t>
      </w:r>
    </w:p>
    <w:p w14:paraId="6C19BA53" w14:textId="51F78782" w:rsidR="00E964A5" w:rsidRDefault="004C52BE" w:rsidP="00093605">
      <w:pPr>
        <w:pStyle w:val="BodyText"/>
        <w:numPr>
          <w:ilvl w:val="0"/>
          <w:numId w:val="89"/>
        </w:numPr>
      </w:pPr>
      <w:r>
        <w:t>c</w:t>
      </w:r>
      <w:r w:rsidR="00093605">
        <w:t>learing of remnant vegetation for open-cut areas, which will ultimately occupy residual voids</w:t>
      </w:r>
      <w:r>
        <w:t>; and</w:t>
      </w:r>
    </w:p>
    <w:p w14:paraId="714193AD" w14:textId="20165833" w:rsidR="00F8713A" w:rsidRDefault="004C52BE" w:rsidP="00093605">
      <w:pPr>
        <w:pStyle w:val="BodyText"/>
        <w:numPr>
          <w:ilvl w:val="0"/>
          <w:numId w:val="89"/>
        </w:numPr>
      </w:pPr>
      <w:r>
        <w:t>c</w:t>
      </w:r>
      <w:r w:rsidR="00093605">
        <w:t>hange to ecological values upon rehabilitation of the residual void to a PMLU.</w:t>
      </w:r>
    </w:p>
    <w:p w14:paraId="5B4F36BA" w14:textId="2CDA7B59" w:rsidR="007C5710" w:rsidRDefault="00CB27A5" w:rsidP="007C5710">
      <w:pPr>
        <w:pStyle w:val="BodyText"/>
      </w:pPr>
      <w:r>
        <w:t xml:space="preserve">A possible approach to each step in </w:t>
      </w:r>
      <w:r w:rsidRPr="00E62940">
        <w:rPr>
          <w:i/>
          <w:iCs/>
        </w:rPr>
        <w:t>Process 1</w:t>
      </w:r>
      <w:r>
        <w:t xml:space="preserve"> and </w:t>
      </w:r>
      <w:r w:rsidR="00E62940" w:rsidRPr="00E62940">
        <w:rPr>
          <w:i/>
          <w:iCs/>
        </w:rPr>
        <w:t xml:space="preserve">Process </w:t>
      </w:r>
      <w:r w:rsidRPr="00E62940">
        <w:rPr>
          <w:i/>
          <w:iCs/>
        </w:rPr>
        <w:t>2</w:t>
      </w:r>
      <w:r>
        <w:t xml:space="preserve"> is defined for each potential hazard in </w:t>
      </w:r>
      <w:r>
        <w:fldChar w:fldCharType="begin"/>
      </w:r>
      <w:r>
        <w:instrText xml:space="preserve"> REF _Ref62128135 \h </w:instrText>
      </w:r>
      <w:r>
        <w:fldChar w:fldCharType="separate"/>
      </w:r>
      <w:r w:rsidR="00937ADD">
        <w:t xml:space="preserve">Table </w:t>
      </w:r>
      <w:r w:rsidR="00937ADD">
        <w:rPr>
          <w:noProof/>
        </w:rPr>
        <w:t>6</w:t>
      </w:r>
      <w:r w:rsidR="00937ADD">
        <w:noBreakHyphen/>
      </w:r>
      <w:r w:rsidR="00937ADD">
        <w:rPr>
          <w:noProof/>
        </w:rPr>
        <w:t>1</w:t>
      </w:r>
      <w:r>
        <w:fldChar w:fldCharType="end"/>
      </w:r>
      <w:r>
        <w:t xml:space="preserve"> as is the input data required to define the attribute. Following definition of each of these steps, </w:t>
      </w:r>
      <w:r w:rsidR="00FE47DC">
        <w:t>an overall level of risk</w:t>
      </w:r>
      <w:r>
        <w:t xml:space="preserve"> (corresponding to each potential hazard and corresponding exposed element) </w:t>
      </w:r>
      <w:r w:rsidR="00FE47DC">
        <w:t>can be calculated and assigned</w:t>
      </w:r>
      <w:r>
        <w:t xml:space="preserve"> according to a risk matrix (</w:t>
      </w:r>
      <w:r>
        <w:fldChar w:fldCharType="begin"/>
      </w:r>
      <w:r>
        <w:instrText xml:space="preserve"> REF _Ref62125577 \h </w:instrText>
      </w:r>
      <w:r>
        <w:fldChar w:fldCharType="separate"/>
      </w:r>
      <w:r w:rsidR="00937ADD">
        <w:t xml:space="preserve">Figure </w:t>
      </w:r>
      <w:r w:rsidR="00937ADD">
        <w:rPr>
          <w:noProof/>
        </w:rPr>
        <w:t>6</w:t>
      </w:r>
      <w:r w:rsidR="00937ADD">
        <w:noBreakHyphen/>
      </w:r>
      <w:r w:rsidR="00937ADD">
        <w:rPr>
          <w:noProof/>
        </w:rPr>
        <w:t>2</w:t>
      </w:r>
      <w:r>
        <w:fldChar w:fldCharType="end"/>
      </w:r>
      <w:r>
        <w:t>) which i</w:t>
      </w:r>
      <w:r w:rsidR="00FE47DC">
        <w:t>nputs the likelihood (X),</w:t>
      </w:r>
      <w:r>
        <w:t xml:space="preserve"> </w:t>
      </w:r>
      <w:r w:rsidR="00FE47DC">
        <w:t>vulnerability (Y) and consequence (Z) levels (ranked 1-5 respectively) to output an overall severity rating</w:t>
      </w:r>
      <w:r>
        <w:t xml:space="preserve"> </w:t>
      </w:r>
      <w:r w:rsidR="00FE47DC">
        <w:t>(1-13). The severity rating is then broken down across five levels of risk which range from Very Low</w:t>
      </w:r>
      <w:r>
        <w:t xml:space="preserve"> </w:t>
      </w:r>
      <w:r w:rsidR="00FE47DC">
        <w:t>to Extreme.</w:t>
      </w:r>
      <w:r>
        <w:t xml:space="preserve"> The outputs of the risk assessment can be recorded in a </w:t>
      </w:r>
      <w:r w:rsidR="007C5710">
        <w:t>R</w:t>
      </w:r>
      <w:r>
        <w:t xml:space="preserve">isk </w:t>
      </w:r>
      <w:r w:rsidR="007C5710">
        <w:t>A</w:t>
      </w:r>
      <w:r>
        <w:t xml:space="preserve">ssessment </w:t>
      </w:r>
      <w:r w:rsidR="007C5710">
        <w:t>T</w:t>
      </w:r>
      <w:r>
        <w:t>able (inclusive of a risk statement if required) and incorporated into the study’s database.</w:t>
      </w:r>
      <w:r w:rsidR="007C5710">
        <w:t xml:space="preserve"> Any supporting documentation associated with the risk assessment, including the rationale behind judgements and decisions can be recorded in a Decision Log. </w:t>
      </w:r>
      <w:r w:rsidR="00B10F5D">
        <w:t>Templates for both the Risk Assessment Table and Decision Log are provided in the Risk Assessment Process Handbook (</w:t>
      </w:r>
      <w:r w:rsidR="00B10F5D" w:rsidRPr="007556D4">
        <w:t>Queensland Fire and Emergency Services</w:t>
      </w:r>
      <w:r w:rsidR="00B10F5D">
        <w:t xml:space="preserve">, </w:t>
      </w:r>
      <w:r w:rsidR="00B10F5D" w:rsidRPr="007556D4">
        <w:t>2018</w:t>
      </w:r>
      <w:r w:rsidR="00B10F5D">
        <w:t>).</w:t>
      </w:r>
      <w:r w:rsidR="00881FCF">
        <w:t xml:space="preserve"> </w:t>
      </w:r>
    </w:p>
    <w:p w14:paraId="56A6C821" w14:textId="78AEBE39" w:rsidR="00881FCF" w:rsidRDefault="00B10F5D" w:rsidP="007C5710">
      <w:pPr>
        <w:pStyle w:val="BodyText"/>
      </w:pPr>
      <w:r>
        <w:t xml:space="preserve">The outputs of the risk assessment (being an overall level of risk for each potential hazard and </w:t>
      </w:r>
      <w:r w:rsidR="00D052B0">
        <w:t xml:space="preserve">corresponding </w:t>
      </w:r>
      <w:r>
        <w:t xml:space="preserve">exposed element) can be </w:t>
      </w:r>
      <w:r w:rsidR="00D052B0">
        <w:t>overlaid</w:t>
      </w:r>
      <w:r w:rsidR="00B340A8">
        <w:t xml:space="preserve"> spatially</w:t>
      </w:r>
      <w:r w:rsidR="00D052B0">
        <w:t>. Weighted criteria could be used for each risk level in a weighted overlay process that gives a spatially explicit quantitative assessment for each residual void to guide review and assessment effort and help define appropriate management tools.</w:t>
      </w:r>
      <w:bookmarkStart w:id="313" w:name="_Hlk59551773"/>
      <w:r w:rsidR="00D052B0">
        <w:t xml:space="preserve"> </w:t>
      </w:r>
      <w:r>
        <w:t>By a</w:t>
      </w:r>
      <w:r w:rsidRPr="00BC2D56">
        <w:t xml:space="preserve">pplying GIS </w:t>
      </w:r>
      <w:r>
        <w:t xml:space="preserve">multi-component </w:t>
      </w:r>
      <w:r w:rsidRPr="00BC2D56">
        <w:t>analysis to the comparative risk profile, the cumulative risk of multiple projects within a defined area (e.g. catchment) could also be represented spatially.</w:t>
      </w:r>
      <w:bookmarkEnd w:id="312"/>
      <w:bookmarkEnd w:id="313"/>
      <w:r w:rsidR="00881FCF">
        <w:t xml:space="preserve"> As with all risk assessment, the outputs will identify the relative risk (reflecting only the data that is available for inclusion) and should not be considered a</w:t>
      </w:r>
      <w:r w:rsidR="00EE74AB">
        <w:t>s</w:t>
      </w:r>
      <w:r w:rsidR="00881FCF">
        <w:t xml:space="preserve"> definitive.</w:t>
      </w:r>
    </w:p>
    <w:p w14:paraId="1ECF690F" w14:textId="2FFE8B32" w:rsidR="00881FCF" w:rsidRDefault="00881FCF" w:rsidP="007C5710">
      <w:pPr>
        <w:pStyle w:val="BodyText"/>
        <w:sectPr w:rsidR="00881FCF" w:rsidSect="00F66109">
          <w:pgSz w:w="11907" w:h="16839" w:code="9"/>
          <w:pgMar w:top="1440" w:right="1440" w:bottom="1134" w:left="1440" w:header="340" w:footer="340" w:gutter="0"/>
          <w:cols w:space="708"/>
          <w:docGrid w:linePitch="360"/>
        </w:sectPr>
      </w:pPr>
    </w:p>
    <w:p w14:paraId="2B21574E" w14:textId="57F52FB1" w:rsidR="00854A11" w:rsidRDefault="002714CC" w:rsidP="002714CC">
      <w:pPr>
        <w:pStyle w:val="Caption"/>
      </w:pPr>
      <w:bookmarkStart w:id="314" w:name="_Ref62128135"/>
      <w:bookmarkStart w:id="315" w:name="_Toc65140596"/>
      <w:r>
        <w:lastRenderedPageBreak/>
        <w:t xml:space="preserve">Table </w:t>
      </w:r>
      <w:fldSimple w:instr=" STYLEREF 1 \s ">
        <w:r w:rsidR="00937ADD">
          <w:rPr>
            <w:noProof/>
          </w:rPr>
          <w:t>6</w:t>
        </w:r>
      </w:fldSimple>
      <w:r>
        <w:noBreakHyphen/>
      </w:r>
      <w:fldSimple w:instr=" SEQ Table \* ARABIC \s 1 ">
        <w:r w:rsidR="00937ADD">
          <w:rPr>
            <w:noProof/>
          </w:rPr>
          <w:t>1</w:t>
        </w:r>
      </w:fldSimple>
      <w:bookmarkEnd w:id="314"/>
      <w:r>
        <w:t xml:space="preserve"> Possible approach to risk assessment based on the QERMF</w:t>
      </w:r>
      <w:bookmarkEnd w:id="315"/>
    </w:p>
    <w:tbl>
      <w:tblPr>
        <w:tblStyle w:val="Plainblue"/>
        <w:tblW w:w="15021" w:type="dxa"/>
        <w:tblBorders>
          <w:top w:val="single" w:sz="4" w:space="0" w:color="97ABB6" w:themeColor="accent1"/>
          <w:left w:val="single" w:sz="4" w:space="0" w:color="97ABB6" w:themeColor="accent1"/>
          <w:bottom w:val="single" w:sz="4" w:space="0" w:color="97ABB6" w:themeColor="accent1"/>
          <w:right w:val="single" w:sz="4" w:space="0" w:color="97ABB6" w:themeColor="accent1"/>
          <w:insideH w:val="single" w:sz="4" w:space="0" w:color="97ABB6" w:themeColor="accent1"/>
          <w:insideV w:val="single" w:sz="4" w:space="0" w:color="97ABB6" w:themeColor="accent1"/>
        </w:tblBorders>
        <w:tblLook w:val="04A0" w:firstRow="1" w:lastRow="0" w:firstColumn="1" w:lastColumn="0" w:noHBand="0" w:noVBand="1"/>
      </w:tblPr>
      <w:tblGrid>
        <w:gridCol w:w="1487"/>
        <w:gridCol w:w="1095"/>
        <w:gridCol w:w="1184"/>
        <w:gridCol w:w="3311"/>
        <w:gridCol w:w="2299"/>
        <w:gridCol w:w="1131"/>
        <w:gridCol w:w="1772"/>
        <w:gridCol w:w="2742"/>
      </w:tblGrid>
      <w:tr w:rsidR="003E2557" w:rsidRPr="002714CC" w14:paraId="275AF5C4" w14:textId="5751113F" w:rsidTr="00683D4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tcPr>
          <w:p w14:paraId="503B3BF3" w14:textId="57FA6AB1" w:rsidR="003E2557" w:rsidRPr="002714CC" w:rsidRDefault="00497821" w:rsidP="00497821">
            <w:pPr>
              <w:pStyle w:val="BodyText"/>
              <w:spacing w:before="60" w:beforeAutospacing="0" w:after="60" w:afterAutospacing="0" w:line="300" w:lineRule="auto"/>
              <w:jc w:val="center"/>
              <w:rPr>
                <w:rFonts w:asciiTheme="minorHAnsi" w:hAnsiTheme="minorHAnsi" w:cstheme="minorHAnsi"/>
                <w:sz w:val="16"/>
                <w:szCs w:val="16"/>
              </w:rPr>
            </w:pPr>
            <w:r>
              <w:rPr>
                <w:rFonts w:asciiTheme="minorHAnsi" w:hAnsiTheme="minorHAnsi" w:cstheme="minorHAnsi"/>
                <w:sz w:val="16"/>
                <w:szCs w:val="16"/>
              </w:rPr>
              <w:t>QERMF Process number</w:t>
            </w:r>
          </w:p>
        </w:tc>
        <w:tc>
          <w:tcPr>
            <w:tcW w:w="4604" w:type="dxa"/>
            <w:gridSpan w:val="3"/>
          </w:tcPr>
          <w:p w14:paraId="3D4C6180" w14:textId="541E2665" w:rsidR="003E2557" w:rsidRPr="002714CC" w:rsidRDefault="003E2557" w:rsidP="00497821">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Process 1</w:t>
            </w:r>
          </w:p>
        </w:tc>
        <w:tc>
          <w:tcPr>
            <w:tcW w:w="8930" w:type="dxa"/>
            <w:gridSpan w:val="4"/>
          </w:tcPr>
          <w:p w14:paraId="5C0F8F54" w14:textId="79F6D3F0" w:rsidR="003E2557" w:rsidRPr="002714CC" w:rsidRDefault="003E2557" w:rsidP="00497821">
            <w:pPr>
              <w:pStyle w:val="BodyText"/>
              <w:spacing w:before="60" w:beforeAutospacing="0" w:after="60" w:afterAutospacing="0" w:line="30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Pr>
                <w:rFonts w:asciiTheme="minorHAnsi" w:hAnsiTheme="minorHAnsi" w:cstheme="minorHAnsi"/>
                <w:sz w:val="16"/>
                <w:szCs w:val="16"/>
              </w:rPr>
              <w:t>Process 2</w:t>
            </w:r>
          </w:p>
        </w:tc>
      </w:tr>
      <w:tr w:rsidR="00433AE8" w:rsidRPr="002714CC" w14:paraId="1FD0829D" w14:textId="5BFA6381" w:rsidTr="00683D42">
        <w:tc>
          <w:tcPr>
            <w:cnfStyle w:val="001000000000" w:firstRow="0" w:lastRow="0" w:firstColumn="1" w:lastColumn="0" w:oddVBand="0" w:evenVBand="0" w:oddHBand="0" w:evenHBand="0" w:firstRowFirstColumn="0" w:firstRowLastColumn="0" w:lastRowFirstColumn="0" w:lastRowLastColumn="0"/>
            <w:tcW w:w="0" w:type="dxa"/>
          </w:tcPr>
          <w:p w14:paraId="0B390AE6" w14:textId="2B327143" w:rsidR="005A321B" w:rsidRPr="002714CC" w:rsidRDefault="003E2557" w:rsidP="00497821">
            <w:pPr>
              <w:pStyle w:val="BodyText"/>
              <w:spacing w:before="60" w:beforeAutospacing="0" w:after="60" w:afterAutospacing="0" w:line="300" w:lineRule="auto"/>
              <w:jc w:val="center"/>
              <w:rPr>
                <w:rFonts w:asciiTheme="minorHAnsi" w:hAnsiTheme="minorHAnsi" w:cstheme="minorHAnsi"/>
                <w:b/>
                <w:bCs/>
                <w:sz w:val="16"/>
                <w:szCs w:val="16"/>
              </w:rPr>
            </w:pPr>
            <w:r>
              <w:rPr>
                <w:rFonts w:asciiTheme="minorHAnsi" w:hAnsiTheme="minorHAnsi" w:cstheme="minorHAnsi"/>
                <w:b/>
                <w:bCs/>
                <w:sz w:val="16"/>
                <w:szCs w:val="16"/>
              </w:rPr>
              <w:t>Steps in QERMF</w:t>
            </w:r>
          </w:p>
        </w:tc>
        <w:tc>
          <w:tcPr>
            <w:tcW w:w="0" w:type="dxa"/>
          </w:tcPr>
          <w:p w14:paraId="563230BF" w14:textId="30D91B3D" w:rsidR="005A321B" w:rsidRPr="002714CC" w:rsidRDefault="00FE47DC" w:rsidP="0049782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16"/>
                <w:szCs w:val="16"/>
              </w:rPr>
            </w:pPr>
            <w:r>
              <w:rPr>
                <w:rFonts w:cstheme="minorHAnsi"/>
                <w:b/>
                <w:bCs/>
                <w:sz w:val="16"/>
                <w:szCs w:val="16"/>
              </w:rPr>
              <w:t xml:space="preserve">Step 1 - </w:t>
            </w:r>
            <w:r w:rsidR="005A321B" w:rsidRPr="002714CC">
              <w:rPr>
                <w:rFonts w:cstheme="minorHAnsi"/>
                <w:b/>
                <w:bCs/>
                <w:sz w:val="16"/>
                <w:szCs w:val="16"/>
              </w:rPr>
              <w:t>Potential hazard</w:t>
            </w:r>
            <w:r w:rsidR="00401C8F">
              <w:rPr>
                <w:rFonts w:cstheme="minorHAnsi"/>
                <w:b/>
                <w:bCs/>
                <w:sz w:val="16"/>
                <w:szCs w:val="16"/>
              </w:rPr>
              <w:t xml:space="preserve"> </w:t>
            </w:r>
            <w:r w:rsidR="00401C8F" w:rsidRPr="00401C8F">
              <w:rPr>
                <w:rFonts w:cstheme="minorHAnsi"/>
                <w:b/>
                <w:bCs/>
                <w:sz w:val="16"/>
                <w:szCs w:val="16"/>
                <w:vertAlign w:val="superscript"/>
              </w:rPr>
              <w:t>(1)</w:t>
            </w:r>
          </w:p>
        </w:tc>
        <w:tc>
          <w:tcPr>
            <w:tcW w:w="0" w:type="dxa"/>
          </w:tcPr>
          <w:p w14:paraId="5E84E0FB" w14:textId="7C2DFF4B" w:rsidR="005A321B" w:rsidRPr="002714CC" w:rsidRDefault="00FE47DC" w:rsidP="0049782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16"/>
                <w:szCs w:val="16"/>
              </w:rPr>
            </w:pPr>
            <w:r>
              <w:rPr>
                <w:rFonts w:cstheme="minorHAnsi"/>
                <w:b/>
                <w:bCs/>
                <w:sz w:val="16"/>
                <w:szCs w:val="16"/>
              </w:rPr>
              <w:t xml:space="preserve">Step 2 - </w:t>
            </w:r>
            <w:r w:rsidR="005A321B" w:rsidRPr="002714CC">
              <w:rPr>
                <w:rFonts w:cstheme="minorHAnsi"/>
                <w:b/>
                <w:bCs/>
                <w:sz w:val="16"/>
                <w:szCs w:val="16"/>
              </w:rPr>
              <w:t>Exposed elements (water resource and receiving environment)</w:t>
            </w:r>
          </w:p>
        </w:tc>
        <w:tc>
          <w:tcPr>
            <w:tcW w:w="2325" w:type="dxa"/>
          </w:tcPr>
          <w:p w14:paraId="2AB7F5F8" w14:textId="7E480AA2" w:rsidR="005A321B" w:rsidRPr="002714CC" w:rsidRDefault="00FE47DC" w:rsidP="0049782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16"/>
                <w:szCs w:val="16"/>
              </w:rPr>
            </w:pPr>
            <w:r>
              <w:rPr>
                <w:rFonts w:cstheme="minorHAnsi"/>
                <w:b/>
                <w:bCs/>
                <w:sz w:val="16"/>
                <w:szCs w:val="16"/>
              </w:rPr>
              <w:t xml:space="preserve">Step 3 - </w:t>
            </w:r>
            <w:r w:rsidR="005A321B" w:rsidRPr="002714CC">
              <w:rPr>
                <w:rFonts w:cstheme="minorHAnsi"/>
                <w:b/>
                <w:bCs/>
                <w:sz w:val="16"/>
                <w:szCs w:val="16"/>
              </w:rPr>
              <w:t>Vulnerability</w:t>
            </w:r>
          </w:p>
        </w:tc>
        <w:tc>
          <w:tcPr>
            <w:tcW w:w="2976" w:type="dxa"/>
          </w:tcPr>
          <w:p w14:paraId="6E63FD70" w14:textId="5FB03EB1" w:rsidR="005A321B" w:rsidRPr="002714CC" w:rsidRDefault="00FE47DC" w:rsidP="0049782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16"/>
                <w:szCs w:val="16"/>
              </w:rPr>
            </w:pPr>
            <w:r>
              <w:rPr>
                <w:rFonts w:cstheme="minorHAnsi"/>
                <w:b/>
                <w:bCs/>
                <w:sz w:val="16"/>
                <w:szCs w:val="16"/>
              </w:rPr>
              <w:t xml:space="preserve">Step 1 </w:t>
            </w:r>
            <w:r w:rsidR="00401C8F">
              <w:rPr>
                <w:rFonts w:cstheme="minorHAnsi"/>
                <w:b/>
                <w:bCs/>
                <w:sz w:val="16"/>
                <w:szCs w:val="16"/>
              </w:rPr>
              <w:t>–</w:t>
            </w:r>
            <w:r>
              <w:rPr>
                <w:rFonts w:cstheme="minorHAnsi"/>
                <w:b/>
                <w:bCs/>
                <w:sz w:val="16"/>
                <w:szCs w:val="16"/>
              </w:rPr>
              <w:t xml:space="preserve"> </w:t>
            </w:r>
            <w:r w:rsidR="005A321B" w:rsidRPr="002714CC">
              <w:rPr>
                <w:rFonts w:cstheme="minorHAnsi"/>
                <w:b/>
                <w:bCs/>
                <w:sz w:val="16"/>
                <w:szCs w:val="16"/>
              </w:rPr>
              <w:t>Likelihood</w:t>
            </w:r>
            <w:r w:rsidR="00401C8F">
              <w:rPr>
                <w:rFonts w:cstheme="minorHAnsi"/>
                <w:b/>
                <w:bCs/>
                <w:sz w:val="16"/>
                <w:szCs w:val="16"/>
              </w:rPr>
              <w:t xml:space="preserve"> </w:t>
            </w:r>
            <w:r w:rsidR="00401C8F" w:rsidRPr="00401C8F">
              <w:rPr>
                <w:rFonts w:cstheme="minorHAnsi"/>
                <w:b/>
                <w:bCs/>
                <w:sz w:val="16"/>
                <w:szCs w:val="16"/>
                <w:vertAlign w:val="superscript"/>
              </w:rPr>
              <w:t>(2)</w:t>
            </w:r>
          </w:p>
        </w:tc>
        <w:tc>
          <w:tcPr>
            <w:tcW w:w="0" w:type="dxa"/>
          </w:tcPr>
          <w:p w14:paraId="0CFEA36F" w14:textId="4B61BE97" w:rsidR="005A321B" w:rsidRPr="002714CC" w:rsidRDefault="00FE47DC" w:rsidP="0049782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16"/>
                <w:szCs w:val="16"/>
              </w:rPr>
            </w:pPr>
            <w:r>
              <w:rPr>
                <w:rFonts w:cstheme="minorHAnsi"/>
                <w:b/>
                <w:bCs/>
                <w:sz w:val="16"/>
                <w:szCs w:val="16"/>
              </w:rPr>
              <w:t xml:space="preserve">Step 2 - </w:t>
            </w:r>
            <w:r w:rsidR="005A321B" w:rsidRPr="002714CC">
              <w:rPr>
                <w:rFonts w:cstheme="minorHAnsi"/>
                <w:b/>
                <w:bCs/>
                <w:sz w:val="16"/>
                <w:szCs w:val="16"/>
              </w:rPr>
              <w:t>Vulnerability</w:t>
            </w:r>
          </w:p>
        </w:tc>
        <w:tc>
          <w:tcPr>
            <w:tcW w:w="2099" w:type="dxa"/>
          </w:tcPr>
          <w:p w14:paraId="2F7AE252" w14:textId="12A42270" w:rsidR="005A321B" w:rsidRPr="002714CC" w:rsidRDefault="00FE47DC" w:rsidP="0049782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16"/>
                <w:szCs w:val="16"/>
              </w:rPr>
            </w:pPr>
            <w:r>
              <w:rPr>
                <w:rFonts w:cstheme="minorHAnsi"/>
                <w:b/>
                <w:bCs/>
                <w:sz w:val="16"/>
                <w:szCs w:val="16"/>
              </w:rPr>
              <w:t xml:space="preserve">Step 3 - </w:t>
            </w:r>
            <w:r w:rsidR="005A321B" w:rsidRPr="002714CC">
              <w:rPr>
                <w:rFonts w:cstheme="minorHAnsi"/>
                <w:b/>
                <w:bCs/>
                <w:sz w:val="16"/>
                <w:szCs w:val="16"/>
              </w:rPr>
              <w:t>Consequence</w:t>
            </w:r>
          </w:p>
        </w:tc>
        <w:tc>
          <w:tcPr>
            <w:tcW w:w="2410" w:type="dxa"/>
          </w:tcPr>
          <w:p w14:paraId="2FC82B79" w14:textId="55C83F30" w:rsidR="005A321B" w:rsidRPr="002714CC" w:rsidRDefault="005A321B" w:rsidP="00497821">
            <w:pPr>
              <w:pStyle w:val="BodyText"/>
              <w:spacing w:before="60" w:beforeAutospacing="0" w:after="60" w:afterAutospacing="0" w:line="30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16"/>
                <w:szCs w:val="16"/>
              </w:rPr>
            </w:pPr>
            <w:r w:rsidRPr="002714CC">
              <w:rPr>
                <w:rFonts w:cstheme="minorHAnsi"/>
                <w:b/>
                <w:bCs/>
                <w:sz w:val="16"/>
                <w:szCs w:val="16"/>
              </w:rPr>
              <w:t>Level of risk</w:t>
            </w:r>
          </w:p>
        </w:tc>
      </w:tr>
      <w:tr w:rsidR="00433AE8" w:rsidRPr="002714CC" w14:paraId="0BE24A3D" w14:textId="2D38921B" w:rsidTr="00683D42">
        <w:tc>
          <w:tcPr>
            <w:cnfStyle w:val="001000000000" w:firstRow="0" w:lastRow="0" w:firstColumn="1" w:lastColumn="0" w:oddVBand="0" w:evenVBand="0" w:oddHBand="0" w:evenHBand="0" w:firstRowFirstColumn="0" w:firstRowLastColumn="0" w:lastRowFirstColumn="0" w:lastRowLastColumn="0"/>
            <w:tcW w:w="0" w:type="dxa"/>
          </w:tcPr>
          <w:p w14:paraId="6063DF0E" w14:textId="0639DD8F" w:rsidR="005A321B" w:rsidRPr="003E2557" w:rsidRDefault="00EE45AB" w:rsidP="002714CC">
            <w:pPr>
              <w:pStyle w:val="BodyText"/>
              <w:spacing w:before="60" w:beforeAutospacing="0" w:after="60" w:afterAutospacing="0" w:line="300" w:lineRule="auto"/>
              <w:rPr>
                <w:rFonts w:asciiTheme="minorHAnsi" w:hAnsiTheme="minorHAnsi" w:cstheme="minorHAnsi"/>
                <w:b/>
                <w:bCs/>
                <w:sz w:val="16"/>
                <w:szCs w:val="16"/>
              </w:rPr>
            </w:pPr>
            <w:r w:rsidRPr="003E2557">
              <w:rPr>
                <w:rFonts w:asciiTheme="minorHAnsi" w:hAnsiTheme="minorHAnsi" w:cstheme="minorHAnsi"/>
                <w:b/>
                <w:bCs/>
                <w:sz w:val="16"/>
                <w:szCs w:val="16"/>
              </w:rPr>
              <w:t>Possible a</w:t>
            </w:r>
            <w:r w:rsidR="005A321B" w:rsidRPr="003E2557">
              <w:rPr>
                <w:rFonts w:asciiTheme="minorHAnsi" w:hAnsiTheme="minorHAnsi" w:cstheme="minorHAnsi"/>
                <w:b/>
                <w:bCs/>
                <w:sz w:val="16"/>
                <w:szCs w:val="16"/>
              </w:rPr>
              <w:t>pproach</w:t>
            </w:r>
            <w:r w:rsidR="003E2557">
              <w:rPr>
                <w:rFonts w:asciiTheme="minorHAnsi" w:hAnsiTheme="minorHAnsi" w:cstheme="minorHAnsi"/>
                <w:b/>
                <w:bCs/>
                <w:sz w:val="16"/>
                <w:szCs w:val="16"/>
              </w:rPr>
              <w:t xml:space="preserve"> for risk assessment</w:t>
            </w:r>
          </w:p>
        </w:tc>
        <w:tc>
          <w:tcPr>
            <w:tcW w:w="0" w:type="dxa"/>
          </w:tcPr>
          <w:p w14:paraId="638CE19D" w14:textId="21D634F4" w:rsidR="005A321B"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Refer to key potential hazards defined in this table.</w:t>
            </w:r>
          </w:p>
        </w:tc>
        <w:tc>
          <w:tcPr>
            <w:tcW w:w="0" w:type="dxa"/>
          </w:tcPr>
          <w:p w14:paraId="2EB83973" w14:textId="070FC015" w:rsidR="005A321B" w:rsidRPr="002714CC" w:rsidRDefault="005A321B"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 xml:space="preserve">Identify the range of exposed elements </w:t>
            </w:r>
            <w:r w:rsidR="003E2557">
              <w:rPr>
                <w:rFonts w:cstheme="minorHAnsi"/>
                <w:sz w:val="16"/>
                <w:szCs w:val="16"/>
              </w:rPr>
              <w:t xml:space="preserve">(i.e. surface water systems, groundwater systems, vegetation and ecosystems) </w:t>
            </w:r>
            <w:r w:rsidRPr="002714CC">
              <w:rPr>
                <w:rFonts w:cstheme="minorHAnsi"/>
                <w:sz w:val="16"/>
                <w:szCs w:val="16"/>
              </w:rPr>
              <w:t>for each residual void.</w:t>
            </w:r>
          </w:p>
        </w:tc>
        <w:tc>
          <w:tcPr>
            <w:tcW w:w="2325" w:type="dxa"/>
          </w:tcPr>
          <w:p w14:paraId="4F785E93" w14:textId="77777777" w:rsidR="00A04781" w:rsidRDefault="005A321B"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 xml:space="preserve">Develop a vulnerability ranking (very low, low, moderate, high or extreme) of each exposed element that is dependent on its proximity to the residual void and its beneficial use or ecological value. </w:t>
            </w:r>
          </w:p>
          <w:p w14:paraId="6C80BC74" w14:textId="4391E7DA" w:rsidR="005A321B" w:rsidRPr="002714CC" w:rsidRDefault="005A321B"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GIS analysis can be used to assign a vulnerability ranking for each exposed element.</w:t>
            </w:r>
          </w:p>
        </w:tc>
        <w:tc>
          <w:tcPr>
            <w:tcW w:w="2976" w:type="dxa"/>
          </w:tcPr>
          <w:p w14:paraId="24037591" w14:textId="77777777" w:rsidR="00A04781" w:rsidRDefault="005A321B" w:rsidP="003E2557">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 xml:space="preserve">Develop a likelihood ranking (rare, unlikely, possible, likely, almost certain) for each potential hazard. </w:t>
            </w:r>
          </w:p>
          <w:p w14:paraId="58C99F70" w14:textId="77777777" w:rsidR="00A04781" w:rsidRDefault="005A321B" w:rsidP="003E2557">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Using information and data collated in the updated database assign a likelihood ranking.</w:t>
            </w:r>
            <w:r w:rsidR="007C5710">
              <w:rPr>
                <w:rFonts w:cstheme="minorHAnsi"/>
                <w:sz w:val="16"/>
                <w:szCs w:val="16"/>
              </w:rPr>
              <w:t xml:space="preserve"> </w:t>
            </w:r>
          </w:p>
          <w:p w14:paraId="21CA9984" w14:textId="16265CFA" w:rsidR="005A321B" w:rsidRPr="002714CC" w:rsidRDefault="007C5710" w:rsidP="003E2557">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 xml:space="preserve">Consideration of the limitations of any model projections and the potential impact of climate change on the hazard potential can be </w:t>
            </w:r>
            <w:r w:rsidR="003E2557">
              <w:rPr>
                <w:rFonts w:cstheme="minorHAnsi"/>
                <w:sz w:val="16"/>
                <w:szCs w:val="16"/>
              </w:rPr>
              <w:t>incorporated into the likelihood ranking.</w:t>
            </w:r>
            <w:r w:rsidR="005A321B" w:rsidRPr="002714CC">
              <w:rPr>
                <w:rFonts w:cstheme="minorHAnsi"/>
                <w:sz w:val="16"/>
                <w:szCs w:val="16"/>
              </w:rPr>
              <w:t xml:space="preserve"> </w:t>
            </w:r>
          </w:p>
        </w:tc>
        <w:tc>
          <w:tcPr>
            <w:tcW w:w="0" w:type="dxa"/>
          </w:tcPr>
          <w:p w14:paraId="74701BAA" w14:textId="721A0A55" w:rsidR="005A321B" w:rsidRPr="002714CC" w:rsidRDefault="0007097C"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Derived from Step 1</w:t>
            </w:r>
            <w:r w:rsidR="00A04781">
              <w:rPr>
                <w:rFonts w:cstheme="minorHAnsi"/>
                <w:sz w:val="16"/>
                <w:szCs w:val="16"/>
              </w:rPr>
              <w:t xml:space="preserve"> </w:t>
            </w:r>
            <w:r w:rsidR="00A04781" w:rsidRPr="00A04781">
              <w:rPr>
                <w:rFonts w:cstheme="minorHAnsi"/>
                <w:sz w:val="16"/>
                <w:szCs w:val="16"/>
                <w:vertAlign w:val="superscript"/>
              </w:rPr>
              <w:t>(3)</w:t>
            </w:r>
          </w:p>
        </w:tc>
        <w:tc>
          <w:tcPr>
            <w:tcW w:w="2099" w:type="dxa"/>
          </w:tcPr>
          <w:p w14:paraId="39155B2C" w14:textId="77777777" w:rsidR="00A04781" w:rsidRDefault="0007097C"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Develop a consequence ranking (</w:t>
            </w:r>
            <w:r w:rsidR="00EE45AB" w:rsidRPr="002714CC">
              <w:rPr>
                <w:rFonts w:cstheme="minorHAnsi"/>
                <w:sz w:val="16"/>
                <w:szCs w:val="16"/>
              </w:rPr>
              <w:t>insignificant, minor, moderate, major, catastrophic</w:t>
            </w:r>
            <w:r w:rsidRPr="002714CC">
              <w:rPr>
                <w:rFonts w:cstheme="minorHAnsi"/>
                <w:sz w:val="16"/>
                <w:szCs w:val="16"/>
              </w:rPr>
              <w:t xml:space="preserve">) for each potential hazard and corresponding exposed element. </w:t>
            </w:r>
          </w:p>
          <w:p w14:paraId="48B7CA3C" w14:textId="4F52DDD7" w:rsidR="005A321B" w:rsidRPr="002714CC" w:rsidRDefault="0007097C"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Using information and data collated in the updated database assign a consequence ranking.</w:t>
            </w:r>
          </w:p>
        </w:tc>
        <w:tc>
          <w:tcPr>
            <w:tcW w:w="2410" w:type="dxa"/>
          </w:tcPr>
          <w:p w14:paraId="6E49E4C8" w14:textId="19797EE8" w:rsidR="005A321B" w:rsidRPr="002714CC" w:rsidRDefault="00EE45AB"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Calculat</w:t>
            </w:r>
            <w:r w:rsidR="00A04781">
              <w:rPr>
                <w:rFonts w:cstheme="minorHAnsi"/>
                <w:sz w:val="16"/>
                <w:szCs w:val="16"/>
              </w:rPr>
              <w:t>e</w:t>
            </w:r>
            <w:r w:rsidRPr="002714CC">
              <w:rPr>
                <w:rFonts w:cstheme="minorHAnsi"/>
                <w:sz w:val="16"/>
                <w:szCs w:val="16"/>
              </w:rPr>
              <w:t xml:space="preserve"> according to QERMF matrix (</w:t>
            </w:r>
            <w:r w:rsidRPr="002714CC">
              <w:rPr>
                <w:rFonts w:cstheme="minorHAnsi"/>
                <w:sz w:val="16"/>
                <w:szCs w:val="16"/>
              </w:rPr>
              <w:fldChar w:fldCharType="begin"/>
            </w:r>
            <w:r w:rsidRPr="002714CC">
              <w:rPr>
                <w:rFonts w:cstheme="minorHAnsi"/>
                <w:sz w:val="16"/>
                <w:szCs w:val="16"/>
              </w:rPr>
              <w:instrText xml:space="preserve"> REF _Ref62125577 \h  \* MERGEFORMAT </w:instrText>
            </w:r>
            <w:r w:rsidRPr="002714CC">
              <w:rPr>
                <w:rFonts w:cstheme="minorHAnsi"/>
                <w:sz w:val="16"/>
                <w:szCs w:val="16"/>
              </w:rPr>
            </w:r>
            <w:r w:rsidRPr="002714CC">
              <w:rPr>
                <w:rFonts w:cstheme="minorHAnsi"/>
                <w:sz w:val="16"/>
                <w:szCs w:val="16"/>
              </w:rPr>
              <w:fldChar w:fldCharType="separate"/>
            </w:r>
            <w:r w:rsidR="00937ADD" w:rsidRPr="00937ADD">
              <w:rPr>
                <w:rFonts w:cstheme="minorHAnsi"/>
                <w:sz w:val="16"/>
                <w:szCs w:val="16"/>
              </w:rPr>
              <w:t xml:space="preserve">Figure </w:t>
            </w:r>
            <w:r w:rsidR="00937ADD" w:rsidRPr="00937ADD">
              <w:rPr>
                <w:rFonts w:cstheme="minorHAnsi"/>
                <w:noProof/>
                <w:sz w:val="16"/>
                <w:szCs w:val="16"/>
              </w:rPr>
              <w:t>6</w:t>
            </w:r>
            <w:r w:rsidR="00937ADD" w:rsidRPr="00937ADD">
              <w:rPr>
                <w:rFonts w:cstheme="minorHAnsi"/>
                <w:noProof/>
                <w:sz w:val="16"/>
                <w:szCs w:val="16"/>
              </w:rPr>
              <w:noBreakHyphen/>
              <w:t>2</w:t>
            </w:r>
            <w:r w:rsidRPr="002714CC">
              <w:rPr>
                <w:rFonts w:cstheme="minorHAnsi"/>
                <w:sz w:val="16"/>
                <w:szCs w:val="16"/>
              </w:rPr>
              <w:fldChar w:fldCharType="end"/>
            </w:r>
            <w:r w:rsidRPr="002714CC">
              <w:rPr>
                <w:rFonts w:cstheme="minorHAnsi"/>
                <w:sz w:val="16"/>
                <w:szCs w:val="16"/>
              </w:rPr>
              <w:t>).</w:t>
            </w:r>
          </w:p>
        </w:tc>
      </w:tr>
      <w:tr w:rsidR="00433AE8" w:rsidRPr="002714CC" w14:paraId="59124342" w14:textId="23DAB7BB" w:rsidTr="00683D42">
        <w:tc>
          <w:tcPr>
            <w:cnfStyle w:val="001000000000" w:firstRow="0" w:lastRow="0" w:firstColumn="1" w:lastColumn="0" w:oddVBand="0" w:evenVBand="0" w:oddHBand="0" w:evenHBand="0" w:firstRowFirstColumn="0" w:firstRowLastColumn="0" w:lastRowFirstColumn="0" w:lastRowLastColumn="0"/>
            <w:tcW w:w="0" w:type="dxa"/>
            <w:vMerge w:val="restart"/>
          </w:tcPr>
          <w:p w14:paraId="76406C9B" w14:textId="1CF81845" w:rsidR="003E2557" w:rsidRPr="003E2557" w:rsidRDefault="003E2557" w:rsidP="002714CC">
            <w:pPr>
              <w:pStyle w:val="BodyText"/>
              <w:spacing w:before="60" w:beforeAutospacing="0" w:after="60" w:afterAutospacing="0" w:line="300" w:lineRule="auto"/>
              <w:rPr>
                <w:rFonts w:asciiTheme="minorHAnsi" w:hAnsiTheme="minorHAnsi" w:cstheme="minorHAnsi"/>
                <w:b/>
                <w:bCs/>
                <w:sz w:val="16"/>
                <w:szCs w:val="16"/>
              </w:rPr>
            </w:pPr>
            <w:r w:rsidRPr="003E2557">
              <w:rPr>
                <w:rFonts w:asciiTheme="minorHAnsi" w:hAnsiTheme="minorHAnsi" w:cstheme="minorHAnsi"/>
                <w:b/>
                <w:bCs/>
                <w:sz w:val="16"/>
                <w:szCs w:val="16"/>
              </w:rPr>
              <w:t>Key inputs to define elements/ranking</w:t>
            </w:r>
          </w:p>
        </w:tc>
        <w:tc>
          <w:tcPr>
            <w:tcW w:w="0" w:type="dxa"/>
          </w:tcPr>
          <w:p w14:paraId="1D2F77BC" w14:textId="72710E59"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Overtopping of residual void</w:t>
            </w:r>
          </w:p>
        </w:tc>
        <w:tc>
          <w:tcPr>
            <w:tcW w:w="0" w:type="dxa"/>
            <w:vMerge w:val="restart"/>
          </w:tcPr>
          <w:p w14:paraId="02E76CC1" w14:textId="3507B40D"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Data and information contained in scoping study database.</w:t>
            </w:r>
          </w:p>
          <w:p w14:paraId="411131B3" w14:textId="6BA73E5D"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325" w:type="dxa"/>
            <w:vMerge w:val="restart"/>
          </w:tcPr>
          <w:p w14:paraId="4BAC8807" w14:textId="53CB44A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lastRenderedPageBreak/>
              <w:t xml:space="preserve">Data and information contained in the </w:t>
            </w:r>
            <w:r>
              <w:rPr>
                <w:rFonts w:cstheme="minorHAnsi"/>
                <w:sz w:val="16"/>
                <w:szCs w:val="16"/>
              </w:rPr>
              <w:t xml:space="preserve">scoping study and updated </w:t>
            </w:r>
            <w:r w:rsidRPr="002714CC">
              <w:rPr>
                <w:rFonts w:cstheme="minorHAnsi"/>
                <w:sz w:val="16"/>
                <w:szCs w:val="16"/>
              </w:rPr>
              <w:t>database.</w:t>
            </w:r>
          </w:p>
        </w:tc>
        <w:tc>
          <w:tcPr>
            <w:tcW w:w="2976" w:type="dxa"/>
          </w:tcPr>
          <w:p w14:paraId="5A16928A" w14:textId="7436937E" w:rsidR="003E2557" w:rsidRPr="00401C8F"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01C8F">
              <w:rPr>
                <w:rFonts w:cstheme="minorHAnsi"/>
                <w:sz w:val="16"/>
                <w:szCs w:val="16"/>
              </w:rPr>
              <w:t>Projected flow regime of residual void recorded in the updated database.</w:t>
            </w:r>
          </w:p>
          <w:p w14:paraId="48CFA8D7" w14:textId="1067128A" w:rsidR="003E2557" w:rsidRPr="00401C8F"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p w14:paraId="34EB52E1" w14:textId="5CA9C974" w:rsidR="003E2557" w:rsidRPr="00401C8F"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0" w:type="dxa"/>
            <w:vMerge w:val="restart"/>
          </w:tcPr>
          <w:p w14:paraId="42D74F84" w14:textId="1E82519C" w:rsidR="003E2557" w:rsidRPr="00401C8F"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01C8F">
              <w:rPr>
                <w:rFonts w:cstheme="minorHAnsi"/>
                <w:sz w:val="16"/>
                <w:szCs w:val="16"/>
              </w:rPr>
              <w:t>N/a</w:t>
            </w:r>
            <w:r w:rsidR="00401C8F" w:rsidRPr="00401C8F">
              <w:rPr>
                <w:rFonts w:cstheme="minorHAnsi"/>
                <w:sz w:val="16"/>
                <w:szCs w:val="16"/>
              </w:rPr>
              <w:t xml:space="preserve"> </w:t>
            </w:r>
            <w:r w:rsidR="00401C8F" w:rsidRPr="00401C8F">
              <w:rPr>
                <w:rFonts w:cstheme="minorHAnsi"/>
                <w:sz w:val="16"/>
                <w:szCs w:val="16"/>
                <w:vertAlign w:val="superscript"/>
              </w:rPr>
              <w:t>(3)</w:t>
            </w:r>
          </w:p>
        </w:tc>
        <w:tc>
          <w:tcPr>
            <w:tcW w:w="2099" w:type="dxa"/>
            <w:vMerge w:val="restart"/>
          </w:tcPr>
          <w:p w14:paraId="10B91D76" w14:textId="0CE26E26"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Projected equilibrated ‘pit lake’ volume in residual void</w:t>
            </w:r>
            <w:r w:rsidR="00B10F5D">
              <w:rPr>
                <w:rFonts w:cstheme="minorHAnsi"/>
                <w:sz w:val="16"/>
                <w:szCs w:val="16"/>
              </w:rPr>
              <w:t xml:space="preserve"> recorded in the updated database.</w:t>
            </w:r>
          </w:p>
          <w:p w14:paraId="2EF22DF0" w14:textId="3E136E6F"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lastRenderedPageBreak/>
              <w:t>Projected salinity (and other quality) conditions of the ‘pit lake’ water at equilibrium or quasi-equilibrium and rate of change to hypersaline conditions (if applicable)</w:t>
            </w:r>
            <w:r w:rsidR="00B10F5D">
              <w:rPr>
                <w:rFonts w:cstheme="minorHAnsi"/>
                <w:sz w:val="16"/>
                <w:szCs w:val="16"/>
              </w:rPr>
              <w:t xml:space="preserve"> as recorded in the updated database.</w:t>
            </w:r>
          </w:p>
        </w:tc>
        <w:tc>
          <w:tcPr>
            <w:tcW w:w="2410" w:type="dxa"/>
            <w:vMerge w:val="restart"/>
          </w:tcPr>
          <w:p w14:paraId="18C74A24" w14:textId="2FA01E60"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lastRenderedPageBreak/>
              <w:t>QERMF risk matrix (</w:t>
            </w:r>
            <w:r w:rsidRPr="002714CC">
              <w:rPr>
                <w:rFonts w:cstheme="minorHAnsi"/>
                <w:sz w:val="16"/>
                <w:szCs w:val="16"/>
              </w:rPr>
              <w:fldChar w:fldCharType="begin"/>
            </w:r>
            <w:r w:rsidRPr="002714CC">
              <w:rPr>
                <w:rFonts w:cstheme="minorHAnsi"/>
                <w:sz w:val="16"/>
                <w:szCs w:val="16"/>
              </w:rPr>
              <w:instrText xml:space="preserve"> REF _Ref62125577 \h  \* MERGEFORMAT </w:instrText>
            </w:r>
            <w:r w:rsidRPr="002714CC">
              <w:rPr>
                <w:rFonts w:cstheme="minorHAnsi"/>
                <w:sz w:val="16"/>
                <w:szCs w:val="16"/>
              </w:rPr>
            </w:r>
            <w:r w:rsidRPr="002714CC">
              <w:rPr>
                <w:rFonts w:cstheme="minorHAnsi"/>
                <w:sz w:val="16"/>
                <w:szCs w:val="16"/>
              </w:rPr>
              <w:fldChar w:fldCharType="separate"/>
            </w:r>
            <w:r w:rsidR="00937ADD" w:rsidRPr="00937ADD">
              <w:rPr>
                <w:rFonts w:cstheme="minorHAnsi"/>
                <w:sz w:val="16"/>
                <w:szCs w:val="16"/>
              </w:rPr>
              <w:t xml:space="preserve">Figure </w:t>
            </w:r>
            <w:r w:rsidR="00937ADD" w:rsidRPr="00937ADD">
              <w:rPr>
                <w:rFonts w:cstheme="minorHAnsi"/>
                <w:noProof/>
                <w:sz w:val="16"/>
                <w:szCs w:val="16"/>
              </w:rPr>
              <w:t>6</w:t>
            </w:r>
            <w:r w:rsidR="00937ADD" w:rsidRPr="00937ADD">
              <w:rPr>
                <w:rFonts w:cstheme="minorHAnsi"/>
                <w:noProof/>
                <w:sz w:val="16"/>
                <w:szCs w:val="16"/>
              </w:rPr>
              <w:noBreakHyphen/>
              <w:t>2</w:t>
            </w:r>
            <w:r w:rsidRPr="002714CC">
              <w:rPr>
                <w:rFonts w:cstheme="minorHAnsi"/>
                <w:sz w:val="16"/>
                <w:szCs w:val="16"/>
              </w:rPr>
              <w:fldChar w:fldCharType="end"/>
            </w:r>
            <w:r w:rsidRPr="002714CC">
              <w:rPr>
                <w:rFonts w:cstheme="minorHAnsi"/>
                <w:sz w:val="16"/>
                <w:szCs w:val="16"/>
              </w:rPr>
              <w:t>).</w:t>
            </w:r>
          </w:p>
        </w:tc>
      </w:tr>
      <w:tr w:rsidR="00433AE8" w:rsidRPr="002714CC" w14:paraId="14019BEE" w14:textId="30740C50" w:rsidTr="00683D42">
        <w:tc>
          <w:tcPr>
            <w:cnfStyle w:val="001000000000" w:firstRow="0" w:lastRow="0" w:firstColumn="1" w:lastColumn="0" w:oddVBand="0" w:evenVBand="0" w:oddHBand="0" w:evenHBand="0" w:firstRowFirstColumn="0" w:firstRowLastColumn="0" w:lastRowFirstColumn="0" w:lastRowLastColumn="0"/>
            <w:tcW w:w="0" w:type="dxa"/>
            <w:vMerge/>
          </w:tcPr>
          <w:p w14:paraId="54085368" w14:textId="77777777" w:rsidR="003E2557" w:rsidRPr="002714CC" w:rsidRDefault="003E2557" w:rsidP="002714CC">
            <w:pPr>
              <w:pStyle w:val="BodyText"/>
              <w:spacing w:before="60" w:beforeAutospacing="0" w:after="60" w:afterAutospacing="0" w:line="300" w:lineRule="auto"/>
              <w:rPr>
                <w:rFonts w:asciiTheme="minorHAnsi" w:hAnsiTheme="minorHAnsi" w:cstheme="minorHAnsi"/>
                <w:sz w:val="16"/>
                <w:szCs w:val="16"/>
              </w:rPr>
            </w:pPr>
          </w:p>
        </w:tc>
        <w:tc>
          <w:tcPr>
            <w:tcW w:w="0" w:type="dxa"/>
          </w:tcPr>
          <w:p w14:paraId="2CAB1FAF" w14:textId="4BB73C0E"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Flood inundation of residual voids located in floodplains</w:t>
            </w:r>
          </w:p>
        </w:tc>
        <w:tc>
          <w:tcPr>
            <w:tcW w:w="0" w:type="dxa"/>
            <w:vMerge/>
          </w:tcPr>
          <w:p w14:paraId="3BEB34D9"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325" w:type="dxa"/>
            <w:vMerge/>
          </w:tcPr>
          <w:p w14:paraId="49572C1E"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976" w:type="dxa"/>
          </w:tcPr>
          <w:p w14:paraId="30445916" w14:textId="36702A69"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Location of residual void in flood hazard area and proposed engineered floodplain protection</w:t>
            </w:r>
            <w:r>
              <w:rPr>
                <w:rFonts w:cstheme="minorHAnsi"/>
                <w:sz w:val="16"/>
                <w:szCs w:val="16"/>
              </w:rPr>
              <w:t xml:space="preserve"> recorded in the updated database.</w:t>
            </w:r>
          </w:p>
        </w:tc>
        <w:tc>
          <w:tcPr>
            <w:tcW w:w="0" w:type="dxa"/>
            <w:vMerge/>
          </w:tcPr>
          <w:p w14:paraId="491A60D5"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099" w:type="dxa"/>
            <w:vMerge/>
          </w:tcPr>
          <w:p w14:paraId="75731D1C"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410" w:type="dxa"/>
            <w:vMerge/>
          </w:tcPr>
          <w:p w14:paraId="6F092C9B"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r>
      <w:tr w:rsidR="00433AE8" w:rsidRPr="002714CC" w14:paraId="4E4497B6" w14:textId="4E012474" w:rsidTr="00683D42">
        <w:tc>
          <w:tcPr>
            <w:cnfStyle w:val="001000000000" w:firstRow="0" w:lastRow="0" w:firstColumn="1" w:lastColumn="0" w:oddVBand="0" w:evenVBand="0" w:oddHBand="0" w:evenHBand="0" w:firstRowFirstColumn="0" w:firstRowLastColumn="0" w:lastRowFirstColumn="0" w:lastRowLastColumn="0"/>
            <w:tcW w:w="0" w:type="dxa"/>
            <w:vMerge/>
          </w:tcPr>
          <w:p w14:paraId="391F4ACE" w14:textId="77777777" w:rsidR="003E2557" w:rsidRPr="002714CC" w:rsidRDefault="003E2557" w:rsidP="002714CC">
            <w:pPr>
              <w:pStyle w:val="BodyText"/>
              <w:spacing w:before="60" w:beforeAutospacing="0" w:after="60" w:afterAutospacing="0" w:line="300" w:lineRule="auto"/>
              <w:rPr>
                <w:rFonts w:asciiTheme="minorHAnsi" w:hAnsiTheme="minorHAnsi" w:cstheme="minorHAnsi"/>
                <w:sz w:val="16"/>
                <w:szCs w:val="16"/>
              </w:rPr>
            </w:pPr>
          </w:p>
        </w:tc>
        <w:tc>
          <w:tcPr>
            <w:tcW w:w="0" w:type="dxa"/>
          </w:tcPr>
          <w:p w14:paraId="1CC7B70E" w14:textId="4F87B08A"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Groundwater seepage from residual void</w:t>
            </w:r>
          </w:p>
        </w:tc>
        <w:tc>
          <w:tcPr>
            <w:tcW w:w="0" w:type="dxa"/>
            <w:vMerge/>
          </w:tcPr>
          <w:p w14:paraId="34C65367" w14:textId="70E70B14"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325" w:type="dxa"/>
            <w:vMerge/>
          </w:tcPr>
          <w:p w14:paraId="377A5C8D"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976" w:type="dxa"/>
          </w:tcPr>
          <w:p w14:paraId="7C6E27D8" w14:textId="77777777" w:rsidR="00B10F5D" w:rsidRDefault="00B10F5D"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Data and information recorded in the updated database including:</w:t>
            </w:r>
          </w:p>
          <w:p w14:paraId="2C9127DD" w14:textId="7BA823B1" w:rsidR="003E2557"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Projected flow regime of residual void.</w:t>
            </w:r>
          </w:p>
          <w:p w14:paraId="2716FCAB" w14:textId="7DA3FF2A" w:rsidR="003E2557"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 xml:space="preserve">‘Pit lake’ water salinity and groundwater salinity with reference to the </w:t>
            </w:r>
            <w:r w:rsidRPr="003E2557">
              <w:rPr>
                <w:rFonts w:cstheme="minorHAnsi"/>
                <w:sz w:val="16"/>
                <w:szCs w:val="16"/>
              </w:rPr>
              <w:t>potential for density-driven flow to reverse hydraulic gradients</w:t>
            </w:r>
            <w:r>
              <w:rPr>
                <w:rFonts w:cstheme="minorHAnsi"/>
                <w:sz w:val="16"/>
                <w:szCs w:val="16"/>
              </w:rPr>
              <w:t>.</w:t>
            </w:r>
          </w:p>
          <w:p w14:paraId="6C3D67A9" w14:textId="177529DF" w:rsidR="003E2557" w:rsidRPr="002714CC" w:rsidRDefault="00B10F5D"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Major f</w:t>
            </w:r>
            <w:r w:rsidR="003E2557" w:rsidRPr="003E2557">
              <w:rPr>
                <w:rFonts w:cstheme="minorHAnsi"/>
                <w:sz w:val="16"/>
                <w:szCs w:val="16"/>
              </w:rPr>
              <w:t>ault structures that intersect or occur in proximity to residual voids</w:t>
            </w:r>
            <w:r w:rsidR="003E2557">
              <w:rPr>
                <w:rFonts w:cstheme="minorHAnsi"/>
                <w:sz w:val="16"/>
                <w:szCs w:val="16"/>
              </w:rPr>
              <w:t>.</w:t>
            </w:r>
          </w:p>
        </w:tc>
        <w:tc>
          <w:tcPr>
            <w:tcW w:w="0" w:type="dxa"/>
            <w:vMerge/>
          </w:tcPr>
          <w:p w14:paraId="0ABEA174"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099" w:type="dxa"/>
            <w:vMerge/>
          </w:tcPr>
          <w:p w14:paraId="512D0AAD"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410" w:type="dxa"/>
            <w:vMerge/>
          </w:tcPr>
          <w:p w14:paraId="1CE05095"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r>
      <w:tr w:rsidR="00433AE8" w:rsidRPr="002714CC" w14:paraId="778D329F" w14:textId="77777777" w:rsidTr="00683D42">
        <w:tc>
          <w:tcPr>
            <w:cnfStyle w:val="001000000000" w:firstRow="0" w:lastRow="0" w:firstColumn="1" w:lastColumn="0" w:oddVBand="0" w:evenVBand="0" w:oddHBand="0" w:evenHBand="0" w:firstRowFirstColumn="0" w:firstRowLastColumn="0" w:lastRowFirstColumn="0" w:lastRowLastColumn="0"/>
            <w:tcW w:w="0" w:type="dxa"/>
            <w:vMerge/>
          </w:tcPr>
          <w:p w14:paraId="69860C16" w14:textId="77777777" w:rsidR="003E2557" w:rsidRPr="002714CC" w:rsidRDefault="003E2557" w:rsidP="002714CC">
            <w:pPr>
              <w:pStyle w:val="BodyText"/>
              <w:spacing w:before="60" w:beforeAutospacing="0" w:after="60" w:afterAutospacing="0" w:line="300" w:lineRule="auto"/>
              <w:rPr>
                <w:rFonts w:asciiTheme="minorHAnsi" w:hAnsiTheme="minorHAnsi" w:cstheme="minorHAnsi"/>
                <w:sz w:val="16"/>
                <w:szCs w:val="16"/>
              </w:rPr>
            </w:pPr>
          </w:p>
        </w:tc>
        <w:tc>
          <w:tcPr>
            <w:tcW w:w="0" w:type="dxa"/>
          </w:tcPr>
          <w:p w14:paraId="568A9D41" w14:textId="238C749A"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Clearing of remnant vegetation for open-cut areas</w:t>
            </w:r>
          </w:p>
        </w:tc>
        <w:tc>
          <w:tcPr>
            <w:tcW w:w="0" w:type="dxa"/>
            <w:vMerge/>
          </w:tcPr>
          <w:p w14:paraId="1EBFAAB8"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325" w:type="dxa"/>
            <w:vMerge/>
          </w:tcPr>
          <w:p w14:paraId="3A052218"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976" w:type="dxa"/>
          </w:tcPr>
          <w:p w14:paraId="71F9D6F8" w14:textId="1C8A2643" w:rsidR="003E2557" w:rsidRPr="0073763E"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3763E">
              <w:rPr>
                <w:rFonts w:cstheme="minorHAnsi"/>
                <w:sz w:val="16"/>
                <w:szCs w:val="16"/>
              </w:rPr>
              <w:t>Queensland vegetation mapping</w:t>
            </w:r>
            <w:r w:rsidR="00B10F5D" w:rsidRPr="0073763E">
              <w:rPr>
                <w:rFonts w:cstheme="minorHAnsi"/>
                <w:sz w:val="16"/>
                <w:szCs w:val="16"/>
              </w:rPr>
              <w:t xml:space="preserve"> recorded in the </w:t>
            </w:r>
            <w:r w:rsidR="0073763E" w:rsidRPr="0073763E">
              <w:rPr>
                <w:rFonts w:cstheme="minorHAnsi"/>
                <w:sz w:val="16"/>
                <w:szCs w:val="16"/>
              </w:rPr>
              <w:t>scoping study</w:t>
            </w:r>
            <w:r w:rsidR="00B10F5D" w:rsidRPr="0073763E">
              <w:rPr>
                <w:rFonts w:cstheme="minorHAnsi"/>
                <w:sz w:val="16"/>
                <w:szCs w:val="16"/>
              </w:rPr>
              <w:t xml:space="preserve"> database.</w:t>
            </w:r>
          </w:p>
        </w:tc>
        <w:tc>
          <w:tcPr>
            <w:tcW w:w="0" w:type="dxa"/>
            <w:vMerge/>
          </w:tcPr>
          <w:p w14:paraId="18B8E9A6"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099" w:type="dxa"/>
          </w:tcPr>
          <w:p w14:paraId="08E83B08" w14:textId="61ED1B97" w:rsidR="003E2557" w:rsidRPr="00B10F5D"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highlight w:val="yellow"/>
              </w:rPr>
            </w:pPr>
            <w:r w:rsidRPr="0073763E">
              <w:rPr>
                <w:rFonts w:cstheme="minorHAnsi"/>
                <w:sz w:val="16"/>
                <w:szCs w:val="16"/>
              </w:rPr>
              <w:t>Ecological value of the vegetation being cleared</w:t>
            </w:r>
            <w:r w:rsidR="00A04781">
              <w:rPr>
                <w:rFonts w:cstheme="minorHAnsi"/>
                <w:sz w:val="16"/>
                <w:szCs w:val="16"/>
              </w:rPr>
              <w:t xml:space="preserve"> as</w:t>
            </w:r>
            <w:r w:rsidR="0073763E" w:rsidRPr="0073763E">
              <w:rPr>
                <w:rFonts w:cstheme="minorHAnsi"/>
                <w:sz w:val="16"/>
                <w:szCs w:val="16"/>
              </w:rPr>
              <w:t xml:space="preserve"> recorded in the scoping study database.</w:t>
            </w:r>
          </w:p>
        </w:tc>
        <w:tc>
          <w:tcPr>
            <w:tcW w:w="2410" w:type="dxa"/>
            <w:vMerge/>
          </w:tcPr>
          <w:p w14:paraId="502D5E73"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r>
      <w:tr w:rsidR="00433AE8" w:rsidRPr="002714CC" w14:paraId="5C6292FF" w14:textId="77777777" w:rsidTr="00683D42">
        <w:tc>
          <w:tcPr>
            <w:cnfStyle w:val="001000000000" w:firstRow="0" w:lastRow="0" w:firstColumn="1" w:lastColumn="0" w:oddVBand="0" w:evenVBand="0" w:oddHBand="0" w:evenHBand="0" w:firstRowFirstColumn="0" w:firstRowLastColumn="0" w:lastRowFirstColumn="0" w:lastRowLastColumn="0"/>
            <w:tcW w:w="0" w:type="dxa"/>
            <w:vMerge/>
          </w:tcPr>
          <w:p w14:paraId="57D1D95D" w14:textId="77777777" w:rsidR="003E2557" w:rsidRPr="002714CC" w:rsidRDefault="003E2557" w:rsidP="002714CC">
            <w:pPr>
              <w:pStyle w:val="BodyText"/>
              <w:spacing w:before="60" w:beforeAutospacing="0" w:after="60" w:afterAutospacing="0" w:line="300" w:lineRule="auto"/>
              <w:rPr>
                <w:rFonts w:asciiTheme="minorHAnsi" w:hAnsiTheme="minorHAnsi" w:cstheme="minorHAnsi"/>
                <w:sz w:val="16"/>
                <w:szCs w:val="16"/>
              </w:rPr>
            </w:pPr>
          </w:p>
        </w:tc>
        <w:tc>
          <w:tcPr>
            <w:tcW w:w="0" w:type="dxa"/>
          </w:tcPr>
          <w:p w14:paraId="288CAFB6" w14:textId="5E6202F2"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714CC">
              <w:rPr>
                <w:rFonts w:cstheme="minorHAnsi"/>
                <w:sz w:val="16"/>
                <w:szCs w:val="16"/>
              </w:rPr>
              <w:t>Change to ecological values upon rehabilitation of the residual void to a PMLU</w:t>
            </w:r>
          </w:p>
        </w:tc>
        <w:tc>
          <w:tcPr>
            <w:tcW w:w="0" w:type="dxa"/>
            <w:vMerge/>
          </w:tcPr>
          <w:p w14:paraId="383D9450"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325" w:type="dxa"/>
            <w:vMerge/>
          </w:tcPr>
          <w:p w14:paraId="2D6F8792"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976" w:type="dxa"/>
          </w:tcPr>
          <w:p w14:paraId="2AB0C2F5" w14:textId="3600684A" w:rsidR="003E2557" w:rsidRPr="0073763E"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73763E">
              <w:rPr>
                <w:rFonts w:cstheme="minorHAnsi"/>
                <w:sz w:val="16"/>
                <w:szCs w:val="16"/>
              </w:rPr>
              <w:t>Rehabilitation commitments reported within EAs, EIS and Rehabilitation Management Plans</w:t>
            </w:r>
            <w:r w:rsidR="0073763E" w:rsidRPr="0073763E">
              <w:rPr>
                <w:rFonts w:cstheme="minorHAnsi"/>
                <w:sz w:val="16"/>
                <w:szCs w:val="16"/>
              </w:rPr>
              <w:t xml:space="preserve"> recorded in the scoping study database and </w:t>
            </w:r>
            <w:r w:rsidR="0073763E">
              <w:rPr>
                <w:rFonts w:cstheme="minorHAnsi"/>
                <w:sz w:val="16"/>
                <w:szCs w:val="16"/>
              </w:rPr>
              <w:t xml:space="preserve">to be </w:t>
            </w:r>
            <w:r w:rsidR="0073763E" w:rsidRPr="0073763E">
              <w:rPr>
                <w:rFonts w:cstheme="minorHAnsi"/>
                <w:sz w:val="16"/>
                <w:szCs w:val="16"/>
              </w:rPr>
              <w:t>expanded upon in the updated database.</w:t>
            </w:r>
          </w:p>
        </w:tc>
        <w:tc>
          <w:tcPr>
            <w:tcW w:w="0" w:type="dxa"/>
            <w:vMerge/>
          </w:tcPr>
          <w:p w14:paraId="5A33FF74"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c>
          <w:tcPr>
            <w:tcW w:w="2099" w:type="dxa"/>
          </w:tcPr>
          <w:p w14:paraId="17DBE5CD" w14:textId="040C7321" w:rsidR="003E2557" w:rsidRPr="00B10F5D" w:rsidRDefault="00E1642C"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highlight w:val="yellow"/>
              </w:rPr>
            </w:pPr>
            <w:r w:rsidRPr="00E1642C">
              <w:rPr>
                <w:rFonts w:cstheme="minorHAnsi"/>
                <w:sz w:val="16"/>
                <w:szCs w:val="16"/>
              </w:rPr>
              <w:t xml:space="preserve">Comparison of pre-mining </w:t>
            </w:r>
            <w:r w:rsidR="00A04781">
              <w:rPr>
                <w:rFonts w:cstheme="minorHAnsi"/>
                <w:sz w:val="16"/>
                <w:szCs w:val="16"/>
              </w:rPr>
              <w:t>land use and</w:t>
            </w:r>
            <w:r w:rsidRPr="00E1642C">
              <w:rPr>
                <w:rFonts w:cstheme="minorHAnsi"/>
                <w:sz w:val="16"/>
                <w:szCs w:val="16"/>
              </w:rPr>
              <w:t xml:space="preserve"> post-mining land use commitments. </w:t>
            </w:r>
          </w:p>
        </w:tc>
        <w:tc>
          <w:tcPr>
            <w:tcW w:w="2410" w:type="dxa"/>
            <w:vMerge/>
          </w:tcPr>
          <w:p w14:paraId="6A0BA916" w14:textId="77777777" w:rsidR="003E2557" w:rsidRPr="002714CC" w:rsidRDefault="003E2557" w:rsidP="002714CC">
            <w:pPr>
              <w:pStyle w:val="BodyText"/>
              <w:spacing w:before="60" w:beforeAutospacing="0" w:after="60" w:afterAutospacing="0" w:line="300" w:lineRule="auto"/>
              <w:cnfStyle w:val="000000000000" w:firstRow="0" w:lastRow="0" w:firstColumn="0" w:lastColumn="0" w:oddVBand="0" w:evenVBand="0" w:oddHBand="0" w:evenHBand="0" w:firstRowFirstColumn="0" w:firstRowLastColumn="0" w:lastRowFirstColumn="0" w:lastRowLastColumn="0"/>
              <w:rPr>
                <w:rFonts w:cstheme="minorHAnsi"/>
                <w:sz w:val="16"/>
                <w:szCs w:val="16"/>
              </w:rPr>
            </w:pPr>
          </w:p>
        </w:tc>
      </w:tr>
    </w:tbl>
    <w:p w14:paraId="48C58159" w14:textId="4DCFC40E" w:rsidR="00401C8F" w:rsidRPr="00401C8F" w:rsidRDefault="00401C8F" w:rsidP="00401C8F">
      <w:pPr>
        <w:pStyle w:val="BodyText"/>
        <w:spacing w:before="0" w:after="0"/>
        <w:rPr>
          <w:b/>
          <w:bCs/>
          <w:i/>
          <w:iCs/>
          <w:sz w:val="16"/>
          <w:szCs w:val="16"/>
        </w:rPr>
      </w:pPr>
      <w:r w:rsidRPr="00401C8F">
        <w:rPr>
          <w:b/>
          <w:bCs/>
          <w:i/>
          <w:iCs/>
          <w:sz w:val="16"/>
          <w:szCs w:val="16"/>
        </w:rPr>
        <w:lastRenderedPageBreak/>
        <w:t>Note</w:t>
      </w:r>
      <w:r>
        <w:rPr>
          <w:b/>
          <w:bCs/>
          <w:i/>
          <w:iCs/>
          <w:sz w:val="16"/>
          <w:szCs w:val="16"/>
        </w:rPr>
        <w:t>s</w:t>
      </w:r>
      <w:r w:rsidRPr="00401C8F">
        <w:rPr>
          <w:b/>
          <w:bCs/>
          <w:i/>
          <w:iCs/>
          <w:sz w:val="16"/>
          <w:szCs w:val="16"/>
        </w:rPr>
        <w:t>:</w:t>
      </w:r>
    </w:p>
    <w:p w14:paraId="29AF7994" w14:textId="358A3892" w:rsidR="00401C8F" w:rsidRDefault="00401C8F" w:rsidP="00401C8F">
      <w:pPr>
        <w:pStyle w:val="BodyText"/>
        <w:spacing w:before="0" w:after="0"/>
        <w:rPr>
          <w:i/>
          <w:iCs/>
          <w:sz w:val="16"/>
          <w:szCs w:val="16"/>
        </w:rPr>
      </w:pPr>
      <w:r>
        <w:rPr>
          <w:i/>
          <w:iCs/>
          <w:sz w:val="16"/>
          <w:szCs w:val="16"/>
        </w:rPr>
        <w:t>(1) The QERMF assignment of Hazard c</w:t>
      </w:r>
      <w:r w:rsidRPr="00401C8F">
        <w:rPr>
          <w:i/>
          <w:iCs/>
          <w:sz w:val="16"/>
          <w:szCs w:val="16"/>
        </w:rPr>
        <w:t>onsiders the overall probability for a hazard to occur using the AEP</w:t>
      </w:r>
      <w:r>
        <w:rPr>
          <w:i/>
          <w:iCs/>
          <w:sz w:val="16"/>
          <w:szCs w:val="16"/>
        </w:rPr>
        <w:t xml:space="preserve">. This information will </w:t>
      </w:r>
      <w:r w:rsidR="00497821">
        <w:rPr>
          <w:i/>
          <w:iCs/>
          <w:sz w:val="16"/>
          <w:szCs w:val="16"/>
        </w:rPr>
        <w:t xml:space="preserve">not </w:t>
      </w:r>
      <w:r>
        <w:rPr>
          <w:i/>
          <w:iCs/>
          <w:sz w:val="16"/>
          <w:szCs w:val="16"/>
        </w:rPr>
        <w:t>be available for the risk assessment. Instead this attribute can be defined as for the Likelihood attribute.</w:t>
      </w:r>
    </w:p>
    <w:p w14:paraId="387847B5" w14:textId="77777777" w:rsidR="00311BCE" w:rsidRDefault="00E1642C" w:rsidP="00311BCE">
      <w:pPr>
        <w:pStyle w:val="BodyText"/>
        <w:spacing w:before="0" w:after="0"/>
        <w:rPr>
          <w:i/>
          <w:iCs/>
          <w:sz w:val="16"/>
          <w:szCs w:val="16"/>
        </w:rPr>
      </w:pPr>
      <w:r w:rsidRPr="00401C8F">
        <w:rPr>
          <w:i/>
          <w:iCs/>
          <w:sz w:val="16"/>
          <w:szCs w:val="16"/>
        </w:rPr>
        <w:t>(</w:t>
      </w:r>
      <w:r w:rsidR="00401C8F">
        <w:rPr>
          <w:i/>
          <w:iCs/>
          <w:sz w:val="16"/>
          <w:szCs w:val="16"/>
        </w:rPr>
        <w:t>2</w:t>
      </w:r>
      <w:r w:rsidRPr="00401C8F">
        <w:rPr>
          <w:i/>
          <w:iCs/>
          <w:sz w:val="16"/>
          <w:szCs w:val="16"/>
        </w:rPr>
        <w:t>) The Q</w:t>
      </w:r>
      <w:r w:rsidR="00401C8F">
        <w:rPr>
          <w:i/>
          <w:iCs/>
          <w:sz w:val="16"/>
          <w:szCs w:val="16"/>
        </w:rPr>
        <w:t xml:space="preserve">ERMF </w:t>
      </w:r>
      <w:r w:rsidRPr="00401C8F">
        <w:rPr>
          <w:i/>
          <w:iCs/>
          <w:sz w:val="16"/>
          <w:szCs w:val="16"/>
        </w:rPr>
        <w:t xml:space="preserve">assignment of </w:t>
      </w:r>
      <w:r w:rsidR="00401C8F">
        <w:rPr>
          <w:i/>
          <w:iCs/>
          <w:sz w:val="16"/>
          <w:szCs w:val="16"/>
        </w:rPr>
        <w:t>Li</w:t>
      </w:r>
      <w:r w:rsidRPr="00401C8F">
        <w:rPr>
          <w:i/>
          <w:iCs/>
          <w:sz w:val="16"/>
          <w:szCs w:val="16"/>
        </w:rPr>
        <w:t>ke</w:t>
      </w:r>
      <w:r w:rsidR="00401C8F" w:rsidRPr="00401C8F">
        <w:rPr>
          <w:i/>
          <w:iCs/>
          <w:sz w:val="16"/>
          <w:szCs w:val="16"/>
        </w:rPr>
        <w:t xml:space="preserve">lihood relies on historical occurrences of the hazard. This information will not be available for the risk assessment. Instead this attribute </w:t>
      </w:r>
      <w:r w:rsidR="00401C8F">
        <w:rPr>
          <w:i/>
          <w:iCs/>
          <w:sz w:val="16"/>
          <w:szCs w:val="16"/>
        </w:rPr>
        <w:t>can</w:t>
      </w:r>
      <w:r w:rsidR="00401C8F" w:rsidRPr="00401C8F">
        <w:rPr>
          <w:i/>
          <w:iCs/>
          <w:sz w:val="16"/>
          <w:szCs w:val="16"/>
        </w:rPr>
        <w:t xml:space="preserve"> be defined using other approaches including model projections, vegetation mapping and rehabilitation commitments. </w:t>
      </w:r>
    </w:p>
    <w:p w14:paraId="7C997D7E" w14:textId="24356833" w:rsidR="00401C8F" w:rsidRDefault="00401C8F" w:rsidP="00311BCE">
      <w:pPr>
        <w:pStyle w:val="BodyText"/>
        <w:spacing w:before="0" w:after="0"/>
        <w:rPr>
          <w:i/>
          <w:iCs/>
          <w:sz w:val="16"/>
          <w:szCs w:val="16"/>
        </w:rPr>
      </w:pPr>
      <w:r>
        <w:rPr>
          <w:i/>
          <w:iCs/>
          <w:sz w:val="16"/>
          <w:szCs w:val="16"/>
        </w:rPr>
        <w:t xml:space="preserve">(3) The QERMF assignment of Vulnerability </w:t>
      </w:r>
      <w:r w:rsidRPr="00401C8F">
        <w:rPr>
          <w:i/>
          <w:iCs/>
          <w:sz w:val="16"/>
          <w:szCs w:val="16"/>
        </w:rPr>
        <w:t>involves the review and finalisation of the exposure vulnerability assessment made</w:t>
      </w:r>
      <w:r>
        <w:rPr>
          <w:i/>
          <w:iCs/>
          <w:sz w:val="16"/>
          <w:szCs w:val="16"/>
        </w:rPr>
        <w:t xml:space="preserve"> </w:t>
      </w:r>
      <w:r w:rsidRPr="00401C8F">
        <w:rPr>
          <w:i/>
          <w:iCs/>
          <w:sz w:val="16"/>
          <w:szCs w:val="16"/>
        </w:rPr>
        <w:t xml:space="preserve">as a result of Process 1 as a precursor to the assessment of the level of </w:t>
      </w:r>
      <w:r w:rsidRPr="00311BCE">
        <w:rPr>
          <w:i/>
          <w:iCs/>
          <w:sz w:val="16"/>
          <w:szCs w:val="16"/>
        </w:rPr>
        <w:t>consequence of an event</w:t>
      </w:r>
      <w:r w:rsidR="00311BCE" w:rsidRPr="00311BCE">
        <w:rPr>
          <w:i/>
          <w:iCs/>
          <w:sz w:val="16"/>
          <w:szCs w:val="16"/>
        </w:rPr>
        <w:t xml:space="preserve">. </w:t>
      </w:r>
      <w:r w:rsidR="00311BCE">
        <w:rPr>
          <w:i/>
          <w:iCs/>
          <w:sz w:val="16"/>
          <w:szCs w:val="16"/>
        </w:rPr>
        <w:t xml:space="preserve">According to the QERMF, re-assessment of vulnerability should only occur if </w:t>
      </w:r>
      <w:r w:rsidR="00311BCE" w:rsidRPr="00311BCE">
        <w:rPr>
          <w:i/>
          <w:iCs/>
          <w:sz w:val="16"/>
          <w:szCs w:val="16"/>
        </w:rPr>
        <w:t>existing controls are in place to mitigate identified vulnerabilities of exposed elements and/or a risk mitigation strategy becomes apparent during consultation with an owner or operator of an asset</w:t>
      </w:r>
      <w:r w:rsidR="00311BCE">
        <w:rPr>
          <w:i/>
          <w:iCs/>
          <w:sz w:val="16"/>
          <w:szCs w:val="16"/>
        </w:rPr>
        <w:t xml:space="preserve"> </w:t>
      </w:r>
      <w:r w:rsidR="00311BCE" w:rsidRPr="00311BCE">
        <w:rPr>
          <w:i/>
          <w:iCs/>
          <w:sz w:val="16"/>
          <w:szCs w:val="16"/>
        </w:rPr>
        <w:t>or network during the planning cycle</w:t>
      </w:r>
      <w:r w:rsidR="00311BCE">
        <w:rPr>
          <w:i/>
          <w:iCs/>
          <w:sz w:val="16"/>
          <w:szCs w:val="16"/>
        </w:rPr>
        <w:t>. Neither of these conditions are likely to be relevant in the context of this risk assessment.</w:t>
      </w:r>
    </w:p>
    <w:p w14:paraId="2FEB3223" w14:textId="7CF0025D" w:rsidR="00A04781" w:rsidRDefault="00A04781" w:rsidP="00311BCE">
      <w:pPr>
        <w:pStyle w:val="BodyText"/>
        <w:spacing w:before="0" w:after="0"/>
        <w:rPr>
          <w:i/>
          <w:iCs/>
          <w:sz w:val="16"/>
          <w:szCs w:val="16"/>
        </w:rPr>
      </w:pPr>
    </w:p>
    <w:p w14:paraId="28F7918C" w14:textId="1C152842" w:rsidR="00EE45AB" w:rsidRDefault="00EE45AB" w:rsidP="00EE45AB">
      <w:pPr>
        <w:pStyle w:val="Caption"/>
      </w:pPr>
      <w:bookmarkStart w:id="316" w:name="_Ref62125577"/>
      <w:bookmarkStart w:id="317" w:name="_Toc65140614"/>
      <w:r>
        <w:t xml:space="preserve">Figure </w:t>
      </w:r>
      <w:fldSimple w:instr=" STYLEREF 1 \s ">
        <w:r w:rsidR="00937ADD">
          <w:rPr>
            <w:noProof/>
          </w:rPr>
          <w:t>6</w:t>
        </w:r>
      </w:fldSimple>
      <w:r w:rsidR="002706A0">
        <w:noBreakHyphen/>
      </w:r>
      <w:fldSimple w:instr=" SEQ Figure \* ARABIC \s 1 ">
        <w:r w:rsidR="00937ADD">
          <w:rPr>
            <w:noProof/>
          </w:rPr>
          <w:t>2</w:t>
        </w:r>
      </w:fldSimple>
      <w:bookmarkEnd w:id="316"/>
      <w:r>
        <w:t xml:space="preserve"> QERMF risk matri</w:t>
      </w:r>
      <w:r w:rsidR="00A04781">
        <w:t xml:space="preserve">x </w:t>
      </w:r>
      <w:r>
        <w:t>(Queensland Fire and Emergency Services, 2018)</w:t>
      </w:r>
      <w:bookmarkEnd w:id="317"/>
    </w:p>
    <w:p w14:paraId="1D301240" w14:textId="702BCCA2" w:rsidR="00EE45AB" w:rsidRDefault="00EE45AB" w:rsidP="00C42BDC">
      <w:pPr>
        <w:pStyle w:val="BodyText"/>
        <w:sectPr w:rsidR="00EE45AB" w:rsidSect="00854A11">
          <w:pgSz w:w="16839" w:h="11907" w:orient="landscape" w:code="9"/>
          <w:pgMar w:top="1440" w:right="1440" w:bottom="1440" w:left="1134" w:header="340" w:footer="340" w:gutter="0"/>
          <w:cols w:space="708"/>
          <w:docGrid w:linePitch="360"/>
        </w:sectPr>
      </w:pPr>
      <w:r>
        <w:rPr>
          <w:noProof/>
        </w:rPr>
        <w:drawing>
          <wp:inline distT="0" distB="0" distL="0" distR="0" wp14:anchorId="5B565471" wp14:editId="202A599D">
            <wp:extent cx="2207401" cy="8478390"/>
            <wp:effectExtent l="7937"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isk matrix.jpg"/>
                    <pic:cNvPicPr/>
                  </pic:nvPicPr>
                  <pic:blipFill rotWithShape="1">
                    <a:blip r:embed="rId53" cstate="print">
                      <a:extLst>
                        <a:ext uri="{28A0092B-C50C-407E-A947-70E740481C1C}">
                          <a14:useLocalDpi xmlns:a14="http://schemas.microsoft.com/office/drawing/2010/main" val="0"/>
                        </a:ext>
                      </a:extLst>
                    </a:blip>
                    <a:srcRect/>
                    <a:stretch/>
                  </pic:blipFill>
                  <pic:spPr bwMode="auto">
                    <a:xfrm rot="5400000">
                      <a:off x="0" y="0"/>
                      <a:ext cx="2211340" cy="8493520"/>
                    </a:xfrm>
                    <a:prstGeom prst="rect">
                      <a:avLst/>
                    </a:prstGeom>
                    <a:ln>
                      <a:noFill/>
                    </a:ln>
                    <a:extLst>
                      <a:ext uri="{53640926-AAD7-44D8-BBD7-CCE9431645EC}">
                        <a14:shadowObscured xmlns:a14="http://schemas.microsoft.com/office/drawing/2010/main"/>
                      </a:ext>
                    </a:extLst>
                  </pic:spPr>
                </pic:pic>
              </a:graphicData>
            </a:graphic>
          </wp:inline>
        </w:drawing>
      </w:r>
    </w:p>
    <w:p w14:paraId="20A74AE2" w14:textId="163E5683" w:rsidR="00972382" w:rsidRPr="00972382" w:rsidRDefault="00972382" w:rsidP="00972382">
      <w:pPr>
        <w:pStyle w:val="Heading1"/>
      </w:pPr>
      <w:bookmarkStart w:id="318" w:name="_Toc87278376"/>
      <w:bookmarkEnd w:id="305"/>
      <w:bookmarkEnd w:id="309"/>
      <w:r>
        <w:lastRenderedPageBreak/>
        <w:t>References</w:t>
      </w:r>
      <w:bookmarkEnd w:id="318"/>
    </w:p>
    <w:p w14:paraId="78860A5F" w14:textId="2954E51B" w:rsidR="0000608F" w:rsidRPr="000C7472" w:rsidRDefault="0000608F" w:rsidP="0000608F">
      <w:pPr>
        <w:pStyle w:val="BodyText"/>
      </w:pPr>
      <w:r w:rsidRPr="000C7472">
        <w:t xml:space="preserve">Anglo-American (2019). </w:t>
      </w:r>
      <w:r w:rsidRPr="000C7472">
        <w:rPr>
          <w:i/>
          <w:iCs/>
        </w:rPr>
        <w:t>Mine rehabilitation – Case Study: Dawson Mine</w:t>
      </w:r>
      <w:r w:rsidRPr="000C7472">
        <w:t xml:space="preserve">. Available at: </w:t>
      </w:r>
      <w:hyperlink r:id="rId54" w:history="1">
        <w:r w:rsidRPr="000C7472">
          <w:rPr>
            <w:rStyle w:val="Hyperlink"/>
          </w:rPr>
          <w:t>https://www.qrc.org.au/wp-content/uploads/2020/11/190320-Anglo-Dawson-Leading-Rehabiltiation-Case-Studies.pdf</w:t>
        </w:r>
      </w:hyperlink>
      <w:r w:rsidRPr="000C7472">
        <w:t>, reviewed on 27 November 2020.</w:t>
      </w:r>
    </w:p>
    <w:p w14:paraId="20361B3C" w14:textId="60B8F542" w:rsidR="000B48A0" w:rsidRPr="000C7472" w:rsidRDefault="000B48A0" w:rsidP="000B48A0">
      <w:pPr>
        <w:pStyle w:val="BodyText"/>
      </w:pPr>
      <w:r w:rsidRPr="000C7472">
        <w:t xml:space="preserve">AustralAsian Resource Consultants Pty Ltd (AARC). (2015). </w:t>
      </w:r>
      <w:r w:rsidRPr="000C7472">
        <w:rPr>
          <w:i/>
          <w:iCs/>
        </w:rPr>
        <w:t>Central North Extension – Jellinbah Coal Mine Environmental Authority Amendment – Supporting Information</w:t>
      </w:r>
      <w:r w:rsidRPr="000C7472">
        <w:t xml:space="preserve">. Prepared for Jellinbah Group Pty Ltd on behalf of the Jellinbah East Joint Venture. September 2015. </w:t>
      </w:r>
    </w:p>
    <w:p w14:paraId="32A5D6A5" w14:textId="73857AC5" w:rsidR="001A208D" w:rsidRPr="000C7472" w:rsidRDefault="001A208D" w:rsidP="000B48A0">
      <w:pPr>
        <w:pStyle w:val="BodyText"/>
      </w:pPr>
      <w:r w:rsidRPr="000C7472">
        <w:t xml:space="preserve">AustralAsian Resource Consultants Pty Ltd (AARC). (2018). </w:t>
      </w:r>
      <w:r w:rsidRPr="000C7472">
        <w:rPr>
          <w:i/>
          <w:iCs/>
        </w:rPr>
        <w:t>Jellinbah Coal Mine Rehabilitation and Void Investigation Report</w:t>
      </w:r>
      <w:r w:rsidRPr="000C7472">
        <w:t>. Prepared for Jellinbah Group Pty Ltd. November 2018.</w:t>
      </w:r>
    </w:p>
    <w:p w14:paraId="1CC44399" w14:textId="69FE28FE" w:rsidR="00587690" w:rsidRDefault="00587690" w:rsidP="0000608F">
      <w:pPr>
        <w:pStyle w:val="BodyText"/>
      </w:pPr>
      <w:r w:rsidRPr="000C7472">
        <w:t xml:space="preserve">AustralAsian Resource Consultants Pty Ltd (AARC). (2019). </w:t>
      </w:r>
      <w:r w:rsidRPr="000C7472">
        <w:rPr>
          <w:i/>
          <w:iCs/>
        </w:rPr>
        <w:t>Central North Extension Preliminary Documentation Ver 2</w:t>
      </w:r>
      <w:r w:rsidRPr="000C7472">
        <w:t xml:space="preserve">. Prepared for Jellinbah Group Pty Ltd on behalf of the Jellinbah East Joint Venture. November 2019. </w:t>
      </w:r>
    </w:p>
    <w:p w14:paraId="56778C1D" w14:textId="4312FBD0" w:rsidR="00FE638B" w:rsidRDefault="00FE638B" w:rsidP="0000608F">
      <w:pPr>
        <w:pStyle w:val="BodyText"/>
      </w:pPr>
      <w:r w:rsidRPr="00FE638B">
        <w:t>Australian Coal Association Research Program</w:t>
      </w:r>
      <w:r w:rsidRPr="00FE638B">
        <w:tab/>
      </w:r>
      <w:r>
        <w:t>(</w:t>
      </w:r>
      <w:r w:rsidRPr="00FE638B">
        <w:t>ACARP</w:t>
      </w:r>
      <w:r>
        <w:t>).</w:t>
      </w:r>
      <w:r w:rsidRPr="00FE638B">
        <w:t xml:space="preserve"> (2001)</w:t>
      </w:r>
      <w:r>
        <w:t>.</w:t>
      </w:r>
      <w:r w:rsidRPr="00FE638B">
        <w:t xml:space="preserve"> </w:t>
      </w:r>
      <w:r w:rsidRPr="008670A9">
        <w:rPr>
          <w:i/>
          <w:iCs/>
        </w:rPr>
        <w:t xml:space="preserve">Water </w:t>
      </w:r>
      <w:r>
        <w:rPr>
          <w:i/>
          <w:iCs/>
        </w:rPr>
        <w:t>Q</w:t>
      </w:r>
      <w:r w:rsidRPr="008670A9">
        <w:rPr>
          <w:i/>
          <w:iCs/>
        </w:rPr>
        <w:t xml:space="preserve">uality and </w:t>
      </w:r>
      <w:r>
        <w:rPr>
          <w:i/>
          <w:iCs/>
        </w:rPr>
        <w:t>D</w:t>
      </w:r>
      <w:r w:rsidRPr="008670A9">
        <w:rPr>
          <w:i/>
          <w:iCs/>
        </w:rPr>
        <w:t xml:space="preserve">ischarge </w:t>
      </w:r>
      <w:r>
        <w:rPr>
          <w:i/>
          <w:iCs/>
        </w:rPr>
        <w:t>P</w:t>
      </w:r>
      <w:r w:rsidRPr="008670A9">
        <w:rPr>
          <w:i/>
          <w:iCs/>
        </w:rPr>
        <w:t xml:space="preserve">rediction for </w:t>
      </w:r>
      <w:r>
        <w:rPr>
          <w:i/>
          <w:iCs/>
        </w:rPr>
        <w:t>F</w:t>
      </w:r>
      <w:r w:rsidRPr="008670A9">
        <w:rPr>
          <w:i/>
          <w:iCs/>
        </w:rPr>
        <w:t xml:space="preserve">inal </w:t>
      </w:r>
      <w:r>
        <w:rPr>
          <w:i/>
          <w:iCs/>
        </w:rPr>
        <w:t>V</w:t>
      </w:r>
      <w:r w:rsidRPr="008670A9">
        <w:rPr>
          <w:i/>
          <w:iCs/>
        </w:rPr>
        <w:t xml:space="preserve">oid and </w:t>
      </w:r>
      <w:r>
        <w:rPr>
          <w:i/>
          <w:iCs/>
        </w:rPr>
        <w:t>S</w:t>
      </w:r>
      <w:r w:rsidRPr="008670A9">
        <w:rPr>
          <w:i/>
          <w:iCs/>
        </w:rPr>
        <w:t xml:space="preserve">poil </w:t>
      </w:r>
      <w:r>
        <w:rPr>
          <w:i/>
          <w:iCs/>
        </w:rPr>
        <w:t>C</w:t>
      </w:r>
      <w:r w:rsidRPr="008670A9">
        <w:rPr>
          <w:i/>
          <w:iCs/>
        </w:rPr>
        <w:t>atchments</w:t>
      </w:r>
      <w:r>
        <w:rPr>
          <w:i/>
          <w:iCs/>
        </w:rPr>
        <w:t>.</w:t>
      </w:r>
      <w:r>
        <w:t xml:space="preserve"> </w:t>
      </w:r>
      <w:r w:rsidRPr="00FE638B">
        <w:t>Project number C7007</w:t>
      </w:r>
      <w:r>
        <w:t>.</w:t>
      </w:r>
    </w:p>
    <w:p w14:paraId="7266BD21" w14:textId="77777777" w:rsidR="00FE638B" w:rsidRPr="00FE638B" w:rsidRDefault="00FE638B" w:rsidP="00FE638B">
      <w:pPr>
        <w:pStyle w:val="BodyText"/>
      </w:pPr>
      <w:bookmarkStart w:id="319" w:name="_Hlk64363187"/>
      <w:r w:rsidRPr="00FE638B">
        <w:t xml:space="preserve">Australian Coal Association Research Program </w:t>
      </w:r>
      <w:bookmarkEnd w:id="319"/>
      <w:r w:rsidRPr="00FE638B">
        <w:t>(ACARP). (20</w:t>
      </w:r>
      <w:r>
        <w:t xml:space="preserve">07). </w:t>
      </w:r>
      <w:r w:rsidRPr="00E9426B">
        <w:rPr>
          <w:i/>
          <w:iCs/>
        </w:rPr>
        <w:t>Centre for Sustainable Mine Lakes</w:t>
      </w:r>
      <w:r>
        <w:t>. Project number</w:t>
      </w:r>
      <w:r w:rsidRPr="00FE638B">
        <w:t>: C1105</w:t>
      </w:r>
      <w:r>
        <w:t>3.</w:t>
      </w:r>
    </w:p>
    <w:p w14:paraId="7D36DB19" w14:textId="035E7743" w:rsidR="00FE638B" w:rsidRDefault="00FE638B" w:rsidP="0000608F">
      <w:pPr>
        <w:pStyle w:val="BodyText"/>
      </w:pPr>
      <w:r>
        <w:t xml:space="preserve">Australian Coal Association Research Program (ACARP). (2014). </w:t>
      </w:r>
      <w:r w:rsidRPr="008670A9">
        <w:rPr>
          <w:i/>
          <w:iCs/>
        </w:rPr>
        <w:t xml:space="preserve">Enhancing Ecological Values of Coal Pit Lakes </w:t>
      </w:r>
      <w:r>
        <w:rPr>
          <w:i/>
          <w:iCs/>
        </w:rPr>
        <w:t>w</w:t>
      </w:r>
      <w:r w:rsidRPr="008670A9">
        <w:rPr>
          <w:i/>
          <w:iCs/>
        </w:rPr>
        <w:t>ith Simple Nutrient Additions and Bankside Vegetation</w:t>
      </w:r>
      <w:r>
        <w:t xml:space="preserve">. Project number C21038. </w:t>
      </w:r>
    </w:p>
    <w:p w14:paraId="7F3FA16C" w14:textId="7F63E4FF" w:rsidR="00747611" w:rsidRPr="000C7472" w:rsidRDefault="00747611" w:rsidP="00972382">
      <w:pPr>
        <w:pStyle w:val="BodyText"/>
      </w:pPr>
      <w:r w:rsidRPr="000C7472">
        <w:t xml:space="preserve">Australasian Groundwater and Environmental (AGE). (2006). </w:t>
      </w:r>
      <w:r w:rsidRPr="000C7472">
        <w:rPr>
          <w:i/>
          <w:iCs/>
        </w:rPr>
        <w:t>Mackenzie South Project: Groundwater Impact Assessment</w:t>
      </w:r>
      <w:r w:rsidRPr="000C7472">
        <w:t xml:space="preserve">. Report prepared for AustralAsian Resource Consultants Pty Ltd, February 2006. </w:t>
      </w:r>
    </w:p>
    <w:p w14:paraId="3DDA52BD" w14:textId="20D116BE" w:rsidR="007B57BE" w:rsidRPr="0033743E" w:rsidRDefault="007B57BE" w:rsidP="0033743E">
      <w:pPr>
        <w:pStyle w:val="BodyText"/>
      </w:pPr>
      <w:r w:rsidRPr="00D625A3">
        <w:t>Commander</w:t>
      </w:r>
      <w:r w:rsidRPr="008C363B">
        <w:t>, D.P, Mills, C.H., and W</w:t>
      </w:r>
      <w:r w:rsidRPr="0033743E">
        <w:t xml:space="preserve">aterhouse, J.D. (1994). Salinisation of mined-out pits in Western Australia: </w:t>
      </w:r>
      <w:r w:rsidRPr="0033743E">
        <w:rPr>
          <w:i/>
        </w:rPr>
        <w:t>Conference proceedings of the XXV Congress of the International Association of Hydrogeologists</w:t>
      </w:r>
      <w:r w:rsidRPr="00D625A3">
        <w:t xml:space="preserve">, </w:t>
      </w:r>
      <w:r w:rsidRPr="0033743E">
        <w:t>Adelaide, South Australia, November 1994</w:t>
      </w:r>
      <w:r w:rsidR="009505B5">
        <w:t>.</w:t>
      </w:r>
    </w:p>
    <w:p w14:paraId="1DC61E07" w14:textId="4EBCD8E9" w:rsidR="005D5CCC" w:rsidRPr="000C7472" w:rsidRDefault="005D5CCC" w:rsidP="0033743E">
      <w:r w:rsidRPr="000C7472">
        <w:t xml:space="preserve">Department of Environment and Science (DES). (2014). </w:t>
      </w:r>
      <w:r w:rsidRPr="000C7472">
        <w:rPr>
          <w:i/>
          <w:iCs/>
        </w:rPr>
        <w:t>Rehabilitation requirements for mining resource activities. Queensland Government</w:t>
      </w:r>
      <w:r w:rsidRPr="000C7472">
        <w:t>.</w:t>
      </w:r>
    </w:p>
    <w:p w14:paraId="5CA22E49" w14:textId="38E616CC" w:rsidR="00972382" w:rsidRPr="000C7472" w:rsidRDefault="00026EFE" w:rsidP="00972382">
      <w:pPr>
        <w:pStyle w:val="BodyText"/>
      </w:pPr>
      <w:r w:rsidRPr="000C7472">
        <w:t xml:space="preserve">Doupé, R.G., Lymbery, A.J. (2005). Environmental Risks Associated with Beneficial End Uses of Mine Lakes in Southwestern Australia. </w:t>
      </w:r>
      <w:r w:rsidRPr="000C7472">
        <w:rPr>
          <w:i/>
          <w:iCs/>
        </w:rPr>
        <w:t xml:space="preserve">Mine Water Environ </w:t>
      </w:r>
      <w:r w:rsidRPr="000C7472">
        <w:t xml:space="preserve">24, 134–138 (2005). </w:t>
      </w:r>
      <w:hyperlink r:id="rId55" w:history="1">
        <w:r w:rsidRPr="000C7472">
          <w:rPr>
            <w:rStyle w:val="Hyperlink"/>
          </w:rPr>
          <w:t>https://doi.org/10.1007/s10230-005-0084-0</w:t>
        </w:r>
      </w:hyperlink>
      <w:r w:rsidRPr="000C7472">
        <w:t>.</w:t>
      </w:r>
    </w:p>
    <w:p w14:paraId="094624E0" w14:textId="165116B4" w:rsidR="0000608F" w:rsidRPr="000C7472" w:rsidRDefault="0000608F" w:rsidP="00972382">
      <w:pPr>
        <w:pStyle w:val="BodyText"/>
      </w:pPr>
      <w:r w:rsidRPr="000C7472">
        <w:t xml:space="preserve">Eco Logical Australia (ELA). (2019). </w:t>
      </w:r>
      <w:r w:rsidRPr="000C7472">
        <w:rPr>
          <w:i/>
          <w:iCs/>
        </w:rPr>
        <w:t>Assessment of Biodiversity for Final Mine Voids</w:t>
      </w:r>
      <w:r w:rsidRPr="000C7472">
        <w:t>. Prepared for BHP</w:t>
      </w:r>
      <w:r w:rsidR="001B546F" w:rsidRPr="000C7472">
        <w:t>.</w:t>
      </w:r>
    </w:p>
    <w:p w14:paraId="3FE0BE33" w14:textId="77CCD8F5" w:rsidR="001B546F" w:rsidRPr="000C7472" w:rsidRDefault="001B546F" w:rsidP="001B546F">
      <w:pPr>
        <w:pStyle w:val="BodyText"/>
      </w:pPr>
      <w:r w:rsidRPr="000C7472">
        <w:t xml:space="preserve">Engeny. (2019). </w:t>
      </w:r>
      <w:r w:rsidRPr="000C7472">
        <w:rPr>
          <w:i/>
          <w:iCs/>
        </w:rPr>
        <w:t>Jellinbah Resources - Central North Pit Final Void Hydrology Study, Central North Extension Assessment</w:t>
      </w:r>
      <w:r w:rsidRPr="000C7472">
        <w:t>. October 2019.</w:t>
      </w:r>
    </w:p>
    <w:p w14:paraId="6E9EA48A" w14:textId="514C307E" w:rsidR="002A099B" w:rsidRPr="000C7472" w:rsidRDefault="002A099B" w:rsidP="001B546F">
      <w:pPr>
        <w:pStyle w:val="BodyText"/>
      </w:pPr>
      <w:r w:rsidRPr="000C7472">
        <w:t xml:space="preserve">Ensham Resources Pty Ltd (Ensham). (2019a). </w:t>
      </w:r>
      <w:r w:rsidRPr="000C7472">
        <w:rPr>
          <w:i/>
          <w:iCs/>
        </w:rPr>
        <w:t>Rehabilitation Management Plan</w:t>
      </w:r>
      <w:r w:rsidRPr="000C7472">
        <w:t>. Final report. March 2019.</w:t>
      </w:r>
    </w:p>
    <w:p w14:paraId="5462F249" w14:textId="052FD46C" w:rsidR="00BA4270" w:rsidRPr="000C7472" w:rsidRDefault="00BA4270" w:rsidP="001B546F">
      <w:pPr>
        <w:pStyle w:val="BodyText"/>
      </w:pPr>
      <w:r w:rsidRPr="000C7472">
        <w:t>Ensham Resources Pty Ltd (Ensham). (2019</w:t>
      </w:r>
      <w:r w:rsidR="002A099B" w:rsidRPr="000C7472">
        <w:t>b</w:t>
      </w:r>
      <w:r w:rsidRPr="000C7472">
        <w:t xml:space="preserve">). </w:t>
      </w:r>
      <w:r w:rsidRPr="000C7472">
        <w:rPr>
          <w:i/>
          <w:iCs/>
        </w:rPr>
        <w:t>Residual Void Report</w:t>
      </w:r>
      <w:r w:rsidRPr="000C7472">
        <w:t xml:space="preserve">. Final report prepared for the Residual Void Project Stage 5. </w:t>
      </w:r>
    </w:p>
    <w:p w14:paraId="0FA7EB13" w14:textId="6031726E" w:rsidR="00DB0925" w:rsidRPr="000C7472" w:rsidRDefault="00DB0925" w:rsidP="00DB0925">
      <w:pPr>
        <w:pStyle w:val="BodyText"/>
      </w:pPr>
      <w:r w:rsidRPr="000C7472">
        <w:t xml:space="preserve">Gammons, C.H., and Duaine., T.E. </w:t>
      </w:r>
      <w:r w:rsidR="000E6AFA" w:rsidRPr="000C7472">
        <w:t>(</w:t>
      </w:r>
      <w:r w:rsidRPr="000C7472">
        <w:t>2006</w:t>
      </w:r>
      <w:r w:rsidR="000E6AFA" w:rsidRPr="000C7472">
        <w:t>)</w:t>
      </w:r>
      <w:r w:rsidRPr="000C7472">
        <w:t xml:space="preserve">. </w:t>
      </w:r>
      <w:r w:rsidRPr="000C7472">
        <w:rPr>
          <w:i/>
          <w:iCs/>
        </w:rPr>
        <w:t>Long term changes in the limnology and geochemistry of the Berkeley Pit Lake, Butte, Montana</w:t>
      </w:r>
      <w:r w:rsidRPr="000C7472">
        <w:t>. Mine Water and the Environment 25:76–85.</w:t>
      </w:r>
    </w:p>
    <w:p w14:paraId="6AC6556B" w14:textId="31570963" w:rsidR="00DB0925" w:rsidRDefault="00DB0925" w:rsidP="00DB0925">
      <w:pPr>
        <w:pStyle w:val="BodyText"/>
      </w:pPr>
      <w:r w:rsidRPr="000C7472">
        <w:t xml:space="preserve">Gammons, C.H., Harris, L.N., Castro, J.M., Cott, P.A. and Hanna, B.W. </w:t>
      </w:r>
      <w:r w:rsidR="000E6AFA" w:rsidRPr="000C7472">
        <w:t>(</w:t>
      </w:r>
      <w:r w:rsidRPr="000C7472">
        <w:t>2009</w:t>
      </w:r>
      <w:r w:rsidR="000E6AFA" w:rsidRPr="000C7472">
        <w:t>)</w:t>
      </w:r>
      <w:r w:rsidRPr="000C7472">
        <w:rPr>
          <w:i/>
          <w:iCs/>
        </w:rPr>
        <w:t>. Creating lakes from open pit mines: Processes and considerations, with emphasis on northern environments</w:t>
      </w:r>
      <w:r w:rsidRPr="000C7472">
        <w:t>. Canadian Technical Report of Fisheries and Aquatic Sciences NWT Pit Lake Report 2836, Ottawa, Canada. 106p.</w:t>
      </w:r>
    </w:p>
    <w:p w14:paraId="730FE178" w14:textId="5116E55A" w:rsidR="0080736A" w:rsidRDefault="0080736A" w:rsidP="0080736A">
      <w:pPr>
        <w:pStyle w:val="BodyText"/>
      </w:pPr>
      <w:r>
        <w:lastRenderedPageBreak/>
        <w:t xml:space="preserve">Grose, M. R., Narsey, S., Delage, F. P., Dowdy, A. J., Bador, M., Boschat, G., et al. (2020). </w:t>
      </w:r>
      <w:r w:rsidRPr="0033743E">
        <w:rPr>
          <w:i/>
          <w:iCs/>
        </w:rPr>
        <w:t>Insights from CMIP6 for Australia's future climate</w:t>
      </w:r>
      <w:r>
        <w:t>. Earth's Future, 8, e2019EF001469. https://doi.org/10.1029/2019EF001469.</w:t>
      </w:r>
    </w:p>
    <w:p w14:paraId="077092F3" w14:textId="122B53C4" w:rsidR="005B20DE" w:rsidRDefault="005B20DE" w:rsidP="005B20DE">
      <w:pPr>
        <w:pStyle w:val="BodyText"/>
      </w:pPr>
      <w:r w:rsidRPr="000C7472">
        <w:t xml:space="preserve">Hobday, A. J. and Lough, J. M. (2011). Projected climate change in Australian marine and freshwater environments. </w:t>
      </w:r>
      <w:r w:rsidRPr="000C7472">
        <w:rPr>
          <w:i/>
          <w:iCs/>
        </w:rPr>
        <w:t>Marine and Freshwater Research</w:t>
      </w:r>
      <w:r w:rsidRPr="000C7472">
        <w:t xml:space="preserve"> 62: 1,000-1,014.</w:t>
      </w:r>
    </w:p>
    <w:p w14:paraId="23394DFD" w14:textId="7E8DEFC4" w:rsidR="00EF48E9" w:rsidRDefault="00EF48E9" w:rsidP="00923535">
      <w:pPr>
        <w:pStyle w:val="BodyText"/>
      </w:pPr>
      <w:r w:rsidRPr="00EF48E9">
        <w:t xml:space="preserve">Independent Expert Scientific Committee on Coal Seam Gas and Large Coal Mining Development </w:t>
      </w:r>
      <w:r w:rsidR="00923535">
        <w:t>(</w:t>
      </w:r>
      <w:r>
        <w:t>IESC</w:t>
      </w:r>
      <w:r w:rsidR="00923535">
        <w:t>). 2018</w:t>
      </w:r>
      <w:r w:rsidR="005B767A">
        <w:t>a</w:t>
      </w:r>
      <w:r w:rsidR="00923535">
        <w:t xml:space="preserve">. </w:t>
      </w:r>
      <w:r w:rsidR="00923535" w:rsidRPr="00923535">
        <w:rPr>
          <w:i/>
          <w:iCs/>
        </w:rPr>
        <w:t>Advice to decision maker on coal mining project IESC 2018-096: Olive Downs Project (EPBC 2017/7867 – Olive Downs Project Mine Site and Access Road, 2017/7868 – Olive Downs Project Water Pipeline, 2017/7869 – Olive Downs Project Electricity Transmission Line, 2017/7870 – Olive Downs Project Rail Spur) – New Development</w:t>
      </w:r>
      <w:r w:rsidR="00923535">
        <w:t>. Prepared for the Australian Government Department of the Environment and Energy and the Queensland Office of the Coordinator-General. 9 October 2018.</w:t>
      </w:r>
    </w:p>
    <w:p w14:paraId="346B0CC8" w14:textId="68330A06" w:rsidR="005B767A" w:rsidRPr="005B767A" w:rsidRDefault="005B767A" w:rsidP="005B767A">
      <w:pPr>
        <w:pStyle w:val="BodyText"/>
        <w:rPr>
          <w:i/>
          <w:iCs/>
        </w:rPr>
      </w:pPr>
      <w:r>
        <w:t>I</w:t>
      </w:r>
      <w:r w:rsidRPr="00EF48E9">
        <w:t xml:space="preserve">ndependent Expert Scientific Committee on Coal Seam Gas and Large Coal Mining Development </w:t>
      </w:r>
      <w:r>
        <w:t xml:space="preserve">(IESC). 2018b. </w:t>
      </w:r>
      <w:r w:rsidRPr="005B767A">
        <w:rPr>
          <w:i/>
          <w:iCs/>
        </w:rPr>
        <w:t>Advice to decision maker on coal mining project</w:t>
      </w:r>
      <w:r>
        <w:rPr>
          <w:i/>
          <w:iCs/>
        </w:rPr>
        <w:t xml:space="preserve"> </w:t>
      </w:r>
      <w:r w:rsidRPr="005B767A">
        <w:rPr>
          <w:i/>
          <w:iCs/>
        </w:rPr>
        <w:t>IESC 2018-097: Middlemount Coal Mine Western Extension (EPBC 2017/8130) – Expansion</w:t>
      </w:r>
      <w:r>
        <w:t>. Prepared for the Australian Government Department of the Environment and Energy. 14 November 2018.</w:t>
      </w:r>
    </w:p>
    <w:p w14:paraId="1DBE2BC9" w14:textId="592BA1CD" w:rsidR="00EF1DF6" w:rsidRDefault="00EF1DF6" w:rsidP="00EF1DF6">
      <w:pPr>
        <w:pStyle w:val="BodyText"/>
      </w:pPr>
      <w:r>
        <w:t>I</w:t>
      </w:r>
      <w:r w:rsidRPr="00EF48E9">
        <w:t xml:space="preserve">ndependent Expert Scientific Committee on Coal Seam Gas and Large Coal Mining Development </w:t>
      </w:r>
      <w:r>
        <w:t xml:space="preserve">(IESC). 2019. </w:t>
      </w:r>
      <w:r w:rsidRPr="005B767A">
        <w:rPr>
          <w:i/>
          <w:iCs/>
        </w:rPr>
        <w:t>Advice to decision maker on coal mining project IESC 2019-103: Jellinbah Coal Mine – Central North Extension (EPBC 2018/8139) – Expansion</w:t>
      </w:r>
      <w:r>
        <w:t>. Prepared for the Australian Government Department of the Environment and Energy. 29 May 2019.</w:t>
      </w:r>
    </w:p>
    <w:p w14:paraId="78376BF9" w14:textId="7A48DAC9" w:rsidR="003F0079" w:rsidRPr="000C7472" w:rsidRDefault="003F0079" w:rsidP="005B20DE">
      <w:pPr>
        <w:pStyle w:val="BodyText"/>
      </w:pPr>
      <w:r w:rsidRPr="000C7472">
        <w:t xml:space="preserve">JBT Consulting Pty Ltd. (2019). </w:t>
      </w:r>
      <w:r w:rsidRPr="000C7472">
        <w:rPr>
          <w:i/>
          <w:iCs/>
        </w:rPr>
        <w:t>Conceptual and Numerical Groundwater Modelling Jellinbah Central North Extension (CNW) Area</w:t>
      </w:r>
      <w:r w:rsidRPr="000C7472">
        <w:t>. October 2019.</w:t>
      </w:r>
    </w:p>
    <w:p w14:paraId="5AF10085" w14:textId="1F9D6544" w:rsidR="00972382" w:rsidRDefault="00DB0925" w:rsidP="00972382">
      <w:pPr>
        <w:pStyle w:val="BodyText"/>
      </w:pPr>
      <w:bookmarkStart w:id="320" w:name="_Hlk55895449"/>
      <w:r w:rsidRPr="000C7472">
        <w:t xml:space="preserve">Johnson, S.L. and Wright, A.H. </w:t>
      </w:r>
      <w:r w:rsidR="000E6AFA" w:rsidRPr="000C7472">
        <w:t>(</w:t>
      </w:r>
      <w:r w:rsidRPr="000C7472">
        <w:t>2003</w:t>
      </w:r>
      <w:r w:rsidR="000E6AFA" w:rsidRPr="000C7472">
        <w:t>)</w:t>
      </w:r>
      <w:r w:rsidRPr="000C7472">
        <w:t xml:space="preserve">. </w:t>
      </w:r>
      <w:bookmarkEnd w:id="320"/>
      <w:r w:rsidRPr="000C7472">
        <w:rPr>
          <w:i/>
          <w:iCs/>
        </w:rPr>
        <w:t>Mine Void Water Resource Issues in Western Australia</w:t>
      </w:r>
      <w:r w:rsidRPr="000C7472">
        <w:t>. Water and Rivers Commission Resources Science Division. Hydrogeological Record Series, Report No. HG.9. 2003.</w:t>
      </w:r>
    </w:p>
    <w:p w14:paraId="042A1A4B" w14:textId="3460C6F3" w:rsidR="000F551D" w:rsidRDefault="000F551D" w:rsidP="000F551D">
      <w:pPr>
        <w:pStyle w:val="BodyText"/>
      </w:pPr>
      <w:r w:rsidRPr="000C7472">
        <w:t xml:space="preserve">Kumar, R. N., McCullough, C. D. and Lund, M. A. (2009). Water resources in Australian mine pit lakes. </w:t>
      </w:r>
      <w:r w:rsidRPr="000C7472">
        <w:rPr>
          <w:i/>
          <w:iCs/>
        </w:rPr>
        <w:t>Mining Technology</w:t>
      </w:r>
      <w:r w:rsidRPr="000C7472">
        <w:t xml:space="preserve"> 118: 205-211.</w:t>
      </w:r>
    </w:p>
    <w:p w14:paraId="7FBD31E3" w14:textId="3870501F" w:rsidR="004D7C10" w:rsidRPr="000C7472" w:rsidRDefault="004D7C10" w:rsidP="000F551D">
      <w:pPr>
        <w:pStyle w:val="BodyText"/>
      </w:pPr>
      <w:r>
        <w:t xml:space="preserve">Mackie. C.D. (2009). </w:t>
      </w:r>
      <w:r w:rsidRPr="004D7C10">
        <w:rPr>
          <w:i/>
          <w:iCs/>
        </w:rPr>
        <w:t>Hydrogeological Characterisation of Coal Measures and Overview of Impacts of Coal Mining on Groundwater Systems in the Upper Hunter Valley of NSW</w:t>
      </w:r>
      <w:r>
        <w:t>. Doctoral Dissertation, University of Technology, Sydney, NSW, Australia.</w:t>
      </w:r>
    </w:p>
    <w:p w14:paraId="5650BA31" w14:textId="20D65B4F" w:rsidR="00DE04DA" w:rsidRPr="000C7472" w:rsidRDefault="00DE04DA" w:rsidP="00DE04DA">
      <w:pPr>
        <w:pStyle w:val="BodyText"/>
      </w:pPr>
      <w:bookmarkStart w:id="321" w:name="_Hlk55990506"/>
      <w:r w:rsidRPr="000C7472">
        <w:t>McCullough, C. D., Marchand, G. and Unseld, J. (2013</w:t>
      </w:r>
      <w:bookmarkEnd w:id="321"/>
      <w:r w:rsidRPr="000C7472">
        <w:t xml:space="preserve">). Mine closure of pit lakes as terminal sinks: best available practice when options are limited? </w:t>
      </w:r>
      <w:r w:rsidRPr="000C7472">
        <w:rPr>
          <w:i/>
          <w:iCs/>
        </w:rPr>
        <w:t>Mine Water and the Environment</w:t>
      </w:r>
      <w:r w:rsidRPr="000C7472">
        <w:t xml:space="preserve"> 32: 302-313.</w:t>
      </w:r>
    </w:p>
    <w:p w14:paraId="5A79B8CB" w14:textId="106ADF11" w:rsidR="00B45AF5" w:rsidRPr="000C7472" w:rsidRDefault="00B45AF5" w:rsidP="00B45AF5">
      <w:pPr>
        <w:pStyle w:val="BodyText"/>
      </w:pPr>
      <w:bookmarkStart w:id="322" w:name="_Hlk55984705"/>
      <w:r w:rsidRPr="000C7472">
        <w:t>McCullough, C.D. and Schultze, M. (2015)</w:t>
      </w:r>
      <w:r w:rsidR="005B20DE" w:rsidRPr="000C7472">
        <w:t>.</w:t>
      </w:r>
      <w:r w:rsidRPr="000C7472">
        <w:t xml:space="preserve"> </w:t>
      </w:r>
      <w:bookmarkEnd w:id="322"/>
      <w:r w:rsidRPr="000C7472">
        <w:rPr>
          <w:i/>
          <w:iCs/>
        </w:rPr>
        <w:t>Riverine Flow-through of Mine Pit Lakes: Improving Both Mine Pit Lake and River Water Quality Values?</w:t>
      </w:r>
      <w:r w:rsidRPr="000C7472">
        <w:t xml:space="preserve"> In Proceedings of the Joint International Conference on Acid Rock Drainage ICARD/International Mine Water Association (IMWA) Congress, Santiago, Chile, 28 April–1 May 2015.</w:t>
      </w:r>
    </w:p>
    <w:p w14:paraId="46983A38" w14:textId="77777777" w:rsidR="005D5CCC" w:rsidRPr="000C7472" w:rsidRDefault="005D5CCC" w:rsidP="005D5CCC">
      <w:pPr>
        <w:pStyle w:val="BodyText"/>
      </w:pPr>
      <w:r w:rsidRPr="000C7472">
        <w:t xml:space="preserve">Middlemount Coal Pty Ltd (MCPL). (2012). </w:t>
      </w:r>
      <w:r w:rsidRPr="000C7472">
        <w:rPr>
          <w:i/>
          <w:iCs/>
        </w:rPr>
        <w:t>Middlemount Coal Project Stage 2: Rehabilitation Management Plan</w:t>
      </w:r>
      <w:r w:rsidRPr="000C7472">
        <w:t>.</w:t>
      </w:r>
    </w:p>
    <w:p w14:paraId="0465C103" w14:textId="250F75D9" w:rsidR="006D6D02" w:rsidRPr="000C7472" w:rsidRDefault="006D6D02" w:rsidP="00B45AF5">
      <w:pPr>
        <w:pStyle w:val="BodyText"/>
      </w:pPr>
      <w:bookmarkStart w:id="323" w:name="_Hlk56425706"/>
      <w:r w:rsidRPr="000C7472">
        <w:t>Middlemount Coal</w:t>
      </w:r>
      <w:r w:rsidR="000C0842" w:rsidRPr="000C7472">
        <w:t xml:space="preserve"> Pty Ltd (MCPL)</w:t>
      </w:r>
      <w:r w:rsidRPr="000C7472">
        <w:t>. (2018</w:t>
      </w:r>
      <w:r w:rsidR="001339E3" w:rsidRPr="000C7472">
        <w:t>a</w:t>
      </w:r>
      <w:r w:rsidRPr="000C7472">
        <w:t xml:space="preserve">). </w:t>
      </w:r>
      <w:r w:rsidRPr="000C7472">
        <w:rPr>
          <w:i/>
          <w:iCs/>
        </w:rPr>
        <w:t>Western Extension Project Environmental Assessment Report</w:t>
      </w:r>
      <w:r w:rsidRPr="000C7472">
        <w:t xml:space="preserve">. Prepared by Resource Strategies Pty Ltd. </w:t>
      </w:r>
    </w:p>
    <w:p w14:paraId="6EC68C67" w14:textId="4C86EF98" w:rsidR="005D5CCC" w:rsidRPr="000C7472" w:rsidRDefault="005D5CCC" w:rsidP="005D5CCC">
      <w:pPr>
        <w:pStyle w:val="BodyText"/>
      </w:pPr>
      <w:r w:rsidRPr="000C7472">
        <w:t>Middlemount Coal Pty Ltd (MCPL). (2018b). Rehabilitation Management Plan Addendum. Prepared by GT Environmental.</w:t>
      </w:r>
    </w:p>
    <w:bookmarkEnd w:id="323"/>
    <w:p w14:paraId="7F30FAC2" w14:textId="7394BE16" w:rsidR="006D6D02" w:rsidRPr="000C7472" w:rsidRDefault="006D6D02" w:rsidP="006D6D02">
      <w:pPr>
        <w:pStyle w:val="BodyText"/>
      </w:pPr>
      <w:r w:rsidRPr="000C7472">
        <w:t>Middlemount Coal</w:t>
      </w:r>
      <w:r w:rsidR="000C0842" w:rsidRPr="000C7472">
        <w:t xml:space="preserve"> Pty Ltd (MCPL)</w:t>
      </w:r>
      <w:r w:rsidRPr="000C7472">
        <w:t xml:space="preserve">. (2019). </w:t>
      </w:r>
      <w:r w:rsidRPr="000C7472">
        <w:rPr>
          <w:i/>
          <w:iCs/>
        </w:rPr>
        <w:t>Western Extension Project (EPBC 2017/8130) EPBC Act Preliminary Assessment Documentation</w:t>
      </w:r>
      <w:r w:rsidRPr="000C7472">
        <w:t>.</w:t>
      </w:r>
    </w:p>
    <w:p w14:paraId="1F5E50EE" w14:textId="0A024544" w:rsidR="005B20DE" w:rsidRPr="000C7472" w:rsidRDefault="005B20DE" w:rsidP="005B20DE">
      <w:pPr>
        <w:pStyle w:val="BodyText"/>
      </w:pPr>
      <w:bookmarkStart w:id="324" w:name="_Hlk55994361"/>
      <w:r w:rsidRPr="000C7472">
        <w:t xml:space="preserve">Mines Lakes Consulting. (2017). </w:t>
      </w:r>
      <w:bookmarkEnd w:id="324"/>
      <w:r w:rsidRPr="000C7472">
        <w:rPr>
          <w:i/>
          <w:iCs/>
        </w:rPr>
        <w:t>Industry Practice Review - Pit lake closure with strategic riverine connectivity</w:t>
      </w:r>
      <w:r w:rsidRPr="000C7472">
        <w:t>. Report submitted to Glencore Pty Ltd. Report Number: 1702-001-R-Rev0.</w:t>
      </w:r>
    </w:p>
    <w:p w14:paraId="05110BE4" w14:textId="5CE92A94" w:rsidR="003A51E5" w:rsidRPr="000C7472" w:rsidRDefault="003A51E5" w:rsidP="003A51E5">
      <w:pPr>
        <w:pStyle w:val="BodyText"/>
      </w:pPr>
      <w:r w:rsidRPr="000C7472">
        <w:lastRenderedPageBreak/>
        <w:t xml:space="preserve">Niccoli, W. L. (2009). </w:t>
      </w:r>
      <w:r w:rsidRPr="000C7472">
        <w:rPr>
          <w:i/>
          <w:iCs/>
        </w:rPr>
        <w:t>Hydrologic characteristics and classifications of pit lakes</w:t>
      </w:r>
      <w:r w:rsidRPr="000C7472">
        <w:t>. In, Mine Pit Lakes: Characteristics, Predictive Modeling, and Sustainability Castendyk, D. &amp; Eary, T. (eds.) Society for Mining, Metallurgy, and Exploration (SME), Colorado, USA, 33-43pp.</w:t>
      </w:r>
    </w:p>
    <w:p w14:paraId="78134FAC" w14:textId="6252042A" w:rsidR="006F6AA3" w:rsidRPr="000C7472" w:rsidRDefault="006F6AA3" w:rsidP="003A51E5">
      <w:pPr>
        <w:pStyle w:val="BodyText"/>
      </w:pPr>
      <w:r w:rsidRPr="000C7472">
        <w:t xml:space="preserve">Pembroke Resources. (2018). </w:t>
      </w:r>
      <w:r w:rsidRPr="000C7472">
        <w:rPr>
          <w:i/>
          <w:iCs/>
        </w:rPr>
        <w:t>Olive Downs Coking Coal Project – Draft Environmental Impact Statement</w:t>
      </w:r>
      <w:r w:rsidRPr="000C7472">
        <w:t xml:space="preserve">. </w:t>
      </w:r>
    </w:p>
    <w:p w14:paraId="7F76BD5C" w14:textId="2FD9416D" w:rsidR="006F6AA3" w:rsidRDefault="006F6AA3" w:rsidP="003A51E5">
      <w:pPr>
        <w:pStyle w:val="BodyText"/>
      </w:pPr>
      <w:r w:rsidRPr="000C7472">
        <w:t xml:space="preserve">Pembroke Resources. (2019). </w:t>
      </w:r>
      <w:r w:rsidRPr="000C7472">
        <w:rPr>
          <w:i/>
          <w:iCs/>
        </w:rPr>
        <w:t>Olive Downs Coking Coal Project – Additional Information to the Environmental Impact Statement</w:t>
      </w:r>
      <w:r w:rsidRPr="000C7472">
        <w:t>.</w:t>
      </w:r>
    </w:p>
    <w:p w14:paraId="3CAFC64B" w14:textId="7DCC2344" w:rsidR="006334C5" w:rsidRPr="000C7472" w:rsidRDefault="006334C5" w:rsidP="006334C5">
      <w:pPr>
        <w:pStyle w:val="BodyText"/>
      </w:pPr>
      <w:r>
        <w:t xml:space="preserve">Queensland Fire and Emergency Services. (2018). </w:t>
      </w:r>
      <w:r w:rsidRPr="006334C5">
        <w:rPr>
          <w:i/>
          <w:iCs/>
        </w:rPr>
        <w:t>Queensland Emergency Risk Management Framework (QERMF). Risk Assessment Process Handbook</w:t>
      </w:r>
      <w:r>
        <w:t>. Prepared by Community Resilience and Risk Mitigation Unit, Emergency Management and Community Capability, Queensland Fire and Emergency Services.</w:t>
      </w:r>
    </w:p>
    <w:p w14:paraId="002029E2" w14:textId="77E306DF" w:rsidR="00BA4270" w:rsidRPr="000C7472" w:rsidRDefault="00BA4270" w:rsidP="003A51E5">
      <w:pPr>
        <w:pStyle w:val="BodyText"/>
      </w:pPr>
      <w:r w:rsidRPr="000C7472">
        <w:t>Umwelt Australia Pty Ltd (Umwelt). (2018</w:t>
      </w:r>
      <w:r w:rsidR="000F0FA9" w:rsidRPr="000C7472">
        <w:t>a</w:t>
      </w:r>
      <w:r w:rsidRPr="000C7472">
        <w:t xml:space="preserve">). </w:t>
      </w:r>
      <w:r w:rsidRPr="000C7472">
        <w:rPr>
          <w:i/>
          <w:iCs/>
        </w:rPr>
        <w:t>Stage 2 Environmental Assessment Report, Ensham Residual Void Project Option 1: Landform Levee</w:t>
      </w:r>
      <w:r w:rsidRPr="000C7472">
        <w:t>. Final. July 2018.</w:t>
      </w:r>
    </w:p>
    <w:p w14:paraId="53C9E0A9" w14:textId="06664579" w:rsidR="00BA4270" w:rsidRPr="000C7472" w:rsidRDefault="00BA4270" w:rsidP="00BA4270">
      <w:pPr>
        <w:pStyle w:val="BodyText"/>
      </w:pPr>
      <w:r w:rsidRPr="000C7472">
        <w:t>Umwelt Australia Pty Ltd (Umwelt). (2018</w:t>
      </w:r>
      <w:r w:rsidR="000F0FA9" w:rsidRPr="000C7472">
        <w:t>b</w:t>
      </w:r>
      <w:r w:rsidRPr="000C7472">
        <w:t xml:space="preserve">). </w:t>
      </w:r>
      <w:r w:rsidRPr="000C7472">
        <w:rPr>
          <w:i/>
          <w:iCs/>
        </w:rPr>
        <w:t>Stage 2 Environmental Assessment Report, Ensham Residual Void Project Option 2: Flood Mitigation and Beneficial Use</w:t>
      </w:r>
      <w:r w:rsidRPr="000C7472">
        <w:t>. Final. July 2018.</w:t>
      </w:r>
    </w:p>
    <w:p w14:paraId="49150E78" w14:textId="695516FC" w:rsidR="00BA4270" w:rsidRPr="000C7472" w:rsidRDefault="00BA4270" w:rsidP="000F0FA9">
      <w:pPr>
        <w:pStyle w:val="BodyText"/>
        <w:rPr>
          <w:i/>
          <w:iCs/>
        </w:rPr>
      </w:pPr>
      <w:r w:rsidRPr="000C7472">
        <w:t>Umwelt Australia Pty Ltd (Umwelt). (2018</w:t>
      </w:r>
      <w:r w:rsidR="000F0FA9" w:rsidRPr="000C7472">
        <w:t>c</w:t>
      </w:r>
      <w:r w:rsidRPr="000C7472">
        <w:t xml:space="preserve">). </w:t>
      </w:r>
      <w:r w:rsidRPr="000C7472">
        <w:rPr>
          <w:i/>
          <w:iCs/>
        </w:rPr>
        <w:t>Stage 2 Environmental Assessment Report, Ensham Residual Void Project Option</w:t>
      </w:r>
      <w:r w:rsidR="000F0FA9" w:rsidRPr="000C7472">
        <w:rPr>
          <w:i/>
          <w:iCs/>
        </w:rPr>
        <w:t xml:space="preserve"> 3</w:t>
      </w:r>
      <w:r w:rsidRPr="000C7472">
        <w:rPr>
          <w:i/>
          <w:iCs/>
        </w:rPr>
        <w:t xml:space="preserve">: </w:t>
      </w:r>
      <w:r w:rsidR="000F0FA9" w:rsidRPr="000C7472">
        <w:rPr>
          <w:i/>
          <w:iCs/>
        </w:rPr>
        <w:t>Backfill to Probable Maximum Flood Level</w:t>
      </w:r>
      <w:r w:rsidRPr="000C7472">
        <w:t>. Final. July 2018.</w:t>
      </w:r>
    </w:p>
    <w:p w14:paraId="2E5538B0" w14:textId="1A0D3468" w:rsidR="00C7424F" w:rsidRPr="00C7424F" w:rsidRDefault="00DB0925" w:rsidP="00C7424F">
      <w:bookmarkStart w:id="325" w:name="_Hlk55895963"/>
      <w:r w:rsidRPr="000C7472">
        <w:t>Vandenberg, J.A. and McCullough</w:t>
      </w:r>
      <w:r w:rsidR="000E6AFA" w:rsidRPr="000C7472">
        <w:t>, C.D</w:t>
      </w:r>
      <w:bookmarkEnd w:id="325"/>
      <w:r w:rsidR="000E6AFA" w:rsidRPr="000C7472">
        <w:t>. (2017).</w:t>
      </w:r>
      <w:r w:rsidRPr="000C7472">
        <w:t xml:space="preserve"> Key Issues in Mine Closure Planning for</w:t>
      </w:r>
      <w:r w:rsidR="000E6AFA" w:rsidRPr="000C7472">
        <w:t xml:space="preserve"> </w:t>
      </w:r>
      <w:r w:rsidRPr="000C7472">
        <w:t>Pit Lakes</w:t>
      </w:r>
      <w:r w:rsidR="000E6AFA" w:rsidRPr="000C7472">
        <w:t xml:space="preserve">. In: Nanthi Bolan N, Ok Y, Kirkham M (eds) </w:t>
      </w:r>
      <w:r w:rsidR="000E6AFA" w:rsidRPr="000C7472">
        <w:rPr>
          <w:i/>
          <w:iCs/>
        </w:rPr>
        <w:t>Spoil to soil: mine site rehabilitation and revegetation</w:t>
      </w:r>
      <w:r w:rsidR="000E6AFA" w:rsidRPr="000C7472">
        <w:t>. CRC Press, Boca Raton, pp 175–188.</w:t>
      </w:r>
    </w:p>
    <w:p w14:paraId="5AC017E4" w14:textId="30346704" w:rsidR="00F8574C" w:rsidRPr="00C7424F" w:rsidRDefault="00F8574C" w:rsidP="00C96CE0">
      <w:pPr>
        <w:sectPr w:rsidR="00F8574C" w:rsidRPr="00C7424F" w:rsidSect="00F66109">
          <w:pgSz w:w="11907" w:h="16839" w:code="9"/>
          <w:pgMar w:top="1440" w:right="1440" w:bottom="1134" w:left="1440" w:header="340" w:footer="340" w:gutter="0"/>
          <w:cols w:space="708"/>
          <w:docGrid w:linePitch="360"/>
        </w:sectPr>
      </w:pPr>
      <w:r w:rsidRPr="00F8574C">
        <w:t xml:space="preserve">Zhan, W., Nathan, R., Buckley, S., &amp; Hocking, A. (2020). </w:t>
      </w:r>
      <w:r w:rsidRPr="0033743E">
        <w:rPr>
          <w:i/>
          <w:iCs/>
        </w:rPr>
        <w:t>Climate Change Adaptation in BHP’s Queensland Mine Water Planning and Hydrologic Designs</w:t>
      </w:r>
      <w:r w:rsidRPr="00F8574C">
        <w:t>. Proceedings of the 14th IMWA Congress “Mine Water Solutions, 231–236. Christchurch, N.Z.": International Mine Water Association</w:t>
      </w:r>
      <w:r>
        <w:t>.</w:t>
      </w:r>
    </w:p>
    <w:p w14:paraId="327A3F75" w14:textId="77777777" w:rsidR="0063338B" w:rsidRDefault="00D2709D" w:rsidP="0063338B">
      <w:pPr>
        <w:pStyle w:val="CoffeyBlankPageText"/>
      </w:pPr>
      <w:r w:rsidRPr="007756C4">
        <w:lastRenderedPageBreak/>
        <w:t>This page has been left intentionally blank</w:t>
      </w:r>
    </w:p>
    <w:p w14:paraId="16E12919" w14:textId="77777777" w:rsidR="0063338B" w:rsidRPr="00AF19D8" w:rsidRDefault="0063338B" w:rsidP="00D2709D">
      <w:pPr>
        <w:pStyle w:val="BodyText"/>
      </w:pPr>
      <w:bookmarkStart w:id="326" w:name="sd_begin_insert"/>
      <w:bookmarkStart w:id="327" w:name="sd_end_insert"/>
      <w:bookmarkEnd w:id="326"/>
      <w:bookmarkEnd w:id="327"/>
    </w:p>
    <w:sectPr w:rsidR="0063338B" w:rsidRPr="00AF19D8" w:rsidSect="00644EED">
      <w:headerReference w:type="default" r:id="rId56"/>
      <w:footerReference w:type="default" r:id="rId57"/>
      <w:pgSz w:w="11907" w:h="16839" w:code="9"/>
      <w:pgMar w:top="1440" w:right="1440" w:bottom="1134" w:left="1440" w:header="340" w:footer="34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68908D" w14:textId="77777777" w:rsidR="00820D77" w:rsidRDefault="00820D77" w:rsidP="000959C0">
      <w:r>
        <w:separator/>
      </w:r>
    </w:p>
    <w:p w14:paraId="2C7E41EC" w14:textId="77777777" w:rsidR="00820D77" w:rsidRDefault="00820D77" w:rsidP="000959C0"/>
  </w:endnote>
  <w:endnote w:type="continuationSeparator" w:id="0">
    <w:p w14:paraId="45C9D5C7" w14:textId="77777777" w:rsidR="00820D77" w:rsidRDefault="00820D77" w:rsidP="000959C0">
      <w:r>
        <w:continuationSeparator/>
      </w:r>
    </w:p>
    <w:p w14:paraId="6B1AFA2D" w14:textId="77777777" w:rsidR="00820D77" w:rsidRDefault="00820D77" w:rsidP="000959C0"/>
  </w:endnote>
  <w:endnote w:type="continuationNotice" w:id="1">
    <w:p w14:paraId="64FDC887" w14:textId="77777777" w:rsidR="00820D77" w:rsidRDefault="00820D7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TT)">
    <w:altName w:val="Arial"/>
    <w:panose1 w:val="00000000000000000000"/>
    <w:charset w:val="00"/>
    <w:family w:val="auto"/>
    <w:notTrueType/>
    <w:pitch w:val="default"/>
    <w:sig w:usb0="00000003" w:usb1="00000000" w:usb2="00000000" w:usb3="00000000" w:csb0="00000001" w:csb1="00000000"/>
  </w:font>
  <w:font w:name="Tahoma">
    <w:altName w:val="?l?r ??u!??I"/>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MT">
    <w:altName w:val="MS Mincho"/>
    <w:panose1 w:val="00000000000000000000"/>
    <w:charset w:val="80"/>
    <w:family w:val="auto"/>
    <w:notTrueType/>
    <w:pitch w:val="default"/>
    <w:sig w:usb0="00000003" w:usb1="08070000" w:usb2="00000010" w:usb3="00000000" w:csb0="00020001"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600" w:firstRow="0" w:lastRow="0" w:firstColumn="0" w:lastColumn="0" w:noHBand="1" w:noVBand="1"/>
    </w:tblPr>
    <w:tblGrid>
      <w:gridCol w:w="4517"/>
      <w:gridCol w:w="4510"/>
    </w:tblGrid>
    <w:tr w:rsidR="00A810F8" w14:paraId="3F1A362F" w14:textId="77777777" w:rsidTr="00B11827">
      <w:tc>
        <w:tcPr>
          <w:tcW w:w="2502" w:type="pct"/>
        </w:tcPr>
        <w:p w14:paraId="4C879CC0" w14:textId="77B9C71E" w:rsidR="00A810F8" w:rsidRDefault="00A810F8" w:rsidP="00B11827">
          <w:pPr>
            <w:pStyle w:val="Footer"/>
          </w:pPr>
          <w:r>
            <w:fldChar w:fldCharType="begin"/>
          </w:r>
          <w:r>
            <w:instrText xml:space="preserve"> DOCPROPERTY  "[Legal Entity]"  \* MERGEFORMAT </w:instrText>
          </w:r>
          <w:r>
            <w:fldChar w:fldCharType="separate"/>
          </w:r>
          <w:r w:rsidR="00937ADD">
            <w:rPr>
              <w:b/>
              <w:bCs/>
              <w:lang w:val="en-US"/>
            </w:rPr>
            <w:t>Error! Unknown document property name.</w:t>
          </w:r>
          <w:r>
            <w:fldChar w:fldCharType="end"/>
          </w:r>
          <w:r>
            <w:br/>
          </w:r>
          <w:r>
            <w:fldChar w:fldCharType="begin"/>
          </w:r>
          <w:r>
            <w:instrText xml:space="preserve"> DOCPROPERTY  "[Registration Details]"  \* MERGEFORMAT </w:instrText>
          </w:r>
          <w:r>
            <w:fldChar w:fldCharType="separate"/>
          </w:r>
          <w:r w:rsidR="00937ADD">
            <w:rPr>
              <w:b/>
              <w:bCs/>
              <w:lang w:val="en-US"/>
            </w:rPr>
            <w:t>Error! Unknown document property name.</w:t>
          </w:r>
          <w:r>
            <w:fldChar w:fldCharType="end"/>
          </w:r>
        </w:p>
      </w:tc>
      <w:tc>
        <w:tcPr>
          <w:tcW w:w="2498" w:type="pct"/>
          <w:vAlign w:val="center"/>
        </w:tcPr>
        <w:p w14:paraId="099548E5" w14:textId="77777777" w:rsidR="00A810F8" w:rsidRDefault="00A810F8" w:rsidP="00B11827">
          <w:pPr>
            <w:pStyle w:val="Footer"/>
            <w:jc w:val="right"/>
          </w:pPr>
          <w:r>
            <w:fldChar w:fldCharType="begin"/>
          </w:r>
          <w:r>
            <w:instrText xml:space="preserve"> PAGE   \* MERGEFORMAT </w:instrText>
          </w:r>
          <w:r>
            <w:fldChar w:fldCharType="separate"/>
          </w:r>
          <w:r>
            <w:rPr>
              <w:noProof/>
            </w:rPr>
            <w:t xml:space="preserve"> </w:t>
          </w:r>
          <w:r>
            <w:rPr>
              <w:noProof/>
            </w:rPr>
            <w:fldChar w:fldCharType="end"/>
          </w:r>
        </w:p>
      </w:tc>
    </w:tr>
  </w:tbl>
  <w:p w14:paraId="6B9D7D5E" w14:textId="77777777" w:rsidR="00A810F8" w:rsidRDefault="00A810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Coffey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517"/>
      <w:gridCol w:w="4510"/>
    </w:tblGrid>
    <w:tr w:rsidR="00A810F8" w:rsidRPr="00F56E2E" w14:paraId="335A1495" w14:textId="77777777" w:rsidTr="00B11827">
      <w:tc>
        <w:tcPr>
          <w:tcW w:w="2502" w:type="pct"/>
          <w:hideMark/>
        </w:tcPr>
        <w:p w14:paraId="7C627CB0" w14:textId="52198FD3" w:rsidR="00A810F8" w:rsidRPr="00F56E2E" w:rsidRDefault="009B0C52" w:rsidP="00346957">
          <w:pPr>
            <w:tabs>
              <w:tab w:val="right" w:pos="9184"/>
            </w:tabs>
            <w:rPr>
              <w:szCs w:val="16"/>
            </w:rPr>
          </w:pPr>
          <w:sdt>
            <w:sdtPr>
              <w:alias w:val="Company"/>
              <w:tag w:val="{&quot;templafy&quot;:{&quot;id&quot;:&quot;661e3ebf-9ed6-404f-8f09-302ca7ce5ab3&quot;}}"/>
              <w:id w:val="-8836924"/>
              <w:placeholder>
                <w:docPart w:val="DefaultPlaceholder_-1854013440"/>
              </w:placeholder>
            </w:sdtPr>
            <w:sdtEndPr/>
            <w:sdtContent>
              <w:r w:rsidR="00A810F8">
                <w:t>Coffey Services Australia Pty Ltd</w:t>
              </w:r>
            </w:sdtContent>
          </w:sdt>
          <w:r w:rsidR="00A810F8">
            <w:br/>
          </w:r>
          <w:r w:rsidR="00A810F8">
            <w:rPr>
              <w:szCs w:val="16"/>
            </w:rPr>
            <w:fldChar w:fldCharType="begin"/>
          </w:r>
          <w:r w:rsidR="00A810F8">
            <w:rPr>
              <w:szCs w:val="16"/>
            </w:rPr>
            <w:instrText xml:space="preserve"> STYLEREF  "ABN nr." </w:instrText>
          </w:r>
          <w:r w:rsidR="00A810F8">
            <w:rPr>
              <w:szCs w:val="16"/>
            </w:rPr>
            <w:fldChar w:fldCharType="separate"/>
          </w:r>
          <w:r>
            <w:rPr>
              <w:noProof/>
              <w:szCs w:val="16"/>
            </w:rPr>
            <w:t>ABN 55 139 460 521</w:t>
          </w:r>
          <w:r w:rsidR="00A810F8">
            <w:rPr>
              <w:szCs w:val="16"/>
            </w:rPr>
            <w:fldChar w:fldCharType="end"/>
          </w:r>
        </w:p>
      </w:tc>
      <w:tc>
        <w:tcPr>
          <w:tcW w:w="2498" w:type="pct"/>
          <w:vAlign w:val="center"/>
          <w:hideMark/>
        </w:tcPr>
        <w:p w14:paraId="69566B2A" w14:textId="77777777" w:rsidR="00A810F8" w:rsidRPr="00F56E2E" w:rsidRDefault="00A810F8" w:rsidP="00346957">
          <w:pPr>
            <w:tabs>
              <w:tab w:val="right" w:pos="9184"/>
            </w:tabs>
            <w:jc w:val="right"/>
            <w:rPr>
              <w:szCs w:val="16"/>
            </w:rPr>
          </w:pPr>
          <w:r w:rsidRPr="00F56E2E">
            <w:rPr>
              <w:szCs w:val="16"/>
            </w:rPr>
            <w:fldChar w:fldCharType="begin"/>
          </w:r>
          <w:r w:rsidRPr="00F56E2E">
            <w:rPr>
              <w:szCs w:val="16"/>
            </w:rPr>
            <w:instrText xml:space="preserve"> PAGE   \* MERGEFORMAT </w:instrText>
          </w:r>
          <w:r w:rsidRPr="00F56E2E">
            <w:rPr>
              <w:szCs w:val="16"/>
            </w:rPr>
            <w:fldChar w:fldCharType="separate"/>
          </w:r>
          <w:r>
            <w:rPr>
              <w:noProof/>
              <w:szCs w:val="16"/>
            </w:rPr>
            <w:t>ii</w:t>
          </w:r>
          <w:r w:rsidRPr="00F56E2E">
            <w:rPr>
              <w:noProof/>
              <w:szCs w:val="16"/>
            </w:rPr>
            <w:fldChar w:fldCharType="end"/>
          </w:r>
        </w:p>
      </w:tc>
    </w:tr>
  </w:tbl>
  <w:p w14:paraId="21D4684E" w14:textId="77777777" w:rsidR="00A810F8" w:rsidRPr="00F56E2E" w:rsidRDefault="00A810F8" w:rsidP="0034695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600" w:firstRow="0" w:lastRow="0" w:firstColumn="0" w:lastColumn="0" w:noHBand="1" w:noVBand="1"/>
    </w:tblPr>
    <w:tblGrid>
      <w:gridCol w:w="4517"/>
      <w:gridCol w:w="4510"/>
    </w:tblGrid>
    <w:tr w:rsidR="00A810F8" w14:paraId="5C939B91" w14:textId="77777777" w:rsidTr="0048076D">
      <w:tc>
        <w:tcPr>
          <w:tcW w:w="2502" w:type="pct"/>
        </w:tcPr>
        <w:p w14:paraId="0C52C4B3" w14:textId="7F1A04B5" w:rsidR="00A810F8" w:rsidRDefault="009B0C52" w:rsidP="0048076D">
          <w:pPr>
            <w:pStyle w:val="Footer"/>
          </w:pPr>
          <w:sdt>
            <w:sdtPr>
              <w:alias w:val="Company"/>
              <w:tag w:val="{&quot;templafy&quot;:{&quot;id&quot;:&quot;bcb8847f-e246-461e-90ab-60ce73883580&quot;}}"/>
              <w:id w:val="-1551530162"/>
              <w:placeholder>
                <w:docPart w:val="DefaultPlaceholder_-1854013440"/>
              </w:placeholder>
            </w:sdtPr>
            <w:sdtEndPr/>
            <w:sdtContent>
              <w:r w:rsidR="00A810F8">
                <w:t>Coffey Services Australia Pty Ltd</w:t>
              </w:r>
            </w:sdtContent>
          </w:sdt>
          <w:r w:rsidR="00A810F8">
            <w:br/>
          </w:r>
          <w:r w:rsidR="00A810F8">
            <w:rPr>
              <w:noProof/>
            </w:rPr>
            <w:fldChar w:fldCharType="begin"/>
          </w:r>
          <w:r w:rsidR="00A810F8">
            <w:rPr>
              <w:noProof/>
            </w:rPr>
            <w:instrText xml:space="preserve"> STYLEREF  "ABN nr." </w:instrText>
          </w:r>
          <w:r w:rsidR="00A810F8">
            <w:rPr>
              <w:noProof/>
            </w:rPr>
            <w:fldChar w:fldCharType="separate"/>
          </w:r>
          <w:r>
            <w:rPr>
              <w:noProof/>
            </w:rPr>
            <w:t>ABN 55 139 460 521</w:t>
          </w:r>
          <w:r w:rsidR="00A810F8">
            <w:rPr>
              <w:noProof/>
            </w:rPr>
            <w:fldChar w:fldCharType="end"/>
          </w:r>
        </w:p>
      </w:tc>
      <w:tc>
        <w:tcPr>
          <w:tcW w:w="2498" w:type="pct"/>
          <w:vAlign w:val="center"/>
        </w:tcPr>
        <w:p w14:paraId="5E50CB49" w14:textId="77777777" w:rsidR="00A810F8" w:rsidRDefault="00A810F8" w:rsidP="0048076D">
          <w:pPr>
            <w:pStyle w:val="Footer"/>
            <w:jc w:val="right"/>
          </w:pPr>
          <w:r>
            <w:fldChar w:fldCharType="begin"/>
          </w:r>
          <w:r>
            <w:instrText xml:space="preserve"> PAGE   \* MERGEFORMAT </w:instrText>
          </w:r>
          <w:r>
            <w:fldChar w:fldCharType="separate"/>
          </w:r>
          <w:r>
            <w:rPr>
              <w:noProof/>
            </w:rPr>
            <w:t>i</w:t>
          </w:r>
          <w:r>
            <w:rPr>
              <w:noProof/>
            </w:rPr>
            <w:fldChar w:fldCharType="end"/>
          </w:r>
        </w:p>
      </w:tc>
    </w:tr>
  </w:tbl>
  <w:p w14:paraId="25C3E0AB" w14:textId="77777777" w:rsidR="00A810F8" w:rsidRDefault="00A810F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D5DDE1" w:themeColor="accent1" w:themeTint="66"/>
        <w:left w:val="single" w:sz="4" w:space="0" w:color="D5DDE1" w:themeColor="accent1" w:themeTint="66"/>
        <w:bottom w:val="single" w:sz="4" w:space="0" w:color="D5DDE1" w:themeColor="accent1" w:themeTint="66"/>
        <w:right w:val="single" w:sz="4" w:space="0" w:color="D5DDE1" w:themeColor="accent1" w:themeTint="66"/>
        <w:insideH w:val="single" w:sz="4" w:space="0" w:color="D5DDE1" w:themeColor="accent1" w:themeTint="66"/>
        <w:insideV w:val="single" w:sz="4" w:space="0" w:color="D5DDE1" w:themeColor="accent1" w:themeTint="66"/>
      </w:tblBorders>
      <w:tblCellMar>
        <w:top w:w="57" w:type="dxa"/>
        <w:left w:w="85" w:type="dxa"/>
        <w:bottom w:w="57" w:type="dxa"/>
        <w:right w:w="85" w:type="dxa"/>
      </w:tblCellMar>
      <w:tblLook w:val="0600" w:firstRow="0" w:lastRow="0" w:firstColumn="0" w:lastColumn="0" w:noHBand="1" w:noVBand="1"/>
    </w:tblPr>
    <w:tblGrid>
      <w:gridCol w:w="8368"/>
      <w:gridCol w:w="659"/>
    </w:tblGrid>
    <w:tr w:rsidR="00A810F8" w:rsidRPr="003B5CC0" w14:paraId="68E67210" w14:textId="77777777" w:rsidTr="00560F3A">
      <w:tc>
        <w:tcPr>
          <w:tcW w:w="4635" w:type="pct"/>
          <w:tcBorders>
            <w:top w:val="nil"/>
            <w:left w:val="nil"/>
            <w:bottom w:val="nil"/>
            <w:right w:val="nil"/>
          </w:tcBorders>
        </w:tcPr>
        <w:p w14:paraId="27E3E828" w14:textId="71912AFA" w:rsidR="00A810F8" w:rsidRPr="003B5CC0" w:rsidRDefault="00A810F8" w:rsidP="003B5CC0">
          <w:pPr>
            <w:pStyle w:val="Footer"/>
            <w:spacing w:before="160" w:line="240" w:lineRule="auto"/>
            <w:rPr>
              <w:color w:val="808080" w:themeColor="background1" w:themeShade="80"/>
            </w:rPr>
          </w:pPr>
          <w:r w:rsidRPr="003B5CC0">
            <w:rPr>
              <w:color w:val="808080" w:themeColor="background1" w:themeShade="80"/>
            </w:rPr>
            <w:t>Coffey, A Tetra Tech Company</w:t>
          </w:r>
          <w:r w:rsidRPr="003B5CC0">
            <w:rPr>
              <w:color w:val="808080" w:themeColor="background1" w:themeShade="80"/>
            </w:rPr>
            <w:br/>
          </w:r>
          <w:r w:rsidRPr="003B5CC0">
            <w:rPr>
              <w:color w:val="808080" w:themeColor="background1" w:themeShade="80"/>
            </w:rPr>
            <w:fldChar w:fldCharType="begin"/>
          </w:r>
          <w:r w:rsidRPr="003B5CC0">
            <w:rPr>
              <w:color w:val="808080" w:themeColor="background1" w:themeShade="80"/>
            </w:rPr>
            <w:instrText xml:space="preserve"> STYLEREF  "Project/Document Reference" </w:instrText>
          </w:r>
          <w:r w:rsidRPr="003B5CC0">
            <w:rPr>
              <w:color w:val="808080" w:themeColor="background1" w:themeShade="80"/>
            </w:rPr>
            <w:fldChar w:fldCharType="separate"/>
          </w:r>
          <w:r w:rsidR="009B0C52">
            <w:rPr>
              <w:noProof/>
              <w:color w:val="808080" w:themeColor="background1" w:themeShade="80"/>
            </w:rPr>
            <w:t>754-MELEN275156</w:t>
          </w:r>
          <w:r w:rsidRPr="003B5CC0">
            <w:rPr>
              <w:color w:val="808080" w:themeColor="background1" w:themeShade="80"/>
            </w:rPr>
            <w:fldChar w:fldCharType="end"/>
          </w:r>
          <w:r w:rsidRPr="003B5CC0">
            <w:rPr>
              <w:color w:val="808080" w:themeColor="background1" w:themeShade="80"/>
            </w:rPr>
            <w:t xml:space="preserve"> </w:t>
          </w:r>
          <w:r w:rsidRPr="003B5CC0">
            <w:rPr>
              <w:color w:val="808080" w:themeColor="background1" w:themeShade="80"/>
            </w:rPr>
            <w:br/>
          </w:r>
          <w:r w:rsidRPr="003B5CC0">
            <w:rPr>
              <w:noProof/>
              <w:color w:val="808080" w:themeColor="background1" w:themeShade="80"/>
            </w:rPr>
            <w:fldChar w:fldCharType="begin"/>
          </w:r>
          <w:r w:rsidRPr="003B5CC0">
            <w:rPr>
              <w:noProof/>
              <w:color w:val="808080" w:themeColor="background1" w:themeShade="80"/>
            </w:rPr>
            <w:instrText xml:space="preserve"> STYLEREF  "Template - Date" </w:instrText>
          </w:r>
          <w:r w:rsidRPr="003B5CC0">
            <w:rPr>
              <w:noProof/>
              <w:color w:val="808080" w:themeColor="background1" w:themeShade="80"/>
            </w:rPr>
            <w:fldChar w:fldCharType="separate"/>
          </w:r>
          <w:r w:rsidR="009B0C52">
            <w:rPr>
              <w:noProof/>
              <w:color w:val="808080" w:themeColor="background1" w:themeShade="80"/>
            </w:rPr>
            <w:t>9 November 2021</w:t>
          </w:r>
          <w:r w:rsidRPr="003B5CC0">
            <w:rPr>
              <w:noProof/>
              <w:color w:val="808080" w:themeColor="background1" w:themeShade="80"/>
            </w:rPr>
            <w:fldChar w:fldCharType="end"/>
          </w:r>
        </w:p>
      </w:tc>
      <w:tc>
        <w:tcPr>
          <w:tcW w:w="365" w:type="pct"/>
          <w:tcBorders>
            <w:top w:val="nil"/>
            <w:left w:val="nil"/>
            <w:bottom w:val="nil"/>
            <w:right w:val="nil"/>
          </w:tcBorders>
          <w:vAlign w:val="center"/>
        </w:tcPr>
        <w:p w14:paraId="6D4E1E1F" w14:textId="77777777" w:rsidR="00A810F8" w:rsidRPr="003B5CC0" w:rsidRDefault="00A810F8" w:rsidP="0048076D">
          <w:pPr>
            <w:pStyle w:val="Footer"/>
            <w:jc w:val="right"/>
            <w:rPr>
              <w:color w:val="808080" w:themeColor="background1" w:themeShade="80"/>
            </w:rPr>
          </w:pPr>
          <w:r w:rsidRPr="003B5CC0">
            <w:rPr>
              <w:color w:val="808080" w:themeColor="background1" w:themeShade="80"/>
            </w:rPr>
            <w:fldChar w:fldCharType="begin"/>
          </w:r>
          <w:r w:rsidRPr="003B5CC0">
            <w:rPr>
              <w:color w:val="808080" w:themeColor="background1" w:themeShade="80"/>
            </w:rPr>
            <w:instrText xml:space="preserve"> PAGE   \* MERGEFORMAT </w:instrText>
          </w:r>
          <w:r w:rsidRPr="003B5CC0">
            <w:rPr>
              <w:color w:val="808080" w:themeColor="background1" w:themeShade="80"/>
            </w:rPr>
            <w:fldChar w:fldCharType="separate"/>
          </w:r>
          <w:r>
            <w:rPr>
              <w:noProof/>
              <w:color w:val="808080" w:themeColor="background1" w:themeShade="80"/>
            </w:rPr>
            <w:t>1</w:t>
          </w:r>
          <w:r w:rsidRPr="003B5CC0">
            <w:rPr>
              <w:noProof/>
              <w:color w:val="808080" w:themeColor="background1" w:themeShade="80"/>
            </w:rPr>
            <w:fldChar w:fldCharType="end"/>
          </w:r>
        </w:p>
      </w:tc>
    </w:tr>
  </w:tbl>
  <w:p w14:paraId="6BB2B1BE" w14:textId="77777777" w:rsidR="00A810F8" w:rsidRPr="00560F3A" w:rsidRDefault="00A810F8" w:rsidP="00FD0214">
    <w:pPr>
      <w:pStyle w:val="Footer"/>
      <w:spacing w:line="240" w:lineRule="auto"/>
      <w:rPr>
        <w:color w:val="808080" w:themeColor="background1" w:themeShade="80"/>
        <w:sz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D5DDE1" w:themeColor="accent1" w:themeTint="66"/>
        <w:left w:val="single" w:sz="4" w:space="0" w:color="D5DDE1" w:themeColor="accent1" w:themeTint="66"/>
        <w:bottom w:val="single" w:sz="4" w:space="0" w:color="D5DDE1" w:themeColor="accent1" w:themeTint="66"/>
        <w:right w:val="single" w:sz="4" w:space="0" w:color="D5DDE1" w:themeColor="accent1" w:themeTint="66"/>
        <w:insideH w:val="single" w:sz="4" w:space="0" w:color="D5DDE1" w:themeColor="accent1" w:themeTint="66"/>
        <w:insideV w:val="single" w:sz="4" w:space="0" w:color="D5DDE1" w:themeColor="accent1" w:themeTint="66"/>
      </w:tblBorders>
      <w:tblCellMar>
        <w:top w:w="57" w:type="dxa"/>
        <w:left w:w="85" w:type="dxa"/>
        <w:bottom w:w="57" w:type="dxa"/>
        <w:right w:w="85" w:type="dxa"/>
      </w:tblCellMar>
      <w:tblLook w:val="0600" w:firstRow="0" w:lastRow="0" w:firstColumn="0" w:lastColumn="0" w:noHBand="1" w:noVBand="1"/>
    </w:tblPr>
    <w:tblGrid>
      <w:gridCol w:w="8368"/>
      <w:gridCol w:w="659"/>
    </w:tblGrid>
    <w:tr w:rsidR="00A810F8" w:rsidRPr="003B5CC0" w14:paraId="7DE5D26C" w14:textId="77777777" w:rsidTr="00560F3A">
      <w:tc>
        <w:tcPr>
          <w:tcW w:w="4635" w:type="pct"/>
          <w:tcBorders>
            <w:top w:val="nil"/>
            <w:left w:val="nil"/>
            <w:bottom w:val="nil"/>
            <w:right w:val="nil"/>
          </w:tcBorders>
        </w:tcPr>
        <w:p w14:paraId="6B7C8747" w14:textId="4ACBD94E" w:rsidR="00A810F8" w:rsidRPr="003B5CC0" w:rsidRDefault="00A810F8" w:rsidP="003B5CC0">
          <w:pPr>
            <w:pStyle w:val="Footer"/>
            <w:spacing w:before="160" w:line="240" w:lineRule="auto"/>
            <w:rPr>
              <w:color w:val="808080" w:themeColor="background1" w:themeShade="80"/>
            </w:rPr>
          </w:pPr>
          <w:r w:rsidRPr="003B5CC0">
            <w:rPr>
              <w:color w:val="808080" w:themeColor="background1" w:themeShade="80"/>
            </w:rPr>
            <w:t>Coffey, A Tetra Tech Company</w:t>
          </w:r>
          <w:r w:rsidRPr="003B5CC0">
            <w:rPr>
              <w:color w:val="808080" w:themeColor="background1" w:themeShade="80"/>
            </w:rPr>
            <w:br/>
          </w:r>
          <w:r w:rsidRPr="003B5CC0">
            <w:rPr>
              <w:color w:val="808080" w:themeColor="background1" w:themeShade="80"/>
            </w:rPr>
            <w:fldChar w:fldCharType="begin"/>
          </w:r>
          <w:r w:rsidRPr="003B5CC0">
            <w:rPr>
              <w:color w:val="808080" w:themeColor="background1" w:themeShade="80"/>
            </w:rPr>
            <w:instrText xml:space="preserve"> STYLEREF  "Project/Document Reference" </w:instrText>
          </w:r>
          <w:r w:rsidRPr="003B5CC0">
            <w:rPr>
              <w:color w:val="808080" w:themeColor="background1" w:themeShade="80"/>
            </w:rPr>
            <w:fldChar w:fldCharType="separate"/>
          </w:r>
          <w:r w:rsidR="009B0C52">
            <w:rPr>
              <w:noProof/>
              <w:color w:val="808080" w:themeColor="background1" w:themeShade="80"/>
            </w:rPr>
            <w:t>754-MELEN275156</w:t>
          </w:r>
          <w:r w:rsidRPr="003B5CC0">
            <w:rPr>
              <w:color w:val="808080" w:themeColor="background1" w:themeShade="80"/>
            </w:rPr>
            <w:fldChar w:fldCharType="end"/>
          </w:r>
          <w:r w:rsidRPr="003B5CC0">
            <w:rPr>
              <w:color w:val="808080" w:themeColor="background1" w:themeShade="80"/>
            </w:rPr>
            <w:t xml:space="preserve"> </w:t>
          </w:r>
          <w:r w:rsidRPr="003B5CC0">
            <w:rPr>
              <w:color w:val="808080" w:themeColor="background1" w:themeShade="80"/>
            </w:rPr>
            <w:br/>
          </w:r>
          <w:r w:rsidRPr="003B5CC0">
            <w:rPr>
              <w:noProof/>
              <w:color w:val="808080" w:themeColor="background1" w:themeShade="80"/>
            </w:rPr>
            <w:fldChar w:fldCharType="begin"/>
          </w:r>
          <w:r w:rsidRPr="003B5CC0">
            <w:rPr>
              <w:noProof/>
              <w:color w:val="808080" w:themeColor="background1" w:themeShade="80"/>
            </w:rPr>
            <w:instrText xml:space="preserve"> STYLEREF  "Template - Date" </w:instrText>
          </w:r>
          <w:r w:rsidRPr="003B5CC0">
            <w:rPr>
              <w:noProof/>
              <w:color w:val="808080" w:themeColor="background1" w:themeShade="80"/>
            </w:rPr>
            <w:fldChar w:fldCharType="separate"/>
          </w:r>
          <w:r w:rsidR="009B0C52">
            <w:rPr>
              <w:noProof/>
              <w:color w:val="808080" w:themeColor="background1" w:themeShade="80"/>
            </w:rPr>
            <w:t>9 November 2021</w:t>
          </w:r>
          <w:r w:rsidRPr="003B5CC0">
            <w:rPr>
              <w:noProof/>
              <w:color w:val="808080" w:themeColor="background1" w:themeShade="80"/>
            </w:rPr>
            <w:fldChar w:fldCharType="end"/>
          </w:r>
        </w:p>
      </w:tc>
      <w:tc>
        <w:tcPr>
          <w:tcW w:w="365" w:type="pct"/>
          <w:tcBorders>
            <w:top w:val="nil"/>
            <w:left w:val="nil"/>
            <w:bottom w:val="nil"/>
            <w:right w:val="nil"/>
          </w:tcBorders>
          <w:vAlign w:val="center"/>
        </w:tcPr>
        <w:p w14:paraId="235E90CD" w14:textId="77777777" w:rsidR="00A810F8" w:rsidRPr="003B5CC0" w:rsidRDefault="00A810F8" w:rsidP="0048076D">
          <w:pPr>
            <w:pStyle w:val="Footer"/>
            <w:jc w:val="right"/>
            <w:rPr>
              <w:color w:val="808080" w:themeColor="background1" w:themeShade="80"/>
            </w:rPr>
          </w:pPr>
          <w:r w:rsidRPr="003B5CC0">
            <w:rPr>
              <w:color w:val="808080" w:themeColor="background1" w:themeShade="80"/>
            </w:rPr>
            <w:fldChar w:fldCharType="begin"/>
          </w:r>
          <w:r w:rsidRPr="003B5CC0">
            <w:rPr>
              <w:color w:val="808080" w:themeColor="background1" w:themeShade="80"/>
            </w:rPr>
            <w:instrText xml:space="preserve"> PAGE   \* MERGEFORMAT </w:instrText>
          </w:r>
          <w:r w:rsidRPr="003B5CC0">
            <w:rPr>
              <w:color w:val="808080" w:themeColor="background1" w:themeShade="80"/>
            </w:rPr>
            <w:fldChar w:fldCharType="separate"/>
          </w:r>
          <w:r>
            <w:rPr>
              <w:noProof/>
              <w:color w:val="808080" w:themeColor="background1" w:themeShade="80"/>
            </w:rPr>
            <w:t>1</w:t>
          </w:r>
          <w:r w:rsidRPr="003B5CC0">
            <w:rPr>
              <w:noProof/>
              <w:color w:val="808080" w:themeColor="background1" w:themeShade="80"/>
            </w:rPr>
            <w:fldChar w:fldCharType="end"/>
          </w:r>
        </w:p>
      </w:tc>
    </w:tr>
  </w:tbl>
  <w:p w14:paraId="74C68426" w14:textId="77777777" w:rsidR="00A810F8" w:rsidRPr="00560F3A" w:rsidRDefault="00A810F8" w:rsidP="00FD0214">
    <w:pPr>
      <w:pStyle w:val="Footer"/>
      <w:spacing w:line="240" w:lineRule="auto"/>
      <w:rPr>
        <w:color w:val="808080" w:themeColor="background1" w:themeShade="80"/>
        <w:sz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AB0AC" w14:textId="77777777" w:rsidR="00A810F8" w:rsidRDefault="00A810F8" w:rsidP="00D2709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61F832" w14:textId="77777777" w:rsidR="00820D77" w:rsidRDefault="00820D77" w:rsidP="000959C0">
      <w:r>
        <w:separator/>
      </w:r>
    </w:p>
    <w:p w14:paraId="3E7B935F" w14:textId="77777777" w:rsidR="00820D77" w:rsidRDefault="00820D77" w:rsidP="000959C0"/>
  </w:footnote>
  <w:footnote w:type="continuationSeparator" w:id="0">
    <w:p w14:paraId="6E0556EC" w14:textId="77777777" w:rsidR="00820D77" w:rsidRDefault="00820D77" w:rsidP="000959C0">
      <w:r>
        <w:continuationSeparator/>
      </w:r>
    </w:p>
    <w:p w14:paraId="5DE47D37" w14:textId="77777777" w:rsidR="00820D77" w:rsidRDefault="00820D77" w:rsidP="000959C0"/>
  </w:footnote>
  <w:footnote w:type="continuationNotice" w:id="1">
    <w:p w14:paraId="40C07503" w14:textId="77777777" w:rsidR="00820D77" w:rsidRDefault="00820D77">
      <w:pPr>
        <w:spacing w:after="0"/>
      </w:pPr>
    </w:p>
  </w:footnote>
  <w:footnote w:id="2">
    <w:p w14:paraId="20D579EB" w14:textId="7B66A929" w:rsidR="00A810F8" w:rsidRPr="008670A9" w:rsidRDefault="00A810F8">
      <w:pPr>
        <w:pStyle w:val="FootnoteText"/>
        <w:rPr>
          <w:lang w:val="en-US"/>
        </w:rPr>
      </w:pPr>
      <w:r>
        <w:rPr>
          <w:rStyle w:val="FootnoteReference"/>
        </w:rPr>
        <w:footnoteRef/>
      </w:r>
      <w:r>
        <w:t xml:space="preserve"> </w:t>
      </w:r>
      <w:r>
        <w:rPr>
          <w:lang w:val="en-US"/>
        </w:rPr>
        <w:t xml:space="preserve">A salinity mass balance model </w:t>
      </w:r>
      <w:r w:rsidRPr="0074565F">
        <w:rPr>
          <w:lang w:val="en-US"/>
        </w:rPr>
        <w:t>considers the amount of water plus salt entering a system and the amount of water plus salt leaving. When inputs and outputs are in balance, the system is said to be in equilibrium.</w:t>
      </w:r>
      <w:r>
        <w:rPr>
          <w:lang w:val="en-US"/>
        </w:rPr>
        <w:t xml:space="preserve"> A chemical equilibrium model </w:t>
      </w:r>
      <w:r w:rsidRPr="0074565F">
        <w:rPr>
          <w:lang w:val="en-US"/>
        </w:rPr>
        <w:t>is designed to simulat</w:t>
      </w:r>
      <w:r>
        <w:rPr>
          <w:lang w:val="en-US"/>
        </w:rPr>
        <w:t xml:space="preserve">e </w:t>
      </w:r>
      <w:r w:rsidRPr="0074565F">
        <w:rPr>
          <w:lang w:val="en-US"/>
        </w:rPr>
        <w:t>chemical reactions and transport processes in natural or polluted water</w:t>
      </w:r>
      <w:r>
        <w:rPr>
          <w:lang w:val="en-US"/>
        </w:rPr>
        <w:t xml:space="preserve">, </w:t>
      </w:r>
      <w:r w:rsidRPr="0074565F">
        <w:rPr>
          <w:lang w:val="en-US"/>
        </w:rPr>
        <w:t>based on equilibrium chemistry of aqueous solutions interacting with minerals, gases, solid solutions, exchangers, and sorption surfaces</w:t>
      </w:r>
      <w:r>
        <w:rPr>
          <w:lang w:val="en-US"/>
        </w:rPr>
        <w:t>.</w:t>
      </w:r>
    </w:p>
  </w:footnote>
  <w:footnote w:id="3">
    <w:p w14:paraId="097C4D84" w14:textId="386F958E" w:rsidR="00A810F8" w:rsidRPr="00192E3A" w:rsidRDefault="00A810F8" w:rsidP="00B66AB7">
      <w:pPr>
        <w:pStyle w:val="FootnoteText"/>
        <w:rPr>
          <w:lang w:val="en-US"/>
        </w:rPr>
      </w:pPr>
      <w:r>
        <w:rPr>
          <w:rStyle w:val="FootnoteReference"/>
        </w:rPr>
        <w:footnoteRef/>
      </w:r>
      <w:r>
        <w:t xml:space="preserve"> </w:t>
      </w:r>
      <w:r w:rsidRPr="00192E3A">
        <w:t>It is not known how many of the 71 EA records associated with open</w:t>
      </w:r>
      <w:r w:rsidR="004C52BE">
        <w:t>-</w:t>
      </w:r>
      <w:r w:rsidRPr="00192E3A">
        <w:t xml:space="preserve">cut coal mining would have environmental approval documentation available to interrogate and collate the relevant parameters listed in </w:t>
      </w:r>
      <w:r>
        <w:fldChar w:fldCharType="begin"/>
      </w:r>
      <w:r>
        <w:instrText xml:space="preserve"> REF _Ref59375730 \h </w:instrText>
      </w:r>
      <w:r>
        <w:fldChar w:fldCharType="separate"/>
      </w:r>
      <w:r w:rsidR="00937ADD">
        <w:t xml:space="preserve">Table </w:t>
      </w:r>
      <w:r w:rsidR="00937ADD">
        <w:rPr>
          <w:noProof/>
        </w:rPr>
        <w:t>5</w:t>
      </w:r>
      <w:r w:rsidR="00937ADD">
        <w:noBreakHyphen/>
      </w:r>
      <w:r w:rsidR="00937ADD">
        <w:rPr>
          <w:noProof/>
        </w:rPr>
        <w:t>14</w:t>
      </w:r>
      <w:r>
        <w:fldChar w:fldCharType="end"/>
      </w:r>
      <w:r>
        <w:t>.</w:t>
      </w:r>
    </w:p>
  </w:footnote>
  <w:footnote w:id="4">
    <w:p w14:paraId="71A43557" w14:textId="6580E208" w:rsidR="00A810F8" w:rsidRPr="00D052B0" w:rsidRDefault="00A810F8">
      <w:pPr>
        <w:pStyle w:val="FootnoteText"/>
        <w:rPr>
          <w:lang w:val="en-US"/>
        </w:rPr>
      </w:pPr>
      <w:r>
        <w:rPr>
          <w:rStyle w:val="FootnoteReference"/>
        </w:rPr>
        <w:footnoteRef/>
      </w:r>
      <w:r>
        <w:t xml:space="preserve"> In particular,</w:t>
      </w:r>
      <w:r>
        <w:rPr>
          <w:lang w:val="en-US"/>
        </w:rPr>
        <w:t xml:space="preserve"> the residual void case studies assessed in this scoping study all projected </w:t>
      </w:r>
      <w:r w:rsidRPr="00D052B0">
        <w:rPr>
          <w:i/>
          <w:iCs/>
          <w:lang w:val="en-US"/>
        </w:rPr>
        <w:t>terminal sinks flow regimes</w:t>
      </w:r>
      <w:r>
        <w:rPr>
          <w:lang w:val="en-US"/>
        </w:rPr>
        <w:t>. If other types of flow regimes are identified across Queensland, other parameters may be identified that are considered important to the risk assessment.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2EBAC" w14:textId="77777777" w:rsidR="00A810F8" w:rsidRDefault="00A810F8" w:rsidP="00FD0214">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9017"/>
    </w:tblGrid>
    <w:tr w:rsidR="00A810F8" w14:paraId="5C6B3171" w14:textId="77777777" w:rsidTr="000E6A5B">
      <w:tc>
        <w:tcPr>
          <w:tcW w:w="9017" w:type="dxa"/>
        </w:tcPr>
        <w:sdt>
          <w:sdtPr>
            <w:alias w:val="Form.ProjectName"/>
            <w:tag w:val="{&quot;templafy&quot;:{&quot;id&quot;:&quot;388f66ae-8f76-4897-b701-a8b1c07c84b3&quot;}}"/>
            <w:id w:val="1199816175"/>
            <w:placeholder>
              <w:docPart w:val="DefaultPlaceholder_-1854013440"/>
            </w:placeholder>
          </w:sdtPr>
          <w:sdtEndPr/>
          <w:sdtContent>
            <w:p w14:paraId="5537E579" w14:textId="36FE16FE" w:rsidR="00A810F8" w:rsidRDefault="00A810F8">
              <w:pPr>
                <w:pStyle w:val="Header"/>
                <w:suppressAutoHyphens/>
                <w:spacing w:line="240" w:lineRule="auto"/>
              </w:pPr>
              <w:r>
                <w:t>Scoping study - Coal mine voids, Queensland</w:t>
              </w:r>
            </w:p>
          </w:sdtContent>
        </w:sdt>
      </w:tc>
    </w:tr>
  </w:tbl>
  <w:p w14:paraId="175497C4" w14:textId="77777777" w:rsidR="00A810F8" w:rsidRDefault="00A810F8" w:rsidP="001579B8">
    <w:pPr>
      <w:pStyle w:val="Header"/>
      <w:spacing w:before="0" w:beforeAutospacing="0" w:after="0" w:afterAutospacing="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95625" w14:textId="5EB41485" w:rsidR="00A810F8" w:rsidRDefault="00A810F8" w:rsidP="00FD0214">
    <w:pPr>
      <w:spacing w:after="0"/>
    </w:pPr>
  </w:p>
  <w:tbl>
    <w:tblPr>
      <w:tblStyle w:val="TableGrid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9017"/>
    </w:tblGrid>
    <w:tr w:rsidR="00A810F8" w14:paraId="42A13432" w14:textId="77777777" w:rsidTr="000E6A5B">
      <w:tc>
        <w:tcPr>
          <w:tcW w:w="9017" w:type="dxa"/>
        </w:tcPr>
        <w:sdt>
          <w:sdtPr>
            <w:alias w:val="Form.ProjectName"/>
            <w:tag w:val="{&quot;templafy&quot;:{&quot;id&quot;:&quot;388f66ae-8f76-4897-b701-a8b1c07c84b3&quot;}}"/>
            <w:id w:val="583347853"/>
            <w:placeholder>
              <w:docPart w:val="DefaultPlaceholder_-1854013440"/>
            </w:placeholder>
          </w:sdtPr>
          <w:sdtEndPr/>
          <w:sdtContent>
            <w:p w14:paraId="75EA8FF2" w14:textId="77777777" w:rsidR="00A810F8" w:rsidRDefault="00A810F8">
              <w:pPr>
                <w:pStyle w:val="Header"/>
                <w:suppressAutoHyphens/>
                <w:spacing w:line="240" w:lineRule="auto"/>
              </w:pPr>
              <w:r>
                <w:t>Scoping study - Coal mine voids, Queensland</w:t>
              </w:r>
            </w:p>
          </w:sdtContent>
        </w:sdt>
      </w:tc>
    </w:tr>
  </w:tbl>
  <w:p w14:paraId="3D5C309D" w14:textId="77777777" w:rsidR="00A810F8" w:rsidRDefault="00A810F8" w:rsidP="001579B8">
    <w:pPr>
      <w:pStyle w:val="Header"/>
      <w:spacing w:before="0" w:beforeAutospacing="0" w:after="0" w:afterAutospacing="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9B857" w14:textId="77777777" w:rsidR="00A810F8" w:rsidRDefault="00A810F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D0E8A3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34AC9C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7C0AFBFA"/>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11F64834"/>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14B55A9"/>
    <w:multiLevelType w:val="hybridMultilevel"/>
    <w:tmpl w:val="14F09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4944880"/>
    <w:multiLevelType w:val="hybridMultilevel"/>
    <w:tmpl w:val="D55A695E"/>
    <w:lvl w:ilvl="0" w:tplc="1F5EE49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4F275EC"/>
    <w:multiLevelType w:val="hybridMultilevel"/>
    <w:tmpl w:val="576AE0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71A3331"/>
    <w:multiLevelType w:val="hybridMultilevel"/>
    <w:tmpl w:val="19E0FE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981509C"/>
    <w:multiLevelType w:val="hybridMultilevel"/>
    <w:tmpl w:val="5EA2D9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38337C"/>
    <w:multiLevelType w:val="hybridMultilevel"/>
    <w:tmpl w:val="BE9271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AAC174B"/>
    <w:multiLevelType w:val="hybridMultilevel"/>
    <w:tmpl w:val="B0B80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C183034"/>
    <w:multiLevelType w:val="hybridMultilevel"/>
    <w:tmpl w:val="D9DE9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C8801EE"/>
    <w:multiLevelType w:val="hybridMultilevel"/>
    <w:tmpl w:val="4B763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D594F0C"/>
    <w:multiLevelType w:val="hybridMultilevel"/>
    <w:tmpl w:val="8C30966C"/>
    <w:lvl w:ilvl="0" w:tplc="D6668426">
      <w:start w:val="1"/>
      <w:numFmt w:val="bullet"/>
      <w:pStyle w:val="TablebulletsL2"/>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0A65F3F"/>
    <w:multiLevelType w:val="hybridMultilevel"/>
    <w:tmpl w:val="95D44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1A47FD5"/>
    <w:multiLevelType w:val="hybridMultilevel"/>
    <w:tmpl w:val="DCF40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3FA0C6F"/>
    <w:multiLevelType w:val="hybridMultilevel"/>
    <w:tmpl w:val="867601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6125F8A"/>
    <w:multiLevelType w:val="hybridMultilevel"/>
    <w:tmpl w:val="E9FAE1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69B5B33"/>
    <w:multiLevelType w:val="hybridMultilevel"/>
    <w:tmpl w:val="909403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7DF70A2"/>
    <w:multiLevelType w:val="multilevel"/>
    <w:tmpl w:val="C16002BE"/>
    <w:styleLink w:val="ListBullets"/>
    <w:lvl w:ilvl="0">
      <w:start w:val="1"/>
      <w:numFmt w:val="bullet"/>
      <w:pStyle w:val="ListBullet"/>
      <w:lvlText w:val=""/>
      <w:lvlJc w:val="left"/>
      <w:pPr>
        <w:ind w:left="714" w:hanging="357"/>
      </w:pPr>
      <w:rPr>
        <w:rFonts w:ascii="Symbol" w:hAnsi="Symbol" w:hint="default"/>
      </w:rPr>
    </w:lvl>
    <w:lvl w:ilvl="1">
      <w:start w:val="1"/>
      <w:numFmt w:val="bullet"/>
      <w:pStyle w:val="ListBullet2"/>
      <w:lvlText w:val=""/>
      <w:lvlJc w:val="left"/>
      <w:pPr>
        <w:ind w:left="1071" w:hanging="357"/>
      </w:pPr>
      <w:rPr>
        <w:rFonts w:ascii="Wingdings" w:hAnsi="Wingdings" w:hint="default"/>
      </w:rPr>
    </w:lvl>
    <w:lvl w:ilvl="2">
      <w:start w:val="1"/>
      <w:numFmt w:val="bullet"/>
      <w:pStyle w:val="ListBullet3"/>
      <w:lvlText w:val=""/>
      <w:lvlJc w:val="left"/>
      <w:pPr>
        <w:ind w:left="1428" w:hanging="357"/>
      </w:pPr>
      <w:rPr>
        <w:rFonts w:ascii="Symbol" w:hAnsi="Symbol" w:hint="default"/>
      </w:rPr>
    </w:lvl>
    <w:lvl w:ilvl="3">
      <w:start w:val="1"/>
      <w:numFmt w:val="none"/>
      <w:lvlText w:val=""/>
      <w:lvlJc w:val="left"/>
      <w:pPr>
        <w:ind w:left="1785" w:hanging="357"/>
      </w:pPr>
      <w:rPr>
        <w:rFonts w:hint="default"/>
      </w:rPr>
    </w:lvl>
    <w:lvl w:ilvl="4">
      <w:start w:val="1"/>
      <w:numFmt w:val="none"/>
      <w:lvlText w:val=""/>
      <w:lvlJc w:val="left"/>
      <w:pPr>
        <w:ind w:left="2142" w:hanging="357"/>
      </w:pPr>
      <w:rPr>
        <w:rFonts w:hint="default"/>
      </w:rPr>
    </w:lvl>
    <w:lvl w:ilvl="5">
      <w:start w:val="1"/>
      <w:numFmt w:val="none"/>
      <w:lvlText w:val=""/>
      <w:lvlJc w:val="left"/>
      <w:pPr>
        <w:ind w:left="2499" w:hanging="357"/>
      </w:pPr>
      <w:rPr>
        <w:rFonts w:hint="default"/>
      </w:rPr>
    </w:lvl>
    <w:lvl w:ilvl="6">
      <w:start w:val="1"/>
      <w:numFmt w:val="none"/>
      <w:lvlText w:val="%7"/>
      <w:lvlJc w:val="left"/>
      <w:pPr>
        <w:ind w:left="2856" w:hanging="357"/>
      </w:pPr>
      <w:rPr>
        <w:rFonts w:hint="default"/>
      </w:rPr>
    </w:lvl>
    <w:lvl w:ilvl="7">
      <w:start w:val="1"/>
      <w:numFmt w:val="none"/>
      <w:lvlText w:val="%8"/>
      <w:lvlJc w:val="left"/>
      <w:pPr>
        <w:ind w:left="3213" w:hanging="357"/>
      </w:pPr>
      <w:rPr>
        <w:rFonts w:hint="default"/>
      </w:rPr>
    </w:lvl>
    <w:lvl w:ilvl="8">
      <w:start w:val="1"/>
      <w:numFmt w:val="none"/>
      <w:lvlText w:val="%9"/>
      <w:lvlJc w:val="left"/>
      <w:pPr>
        <w:ind w:left="3570" w:hanging="357"/>
      </w:pPr>
      <w:rPr>
        <w:rFonts w:hint="default"/>
      </w:rPr>
    </w:lvl>
  </w:abstractNum>
  <w:abstractNum w:abstractNumId="20" w15:restartNumberingAfterBreak="0">
    <w:nsid w:val="1872124E"/>
    <w:multiLevelType w:val="hybridMultilevel"/>
    <w:tmpl w:val="4F865D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9C12CB5"/>
    <w:multiLevelType w:val="hybridMultilevel"/>
    <w:tmpl w:val="A1B414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A92088F"/>
    <w:multiLevelType w:val="hybridMultilevel"/>
    <w:tmpl w:val="F3DCD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CC865BB"/>
    <w:multiLevelType w:val="hybridMultilevel"/>
    <w:tmpl w:val="EFE24C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D8948F9"/>
    <w:multiLevelType w:val="hybridMultilevel"/>
    <w:tmpl w:val="7EAAB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F2218CF"/>
    <w:multiLevelType w:val="multilevel"/>
    <w:tmpl w:val="0C09001D"/>
    <w:styleLink w:val="NewBullet"/>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none"/>
      <w:lvlText w:val="%4"/>
      <w:lvlJc w:val="left"/>
      <w:pPr>
        <w:ind w:left="1440" w:hanging="360"/>
      </w:pPr>
      <w:rPr>
        <w:rFonts w:ascii="Symbol" w:hAnsi="Symbol" w:hint="default"/>
        <w:color w:val="auto"/>
      </w:rPr>
    </w:lvl>
    <w:lvl w:ilvl="4">
      <w:start w:val="1"/>
      <w:numFmt w:val="none"/>
      <w:lvlText w:val="%5"/>
      <w:lvlJc w:val="left"/>
      <w:pPr>
        <w:ind w:left="1800" w:hanging="360"/>
      </w:pPr>
      <w:rPr>
        <w:rFonts w:ascii="Symbol" w:hAnsi="Symbol" w:hint="default"/>
        <w:color w:val="auto"/>
      </w:rPr>
    </w:lvl>
    <w:lvl w:ilvl="5">
      <w:start w:val="1"/>
      <w:numFmt w:val="none"/>
      <w:lvlText w:val="%6"/>
      <w:lvlJc w:val="left"/>
      <w:pPr>
        <w:ind w:left="2160" w:hanging="360"/>
      </w:pPr>
      <w:rPr>
        <w:rFonts w:ascii="Symbol" w:hAnsi="Symbol" w:hint="default"/>
        <w:color w:val="auto"/>
      </w:rPr>
    </w:lvl>
    <w:lvl w:ilvl="6">
      <w:start w:val="1"/>
      <w:numFmt w:val="none"/>
      <w:lvlText w:val="%7"/>
      <w:lvlJc w:val="left"/>
      <w:pPr>
        <w:ind w:left="2520" w:hanging="360"/>
      </w:pPr>
      <w:rPr>
        <w:rFonts w:ascii="Symbol" w:hAnsi="Symbol" w:hint="default"/>
      </w:rPr>
    </w:lvl>
    <w:lvl w:ilvl="7">
      <w:start w:val="1"/>
      <w:numFmt w:val="none"/>
      <w:lvlText w:val="%8"/>
      <w:lvlJc w:val="left"/>
      <w:pPr>
        <w:ind w:left="2880" w:hanging="360"/>
      </w:pPr>
      <w:rPr>
        <w:rFonts w:ascii="Symbol" w:hAnsi="Symbol" w:hint="default"/>
      </w:rPr>
    </w:lvl>
    <w:lvl w:ilvl="8">
      <w:start w:val="1"/>
      <w:numFmt w:val="none"/>
      <w:lvlText w:val="%9"/>
      <w:lvlJc w:val="left"/>
      <w:pPr>
        <w:ind w:left="3240" w:hanging="360"/>
      </w:pPr>
      <w:rPr>
        <w:rFonts w:ascii="Symbol" w:hAnsi="Symbol" w:hint="default"/>
      </w:rPr>
    </w:lvl>
  </w:abstractNum>
  <w:abstractNum w:abstractNumId="26" w15:restartNumberingAfterBreak="0">
    <w:nsid w:val="1F401EA6"/>
    <w:multiLevelType w:val="hybridMultilevel"/>
    <w:tmpl w:val="D60E9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FB9213F"/>
    <w:multiLevelType w:val="hybridMultilevel"/>
    <w:tmpl w:val="28AEE2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0F34928"/>
    <w:multiLevelType w:val="hybridMultilevel"/>
    <w:tmpl w:val="69ECEAD8"/>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69425F4"/>
    <w:multiLevelType w:val="hybridMultilevel"/>
    <w:tmpl w:val="745A3A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81C664B"/>
    <w:multiLevelType w:val="multilevel"/>
    <w:tmpl w:val="D6E6B5BC"/>
    <w:styleLink w:val="CoffeyBullets"/>
    <w:lvl w:ilvl="0">
      <w:start w:val="1"/>
      <w:numFmt w:val="bullet"/>
      <w:pStyle w:val="CoffeyBulletsL1"/>
      <w:lvlText w:val=""/>
      <w:lvlJc w:val="left"/>
      <w:pPr>
        <w:tabs>
          <w:tab w:val="num" w:pos="357"/>
        </w:tabs>
        <w:ind w:left="360" w:hanging="360"/>
      </w:pPr>
      <w:rPr>
        <w:rFonts w:ascii="Symbol" w:hAnsi="Symbol" w:hint="default"/>
        <w:color w:val="auto"/>
      </w:rPr>
    </w:lvl>
    <w:lvl w:ilvl="1">
      <w:start w:val="1"/>
      <w:numFmt w:val="bullet"/>
      <w:pStyle w:val="CoffeyBulletsL2"/>
      <w:lvlText w:val=""/>
      <w:lvlJc w:val="left"/>
      <w:pPr>
        <w:tabs>
          <w:tab w:val="num" w:pos="720"/>
        </w:tabs>
        <w:ind w:left="720" w:hanging="360"/>
      </w:pPr>
      <w:rPr>
        <w:rFonts w:ascii="Wingdings" w:hAnsi="Wingdings" w:hint="default"/>
        <w:color w:val="auto"/>
        <w:sz w:val="12"/>
      </w:rPr>
    </w:lvl>
    <w:lvl w:ilvl="2">
      <w:start w:val="1"/>
      <w:numFmt w:val="bullet"/>
      <w:pStyle w:val="CoffeyBulletsL3"/>
      <w:lvlText w:val=""/>
      <w:lvlJc w:val="left"/>
      <w:pPr>
        <w:tabs>
          <w:tab w:val="num" w:pos="1077"/>
        </w:tabs>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2A217667"/>
    <w:multiLevelType w:val="multilevel"/>
    <w:tmpl w:val="FA58B8FC"/>
    <w:numStyleLink w:val="ListNumbers"/>
  </w:abstractNum>
  <w:abstractNum w:abstractNumId="32" w15:restartNumberingAfterBreak="0">
    <w:nsid w:val="2C185D77"/>
    <w:multiLevelType w:val="hybridMultilevel"/>
    <w:tmpl w:val="7C7077F0"/>
    <w:lvl w:ilvl="0" w:tplc="A73C1D84">
      <w:start w:val="1"/>
      <w:numFmt w:val="bullet"/>
      <w:pStyle w:val="TablebulletsL1"/>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C2243CB"/>
    <w:multiLevelType w:val="hybridMultilevel"/>
    <w:tmpl w:val="1EF02A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D9906F2"/>
    <w:multiLevelType w:val="hybridMultilevel"/>
    <w:tmpl w:val="34B8E0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0170BE9"/>
    <w:multiLevelType w:val="hybridMultilevel"/>
    <w:tmpl w:val="553098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05D1A38"/>
    <w:multiLevelType w:val="hybridMultilevel"/>
    <w:tmpl w:val="06CC02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0B97339"/>
    <w:multiLevelType w:val="hybridMultilevel"/>
    <w:tmpl w:val="38D0DC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15968B3"/>
    <w:multiLevelType w:val="hybridMultilevel"/>
    <w:tmpl w:val="EE1C2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4722CEF"/>
    <w:multiLevelType w:val="hybridMultilevel"/>
    <w:tmpl w:val="F1AC03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6871194"/>
    <w:multiLevelType w:val="hybridMultilevel"/>
    <w:tmpl w:val="209C65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695286E"/>
    <w:multiLevelType w:val="hybridMultilevel"/>
    <w:tmpl w:val="8166C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699502E"/>
    <w:multiLevelType w:val="hybridMultilevel"/>
    <w:tmpl w:val="90B01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74E66ED"/>
    <w:multiLevelType w:val="hybridMultilevel"/>
    <w:tmpl w:val="CC349A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858489F"/>
    <w:multiLevelType w:val="hybridMultilevel"/>
    <w:tmpl w:val="59F2F0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A702307"/>
    <w:multiLevelType w:val="hybridMultilevel"/>
    <w:tmpl w:val="E47035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AB16A47"/>
    <w:multiLevelType w:val="hybridMultilevel"/>
    <w:tmpl w:val="E8F6C0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D8963D8"/>
    <w:multiLevelType w:val="hybridMultilevel"/>
    <w:tmpl w:val="A1FCC7C2"/>
    <w:lvl w:ilvl="0" w:tplc="D9DA3C70">
      <w:start w:val="1"/>
      <w:numFmt w:val="bullet"/>
      <w:pStyle w:val="Table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3E481E41"/>
    <w:multiLevelType w:val="hybridMultilevel"/>
    <w:tmpl w:val="AC7CB0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F555794"/>
    <w:multiLevelType w:val="hybridMultilevel"/>
    <w:tmpl w:val="44EED5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FEC7094"/>
    <w:multiLevelType w:val="hybridMultilevel"/>
    <w:tmpl w:val="624095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27C59E4"/>
    <w:multiLevelType w:val="hybridMultilevel"/>
    <w:tmpl w:val="958A4A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2E801C9"/>
    <w:multiLevelType w:val="hybridMultilevel"/>
    <w:tmpl w:val="34921C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57F4ADB"/>
    <w:multiLevelType w:val="hybridMultilevel"/>
    <w:tmpl w:val="D34EE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602074A"/>
    <w:multiLevelType w:val="hybridMultilevel"/>
    <w:tmpl w:val="BDBA25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79D0CC4"/>
    <w:multiLevelType w:val="hybridMultilevel"/>
    <w:tmpl w:val="C96CAE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AB07B06"/>
    <w:multiLevelType w:val="multilevel"/>
    <w:tmpl w:val="7F963E1A"/>
    <w:styleLink w:val="CoffeyNumbers"/>
    <w:lvl w:ilvl="0">
      <w:start w:val="1"/>
      <w:numFmt w:val="decimal"/>
      <w:pStyle w:val="CoffeyNumbersL1"/>
      <w:lvlText w:val="%1."/>
      <w:lvlJc w:val="left"/>
      <w:pPr>
        <w:tabs>
          <w:tab w:val="num" w:pos="357"/>
        </w:tabs>
        <w:ind w:left="360" w:hanging="360"/>
      </w:pPr>
      <w:rPr>
        <w:rFonts w:hint="default"/>
      </w:rPr>
    </w:lvl>
    <w:lvl w:ilvl="1">
      <w:start w:val="1"/>
      <w:numFmt w:val="lowerLetter"/>
      <w:pStyle w:val="CoffeyNumbersL2"/>
      <w:lvlText w:val="%2."/>
      <w:lvlJc w:val="left"/>
      <w:pPr>
        <w:tabs>
          <w:tab w:val="num" w:pos="720"/>
        </w:tabs>
        <w:ind w:left="720" w:hanging="360"/>
      </w:pPr>
      <w:rPr>
        <w:rFonts w:hint="default"/>
      </w:rPr>
    </w:lvl>
    <w:lvl w:ilvl="2">
      <w:start w:val="1"/>
      <w:numFmt w:val="lowerRoman"/>
      <w:pStyle w:val="CoffeyNumbersL3"/>
      <w:lvlText w:val="%3."/>
      <w:lvlJc w:val="left"/>
      <w:pPr>
        <w:tabs>
          <w:tab w:val="num" w:pos="1077"/>
        </w:tabs>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4BAF2CA4"/>
    <w:multiLevelType w:val="hybridMultilevel"/>
    <w:tmpl w:val="8E54B5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DF4AB23C">
      <w:start w:val="5"/>
      <w:numFmt w:val="bullet"/>
      <w:lvlText w:val="-"/>
      <w:lvlJc w:val="left"/>
      <w:pPr>
        <w:ind w:left="2160" w:hanging="360"/>
      </w:pPr>
      <w:rPr>
        <w:rFonts w:ascii="Arial" w:eastAsiaTheme="minorHAnsi"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D3540F1"/>
    <w:multiLevelType w:val="hybridMultilevel"/>
    <w:tmpl w:val="A8B0E4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DE338DE"/>
    <w:multiLevelType w:val="multilevel"/>
    <w:tmpl w:val="C16002BE"/>
    <w:numStyleLink w:val="ListBullets"/>
  </w:abstractNum>
  <w:abstractNum w:abstractNumId="60" w15:restartNumberingAfterBreak="0">
    <w:nsid w:val="4E414620"/>
    <w:multiLevelType w:val="hybridMultilevel"/>
    <w:tmpl w:val="1B2268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1880C56"/>
    <w:multiLevelType w:val="hybridMultilevel"/>
    <w:tmpl w:val="D6040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2BB1804"/>
    <w:multiLevelType w:val="hybridMultilevel"/>
    <w:tmpl w:val="198460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384240E"/>
    <w:multiLevelType w:val="hybridMultilevel"/>
    <w:tmpl w:val="49444A6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8D941CE"/>
    <w:multiLevelType w:val="hybridMultilevel"/>
    <w:tmpl w:val="A0A68E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A9E312F"/>
    <w:multiLevelType w:val="multilevel"/>
    <w:tmpl w:val="579675F0"/>
    <w:styleLink w:val="Headings"/>
    <w:lvl w:ilvl="0">
      <w:start w:val="1"/>
      <w:numFmt w:val="decimal"/>
      <w:pStyle w:val="Heading1"/>
      <w:lvlText w:val="%1."/>
      <w:lvlJc w:val="left"/>
      <w:pPr>
        <w:tabs>
          <w:tab w:val="num" w:pos="782"/>
        </w:tabs>
        <w:ind w:left="782" w:hanging="782"/>
      </w:pPr>
      <w:rPr>
        <w:rFonts w:hint="default"/>
      </w:rPr>
    </w:lvl>
    <w:lvl w:ilvl="1">
      <w:start w:val="1"/>
      <w:numFmt w:val="decimal"/>
      <w:pStyle w:val="Heading2"/>
      <w:lvlText w:val="%1.%2."/>
      <w:lvlJc w:val="left"/>
      <w:pPr>
        <w:tabs>
          <w:tab w:val="num" w:pos="782"/>
        </w:tabs>
        <w:ind w:left="782" w:hanging="782"/>
      </w:pPr>
      <w:rPr>
        <w:rFonts w:hint="default"/>
      </w:rPr>
    </w:lvl>
    <w:lvl w:ilvl="2">
      <w:start w:val="1"/>
      <w:numFmt w:val="decimal"/>
      <w:pStyle w:val="Heading3"/>
      <w:lvlText w:val="%1.%2.%3."/>
      <w:lvlJc w:val="left"/>
      <w:pPr>
        <w:tabs>
          <w:tab w:val="num" w:pos="1072"/>
        </w:tabs>
        <w:ind w:left="1072" w:hanging="1072"/>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space"/>
      <w:lvlText w:val=""/>
      <w:lvlJc w:val="left"/>
      <w:pPr>
        <w:ind w:left="0" w:firstLine="0"/>
      </w:pPr>
      <w:rPr>
        <w:rFonts w:hint="default"/>
      </w:rPr>
    </w:lvl>
    <w:lvl w:ilvl="6">
      <w:start w:val="1"/>
      <w:numFmt w:val="upperLetter"/>
      <w:pStyle w:val="AppendixHeading"/>
      <w:suff w:val="space"/>
      <w:lvlText w:val="Appendix %7"/>
      <w:lvlJc w:val="left"/>
      <w:pPr>
        <w:ind w:left="0" w:firstLine="0"/>
      </w:pPr>
      <w:rPr>
        <w:rFonts w:hint="default"/>
      </w:rPr>
    </w:lvl>
    <w:lvl w:ilvl="7">
      <w:start w:val="1"/>
      <w:numFmt w:val="none"/>
      <w:suff w:val="space"/>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66" w15:restartNumberingAfterBreak="0">
    <w:nsid w:val="5C061A85"/>
    <w:multiLevelType w:val="hybridMultilevel"/>
    <w:tmpl w:val="7F6E1A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E541145"/>
    <w:multiLevelType w:val="hybridMultilevel"/>
    <w:tmpl w:val="62F49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F39649B"/>
    <w:multiLevelType w:val="hybridMultilevel"/>
    <w:tmpl w:val="8F74C6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F963E1F"/>
    <w:multiLevelType w:val="hybridMultilevel"/>
    <w:tmpl w:val="DDCEBA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43E5C87"/>
    <w:multiLevelType w:val="multilevel"/>
    <w:tmpl w:val="FA58B8FC"/>
    <w:styleLink w:val="ListNumbers"/>
    <w:lvl w:ilvl="0">
      <w:start w:val="1"/>
      <w:numFmt w:val="decimal"/>
      <w:pStyle w:val="ListNumber"/>
      <w:lvlText w:val="%1."/>
      <w:lvlJc w:val="left"/>
      <w:pPr>
        <w:ind w:left="714" w:hanging="357"/>
      </w:pPr>
      <w:rPr>
        <w:rFonts w:hint="default"/>
      </w:rPr>
    </w:lvl>
    <w:lvl w:ilvl="1">
      <w:start w:val="1"/>
      <w:numFmt w:val="lowerLetter"/>
      <w:pStyle w:val="ListNumber2"/>
      <w:lvlText w:val="%2."/>
      <w:lvlJc w:val="left"/>
      <w:pPr>
        <w:ind w:left="1071" w:hanging="357"/>
      </w:pPr>
      <w:rPr>
        <w:rFonts w:hint="default"/>
      </w:rPr>
    </w:lvl>
    <w:lvl w:ilvl="2">
      <w:start w:val="1"/>
      <w:numFmt w:val="lowerRoman"/>
      <w:pStyle w:val="ListNumber3"/>
      <w:lvlText w:val="%3."/>
      <w:lvlJc w:val="left"/>
      <w:pPr>
        <w:ind w:left="1428" w:hanging="357"/>
      </w:pPr>
      <w:rPr>
        <w:rFonts w:hint="default"/>
      </w:rPr>
    </w:lvl>
    <w:lvl w:ilvl="3">
      <w:start w:val="1"/>
      <w:numFmt w:val="none"/>
      <w:lvlText w:val=""/>
      <w:lvlJc w:val="left"/>
      <w:pPr>
        <w:ind w:left="1785" w:hanging="357"/>
      </w:pPr>
      <w:rPr>
        <w:rFonts w:hint="default"/>
      </w:rPr>
    </w:lvl>
    <w:lvl w:ilvl="4">
      <w:start w:val="1"/>
      <w:numFmt w:val="none"/>
      <w:lvlText w:val=""/>
      <w:lvlJc w:val="left"/>
      <w:pPr>
        <w:ind w:left="2142" w:hanging="357"/>
      </w:pPr>
      <w:rPr>
        <w:rFonts w:hint="default"/>
      </w:rPr>
    </w:lvl>
    <w:lvl w:ilvl="5">
      <w:start w:val="1"/>
      <w:numFmt w:val="none"/>
      <w:lvlText w:val=""/>
      <w:lvlJc w:val="left"/>
      <w:pPr>
        <w:ind w:left="2499" w:hanging="357"/>
      </w:pPr>
      <w:rPr>
        <w:rFonts w:hint="default"/>
      </w:rPr>
    </w:lvl>
    <w:lvl w:ilvl="6">
      <w:start w:val="1"/>
      <w:numFmt w:val="none"/>
      <w:lvlText w:val=""/>
      <w:lvlJc w:val="left"/>
      <w:pPr>
        <w:ind w:left="2856" w:hanging="357"/>
      </w:pPr>
      <w:rPr>
        <w:rFonts w:hint="default"/>
      </w:rPr>
    </w:lvl>
    <w:lvl w:ilvl="7">
      <w:start w:val="1"/>
      <w:numFmt w:val="none"/>
      <w:lvlText w:val=""/>
      <w:lvlJc w:val="left"/>
      <w:pPr>
        <w:ind w:left="3213" w:hanging="357"/>
      </w:pPr>
      <w:rPr>
        <w:rFonts w:hint="default"/>
      </w:rPr>
    </w:lvl>
    <w:lvl w:ilvl="8">
      <w:start w:val="1"/>
      <w:numFmt w:val="none"/>
      <w:lvlText w:val=""/>
      <w:lvlJc w:val="left"/>
      <w:pPr>
        <w:ind w:left="3570" w:hanging="357"/>
      </w:pPr>
      <w:rPr>
        <w:rFonts w:hint="default"/>
      </w:rPr>
    </w:lvl>
  </w:abstractNum>
  <w:abstractNum w:abstractNumId="71" w15:restartNumberingAfterBreak="0">
    <w:nsid w:val="68D90F22"/>
    <w:multiLevelType w:val="hybridMultilevel"/>
    <w:tmpl w:val="75745E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A1A420C"/>
    <w:multiLevelType w:val="hybridMultilevel"/>
    <w:tmpl w:val="285CA3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A6210E4"/>
    <w:multiLevelType w:val="hybridMultilevel"/>
    <w:tmpl w:val="45064A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D1D4AB6"/>
    <w:multiLevelType w:val="hybridMultilevel"/>
    <w:tmpl w:val="F946B2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D425B7D"/>
    <w:multiLevelType w:val="hybridMultilevel"/>
    <w:tmpl w:val="371C7F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DD73114"/>
    <w:multiLevelType w:val="hybridMultilevel"/>
    <w:tmpl w:val="A120C6D2"/>
    <w:lvl w:ilvl="0" w:tplc="8D5C8E6E">
      <w:numFmt w:val="decimal"/>
      <w:lvlText w:val="%1-"/>
      <w:lvlJc w:val="left"/>
      <w:pPr>
        <w:ind w:left="610" w:hanging="360"/>
      </w:pPr>
      <w:rPr>
        <w:rFonts w:hint="default"/>
      </w:rPr>
    </w:lvl>
    <w:lvl w:ilvl="1" w:tplc="0C090019" w:tentative="1">
      <w:start w:val="1"/>
      <w:numFmt w:val="lowerLetter"/>
      <w:lvlText w:val="%2."/>
      <w:lvlJc w:val="left"/>
      <w:pPr>
        <w:ind w:left="1330" w:hanging="360"/>
      </w:pPr>
    </w:lvl>
    <w:lvl w:ilvl="2" w:tplc="0C09001B" w:tentative="1">
      <w:start w:val="1"/>
      <w:numFmt w:val="lowerRoman"/>
      <w:lvlText w:val="%3."/>
      <w:lvlJc w:val="right"/>
      <w:pPr>
        <w:ind w:left="2050" w:hanging="180"/>
      </w:pPr>
    </w:lvl>
    <w:lvl w:ilvl="3" w:tplc="0C09000F" w:tentative="1">
      <w:start w:val="1"/>
      <w:numFmt w:val="decimal"/>
      <w:lvlText w:val="%4."/>
      <w:lvlJc w:val="left"/>
      <w:pPr>
        <w:ind w:left="2770" w:hanging="360"/>
      </w:pPr>
    </w:lvl>
    <w:lvl w:ilvl="4" w:tplc="0C090019" w:tentative="1">
      <w:start w:val="1"/>
      <w:numFmt w:val="lowerLetter"/>
      <w:lvlText w:val="%5."/>
      <w:lvlJc w:val="left"/>
      <w:pPr>
        <w:ind w:left="3490" w:hanging="360"/>
      </w:pPr>
    </w:lvl>
    <w:lvl w:ilvl="5" w:tplc="0C09001B" w:tentative="1">
      <w:start w:val="1"/>
      <w:numFmt w:val="lowerRoman"/>
      <w:lvlText w:val="%6."/>
      <w:lvlJc w:val="right"/>
      <w:pPr>
        <w:ind w:left="4210" w:hanging="180"/>
      </w:pPr>
    </w:lvl>
    <w:lvl w:ilvl="6" w:tplc="0C09000F" w:tentative="1">
      <w:start w:val="1"/>
      <w:numFmt w:val="decimal"/>
      <w:lvlText w:val="%7."/>
      <w:lvlJc w:val="left"/>
      <w:pPr>
        <w:ind w:left="4930" w:hanging="360"/>
      </w:pPr>
    </w:lvl>
    <w:lvl w:ilvl="7" w:tplc="0C090019" w:tentative="1">
      <w:start w:val="1"/>
      <w:numFmt w:val="lowerLetter"/>
      <w:lvlText w:val="%8."/>
      <w:lvlJc w:val="left"/>
      <w:pPr>
        <w:ind w:left="5650" w:hanging="360"/>
      </w:pPr>
    </w:lvl>
    <w:lvl w:ilvl="8" w:tplc="0C09001B" w:tentative="1">
      <w:start w:val="1"/>
      <w:numFmt w:val="lowerRoman"/>
      <w:lvlText w:val="%9."/>
      <w:lvlJc w:val="right"/>
      <w:pPr>
        <w:ind w:left="6370" w:hanging="180"/>
      </w:pPr>
    </w:lvl>
  </w:abstractNum>
  <w:abstractNum w:abstractNumId="77" w15:restartNumberingAfterBreak="0">
    <w:nsid w:val="6E3374A9"/>
    <w:multiLevelType w:val="hybridMultilevel"/>
    <w:tmpl w:val="67E2AB32"/>
    <w:lvl w:ilvl="0" w:tplc="271E11A0">
      <w:start w:val="1"/>
      <w:numFmt w:val="bullet"/>
      <w:pStyle w:val="BodyBullets"/>
      <w:lvlText w:val=""/>
      <w:lvlJc w:val="left"/>
      <w:pPr>
        <w:tabs>
          <w:tab w:val="num" w:pos="0"/>
        </w:tabs>
        <w:ind w:left="284" w:firstLine="0"/>
      </w:pPr>
      <w:rPr>
        <w:rFonts w:ascii="Symbol" w:hAnsi="Symbol" w:hint="default"/>
        <w:color w:val="00000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16F7B69"/>
    <w:multiLevelType w:val="hybridMultilevel"/>
    <w:tmpl w:val="5D2499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1EE1429"/>
    <w:multiLevelType w:val="hybridMultilevel"/>
    <w:tmpl w:val="431CF5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1F177DE"/>
    <w:multiLevelType w:val="hybridMultilevel"/>
    <w:tmpl w:val="A8601770"/>
    <w:lvl w:ilvl="0" w:tplc="0C090001">
      <w:start w:val="1"/>
      <w:numFmt w:val="bullet"/>
      <w:lvlText w:val=""/>
      <w:lvlJc w:val="left"/>
      <w:pPr>
        <w:ind w:left="772" w:hanging="360"/>
      </w:pPr>
      <w:rPr>
        <w:rFonts w:ascii="Symbol" w:hAnsi="Symbol" w:hint="default"/>
      </w:rPr>
    </w:lvl>
    <w:lvl w:ilvl="1" w:tplc="0C090003" w:tentative="1">
      <w:start w:val="1"/>
      <w:numFmt w:val="bullet"/>
      <w:lvlText w:val="o"/>
      <w:lvlJc w:val="left"/>
      <w:pPr>
        <w:ind w:left="1492" w:hanging="360"/>
      </w:pPr>
      <w:rPr>
        <w:rFonts w:ascii="Courier New" w:hAnsi="Courier New" w:cs="Courier New" w:hint="default"/>
      </w:rPr>
    </w:lvl>
    <w:lvl w:ilvl="2" w:tplc="0C090005" w:tentative="1">
      <w:start w:val="1"/>
      <w:numFmt w:val="bullet"/>
      <w:lvlText w:val=""/>
      <w:lvlJc w:val="left"/>
      <w:pPr>
        <w:ind w:left="2212" w:hanging="360"/>
      </w:pPr>
      <w:rPr>
        <w:rFonts w:ascii="Wingdings" w:hAnsi="Wingdings" w:hint="default"/>
      </w:rPr>
    </w:lvl>
    <w:lvl w:ilvl="3" w:tplc="0C090001" w:tentative="1">
      <w:start w:val="1"/>
      <w:numFmt w:val="bullet"/>
      <w:lvlText w:val=""/>
      <w:lvlJc w:val="left"/>
      <w:pPr>
        <w:ind w:left="2932" w:hanging="360"/>
      </w:pPr>
      <w:rPr>
        <w:rFonts w:ascii="Symbol" w:hAnsi="Symbol" w:hint="default"/>
      </w:rPr>
    </w:lvl>
    <w:lvl w:ilvl="4" w:tplc="0C090003" w:tentative="1">
      <w:start w:val="1"/>
      <w:numFmt w:val="bullet"/>
      <w:lvlText w:val="o"/>
      <w:lvlJc w:val="left"/>
      <w:pPr>
        <w:ind w:left="3652" w:hanging="360"/>
      </w:pPr>
      <w:rPr>
        <w:rFonts w:ascii="Courier New" w:hAnsi="Courier New" w:cs="Courier New" w:hint="default"/>
      </w:rPr>
    </w:lvl>
    <w:lvl w:ilvl="5" w:tplc="0C090005" w:tentative="1">
      <w:start w:val="1"/>
      <w:numFmt w:val="bullet"/>
      <w:lvlText w:val=""/>
      <w:lvlJc w:val="left"/>
      <w:pPr>
        <w:ind w:left="4372" w:hanging="360"/>
      </w:pPr>
      <w:rPr>
        <w:rFonts w:ascii="Wingdings" w:hAnsi="Wingdings" w:hint="default"/>
      </w:rPr>
    </w:lvl>
    <w:lvl w:ilvl="6" w:tplc="0C090001" w:tentative="1">
      <w:start w:val="1"/>
      <w:numFmt w:val="bullet"/>
      <w:lvlText w:val=""/>
      <w:lvlJc w:val="left"/>
      <w:pPr>
        <w:ind w:left="5092" w:hanging="360"/>
      </w:pPr>
      <w:rPr>
        <w:rFonts w:ascii="Symbol" w:hAnsi="Symbol" w:hint="default"/>
      </w:rPr>
    </w:lvl>
    <w:lvl w:ilvl="7" w:tplc="0C090003" w:tentative="1">
      <w:start w:val="1"/>
      <w:numFmt w:val="bullet"/>
      <w:lvlText w:val="o"/>
      <w:lvlJc w:val="left"/>
      <w:pPr>
        <w:ind w:left="5812" w:hanging="360"/>
      </w:pPr>
      <w:rPr>
        <w:rFonts w:ascii="Courier New" w:hAnsi="Courier New" w:cs="Courier New" w:hint="default"/>
      </w:rPr>
    </w:lvl>
    <w:lvl w:ilvl="8" w:tplc="0C090005" w:tentative="1">
      <w:start w:val="1"/>
      <w:numFmt w:val="bullet"/>
      <w:lvlText w:val=""/>
      <w:lvlJc w:val="left"/>
      <w:pPr>
        <w:ind w:left="6532" w:hanging="360"/>
      </w:pPr>
      <w:rPr>
        <w:rFonts w:ascii="Wingdings" w:hAnsi="Wingdings" w:hint="default"/>
      </w:rPr>
    </w:lvl>
  </w:abstractNum>
  <w:abstractNum w:abstractNumId="81" w15:restartNumberingAfterBreak="0">
    <w:nsid w:val="7299258D"/>
    <w:multiLevelType w:val="hybridMultilevel"/>
    <w:tmpl w:val="7ABA91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4773A85"/>
    <w:multiLevelType w:val="hybridMultilevel"/>
    <w:tmpl w:val="9DF64E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51459D7"/>
    <w:multiLevelType w:val="hybridMultilevel"/>
    <w:tmpl w:val="AC2478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6E74EA6"/>
    <w:multiLevelType w:val="hybridMultilevel"/>
    <w:tmpl w:val="DA28B5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71814AB"/>
    <w:multiLevelType w:val="hybridMultilevel"/>
    <w:tmpl w:val="46BE4D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785534A5"/>
    <w:multiLevelType w:val="hybridMultilevel"/>
    <w:tmpl w:val="B678A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D9F209D"/>
    <w:multiLevelType w:val="hybridMultilevel"/>
    <w:tmpl w:val="DF78B5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ED93150"/>
    <w:multiLevelType w:val="hybridMultilevel"/>
    <w:tmpl w:val="FC562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7"/>
  </w:num>
  <w:num w:numId="2">
    <w:abstractNumId w:val="25"/>
  </w:num>
  <w:num w:numId="3">
    <w:abstractNumId w:val="47"/>
  </w:num>
  <w:num w:numId="4">
    <w:abstractNumId w:val="65"/>
  </w:num>
  <w:num w:numId="5">
    <w:abstractNumId w:val="19"/>
  </w:num>
  <w:num w:numId="6">
    <w:abstractNumId w:val="70"/>
  </w:num>
  <w:num w:numId="7">
    <w:abstractNumId w:val="59"/>
  </w:num>
  <w:num w:numId="8">
    <w:abstractNumId w:val="31"/>
  </w:num>
  <w:num w:numId="9">
    <w:abstractNumId w:val="30"/>
  </w:num>
  <w:num w:numId="10">
    <w:abstractNumId w:val="56"/>
  </w:num>
  <w:num w:numId="11">
    <w:abstractNumId w:val="65"/>
  </w:num>
  <w:num w:numId="12">
    <w:abstractNumId w:val="30"/>
  </w:num>
  <w:num w:numId="13">
    <w:abstractNumId w:val="56"/>
  </w:num>
  <w:num w:numId="14">
    <w:abstractNumId w:val="3"/>
  </w:num>
  <w:num w:numId="15">
    <w:abstractNumId w:val="2"/>
  </w:num>
  <w:num w:numId="16">
    <w:abstractNumId w:val="1"/>
  </w:num>
  <w:num w:numId="17">
    <w:abstractNumId w:val="0"/>
  </w:num>
  <w:num w:numId="18">
    <w:abstractNumId w:val="32"/>
  </w:num>
  <w:num w:numId="19">
    <w:abstractNumId w:val="13"/>
  </w:num>
  <w:num w:numId="20">
    <w:abstractNumId w:val="16"/>
  </w:num>
  <w:num w:numId="21">
    <w:abstractNumId w:val="80"/>
  </w:num>
  <w:num w:numId="22">
    <w:abstractNumId w:val="15"/>
  </w:num>
  <w:num w:numId="23">
    <w:abstractNumId w:val="53"/>
  </w:num>
  <w:num w:numId="24">
    <w:abstractNumId w:val="71"/>
  </w:num>
  <w:num w:numId="25">
    <w:abstractNumId w:val="75"/>
  </w:num>
  <w:num w:numId="26">
    <w:abstractNumId w:val="84"/>
  </w:num>
  <w:num w:numId="27">
    <w:abstractNumId w:val="58"/>
  </w:num>
  <w:num w:numId="28">
    <w:abstractNumId w:val="85"/>
  </w:num>
  <w:num w:numId="29">
    <w:abstractNumId w:val="83"/>
  </w:num>
  <w:num w:numId="30">
    <w:abstractNumId w:val="67"/>
  </w:num>
  <w:num w:numId="31">
    <w:abstractNumId w:val="69"/>
  </w:num>
  <w:num w:numId="32">
    <w:abstractNumId w:val="6"/>
  </w:num>
  <w:num w:numId="33">
    <w:abstractNumId w:val="45"/>
  </w:num>
  <w:num w:numId="34">
    <w:abstractNumId w:val="18"/>
  </w:num>
  <w:num w:numId="35">
    <w:abstractNumId w:val="42"/>
  </w:num>
  <w:num w:numId="36">
    <w:abstractNumId w:val="50"/>
  </w:num>
  <w:num w:numId="37">
    <w:abstractNumId w:val="44"/>
  </w:num>
  <w:num w:numId="38">
    <w:abstractNumId w:val="51"/>
  </w:num>
  <w:num w:numId="39">
    <w:abstractNumId w:val="63"/>
  </w:num>
  <w:num w:numId="40">
    <w:abstractNumId w:val="68"/>
  </w:num>
  <w:num w:numId="41">
    <w:abstractNumId w:val="88"/>
  </w:num>
  <w:num w:numId="42">
    <w:abstractNumId w:val="39"/>
  </w:num>
  <w:num w:numId="43">
    <w:abstractNumId w:val="34"/>
  </w:num>
  <w:num w:numId="44">
    <w:abstractNumId w:val="57"/>
  </w:num>
  <w:num w:numId="45">
    <w:abstractNumId w:val="66"/>
  </w:num>
  <w:num w:numId="46">
    <w:abstractNumId w:val="74"/>
  </w:num>
  <w:num w:numId="47">
    <w:abstractNumId w:val="10"/>
  </w:num>
  <w:num w:numId="48">
    <w:abstractNumId w:val="37"/>
  </w:num>
  <w:num w:numId="49">
    <w:abstractNumId w:val="35"/>
  </w:num>
  <w:num w:numId="50">
    <w:abstractNumId w:val="28"/>
  </w:num>
  <w:num w:numId="51">
    <w:abstractNumId w:val="33"/>
  </w:num>
  <w:num w:numId="52">
    <w:abstractNumId w:val="61"/>
  </w:num>
  <w:num w:numId="53">
    <w:abstractNumId w:val="22"/>
  </w:num>
  <w:num w:numId="54">
    <w:abstractNumId w:val="48"/>
  </w:num>
  <w:num w:numId="55">
    <w:abstractNumId w:val="4"/>
  </w:num>
  <w:num w:numId="56">
    <w:abstractNumId w:val="49"/>
  </w:num>
  <w:num w:numId="57">
    <w:abstractNumId w:val="82"/>
  </w:num>
  <w:num w:numId="58">
    <w:abstractNumId w:val="7"/>
  </w:num>
  <w:num w:numId="59">
    <w:abstractNumId w:val="36"/>
  </w:num>
  <w:num w:numId="60">
    <w:abstractNumId w:val="40"/>
  </w:num>
  <w:num w:numId="61">
    <w:abstractNumId w:val="73"/>
  </w:num>
  <w:num w:numId="62">
    <w:abstractNumId w:val="11"/>
  </w:num>
  <w:num w:numId="63">
    <w:abstractNumId w:val="41"/>
  </w:num>
  <w:num w:numId="64">
    <w:abstractNumId w:val="24"/>
  </w:num>
  <w:num w:numId="65">
    <w:abstractNumId w:val="14"/>
  </w:num>
  <w:num w:numId="66">
    <w:abstractNumId w:val="72"/>
  </w:num>
  <w:num w:numId="67">
    <w:abstractNumId w:val="21"/>
  </w:num>
  <w:num w:numId="68">
    <w:abstractNumId w:val="26"/>
  </w:num>
  <w:num w:numId="69">
    <w:abstractNumId w:val="43"/>
  </w:num>
  <w:num w:numId="70">
    <w:abstractNumId w:val="64"/>
  </w:num>
  <w:num w:numId="71">
    <w:abstractNumId w:val="17"/>
  </w:num>
  <w:num w:numId="72">
    <w:abstractNumId w:val="79"/>
  </w:num>
  <w:num w:numId="73">
    <w:abstractNumId w:val="87"/>
  </w:num>
  <w:num w:numId="74">
    <w:abstractNumId w:val="62"/>
  </w:num>
  <w:num w:numId="75">
    <w:abstractNumId w:val="78"/>
  </w:num>
  <w:num w:numId="76">
    <w:abstractNumId w:val="54"/>
  </w:num>
  <w:num w:numId="77">
    <w:abstractNumId w:val="9"/>
  </w:num>
  <w:num w:numId="78">
    <w:abstractNumId w:val="20"/>
  </w:num>
  <w:num w:numId="79">
    <w:abstractNumId w:val="8"/>
  </w:num>
  <w:num w:numId="80">
    <w:abstractNumId w:val="12"/>
  </w:num>
  <w:num w:numId="81">
    <w:abstractNumId w:val="81"/>
  </w:num>
  <w:num w:numId="82">
    <w:abstractNumId w:val="52"/>
  </w:num>
  <w:num w:numId="83">
    <w:abstractNumId w:val="76"/>
  </w:num>
  <w:num w:numId="84">
    <w:abstractNumId w:val="29"/>
  </w:num>
  <w:num w:numId="85">
    <w:abstractNumId w:val="60"/>
  </w:num>
  <w:num w:numId="86">
    <w:abstractNumId w:val="38"/>
  </w:num>
  <w:num w:numId="87">
    <w:abstractNumId w:val="55"/>
  </w:num>
  <w:num w:numId="88">
    <w:abstractNumId w:val="86"/>
  </w:num>
  <w:num w:numId="89">
    <w:abstractNumId w:val="46"/>
  </w:num>
  <w:num w:numId="90">
    <w:abstractNumId w:val="5"/>
  </w:num>
  <w:num w:numId="91">
    <w:abstractNumId w:val="27"/>
  </w:num>
  <w:num w:numId="92">
    <w:abstractNumId w:val="23"/>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284"/>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19D8"/>
    <w:rsid w:val="0000257C"/>
    <w:rsid w:val="00002601"/>
    <w:rsid w:val="00003239"/>
    <w:rsid w:val="0000479A"/>
    <w:rsid w:val="00004C73"/>
    <w:rsid w:val="00004CD9"/>
    <w:rsid w:val="00004E71"/>
    <w:rsid w:val="00005826"/>
    <w:rsid w:val="0000608F"/>
    <w:rsid w:val="00007497"/>
    <w:rsid w:val="00007A42"/>
    <w:rsid w:val="00011915"/>
    <w:rsid w:val="00013044"/>
    <w:rsid w:val="000136A5"/>
    <w:rsid w:val="0001528F"/>
    <w:rsid w:val="00017387"/>
    <w:rsid w:val="000208F0"/>
    <w:rsid w:val="0002118B"/>
    <w:rsid w:val="00021664"/>
    <w:rsid w:val="00023008"/>
    <w:rsid w:val="00025B4E"/>
    <w:rsid w:val="00026994"/>
    <w:rsid w:val="000269BD"/>
    <w:rsid w:val="00026E7F"/>
    <w:rsid w:val="00026EFE"/>
    <w:rsid w:val="00027126"/>
    <w:rsid w:val="00027545"/>
    <w:rsid w:val="00030A12"/>
    <w:rsid w:val="00031422"/>
    <w:rsid w:val="000319D3"/>
    <w:rsid w:val="00031A14"/>
    <w:rsid w:val="00031AF9"/>
    <w:rsid w:val="00031E2F"/>
    <w:rsid w:val="000323E5"/>
    <w:rsid w:val="00032721"/>
    <w:rsid w:val="00032D19"/>
    <w:rsid w:val="00033102"/>
    <w:rsid w:val="0003385A"/>
    <w:rsid w:val="0003580C"/>
    <w:rsid w:val="0003630F"/>
    <w:rsid w:val="0003674A"/>
    <w:rsid w:val="000400A9"/>
    <w:rsid w:val="0004219C"/>
    <w:rsid w:val="000427BA"/>
    <w:rsid w:val="000430A1"/>
    <w:rsid w:val="00043D4D"/>
    <w:rsid w:val="00044F24"/>
    <w:rsid w:val="00046725"/>
    <w:rsid w:val="00051D81"/>
    <w:rsid w:val="00051EC2"/>
    <w:rsid w:val="00052858"/>
    <w:rsid w:val="00052AD5"/>
    <w:rsid w:val="00052DBE"/>
    <w:rsid w:val="00052E34"/>
    <w:rsid w:val="00054442"/>
    <w:rsid w:val="00056D17"/>
    <w:rsid w:val="00056F9F"/>
    <w:rsid w:val="00057F20"/>
    <w:rsid w:val="000609F2"/>
    <w:rsid w:val="0006104D"/>
    <w:rsid w:val="00061A5B"/>
    <w:rsid w:val="00061DA8"/>
    <w:rsid w:val="00062566"/>
    <w:rsid w:val="00062896"/>
    <w:rsid w:val="0006345B"/>
    <w:rsid w:val="00064497"/>
    <w:rsid w:val="0006462E"/>
    <w:rsid w:val="00064653"/>
    <w:rsid w:val="0006586F"/>
    <w:rsid w:val="00066412"/>
    <w:rsid w:val="00066486"/>
    <w:rsid w:val="000668D2"/>
    <w:rsid w:val="0006745D"/>
    <w:rsid w:val="000700EC"/>
    <w:rsid w:val="000704AA"/>
    <w:rsid w:val="0007097C"/>
    <w:rsid w:val="000713FE"/>
    <w:rsid w:val="00072212"/>
    <w:rsid w:val="000722F6"/>
    <w:rsid w:val="0007235E"/>
    <w:rsid w:val="00072FAB"/>
    <w:rsid w:val="00073CBF"/>
    <w:rsid w:val="00075665"/>
    <w:rsid w:val="00076A46"/>
    <w:rsid w:val="00077305"/>
    <w:rsid w:val="00080B7E"/>
    <w:rsid w:val="000813F7"/>
    <w:rsid w:val="00081C4C"/>
    <w:rsid w:val="00082298"/>
    <w:rsid w:val="0008523C"/>
    <w:rsid w:val="000855F2"/>
    <w:rsid w:val="00086349"/>
    <w:rsid w:val="000863DF"/>
    <w:rsid w:val="00087A3A"/>
    <w:rsid w:val="00087A70"/>
    <w:rsid w:val="00087E4B"/>
    <w:rsid w:val="0009347A"/>
    <w:rsid w:val="00093605"/>
    <w:rsid w:val="00093F52"/>
    <w:rsid w:val="000959C0"/>
    <w:rsid w:val="00096688"/>
    <w:rsid w:val="00096EBD"/>
    <w:rsid w:val="00097289"/>
    <w:rsid w:val="000979B2"/>
    <w:rsid w:val="000A139F"/>
    <w:rsid w:val="000A282C"/>
    <w:rsid w:val="000A2DFC"/>
    <w:rsid w:val="000A5754"/>
    <w:rsid w:val="000A7397"/>
    <w:rsid w:val="000A76E1"/>
    <w:rsid w:val="000B1099"/>
    <w:rsid w:val="000B346F"/>
    <w:rsid w:val="000B48A0"/>
    <w:rsid w:val="000B5EB3"/>
    <w:rsid w:val="000B650F"/>
    <w:rsid w:val="000B6620"/>
    <w:rsid w:val="000B7254"/>
    <w:rsid w:val="000C0842"/>
    <w:rsid w:val="000C2F2B"/>
    <w:rsid w:val="000C309F"/>
    <w:rsid w:val="000C340F"/>
    <w:rsid w:val="000C4604"/>
    <w:rsid w:val="000C55BC"/>
    <w:rsid w:val="000C5664"/>
    <w:rsid w:val="000C581B"/>
    <w:rsid w:val="000C5D86"/>
    <w:rsid w:val="000C6365"/>
    <w:rsid w:val="000C7472"/>
    <w:rsid w:val="000D1846"/>
    <w:rsid w:val="000D1AA2"/>
    <w:rsid w:val="000D377F"/>
    <w:rsid w:val="000D448A"/>
    <w:rsid w:val="000D5A84"/>
    <w:rsid w:val="000D5ED9"/>
    <w:rsid w:val="000D6C54"/>
    <w:rsid w:val="000E12B8"/>
    <w:rsid w:val="000E1687"/>
    <w:rsid w:val="000E2152"/>
    <w:rsid w:val="000E4736"/>
    <w:rsid w:val="000E52EB"/>
    <w:rsid w:val="000E5867"/>
    <w:rsid w:val="000E6556"/>
    <w:rsid w:val="000E6A5B"/>
    <w:rsid w:val="000E6AFA"/>
    <w:rsid w:val="000E700D"/>
    <w:rsid w:val="000E7C95"/>
    <w:rsid w:val="000F0FA9"/>
    <w:rsid w:val="000F13C9"/>
    <w:rsid w:val="000F24FF"/>
    <w:rsid w:val="000F290F"/>
    <w:rsid w:val="000F2D15"/>
    <w:rsid w:val="000F313C"/>
    <w:rsid w:val="000F3A9E"/>
    <w:rsid w:val="000F3F45"/>
    <w:rsid w:val="000F479D"/>
    <w:rsid w:val="000F4E0C"/>
    <w:rsid w:val="000F551D"/>
    <w:rsid w:val="000F7E3B"/>
    <w:rsid w:val="00100421"/>
    <w:rsid w:val="00100542"/>
    <w:rsid w:val="0010142C"/>
    <w:rsid w:val="0010249C"/>
    <w:rsid w:val="00102883"/>
    <w:rsid w:val="00104566"/>
    <w:rsid w:val="001052FA"/>
    <w:rsid w:val="001054F6"/>
    <w:rsid w:val="0010584F"/>
    <w:rsid w:val="00105EB8"/>
    <w:rsid w:val="0010692B"/>
    <w:rsid w:val="00110388"/>
    <w:rsid w:val="00110C08"/>
    <w:rsid w:val="00112843"/>
    <w:rsid w:val="00112A73"/>
    <w:rsid w:val="00112E70"/>
    <w:rsid w:val="0011336E"/>
    <w:rsid w:val="00113CCA"/>
    <w:rsid w:val="00113DBB"/>
    <w:rsid w:val="001150C9"/>
    <w:rsid w:val="00117FFD"/>
    <w:rsid w:val="0012057F"/>
    <w:rsid w:val="00121165"/>
    <w:rsid w:val="0012264B"/>
    <w:rsid w:val="00123B85"/>
    <w:rsid w:val="00124C68"/>
    <w:rsid w:val="00125314"/>
    <w:rsid w:val="00125D0F"/>
    <w:rsid w:val="001264A5"/>
    <w:rsid w:val="00130901"/>
    <w:rsid w:val="00130F07"/>
    <w:rsid w:val="00132A28"/>
    <w:rsid w:val="001339E3"/>
    <w:rsid w:val="00133D9E"/>
    <w:rsid w:val="00133EA6"/>
    <w:rsid w:val="001340C5"/>
    <w:rsid w:val="001341F2"/>
    <w:rsid w:val="00134452"/>
    <w:rsid w:val="00134598"/>
    <w:rsid w:val="00135BD7"/>
    <w:rsid w:val="00136801"/>
    <w:rsid w:val="001403B6"/>
    <w:rsid w:val="001406B9"/>
    <w:rsid w:val="00141EDA"/>
    <w:rsid w:val="00143DF5"/>
    <w:rsid w:val="00143F28"/>
    <w:rsid w:val="001444EE"/>
    <w:rsid w:val="00145241"/>
    <w:rsid w:val="00145B3F"/>
    <w:rsid w:val="001468E3"/>
    <w:rsid w:val="00146C9A"/>
    <w:rsid w:val="0015198A"/>
    <w:rsid w:val="00152395"/>
    <w:rsid w:val="00152CFD"/>
    <w:rsid w:val="00153434"/>
    <w:rsid w:val="001536A4"/>
    <w:rsid w:val="00153A00"/>
    <w:rsid w:val="00154146"/>
    <w:rsid w:val="00154B2E"/>
    <w:rsid w:val="001551B0"/>
    <w:rsid w:val="00155641"/>
    <w:rsid w:val="001579B8"/>
    <w:rsid w:val="00160D24"/>
    <w:rsid w:val="001614D4"/>
    <w:rsid w:val="001618DE"/>
    <w:rsid w:val="00161908"/>
    <w:rsid w:val="001628AA"/>
    <w:rsid w:val="001640B6"/>
    <w:rsid w:val="001663B8"/>
    <w:rsid w:val="00166C2D"/>
    <w:rsid w:val="0017009F"/>
    <w:rsid w:val="00170CC3"/>
    <w:rsid w:val="00170DE4"/>
    <w:rsid w:val="0017178B"/>
    <w:rsid w:val="001718BB"/>
    <w:rsid w:val="00171F09"/>
    <w:rsid w:val="001723A6"/>
    <w:rsid w:val="00174001"/>
    <w:rsid w:val="00175717"/>
    <w:rsid w:val="00175937"/>
    <w:rsid w:val="00175C09"/>
    <w:rsid w:val="0018019D"/>
    <w:rsid w:val="00180494"/>
    <w:rsid w:val="00181DB4"/>
    <w:rsid w:val="00182FA7"/>
    <w:rsid w:val="00183221"/>
    <w:rsid w:val="001856F2"/>
    <w:rsid w:val="001904A3"/>
    <w:rsid w:val="001913C4"/>
    <w:rsid w:val="00192E3A"/>
    <w:rsid w:val="001932EB"/>
    <w:rsid w:val="00194B59"/>
    <w:rsid w:val="00195785"/>
    <w:rsid w:val="001957D5"/>
    <w:rsid w:val="00195D88"/>
    <w:rsid w:val="00196452"/>
    <w:rsid w:val="0019693B"/>
    <w:rsid w:val="001A0643"/>
    <w:rsid w:val="001A1D8C"/>
    <w:rsid w:val="001A208D"/>
    <w:rsid w:val="001A29AE"/>
    <w:rsid w:val="001A2CC1"/>
    <w:rsid w:val="001A41BF"/>
    <w:rsid w:val="001A47C8"/>
    <w:rsid w:val="001A52A3"/>
    <w:rsid w:val="001A5455"/>
    <w:rsid w:val="001A5596"/>
    <w:rsid w:val="001A62F2"/>
    <w:rsid w:val="001A6DC5"/>
    <w:rsid w:val="001A7087"/>
    <w:rsid w:val="001A7BE6"/>
    <w:rsid w:val="001B0110"/>
    <w:rsid w:val="001B0164"/>
    <w:rsid w:val="001B03DB"/>
    <w:rsid w:val="001B1B7E"/>
    <w:rsid w:val="001B412C"/>
    <w:rsid w:val="001B49A8"/>
    <w:rsid w:val="001B50BF"/>
    <w:rsid w:val="001B546F"/>
    <w:rsid w:val="001B651B"/>
    <w:rsid w:val="001B6CFC"/>
    <w:rsid w:val="001B7635"/>
    <w:rsid w:val="001B77D4"/>
    <w:rsid w:val="001C09EE"/>
    <w:rsid w:val="001C0B76"/>
    <w:rsid w:val="001C0C3E"/>
    <w:rsid w:val="001C0DB7"/>
    <w:rsid w:val="001C3C5D"/>
    <w:rsid w:val="001C4AC7"/>
    <w:rsid w:val="001C532F"/>
    <w:rsid w:val="001C704B"/>
    <w:rsid w:val="001C78BF"/>
    <w:rsid w:val="001C79E2"/>
    <w:rsid w:val="001C7FDA"/>
    <w:rsid w:val="001D07B4"/>
    <w:rsid w:val="001D0822"/>
    <w:rsid w:val="001D0EC6"/>
    <w:rsid w:val="001D2915"/>
    <w:rsid w:val="001D2ED7"/>
    <w:rsid w:val="001D43B3"/>
    <w:rsid w:val="001D444F"/>
    <w:rsid w:val="001D5017"/>
    <w:rsid w:val="001D5C07"/>
    <w:rsid w:val="001D5C44"/>
    <w:rsid w:val="001E06DF"/>
    <w:rsid w:val="001E100D"/>
    <w:rsid w:val="001E14F7"/>
    <w:rsid w:val="001E2796"/>
    <w:rsid w:val="001E27D3"/>
    <w:rsid w:val="001E2902"/>
    <w:rsid w:val="001E328A"/>
    <w:rsid w:val="001E3565"/>
    <w:rsid w:val="001E3BD7"/>
    <w:rsid w:val="001E3EC7"/>
    <w:rsid w:val="001E69AE"/>
    <w:rsid w:val="001E7819"/>
    <w:rsid w:val="001F05EC"/>
    <w:rsid w:val="001F0BCA"/>
    <w:rsid w:val="001F0CF8"/>
    <w:rsid w:val="001F1151"/>
    <w:rsid w:val="001F28AE"/>
    <w:rsid w:val="001F2E85"/>
    <w:rsid w:val="001F3C44"/>
    <w:rsid w:val="001F4BAA"/>
    <w:rsid w:val="001F6976"/>
    <w:rsid w:val="001F7532"/>
    <w:rsid w:val="0020232F"/>
    <w:rsid w:val="00202CDF"/>
    <w:rsid w:val="0020336C"/>
    <w:rsid w:val="00204AE5"/>
    <w:rsid w:val="00206FA8"/>
    <w:rsid w:val="0020753A"/>
    <w:rsid w:val="00207CF8"/>
    <w:rsid w:val="002101D1"/>
    <w:rsid w:val="002123C5"/>
    <w:rsid w:val="00214139"/>
    <w:rsid w:val="00214D9C"/>
    <w:rsid w:val="00215492"/>
    <w:rsid w:val="00215850"/>
    <w:rsid w:val="00215C93"/>
    <w:rsid w:val="00216210"/>
    <w:rsid w:val="00217626"/>
    <w:rsid w:val="00220001"/>
    <w:rsid w:val="00220EC3"/>
    <w:rsid w:val="0022104E"/>
    <w:rsid w:val="002219B4"/>
    <w:rsid w:val="00221D08"/>
    <w:rsid w:val="002222B8"/>
    <w:rsid w:val="002225FD"/>
    <w:rsid w:val="00222FC1"/>
    <w:rsid w:val="002231C7"/>
    <w:rsid w:val="00224166"/>
    <w:rsid w:val="00224B29"/>
    <w:rsid w:val="0022552F"/>
    <w:rsid w:val="0022680E"/>
    <w:rsid w:val="00226D25"/>
    <w:rsid w:val="0022733D"/>
    <w:rsid w:val="002319E0"/>
    <w:rsid w:val="00234F7D"/>
    <w:rsid w:val="00237865"/>
    <w:rsid w:val="00241C16"/>
    <w:rsid w:val="00241FF9"/>
    <w:rsid w:val="00242CB5"/>
    <w:rsid w:val="00242FB5"/>
    <w:rsid w:val="00243681"/>
    <w:rsid w:val="002464D4"/>
    <w:rsid w:val="002470F8"/>
    <w:rsid w:val="002510FB"/>
    <w:rsid w:val="002518A7"/>
    <w:rsid w:val="00251D4C"/>
    <w:rsid w:val="00255070"/>
    <w:rsid w:val="00255EFE"/>
    <w:rsid w:val="00260198"/>
    <w:rsid w:val="00260B91"/>
    <w:rsid w:val="002612D3"/>
    <w:rsid w:val="00261F6F"/>
    <w:rsid w:val="00262235"/>
    <w:rsid w:val="002630BC"/>
    <w:rsid w:val="00263D7F"/>
    <w:rsid w:val="00263EB0"/>
    <w:rsid w:val="00264870"/>
    <w:rsid w:val="0026741D"/>
    <w:rsid w:val="00267980"/>
    <w:rsid w:val="00270086"/>
    <w:rsid w:val="002706A0"/>
    <w:rsid w:val="00271359"/>
    <w:rsid w:val="002714CC"/>
    <w:rsid w:val="00271730"/>
    <w:rsid w:val="002742BC"/>
    <w:rsid w:val="00275CEA"/>
    <w:rsid w:val="00281249"/>
    <w:rsid w:val="00282B08"/>
    <w:rsid w:val="00283B31"/>
    <w:rsid w:val="00284376"/>
    <w:rsid w:val="0028578C"/>
    <w:rsid w:val="00286117"/>
    <w:rsid w:val="002872F2"/>
    <w:rsid w:val="00290911"/>
    <w:rsid w:val="00290DBB"/>
    <w:rsid w:val="002932C5"/>
    <w:rsid w:val="00294341"/>
    <w:rsid w:val="002948DE"/>
    <w:rsid w:val="00294F82"/>
    <w:rsid w:val="00296291"/>
    <w:rsid w:val="002A0268"/>
    <w:rsid w:val="002A099B"/>
    <w:rsid w:val="002A595F"/>
    <w:rsid w:val="002A6F5D"/>
    <w:rsid w:val="002A71BA"/>
    <w:rsid w:val="002A7EDA"/>
    <w:rsid w:val="002B19B4"/>
    <w:rsid w:val="002B396F"/>
    <w:rsid w:val="002B41C8"/>
    <w:rsid w:val="002B51DD"/>
    <w:rsid w:val="002B5FAB"/>
    <w:rsid w:val="002B6493"/>
    <w:rsid w:val="002B6937"/>
    <w:rsid w:val="002B716A"/>
    <w:rsid w:val="002B74BE"/>
    <w:rsid w:val="002C087C"/>
    <w:rsid w:val="002C0D90"/>
    <w:rsid w:val="002C15B7"/>
    <w:rsid w:val="002C1D2C"/>
    <w:rsid w:val="002C2615"/>
    <w:rsid w:val="002C2798"/>
    <w:rsid w:val="002C2834"/>
    <w:rsid w:val="002C28F4"/>
    <w:rsid w:val="002C31E4"/>
    <w:rsid w:val="002C4345"/>
    <w:rsid w:val="002C4C20"/>
    <w:rsid w:val="002C4E0E"/>
    <w:rsid w:val="002C6982"/>
    <w:rsid w:val="002D0CC1"/>
    <w:rsid w:val="002D0DFF"/>
    <w:rsid w:val="002D20B1"/>
    <w:rsid w:val="002D239A"/>
    <w:rsid w:val="002D406A"/>
    <w:rsid w:val="002D639D"/>
    <w:rsid w:val="002D6C54"/>
    <w:rsid w:val="002E073F"/>
    <w:rsid w:val="002E1384"/>
    <w:rsid w:val="002E3208"/>
    <w:rsid w:val="002E3953"/>
    <w:rsid w:val="002E44DF"/>
    <w:rsid w:val="002E4E54"/>
    <w:rsid w:val="002E7306"/>
    <w:rsid w:val="002F27A2"/>
    <w:rsid w:val="002F3BAF"/>
    <w:rsid w:val="002F564B"/>
    <w:rsid w:val="002F6F98"/>
    <w:rsid w:val="00300523"/>
    <w:rsid w:val="00300612"/>
    <w:rsid w:val="00300B1E"/>
    <w:rsid w:val="0030125C"/>
    <w:rsid w:val="00303C68"/>
    <w:rsid w:val="003041F3"/>
    <w:rsid w:val="003043D3"/>
    <w:rsid w:val="003075BC"/>
    <w:rsid w:val="00307603"/>
    <w:rsid w:val="003076A6"/>
    <w:rsid w:val="003109A2"/>
    <w:rsid w:val="003115FD"/>
    <w:rsid w:val="003119C2"/>
    <w:rsid w:val="00311BCE"/>
    <w:rsid w:val="00311D5B"/>
    <w:rsid w:val="003120D3"/>
    <w:rsid w:val="0031372A"/>
    <w:rsid w:val="003140E7"/>
    <w:rsid w:val="00314493"/>
    <w:rsid w:val="003149D1"/>
    <w:rsid w:val="0031586B"/>
    <w:rsid w:val="00315DDB"/>
    <w:rsid w:val="00316E35"/>
    <w:rsid w:val="003171F5"/>
    <w:rsid w:val="0032056F"/>
    <w:rsid w:val="003206F8"/>
    <w:rsid w:val="00322494"/>
    <w:rsid w:val="00322A9C"/>
    <w:rsid w:val="003255BA"/>
    <w:rsid w:val="00325C6A"/>
    <w:rsid w:val="00325E4E"/>
    <w:rsid w:val="00326D3E"/>
    <w:rsid w:val="00327BD8"/>
    <w:rsid w:val="00331A4D"/>
    <w:rsid w:val="00332B19"/>
    <w:rsid w:val="00332DB2"/>
    <w:rsid w:val="00332E1F"/>
    <w:rsid w:val="00332FD1"/>
    <w:rsid w:val="00333ACF"/>
    <w:rsid w:val="00333E65"/>
    <w:rsid w:val="00334462"/>
    <w:rsid w:val="003355C6"/>
    <w:rsid w:val="003356BC"/>
    <w:rsid w:val="00337096"/>
    <w:rsid w:val="00337145"/>
    <w:rsid w:val="00337204"/>
    <w:rsid w:val="0033743E"/>
    <w:rsid w:val="00337EBE"/>
    <w:rsid w:val="003400ED"/>
    <w:rsid w:val="003412DE"/>
    <w:rsid w:val="003448CD"/>
    <w:rsid w:val="0034542E"/>
    <w:rsid w:val="00346957"/>
    <w:rsid w:val="00346A5E"/>
    <w:rsid w:val="00346AC4"/>
    <w:rsid w:val="00346AD6"/>
    <w:rsid w:val="00350D2B"/>
    <w:rsid w:val="00351A45"/>
    <w:rsid w:val="003523CA"/>
    <w:rsid w:val="003523D1"/>
    <w:rsid w:val="00353486"/>
    <w:rsid w:val="00354FC6"/>
    <w:rsid w:val="00355411"/>
    <w:rsid w:val="003606FD"/>
    <w:rsid w:val="00360E39"/>
    <w:rsid w:val="003617B7"/>
    <w:rsid w:val="00362F94"/>
    <w:rsid w:val="00364014"/>
    <w:rsid w:val="003647D9"/>
    <w:rsid w:val="003654C9"/>
    <w:rsid w:val="003657EA"/>
    <w:rsid w:val="00366563"/>
    <w:rsid w:val="0036670C"/>
    <w:rsid w:val="00371018"/>
    <w:rsid w:val="0037154B"/>
    <w:rsid w:val="00372053"/>
    <w:rsid w:val="0037278B"/>
    <w:rsid w:val="00372C5C"/>
    <w:rsid w:val="00372F87"/>
    <w:rsid w:val="00373C0B"/>
    <w:rsid w:val="00373F88"/>
    <w:rsid w:val="003741F8"/>
    <w:rsid w:val="00374836"/>
    <w:rsid w:val="00376F00"/>
    <w:rsid w:val="00380127"/>
    <w:rsid w:val="00380932"/>
    <w:rsid w:val="00380FAE"/>
    <w:rsid w:val="003810F2"/>
    <w:rsid w:val="00382C85"/>
    <w:rsid w:val="00383BDD"/>
    <w:rsid w:val="00384920"/>
    <w:rsid w:val="00385164"/>
    <w:rsid w:val="00386325"/>
    <w:rsid w:val="00386566"/>
    <w:rsid w:val="003865A1"/>
    <w:rsid w:val="00386A13"/>
    <w:rsid w:val="00386E35"/>
    <w:rsid w:val="0039022C"/>
    <w:rsid w:val="003906BA"/>
    <w:rsid w:val="00390B77"/>
    <w:rsid w:val="003912F7"/>
    <w:rsid w:val="00393000"/>
    <w:rsid w:val="003952EF"/>
    <w:rsid w:val="00395DD5"/>
    <w:rsid w:val="003965C7"/>
    <w:rsid w:val="003965CB"/>
    <w:rsid w:val="00397803"/>
    <w:rsid w:val="003A06E2"/>
    <w:rsid w:val="003A0BAD"/>
    <w:rsid w:val="003A28CF"/>
    <w:rsid w:val="003A5103"/>
    <w:rsid w:val="003A51E5"/>
    <w:rsid w:val="003A5880"/>
    <w:rsid w:val="003A72E0"/>
    <w:rsid w:val="003A7B54"/>
    <w:rsid w:val="003B117A"/>
    <w:rsid w:val="003B2511"/>
    <w:rsid w:val="003B3C35"/>
    <w:rsid w:val="003B5CC0"/>
    <w:rsid w:val="003B620B"/>
    <w:rsid w:val="003B6B06"/>
    <w:rsid w:val="003B76E2"/>
    <w:rsid w:val="003C0337"/>
    <w:rsid w:val="003C1321"/>
    <w:rsid w:val="003C238F"/>
    <w:rsid w:val="003C25CB"/>
    <w:rsid w:val="003C2B20"/>
    <w:rsid w:val="003C323D"/>
    <w:rsid w:val="003C3529"/>
    <w:rsid w:val="003C5D94"/>
    <w:rsid w:val="003C782D"/>
    <w:rsid w:val="003C7F7C"/>
    <w:rsid w:val="003D0BC3"/>
    <w:rsid w:val="003D16BB"/>
    <w:rsid w:val="003D19CA"/>
    <w:rsid w:val="003D46A2"/>
    <w:rsid w:val="003D5631"/>
    <w:rsid w:val="003D5CF6"/>
    <w:rsid w:val="003D7180"/>
    <w:rsid w:val="003D7E41"/>
    <w:rsid w:val="003E0D29"/>
    <w:rsid w:val="003E15CC"/>
    <w:rsid w:val="003E1741"/>
    <w:rsid w:val="003E193E"/>
    <w:rsid w:val="003E2557"/>
    <w:rsid w:val="003E391C"/>
    <w:rsid w:val="003E62FC"/>
    <w:rsid w:val="003E7384"/>
    <w:rsid w:val="003F0079"/>
    <w:rsid w:val="003F14BC"/>
    <w:rsid w:val="003F20C0"/>
    <w:rsid w:val="003F2B44"/>
    <w:rsid w:val="003F2E4D"/>
    <w:rsid w:val="003F31CF"/>
    <w:rsid w:val="003F36B7"/>
    <w:rsid w:val="003F39D0"/>
    <w:rsid w:val="003F45E6"/>
    <w:rsid w:val="003F524C"/>
    <w:rsid w:val="003F6B3C"/>
    <w:rsid w:val="003F6E9A"/>
    <w:rsid w:val="003F7144"/>
    <w:rsid w:val="003F774B"/>
    <w:rsid w:val="003F7BAA"/>
    <w:rsid w:val="00400A7E"/>
    <w:rsid w:val="00401A3F"/>
    <w:rsid w:val="00401C8F"/>
    <w:rsid w:val="004024D2"/>
    <w:rsid w:val="00402C9A"/>
    <w:rsid w:val="00403667"/>
    <w:rsid w:val="004036CD"/>
    <w:rsid w:val="00404C59"/>
    <w:rsid w:val="00405C35"/>
    <w:rsid w:val="00412B62"/>
    <w:rsid w:val="0041369E"/>
    <w:rsid w:val="00413F8C"/>
    <w:rsid w:val="00414333"/>
    <w:rsid w:val="00414E72"/>
    <w:rsid w:val="004156F0"/>
    <w:rsid w:val="00416B72"/>
    <w:rsid w:val="00416DAB"/>
    <w:rsid w:val="004172EB"/>
    <w:rsid w:val="004175C7"/>
    <w:rsid w:val="0041794A"/>
    <w:rsid w:val="00422A3B"/>
    <w:rsid w:val="0042322C"/>
    <w:rsid w:val="00423DC0"/>
    <w:rsid w:val="00427BDB"/>
    <w:rsid w:val="00430A75"/>
    <w:rsid w:val="004316D8"/>
    <w:rsid w:val="00431D4F"/>
    <w:rsid w:val="00432827"/>
    <w:rsid w:val="004331E7"/>
    <w:rsid w:val="004334ED"/>
    <w:rsid w:val="00433AE8"/>
    <w:rsid w:val="00436A5B"/>
    <w:rsid w:val="00437FB5"/>
    <w:rsid w:val="00440644"/>
    <w:rsid w:val="004410A7"/>
    <w:rsid w:val="00441131"/>
    <w:rsid w:val="004419BE"/>
    <w:rsid w:val="00441BCD"/>
    <w:rsid w:val="0044221C"/>
    <w:rsid w:val="004426D4"/>
    <w:rsid w:val="00444F08"/>
    <w:rsid w:val="004468C8"/>
    <w:rsid w:val="004470A2"/>
    <w:rsid w:val="00450165"/>
    <w:rsid w:val="0045030E"/>
    <w:rsid w:val="004519A5"/>
    <w:rsid w:val="0045351E"/>
    <w:rsid w:val="00454D37"/>
    <w:rsid w:val="00454F3C"/>
    <w:rsid w:val="004550A7"/>
    <w:rsid w:val="0045527B"/>
    <w:rsid w:val="00455C15"/>
    <w:rsid w:val="00456295"/>
    <w:rsid w:val="00460FEB"/>
    <w:rsid w:val="00461A06"/>
    <w:rsid w:val="00461B43"/>
    <w:rsid w:val="00464544"/>
    <w:rsid w:val="00464605"/>
    <w:rsid w:val="0046525A"/>
    <w:rsid w:val="00465262"/>
    <w:rsid w:val="00466A17"/>
    <w:rsid w:val="00467C6A"/>
    <w:rsid w:val="00470861"/>
    <w:rsid w:val="00472AD6"/>
    <w:rsid w:val="00473646"/>
    <w:rsid w:val="00473EA2"/>
    <w:rsid w:val="004744E0"/>
    <w:rsid w:val="00475B7F"/>
    <w:rsid w:val="004769B6"/>
    <w:rsid w:val="004777C0"/>
    <w:rsid w:val="00477D65"/>
    <w:rsid w:val="0048076D"/>
    <w:rsid w:val="0048078C"/>
    <w:rsid w:val="00485FD6"/>
    <w:rsid w:val="004860B4"/>
    <w:rsid w:val="00486718"/>
    <w:rsid w:val="0048737A"/>
    <w:rsid w:val="0048790A"/>
    <w:rsid w:val="004879C8"/>
    <w:rsid w:val="00491DAE"/>
    <w:rsid w:val="00491E2D"/>
    <w:rsid w:val="00492794"/>
    <w:rsid w:val="004947D6"/>
    <w:rsid w:val="00494E81"/>
    <w:rsid w:val="00497821"/>
    <w:rsid w:val="00497B7D"/>
    <w:rsid w:val="004A07DF"/>
    <w:rsid w:val="004A141B"/>
    <w:rsid w:val="004A1EB6"/>
    <w:rsid w:val="004A255E"/>
    <w:rsid w:val="004A2669"/>
    <w:rsid w:val="004A5069"/>
    <w:rsid w:val="004A5D70"/>
    <w:rsid w:val="004A6AD2"/>
    <w:rsid w:val="004A6C59"/>
    <w:rsid w:val="004B1794"/>
    <w:rsid w:val="004B1DE6"/>
    <w:rsid w:val="004B43CD"/>
    <w:rsid w:val="004B64F7"/>
    <w:rsid w:val="004B6C0D"/>
    <w:rsid w:val="004C0AB8"/>
    <w:rsid w:val="004C1A0B"/>
    <w:rsid w:val="004C1EFD"/>
    <w:rsid w:val="004C2861"/>
    <w:rsid w:val="004C52BE"/>
    <w:rsid w:val="004C5C36"/>
    <w:rsid w:val="004C6C46"/>
    <w:rsid w:val="004D0E82"/>
    <w:rsid w:val="004D0F71"/>
    <w:rsid w:val="004D1D40"/>
    <w:rsid w:val="004D2379"/>
    <w:rsid w:val="004D4BFC"/>
    <w:rsid w:val="004D50C4"/>
    <w:rsid w:val="004D51F5"/>
    <w:rsid w:val="004D627C"/>
    <w:rsid w:val="004D7028"/>
    <w:rsid w:val="004D74B2"/>
    <w:rsid w:val="004D7C10"/>
    <w:rsid w:val="004D7F6A"/>
    <w:rsid w:val="004E0723"/>
    <w:rsid w:val="004E0922"/>
    <w:rsid w:val="004E0974"/>
    <w:rsid w:val="004E1F1F"/>
    <w:rsid w:val="004E2277"/>
    <w:rsid w:val="004E3285"/>
    <w:rsid w:val="004E441F"/>
    <w:rsid w:val="004E44CA"/>
    <w:rsid w:val="004E4E68"/>
    <w:rsid w:val="004E61FD"/>
    <w:rsid w:val="004E6DDD"/>
    <w:rsid w:val="004E74BA"/>
    <w:rsid w:val="004E788E"/>
    <w:rsid w:val="004E7954"/>
    <w:rsid w:val="004F073E"/>
    <w:rsid w:val="004F0DDA"/>
    <w:rsid w:val="004F0FB5"/>
    <w:rsid w:val="004F1ECA"/>
    <w:rsid w:val="004F3AA3"/>
    <w:rsid w:val="004F3CC6"/>
    <w:rsid w:val="004F478C"/>
    <w:rsid w:val="004F4A3A"/>
    <w:rsid w:val="004F5E3A"/>
    <w:rsid w:val="004F5ED5"/>
    <w:rsid w:val="00500C51"/>
    <w:rsid w:val="00503361"/>
    <w:rsid w:val="00503FA1"/>
    <w:rsid w:val="0050614E"/>
    <w:rsid w:val="00506328"/>
    <w:rsid w:val="00506997"/>
    <w:rsid w:val="0051042C"/>
    <w:rsid w:val="005105E4"/>
    <w:rsid w:val="00510DE6"/>
    <w:rsid w:val="00511EEA"/>
    <w:rsid w:val="00512317"/>
    <w:rsid w:val="005131E1"/>
    <w:rsid w:val="0051455F"/>
    <w:rsid w:val="00514C94"/>
    <w:rsid w:val="00515EAF"/>
    <w:rsid w:val="005161CA"/>
    <w:rsid w:val="00517D23"/>
    <w:rsid w:val="00520668"/>
    <w:rsid w:val="00521B26"/>
    <w:rsid w:val="0052216B"/>
    <w:rsid w:val="00522344"/>
    <w:rsid w:val="005226CC"/>
    <w:rsid w:val="005228D2"/>
    <w:rsid w:val="005229F6"/>
    <w:rsid w:val="00523C29"/>
    <w:rsid w:val="00524797"/>
    <w:rsid w:val="005267CA"/>
    <w:rsid w:val="0053014B"/>
    <w:rsid w:val="00531BF8"/>
    <w:rsid w:val="00532522"/>
    <w:rsid w:val="005334D7"/>
    <w:rsid w:val="00533BE8"/>
    <w:rsid w:val="00534C2E"/>
    <w:rsid w:val="00534D74"/>
    <w:rsid w:val="005354DE"/>
    <w:rsid w:val="0053585A"/>
    <w:rsid w:val="00536A26"/>
    <w:rsid w:val="00536B28"/>
    <w:rsid w:val="00536E78"/>
    <w:rsid w:val="0053738B"/>
    <w:rsid w:val="00537EBE"/>
    <w:rsid w:val="00541CA5"/>
    <w:rsid w:val="005429A2"/>
    <w:rsid w:val="00544F37"/>
    <w:rsid w:val="00544F49"/>
    <w:rsid w:val="005451F6"/>
    <w:rsid w:val="00545D4B"/>
    <w:rsid w:val="005465B0"/>
    <w:rsid w:val="00546B03"/>
    <w:rsid w:val="00546EDF"/>
    <w:rsid w:val="005478EB"/>
    <w:rsid w:val="00551D0E"/>
    <w:rsid w:val="00554A45"/>
    <w:rsid w:val="005563B0"/>
    <w:rsid w:val="0055682E"/>
    <w:rsid w:val="005569BF"/>
    <w:rsid w:val="005569F7"/>
    <w:rsid w:val="00556DD9"/>
    <w:rsid w:val="00557BCF"/>
    <w:rsid w:val="00560080"/>
    <w:rsid w:val="0056010F"/>
    <w:rsid w:val="00560F3A"/>
    <w:rsid w:val="00561354"/>
    <w:rsid w:val="005620FA"/>
    <w:rsid w:val="005650E9"/>
    <w:rsid w:val="0056735A"/>
    <w:rsid w:val="00567724"/>
    <w:rsid w:val="00567B01"/>
    <w:rsid w:val="00571E14"/>
    <w:rsid w:val="00571FC3"/>
    <w:rsid w:val="00572834"/>
    <w:rsid w:val="00572E57"/>
    <w:rsid w:val="00574142"/>
    <w:rsid w:val="00574499"/>
    <w:rsid w:val="00574979"/>
    <w:rsid w:val="00574A7B"/>
    <w:rsid w:val="00574D57"/>
    <w:rsid w:val="0057574F"/>
    <w:rsid w:val="00577999"/>
    <w:rsid w:val="0058060E"/>
    <w:rsid w:val="005828FA"/>
    <w:rsid w:val="00583306"/>
    <w:rsid w:val="00583D26"/>
    <w:rsid w:val="005845F5"/>
    <w:rsid w:val="0058518C"/>
    <w:rsid w:val="00585B4A"/>
    <w:rsid w:val="00586A9F"/>
    <w:rsid w:val="00587690"/>
    <w:rsid w:val="00587764"/>
    <w:rsid w:val="00591F3A"/>
    <w:rsid w:val="00592EBC"/>
    <w:rsid w:val="00593FC9"/>
    <w:rsid w:val="00594513"/>
    <w:rsid w:val="00595756"/>
    <w:rsid w:val="00595786"/>
    <w:rsid w:val="00596008"/>
    <w:rsid w:val="0059639A"/>
    <w:rsid w:val="005968B1"/>
    <w:rsid w:val="00596FE0"/>
    <w:rsid w:val="005A2112"/>
    <w:rsid w:val="005A2314"/>
    <w:rsid w:val="005A321B"/>
    <w:rsid w:val="005A38BC"/>
    <w:rsid w:val="005A5650"/>
    <w:rsid w:val="005A60D0"/>
    <w:rsid w:val="005A617D"/>
    <w:rsid w:val="005A632B"/>
    <w:rsid w:val="005A6378"/>
    <w:rsid w:val="005A6C1B"/>
    <w:rsid w:val="005A6CFA"/>
    <w:rsid w:val="005A75D9"/>
    <w:rsid w:val="005B06E4"/>
    <w:rsid w:val="005B0843"/>
    <w:rsid w:val="005B107D"/>
    <w:rsid w:val="005B15AB"/>
    <w:rsid w:val="005B171F"/>
    <w:rsid w:val="005B20DE"/>
    <w:rsid w:val="005B35C7"/>
    <w:rsid w:val="005B54FE"/>
    <w:rsid w:val="005B66DB"/>
    <w:rsid w:val="005B66E0"/>
    <w:rsid w:val="005B7487"/>
    <w:rsid w:val="005B767A"/>
    <w:rsid w:val="005C0DFB"/>
    <w:rsid w:val="005C0F4B"/>
    <w:rsid w:val="005C19AE"/>
    <w:rsid w:val="005C1B47"/>
    <w:rsid w:val="005C2EAA"/>
    <w:rsid w:val="005C39FF"/>
    <w:rsid w:val="005C3AEB"/>
    <w:rsid w:val="005C43E0"/>
    <w:rsid w:val="005C4733"/>
    <w:rsid w:val="005C5E6F"/>
    <w:rsid w:val="005C670B"/>
    <w:rsid w:val="005D0774"/>
    <w:rsid w:val="005D0E3A"/>
    <w:rsid w:val="005D15EA"/>
    <w:rsid w:val="005D27D1"/>
    <w:rsid w:val="005D28EE"/>
    <w:rsid w:val="005D2E00"/>
    <w:rsid w:val="005D3FDA"/>
    <w:rsid w:val="005D47FD"/>
    <w:rsid w:val="005D4F48"/>
    <w:rsid w:val="005D5CCC"/>
    <w:rsid w:val="005D60BB"/>
    <w:rsid w:val="005D665A"/>
    <w:rsid w:val="005D67D6"/>
    <w:rsid w:val="005D79C0"/>
    <w:rsid w:val="005D7F8B"/>
    <w:rsid w:val="005E01E2"/>
    <w:rsid w:val="005E0819"/>
    <w:rsid w:val="005E0C70"/>
    <w:rsid w:val="005E1F4F"/>
    <w:rsid w:val="005E2B80"/>
    <w:rsid w:val="005E2DB7"/>
    <w:rsid w:val="005E381F"/>
    <w:rsid w:val="005E3E08"/>
    <w:rsid w:val="005E50F9"/>
    <w:rsid w:val="005E5A0E"/>
    <w:rsid w:val="005E5DB9"/>
    <w:rsid w:val="005E6405"/>
    <w:rsid w:val="005E6C42"/>
    <w:rsid w:val="005E6D57"/>
    <w:rsid w:val="005F0400"/>
    <w:rsid w:val="005F163B"/>
    <w:rsid w:val="005F29BB"/>
    <w:rsid w:val="005F41A5"/>
    <w:rsid w:val="005F448F"/>
    <w:rsid w:val="005F4ABF"/>
    <w:rsid w:val="005F6537"/>
    <w:rsid w:val="005F6776"/>
    <w:rsid w:val="005F7665"/>
    <w:rsid w:val="005F7AB2"/>
    <w:rsid w:val="00600D2D"/>
    <w:rsid w:val="006023B8"/>
    <w:rsid w:val="00602C4A"/>
    <w:rsid w:val="00603454"/>
    <w:rsid w:val="00604039"/>
    <w:rsid w:val="00604FF4"/>
    <w:rsid w:val="00605909"/>
    <w:rsid w:val="00610506"/>
    <w:rsid w:val="00610B21"/>
    <w:rsid w:val="00610F12"/>
    <w:rsid w:val="0061118A"/>
    <w:rsid w:val="00611A6E"/>
    <w:rsid w:val="00612D38"/>
    <w:rsid w:val="0061678A"/>
    <w:rsid w:val="0061688C"/>
    <w:rsid w:val="006170FC"/>
    <w:rsid w:val="00620689"/>
    <w:rsid w:val="00622205"/>
    <w:rsid w:val="00626000"/>
    <w:rsid w:val="00630A4E"/>
    <w:rsid w:val="0063338B"/>
    <w:rsid w:val="006334C5"/>
    <w:rsid w:val="00634969"/>
    <w:rsid w:val="00634BEE"/>
    <w:rsid w:val="00642F1E"/>
    <w:rsid w:val="00642F8C"/>
    <w:rsid w:val="006439E8"/>
    <w:rsid w:val="006444F1"/>
    <w:rsid w:val="00644819"/>
    <w:rsid w:val="00644EED"/>
    <w:rsid w:val="00644F55"/>
    <w:rsid w:val="006500E6"/>
    <w:rsid w:val="0065014B"/>
    <w:rsid w:val="00652FE1"/>
    <w:rsid w:val="00654562"/>
    <w:rsid w:val="00656DFA"/>
    <w:rsid w:val="006573B1"/>
    <w:rsid w:val="0065760C"/>
    <w:rsid w:val="006601EB"/>
    <w:rsid w:val="006604FA"/>
    <w:rsid w:val="006606EA"/>
    <w:rsid w:val="0066083B"/>
    <w:rsid w:val="00660E52"/>
    <w:rsid w:val="00661DBB"/>
    <w:rsid w:val="0066218E"/>
    <w:rsid w:val="00663010"/>
    <w:rsid w:val="00663326"/>
    <w:rsid w:val="00663975"/>
    <w:rsid w:val="006641D4"/>
    <w:rsid w:val="00667900"/>
    <w:rsid w:val="00670083"/>
    <w:rsid w:val="006710AC"/>
    <w:rsid w:val="006718AC"/>
    <w:rsid w:val="00672005"/>
    <w:rsid w:val="00674342"/>
    <w:rsid w:val="00675A89"/>
    <w:rsid w:val="00675E66"/>
    <w:rsid w:val="00677CEC"/>
    <w:rsid w:val="006806DF"/>
    <w:rsid w:val="006812CE"/>
    <w:rsid w:val="006825AE"/>
    <w:rsid w:val="006829F7"/>
    <w:rsid w:val="00682B12"/>
    <w:rsid w:val="00682EAB"/>
    <w:rsid w:val="006839F0"/>
    <w:rsid w:val="00683D42"/>
    <w:rsid w:val="006854E3"/>
    <w:rsid w:val="006857B3"/>
    <w:rsid w:val="00686327"/>
    <w:rsid w:val="00690904"/>
    <w:rsid w:val="0069145A"/>
    <w:rsid w:val="00691C61"/>
    <w:rsid w:val="00691D70"/>
    <w:rsid w:val="00693E1C"/>
    <w:rsid w:val="00696D71"/>
    <w:rsid w:val="006973AC"/>
    <w:rsid w:val="0069793A"/>
    <w:rsid w:val="006A3FA0"/>
    <w:rsid w:val="006A572C"/>
    <w:rsid w:val="006A58A7"/>
    <w:rsid w:val="006A6BC3"/>
    <w:rsid w:val="006A72EE"/>
    <w:rsid w:val="006B2466"/>
    <w:rsid w:val="006B2CE7"/>
    <w:rsid w:val="006B34DC"/>
    <w:rsid w:val="006B444D"/>
    <w:rsid w:val="006B7274"/>
    <w:rsid w:val="006C0116"/>
    <w:rsid w:val="006C161D"/>
    <w:rsid w:val="006C1C7B"/>
    <w:rsid w:val="006C3E65"/>
    <w:rsid w:val="006C41D7"/>
    <w:rsid w:val="006D2945"/>
    <w:rsid w:val="006D2B96"/>
    <w:rsid w:val="006D3EB5"/>
    <w:rsid w:val="006D4DC4"/>
    <w:rsid w:val="006D5B9C"/>
    <w:rsid w:val="006D6D02"/>
    <w:rsid w:val="006E11E6"/>
    <w:rsid w:val="006E332D"/>
    <w:rsid w:val="006E3F5D"/>
    <w:rsid w:val="006E4F3D"/>
    <w:rsid w:val="006E532A"/>
    <w:rsid w:val="006E5360"/>
    <w:rsid w:val="006E5778"/>
    <w:rsid w:val="006E5CEC"/>
    <w:rsid w:val="006E5EA2"/>
    <w:rsid w:val="006E6BBA"/>
    <w:rsid w:val="006E772E"/>
    <w:rsid w:val="006F0069"/>
    <w:rsid w:val="006F006F"/>
    <w:rsid w:val="006F17E5"/>
    <w:rsid w:val="006F1EF4"/>
    <w:rsid w:val="006F2430"/>
    <w:rsid w:val="006F2CAB"/>
    <w:rsid w:val="006F3B57"/>
    <w:rsid w:val="006F5032"/>
    <w:rsid w:val="006F505C"/>
    <w:rsid w:val="006F5479"/>
    <w:rsid w:val="006F594E"/>
    <w:rsid w:val="006F6046"/>
    <w:rsid w:val="006F620D"/>
    <w:rsid w:val="006F6837"/>
    <w:rsid w:val="006F6AA3"/>
    <w:rsid w:val="006F7C77"/>
    <w:rsid w:val="00700321"/>
    <w:rsid w:val="00701367"/>
    <w:rsid w:val="0070165C"/>
    <w:rsid w:val="00701863"/>
    <w:rsid w:val="00702E9E"/>
    <w:rsid w:val="00703A2D"/>
    <w:rsid w:val="00703BF8"/>
    <w:rsid w:val="00705709"/>
    <w:rsid w:val="00706625"/>
    <w:rsid w:val="00706CA5"/>
    <w:rsid w:val="007101B9"/>
    <w:rsid w:val="00710D1F"/>
    <w:rsid w:val="00711BEF"/>
    <w:rsid w:val="00711C3F"/>
    <w:rsid w:val="00712456"/>
    <w:rsid w:val="007126A0"/>
    <w:rsid w:val="007136AE"/>
    <w:rsid w:val="0071391E"/>
    <w:rsid w:val="00714655"/>
    <w:rsid w:val="007150B1"/>
    <w:rsid w:val="0071518A"/>
    <w:rsid w:val="007161A3"/>
    <w:rsid w:val="007162D1"/>
    <w:rsid w:val="0071664C"/>
    <w:rsid w:val="007169C6"/>
    <w:rsid w:val="00716BF3"/>
    <w:rsid w:val="00720D12"/>
    <w:rsid w:val="007220C5"/>
    <w:rsid w:val="007229B7"/>
    <w:rsid w:val="00722B06"/>
    <w:rsid w:val="00723941"/>
    <w:rsid w:val="007255F3"/>
    <w:rsid w:val="007259F7"/>
    <w:rsid w:val="007266FD"/>
    <w:rsid w:val="00727D3C"/>
    <w:rsid w:val="0073026A"/>
    <w:rsid w:val="00731273"/>
    <w:rsid w:val="00731881"/>
    <w:rsid w:val="00732FB4"/>
    <w:rsid w:val="00732FC1"/>
    <w:rsid w:val="007334F3"/>
    <w:rsid w:val="00736611"/>
    <w:rsid w:val="00736E88"/>
    <w:rsid w:val="0073763E"/>
    <w:rsid w:val="00740398"/>
    <w:rsid w:val="007403CF"/>
    <w:rsid w:val="00741258"/>
    <w:rsid w:val="00743231"/>
    <w:rsid w:val="007439B4"/>
    <w:rsid w:val="00743B40"/>
    <w:rsid w:val="00743CA0"/>
    <w:rsid w:val="007446AF"/>
    <w:rsid w:val="00744DB4"/>
    <w:rsid w:val="0074565F"/>
    <w:rsid w:val="00745B66"/>
    <w:rsid w:val="00746012"/>
    <w:rsid w:val="00747611"/>
    <w:rsid w:val="00747807"/>
    <w:rsid w:val="00750B16"/>
    <w:rsid w:val="007525FE"/>
    <w:rsid w:val="00753CDC"/>
    <w:rsid w:val="00754037"/>
    <w:rsid w:val="00755096"/>
    <w:rsid w:val="0075530A"/>
    <w:rsid w:val="007556D4"/>
    <w:rsid w:val="00756205"/>
    <w:rsid w:val="00757497"/>
    <w:rsid w:val="0075796D"/>
    <w:rsid w:val="00757F23"/>
    <w:rsid w:val="00757F6E"/>
    <w:rsid w:val="00760229"/>
    <w:rsid w:val="007624CA"/>
    <w:rsid w:val="007638C7"/>
    <w:rsid w:val="00764211"/>
    <w:rsid w:val="00764D27"/>
    <w:rsid w:val="00764FF9"/>
    <w:rsid w:val="00771D9F"/>
    <w:rsid w:val="00772CE4"/>
    <w:rsid w:val="00775067"/>
    <w:rsid w:val="0077516B"/>
    <w:rsid w:val="007756C4"/>
    <w:rsid w:val="00775F20"/>
    <w:rsid w:val="0077798F"/>
    <w:rsid w:val="0078074C"/>
    <w:rsid w:val="00780DE7"/>
    <w:rsid w:val="007814F6"/>
    <w:rsid w:val="00782E3F"/>
    <w:rsid w:val="007842BA"/>
    <w:rsid w:val="007851B8"/>
    <w:rsid w:val="007853F9"/>
    <w:rsid w:val="00785418"/>
    <w:rsid w:val="007858BB"/>
    <w:rsid w:val="00785E21"/>
    <w:rsid w:val="007872BA"/>
    <w:rsid w:val="00787AF5"/>
    <w:rsid w:val="007930FB"/>
    <w:rsid w:val="00793401"/>
    <w:rsid w:val="0079411D"/>
    <w:rsid w:val="007946B8"/>
    <w:rsid w:val="00794BB2"/>
    <w:rsid w:val="007979D1"/>
    <w:rsid w:val="007A0716"/>
    <w:rsid w:val="007A07F2"/>
    <w:rsid w:val="007A249F"/>
    <w:rsid w:val="007A3E94"/>
    <w:rsid w:val="007A43CE"/>
    <w:rsid w:val="007A4732"/>
    <w:rsid w:val="007A62F7"/>
    <w:rsid w:val="007A66BF"/>
    <w:rsid w:val="007A7111"/>
    <w:rsid w:val="007B0BD1"/>
    <w:rsid w:val="007B483F"/>
    <w:rsid w:val="007B569B"/>
    <w:rsid w:val="007B56F0"/>
    <w:rsid w:val="007B57A8"/>
    <w:rsid w:val="007B57BE"/>
    <w:rsid w:val="007B62F7"/>
    <w:rsid w:val="007C3182"/>
    <w:rsid w:val="007C3774"/>
    <w:rsid w:val="007C4449"/>
    <w:rsid w:val="007C4586"/>
    <w:rsid w:val="007C5710"/>
    <w:rsid w:val="007C6157"/>
    <w:rsid w:val="007D13F4"/>
    <w:rsid w:val="007D20DE"/>
    <w:rsid w:val="007D4398"/>
    <w:rsid w:val="007D6B58"/>
    <w:rsid w:val="007D6D9F"/>
    <w:rsid w:val="007D6E4C"/>
    <w:rsid w:val="007E0323"/>
    <w:rsid w:val="007E09FD"/>
    <w:rsid w:val="007E11B4"/>
    <w:rsid w:val="007E1861"/>
    <w:rsid w:val="007E3146"/>
    <w:rsid w:val="007E35D5"/>
    <w:rsid w:val="007E37E9"/>
    <w:rsid w:val="007E3ADE"/>
    <w:rsid w:val="007E448E"/>
    <w:rsid w:val="007E4F09"/>
    <w:rsid w:val="007E4FC9"/>
    <w:rsid w:val="007E7A3F"/>
    <w:rsid w:val="007F098F"/>
    <w:rsid w:val="007F155A"/>
    <w:rsid w:val="007F2A06"/>
    <w:rsid w:val="007F2E0B"/>
    <w:rsid w:val="007F34AE"/>
    <w:rsid w:val="007F4A01"/>
    <w:rsid w:val="007F4DEC"/>
    <w:rsid w:val="007F538E"/>
    <w:rsid w:val="007F74C6"/>
    <w:rsid w:val="007F7C9D"/>
    <w:rsid w:val="007F7D22"/>
    <w:rsid w:val="007F7D9A"/>
    <w:rsid w:val="0080004F"/>
    <w:rsid w:val="00800E9C"/>
    <w:rsid w:val="00800F5A"/>
    <w:rsid w:val="0080184B"/>
    <w:rsid w:val="00801A9C"/>
    <w:rsid w:val="008043F9"/>
    <w:rsid w:val="008045A9"/>
    <w:rsid w:val="00804ABD"/>
    <w:rsid w:val="008067AE"/>
    <w:rsid w:val="0080736A"/>
    <w:rsid w:val="00807C7A"/>
    <w:rsid w:val="00810B61"/>
    <w:rsid w:val="00812A14"/>
    <w:rsid w:val="00813366"/>
    <w:rsid w:val="00813F70"/>
    <w:rsid w:val="00815BB0"/>
    <w:rsid w:val="0081651E"/>
    <w:rsid w:val="00816C5C"/>
    <w:rsid w:val="00820D77"/>
    <w:rsid w:val="0082107E"/>
    <w:rsid w:val="00823028"/>
    <w:rsid w:val="00823922"/>
    <w:rsid w:val="00823A75"/>
    <w:rsid w:val="008243EC"/>
    <w:rsid w:val="0082552F"/>
    <w:rsid w:val="00826394"/>
    <w:rsid w:val="008266E5"/>
    <w:rsid w:val="00830543"/>
    <w:rsid w:val="00830FD0"/>
    <w:rsid w:val="008317FB"/>
    <w:rsid w:val="00833171"/>
    <w:rsid w:val="0083335F"/>
    <w:rsid w:val="00833599"/>
    <w:rsid w:val="008338AC"/>
    <w:rsid w:val="00835101"/>
    <w:rsid w:val="00836E86"/>
    <w:rsid w:val="00837FC1"/>
    <w:rsid w:val="008401CD"/>
    <w:rsid w:val="00840E67"/>
    <w:rsid w:val="00841581"/>
    <w:rsid w:val="00842FE3"/>
    <w:rsid w:val="0084325B"/>
    <w:rsid w:val="008432AF"/>
    <w:rsid w:val="008437DC"/>
    <w:rsid w:val="0084404B"/>
    <w:rsid w:val="0084698C"/>
    <w:rsid w:val="00847302"/>
    <w:rsid w:val="00847DAD"/>
    <w:rsid w:val="00850711"/>
    <w:rsid w:val="0085114E"/>
    <w:rsid w:val="00851DFE"/>
    <w:rsid w:val="0085404C"/>
    <w:rsid w:val="00854301"/>
    <w:rsid w:val="00854689"/>
    <w:rsid w:val="00854962"/>
    <w:rsid w:val="00854A11"/>
    <w:rsid w:val="00855207"/>
    <w:rsid w:val="00861394"/>
    <w:rsid w:val="00861A55"/>
    <w:rsid w:val="00861D30"/>
    <w:rsid w:val="00862006"/>
    <w:rsid w:val="00863355"/>
    <w:rsid w:val="008637C3"/>
    <w:rsid w:val="00865C86"/>
    <w:rsid w:val="008661A6"/>
    <w:rsid w:val="008661BB"/>
    <w:rsid w:val="00866608"/>
    <w:rsid w:val="008669EC"/>
    <w:rsid w:val="008670A9"/>
    <w:rsid w:val="00871E7C"/>
    <w:rsid w:val="00872FA0"/>
    <w:rsid w:val="00873207"/>
    <w:rsid w:val="008732BD"/>
    <w:rsid w:val="00873439"/>
    <w:rsid w:val="008734CC"/>
    <w:rsid w:val="0087369D"/>
    <w:rsid w:val="00874042"/>
    <w:rsid w:val="008743CC"/>
    <w:rsid w:val="0087509C"/>
    <w:rsid w:val="008757D2"/>
    <w:rsid w:val="00875A45"/>
    <w:rsid w:val="00876A7E"/>
    <w:rsid w:val="0087732B"/>
    <w:rsid w:val="00880A11"/>
    <w:rsid w:val="00881FCF"/>
    <w:rsid w:val="00882579"/>
    <w:rsid w:val="00882DF3"/>
    <w:rsid w:val="00885B1F"/>
    <w:rsid w:val="00886B4B"/>
    <w:rsid w:val="00886D47"/>
    <w:rsid w:val="00887250"/>
    <w:rsid w:val="0089261D"/>
    <w:rsid w:val="008931B4"/>
    <w:rsid w:val="008933A5"/>
    <w:rsid w:val="008933C3"/>
    <w:rsid w:val="0089352D"/>
    <w:rsid w:val="00894F43"/>
    <w:rsid w:val="00897659"/>
    <w:rsid w:val="008978F8"/>
    <w:rsid w:val="00897D8F"/>
    <w:rsid w:val="008A02B8"/>
    <w:rsid w:val="008A0862"/>
    <w:rsid w:val="008A13DB"/>
    <w:rsid w:val="008A1FB5"/>
    <w:rsid w:val="008A37C7"/>
    <w:rsid w:val="008A44AF"/>
    <w:rsid w:val="008A45CA"/>
    <w:rsid w:val="008A49E7"/>
    <w:rsid w:val="008A4A95"/>
    <w:rsid w:val="008A5EB2"/>
    <w:rsid w:val="008B0C08"/>
    <w:rsid w:val="008B34F5"/>
    <w:rsid w:val="008B3C44"/>
    <w:rsid w:val="008B4EE7"/>
    <w:rsid w:val="008B6249"/>
    <w:rsid w:val="008C0194"/>
    <w:rsid w:val="008C0D7A"/>
    <w:rsid w:val="008C2F2A"/>
    <w:rsid w:val="008C363B"/>
    <w:rsid w:val="008C3F11"/>
    <w:rsid w:val="008C4A8E"/>
    <w:rsid w:val="008C54E2"/>
    <w:rsid w:val="008C687A"/>
    <w:rsid w:val="008C6A99"/>
    <w:rsid w:val="008D0E87"/>
    <w:rsid w:val="008D1400"/>
    <w:rsid w:val="008D2513"/>
    <w:rsid w:val="008D2F17"/>
    <w:rsid w:val="008D3710"/>
    <w:rsid w:val="008D3E08"/>
    <w:rsid w:val="008D4266"/>
    <w:rsid w:val="008D4F5F"/>
    <w:rsid w:val="008D5537"/>
    <w:rsid w:val="008D6414"/>
    <w:rsid w:val="008E062A"/>
    <w:rsid w:val="008E0D5A"/>
    <w:rsid w:val="008E38BB"/>
    <w:rsid w:val="008E42AA"/>
    <w:rsid w:val="008E4C7F"/>
    <w:rsid w:val="008E60D7"/>
    <w:rsid w:val="008E6242"/>
    <w:rsid w:val="008E7AC9"/>
    <w:rsid w:val="008E7D24"/>
    <w:rsid w:val="008F0852"/>
    <w:rsid w:val="008F0D5F"/>
    <w:rsid w:val="008F2432"/>
    <w:rsid w:val="008F30BA"/>
    <w:rsid w:val="008F355B"/>
    <w:rsid w:val="008F3962"/>
    <w:rsid w:val="008F422F"/>
    <w:rsid w:val="00900626"/>
    <w:rsid w:val="00902698"/>
    <w:rsid w:val="0090276F"/>
    <w:rsid w:val="009038CF"/>
    <w:rsid w:val="009043E3"/>
    <w:rsid w:val="00905395"/>
    <w:rsid w:val="00907851"/>
    <w:rsid w:val="009177FB"/>
    <w:rsid w:val="00917889"/>
    <w:rsid w:val="009204DC"/>
    <w:rsid w:val="00921247"/>
    <w:rsid w:val="00921CCB"/>
    <w:rsid w:val="00922F33"/>
    <w:rsid w:val="009231D6"/>
    <w:rsid w:val="00923535"/>
    <w:rsid w:val="00924662"/>
    <w:rsid w:val="0092558C"/>
    <w:rsid w:val="00925B50"/>
    <w:rsid w:val="00925CBE"/>
    <w:rsid w:val="00925FA2"/>
    <w:rsid w:val="0092658C"/>
    <w:rsid w:val="00926715"/>
    <w:rsid w:val="00926DBF"/>
    <w:rsid w:val="00930481"/>
    <w:rsid w:val="0093075A"/>
    <w:rsid w:val="009307F9"/>
    <w:rsid w:val="0093081A"/>
    <w:rsid w:val="00931344"/>
    <w:rsid w:val="00931D04"/>
    <w:rsid w:val="009321A8"/>
    <w:rsid w:val="009330DD"/>
    <w:rsid w:val="00934911"/>
    <w:rsid w:val="00934D32"/>
    <w:rsid w:val="00935086"/>
    <w:rsid w:val="0093523A"/>
    <w:rsid w:val="009361D9"/>
    <w:rsid w:val="00936727"/>
    <w:rsid w:val="00936AD0"/>
    <w:rsid w:val="00937ADD"/>
    <w:rsid w:val="00940120"/>
    <w:rsid w:val="00940F79"/>
    <w:rsid w:val="009415F2"/>
    <w:rsid w:val="00942DFF"/>
    <w:rsid w:val="0094402C"/>
    <w:rsid w:val="009442A0"/>
    <w:rsid w:val="009449B8"/>
    <w:rsid w:val="00944DF0"/>
    <w:rsid w:val="00944FA5"/>
    <w:rsid w:val="009451D7"/>
    <w:rsid w:val="009505B5"/>
    <w:rsid w:val="00952615"/>
    <w:rsid w:val="00952F3E"/>
    <w:rsid w:val="009548DF"/>
    <w:rsid w:val="00954B29"/>
    <w:rsid w:val="009550FD"/>
    <w:rsid w:val="009553DB"/>
    <w:rsid w:val="009564EF"/>
    <w:rsid w:val="00957073"/>
    <w:rsid w:val="0095777B"/>
    <w:rsid w:val="00962BD2"/>
    <w:rsid w:val="00963C58"/>
    <w:rsid w:val="00965E14"/>
    <w:rsid w:val="00965F77"/>
    <w:rsid w:val="009674A2"/>
    <w:rsid w:val="009704E7"/>
    <w:rsid w:val="009708A3"/>
    <w:rsid w:val="00972382"/>
    <w:rsid w:val="00975266"/>
    <w:rsid w:val="0097634E"/>
    <w:rsid w:val="009765F4"/>
    <w:rsid w:val="00977A9D"/>
    <w:rsid w:val="00980CB4"/>
    <w:rsid w:val="00981CD4"/>
    <w:rsid w:val="0098276B"/>
    <w:rsid w:val="0098330A"/>
    <w:rsid w:val="009839C8"/>
    <w:rsid w:val="00984EED"/>
    <w:rsid w:val="00985234"/>
    <w:rsid w:val="00985A89"/>
    <w:rsid w:val="00985E4D"/>
    <w:rsid w:val="0098602B"/>
    <w:rsid w:val="00991C9D"/>
    <w:rsid w:val="0099281C"/>
    <w:rsid w:val="009931F1"/>
    <w:rsid w:val="009944D6"/>
    <w:rsid w:val="00995F98"/>
    <w:rsid w:val="009966CB"/>
    <w:rsid w:val="00996720"/>
    <w:rsid w:val="00997FFD"/>
    <w:rsid w:val="009A0973"/>
    <w:rsid w:val="009A30AE"/>
    <w:rsid w:val="009A3256"/>
    <w:rsid w:val="009A47EE"/>
    <w:rsid w:val="009A57C5"/>
    <w:rsid w:val="009A617F"/>
    <w:rsid w:val="009A7937"/>
    <w:rsid w:val="009A7DC7"/>
    <w:rsid w:val="009B0C52"/>
    <w:rsid w:val="009B1F26"/>
    <w:rsid w:val="009B22A0"/>
    <w:rsid w:val="009B2D23"/>
    <w:rsid w:val="009B41BC"/>
    <w:rsid w:val="009B5C55"/>
    <w:rsid w:val="009B63AE"/>
    <w:rsid w:val="009C0859"/>
    <w:rsid w:val="009C11A6"/>
    <w:rsid w:val="009C2EF5"/>
    <w:rsid w:val="009C3E64"/>
    <w:rsid w:val="009C43A3"/>
    <w:rsid w:val="009C44AA"/>
    <w:rsid w:val="009C4CD3"/>
    <w:rsid w:val="009D02B6"/>
    <w:rsid w:val="009D0FB5"/>
    <w:rsid w:val="009D12CB"/>
    <w:rsid w:val="009D2D67"/>
    <w:rsid w:val="009D2DC8"/>
    <w:rsid w:val="009D4222"/>
    <w:rsid w:val="009D5455"/>
    <w:rsid w:val="009D677B"/>
    <w:rsid w:val="009D6EEC"/>
    <w:rsid w:val="009D7E78"/>
    <w:rsid w:val="009E2146"/>
    <w:rsid w:val="009E3298"/>
    <w:rsid w:val="009E334B"/>
    <w:rsid w:val="009E44B1"/>
    <w:rsid w:val="009E6A10"/>
    <w:rsid w:val="009E6DE3"/>
    <w:rsid w:val="009E70E8"/>
    <w:rsid w:val="009E75DA"/>
    <w:rsid w:val="009E7B02"/>
    <w:rsid w:val="009E7C68"/>
    <w:rsid w:val="009F01E7"/>
    <w:rsid w:val="009F0E7E"/>
    <w:rsid w:val="009F1464"/>
    <w:rsid w:val="009F1731"/>
    <w:rsid w:val="009F25B5"/>
    <w:rsid w:val="009F2685"/>
    <w:rsid w:val="009F2B54"/>
    <w:rsid w:val="009F63E2"/>
    <w:rsid w:val="009F680D"/>
    <w:rsid w:val="009F6C36"/>
    <w:rsid w:val="00A01251"/>
    <w:rsid w:val="00A01307"/>
    <w:rsid w:val="00A01C7D"/>
    <w:rsid w:val="00A020B6"/>
    <w:rsid w:val="00A02390"/>
    <w:rsid w:val="00A023C1"/>
    <w:rsid w:val="00A04781"/>
    <w:rsid w:val="00A04B1F"/>
    <w:rsid w:val="00A05DA2"/>
    <w:rsid w:val="00A10769"/>
    <w:rsid w:val="00A10E4E"/>
    <w:rsid w:val="00A11C7D"/>
    <w:rsid w:val="00A126A5"/>
    <w:rsid w:val="00A12749"/>
    <w:rsid w:val="00A135D8"/>
    <w:rsid w:val="00A14546"/>
    <w:rsid w:val="00A146EA"/>
    <w:rsid w:val="00A14954"/>
    <w:rsid w:val="00A14B20"/>
    <w:rsid w:val="00A163A3"/>
    <w:rsid w:val="00A17B9F"/>
    <w:rsid w:val="00A17E6F"/>
    <w:rsid w:val="00A22527"/>
    <w:rsid w:val="00A23948"/>
    <w:rsid w:val="00A240E9"/>
    <w:rsid w:val="00A24597"/>
    <w:rsid w:val="00A25DF9"/>
    <w:rsid w:val="00A2632E"/>
    <w:rsid w:val="00A27FCF"/>
    <w:rsid w:val="00A31346"/>
    <w:rsid w:val="00A324D9"/>
    <w:rsid w:val="00A32EA2"/>
    <w:rsid w:val="00A33331"/>
    <w:rsid w:val="00A33574"/>
    <w:rsid w:val="00A339A6"/>
    <w:rsid w:val="00A344F6"/>
    <w:rsid w:val="00A35980"/>
    <w:rsid w:val="00A369DE"/>
    <w:rsid w:val="00A372B7"/>
    <w:rsid w:val="00A37463"/>
    <w:rsid w:val="00A377D9"/>
    <w:rsid w:val="00A37877"/>
    <w:rsid w:val="00A37AEB"/>
    <w:rsid w:val="00A37B2D"/>
    <w:rsid w:val="00A40576"/>
    <w:rsid w:val="00A41DF4"/>
    <w:rsid w:val="00A426D1"/>
    <w:rsid w:val="00A45809"/>
    <w:rsid w:val="00A50ED8"/>
    <w:rsid w:val="00A514BE"/>
    <w:rsid w:val="00A51C02"/>
    <w:rsid w:val="00A525AA"/>
    <w:rsid w:val="00A529C7"/>
    <w:rsid w:val="00A543F9"/>
    <w:rsid w:val="00A54CB6"/>
    <w:rsid w:val="00A557FB"/>
    <w:rsid w:val="00A618D0"/>
    <w:rsid w:val="00A619A7"/>
    <w:rsid w:val="00A64945"/>
    <w:rsid w:val="00A651C1"/>
    <w:rsid w:val="00A66164"/>
    <w:rsid w:val="00A72135"/>
    <w:rsid w:val="00A72E42"/>
    <w:rsid w:val="00A77629"/>
    <w:rsid w:val="00A810F8"/>
    <w:rsid w:val="00A811DA"/>
    <w:rsid w:val="00A8242E"/>
    <w:rsid w:val="00A83B70"/>
    <w:rsid w:val="00A83CBA"/>
    <w:rsid w:val="00A85213"/>
    <w:rsid w:val="00A853D9"/>
    <w:rsid w:val="00A866ED"/>
    <w:rsid w:val="00A86D31"/>
    <w:rsid w:val="00A871E6"/>
    <w:rsid w:val="00A9114E"/>
    <w:rsid w:val="00A9156B"/>
    <w:rsid w:val="00A92174"/>
    <w:rsid w:val="00A94A2A"/>
    <w:rsid w:val="00A95FE9"/>
    <w:rsid w:val="00A961FF"/>
    <w:rsid w:val="00A9633A"/>
    <w:rsid w:val="00A97A66"/>
    <w:rsid w:val="00A97F8D"/>
    <w:rsid w:val="00AA1789"/>
    <w:rsid w:val="00AA1A33"/>
    <w:rsid w:val="00AA2131"/>
    <w:rsid w:val="00AA2902"/>
    <w:rsid w:val="00AA3453"/>
    <w:rsid w:val="00AA4C36"/>
    <w:rsid w:val="00AA50ED"/>
    <w:rsid w:val="00AA66E7"/>
    <w:rsid w:val="00AA7CB1"/>
    <w:rsid w:val="00AB1F0C"/>
    <w:rsid w:val="00AB2A4C"/>
    <w:rsid w:val="00AB2F1B"/>
    <w:rsid w:val="00AB6731"/>
    <w:rsid w:val="00AC0915"/>
    <w:rsid w:val="00AC0F66"/>
    <w:rsid w:val="00AC1522"/>
    <w:rsid w:val="00AC16F7"/>
    <w:rsid w:val="00AC30DF"/>
    <w:rsid w:val="00AC6AEE"/>
    <w:rsid w:val="00AC6EE6"/>
    <w:rsid w:val="00AD0231"/>
    <w:rsid w:val="00AD026A"/>
    <w:rsid w:val="00AD0DA1"/>
    <w:rsid w:val="00AD2D85"/>
    <w:rsid w:val="00AD2DEB"/>
    <w:rsid w:val="00AD5D99"/>
    <w:rsid w:val="00AD6B2B"/>
    <w:rsid w:val="00AE0D45"/>
    <w:rsid w:val="00AE182D"/>
    <w:rsid w:val="00AE1995"/>
    <w:rsid w:val="00AE308A"/>
    <w:rsid w:val="00AE5CCA"/>
    <w:rsid w:val="00AE78E3"/>
    <w:rsid w:val="00AE7B77"/>
    <w:rsid w:val="00AF19D8"/>
    <w:rsid w:val="00AF2073"/>
    <w:rsid w:val="00AF225A"/>
    <w:rsid w:val="00AF25BC"/>
    <w:rsid w:val="00AF2FBE"/>
    <w:rsid w:val="00B00121"/>
    <w:rsid w:val="00B00447"/>
    <w:rsid w:val="00B036BC"/>
    <w:rsid w:val="00B05189"/>
    <w:rsid w:val="00B05BF4"/>
    <w:rsid w:val="00B05D21"/>
    <w:rsid w:val="00B0666D"/>
    <w:rsid w:val="00B10F5D"/>
    <w:rsid w:val="00B11827"/>
    <w:rsid w:val="00B12FFB"/>
    <w:rsid w:val="00B14A35"/>
    <w:rsid w:val="00B15427"/>
    <w:rsid w:val="00B154FD"/>
    <w:rsid w:val="00B15909"/>
    <w:rsid w:val="00B16EE6"/>
    <w:rsid w:val="00B214B7"/>
    <w:rsid w:val="00B21F30"/>
    <w:rsid w:val="00B225E1"/>
    <w:rsid w:val="00B23380"/>
    <w:rsid w:val="00B24852"/>
    <w:rsid w:val="00B27638"/>
    <w:rsid w:val="00B279A3"/>
    <w:rsid w:val="00B303DC"/>
    <w:rsid w:val="00B31919"/>
    <w:rsid w:val="00B321C6"/>
    <w:rsid w:val="00B32AC5"/>
    <w:rsid w:val="00B3354E"/>
    <w:rsid w:val="00B33D0C"/>
    <w:rsid w:val="00B33F67"/>
    <w:rsid w:val="00B340A8"/>
    <w:rsid w:val="00B35374"/>
    <w:rsid w:val="00B35751"/>
    <w:rsid w:val="00B411B8"/>
    <w:rsid w:val="00B416C5"/>
    <w:rsid w:val="00B418B3"/>
    <w:rsid w:val="00B41CF0"/>
    <w:rsid w:val="00B43E7C"/>
    <w:rsid w:val="00B44160"/>
    <w:rsid w:val="00B45AF5"/>
    <w:rsid w:val="00B46856"/>
    <w:rsid w:val="00B46899"/>
    <w:rsid w:val="00B4720B"/>
    <w:rsid w:val="00B47236"/>
    <w:rsid w:val="00B515A8"/>
    <w:rsid w:val="00B5176E"/>
    <w:rsid w:val="00B528CA"/>
    <w:rsid w:val="00B52BA2"/>
    <w:rsid w:val="00B57A60"/>
    <w:rsid w:val="00B57B50"/>
    <w:rsid w:val="00B60FAD"/>
    <w:rsid w:val="00B6170C"/>
    <w:rsid w:val="00B61C6A"/>
    <w:rsid w:val="00B62A98"/>
    <w:rsid w:val="00B62BE7"/>
    <w:rsid w:val="00B641BB"/>
    <w:rsid w:val="00B648B2"/>
    <w:rsid w:val="00B6498A"/>
    <w:rsid w:val="00B64D03"/>
    <w:rsid w:val="00B651FC"/>
    <w:rsid w:val="00B65607"/>
    <w:rsid w:val="00B66AB7"/>
    <w:rsid w:val="00B66D23"/>
    <w:rsid w:val="00B71DC6"/>
    <w:rsid w:val="00B74244"/>
    <w:rsid w:val="00B74BC6"/>
    <w:rsid w:val="00B74FC6"/>
    <w:rsid w:val="00B74FE8"/>
    <w:rsid w:val="00B75053"/>
    <w:rsid w:val="00B7588E"/>
    <w:rsid w:val="00B75BAF"/>
    <w:rsid w:val="00B76246"/>
    <w:rsid w:val="00B76A97"/>
    <w:rsid w:val="00B77B94"/>
    <w:rsid w:val="00B77D03"/>
    <w:rsid w:val="00B77E84"/>
    <w:rsid w:val="00B80049"/>
    <w:rsid w:val="00B80F0F"/>
    <w:rsid w:val="00B819C1"/>
    <w:rsid w:val="00B8283C"/>
    <w:rsid w:val="00B858AA"/>
    <w:rsid w:val="00B87165"/>
    <w:rsid w:val="00B87702"/>
    <w:rsid w:val="00B90571"/>
    <w:rsid w:val="00B906E3"/>
    <w:rsid w:val="00B90B83"/>
    <w:rsid w:val="00B91790"/>
    <w:rsid w:val="00B91F74"/>
    <w:rsid w:val="00B92193"/>
    <w:rsid w:val="00B927EF"/>
    <w:rsid w:val="00B92D78"/>
    <w:rsid w:val="00B92F14"/>
    <w:rsid w:val="00B942BD"/>
    <w:rsid w:val="00B953AA"/>
    <w:rsid w:val="00B95624"/>
    <w:rsid w:val="00B95AD0"/>
    <w:rsid w:val="00B95C86"/>
    <w:rsid w:val="00B96639"/>
    <w:rsid w:val="00B96F5C"/>
    <w:rsid w:val="00B97E04"/>
    <w:rsid w:val="00BA057A"/>
    <w:rsid w:val="00BA09E6"/>
    <w:rsid w:val="00BA0B9D"/>
    <w:rsid w:val="00BA2ED3"/>
    <w:rsid w:val="00BA3788"/>
    <w:rsid w:val="00BA4270"/>
    <w:rsid w:val="00BA497A"/>
    <w:rsid w:val="00BA6BAF"/>
    <w:rsid w:val="00BA748C"/>
    <w:rsid w:val="00BB0257"/>
    <w:rsid w:val="00BB0301"/>
    <w:rsid w:val="00BB1189"/>
    <w:rsid w:val="00BB1201"/>
    <w:rsid w:val="00BB3CD5"/>
    <w:rsid w:val="00BB3F49"/>
    <w:rsid w:val="00BB43BD"/>
    <w:rsid w:val="00BB57E6"/>
    <w:rsid w:val="00BB6519"/>
    <w:rsid w:val="00BB73B2"/>
    <w:rsid w:val="00BC1B08"/>
    <w:rsid w:val="00BC25D0"/>
    <w:rsid w:val="00BC2D56"/>
    <w:rsid w:val="00BC2FF3"/>
    <w:rsid w:val="00BC34E7"/>
    <w:rsid w:val="00BC36C9"/>
    <w:rsid w:val="00BC377C"/>
    <w:rsid w:val="00BC41EE"/>
    <w:rsid w:val="00BC4414"/>
    <w:rsid w:val="00BC46C7"/>
    <w:rsid w:val="00BC4812"/>
    <w:rsid w:val="00BC58FD"/>
    <w:rsid w:val="00BC5ECE"/>
    <w:rsid w:val="00BC7569"/>
    <w:rsid w:val="00BD0D66"/>
    <w:rsid w:val="00BD2467"/>
    <w:rsid w:val="00BD2846"/>
    <w:rsid w:val="00BD2BDA"/>
    <w:rsid w:val="00BD4BAF"/>
    <w:rsid w:val="00BD5AFE"/>
    <w:rsid w:val="00BD5D7E"/>
    <w:rsid w:val="00BD61BC"/>
    <w:rsid w:val="00BD7388"/>
    <w:rsid w:val="00BD7469"/>
    <w:rsid w:val="00BD74AA"/>
    <w:rsid w:val="00BD75AA"/>
    <w:rsid w:val="00BD7C61"/>
    <w:rsid w:val="00BE089A"/>
    <w:rsid w:val="00BE190A"/>
    <w:rsid w:val="00BE214C"/>
    <w:rsid w:val="00BE2F25"/>
    <w:rsid w:val="00BE33E7"/>
    <w:rsid w:val="00BE48DB"/>
    <w:rsid w:val="00BE49F6"/>
    <w:rsid w:val="00BE4C88"/>
    <w:rsid w:val="00BE5108"/>
    <w:rsid w:val="00BE6489"/>
    <w:rsid w:val="00BE6C48"/>
    <w:rsid w:val="00BE762C"/>
    <w:rsid w:val="00BE7A70"/>
    <w:rsid w:val="00BF16A6"/>
    <w:rsid w:val="00BF1AB8"/>
    <w:rsid w:val="00BF3BD7"/>
    <w:rsid w:val="00BF3D6F"/>
    <w:rsid w:val="00BF4612"/>
    <w:rsid w:val="00BF6E05"/>
    <w:rsid w:val="00BF7E5D"/>
    <w:rsid w:val="00C01248"/>
    <w:rsid w:val="00C0132E"/>
    <w:rsid w:val="00C053BB"/>
    <w:rsid w:val="00C05AEA"/>
    <w:rsid w:val="00C0673F"/>
    <w:rsid w:val="00C10B40"/>
    <w:rsid w:val="00C12AD6"/>
    <w:rsid w:val="00C145A3"/>
    <w:rsid w:val="00C14CB6"/>
    <w:rsid w:val="00C15296"/>
    <w:rsid w:val="00C1593F"/>
    <w:rsid w:val="00C20F49"/>
    <w:rsid w:val="00C20F82"/>
    <w:rsid w:val="00C22B97"/>
    <w:rsid w:val="00C23C2E"/>
    <w:rsid w:val="00C23FAB"/>
    <w:rsid w:val="00C244E1"/>
    <w:rsid w:val="00C25403"/>
    <w:rsid w:val="00C26938"/>
    <w:rsid w:val="00C322AF"/>
    <w:rsid w:val="00C331CB"/>
    <w:rsid w:val="00C33673"/>
    <w:rsid w:val="00C345C0"/>
    <w:rsid w:val="00C34A4B"/>
    <w:rsid w:val="00C34B29"/>
    <w:rsid w:val="00C356E4"/>
    <w:rsid w:val="00C36373"/>
    <w:rsid w:val="00C409E2"/>
    <w:rsid w:val="00C4120A"/>
    <w:rsid w:val="00C41D3C"/>
    <w:rsid w:val="00C42BDC"/>
    <w:rsid w:val="00C442CD"/>
    <w:rsid w:val="00C45C02"/>
    <w:rsid w:val="00C45E3B"/>
    <w:rsid w:val="00C47848"/>
    <w:rsid w:val="00C5043B"/>
    <w:rsid w:val="00C505D9"/>
    <w:rsid w:val="00C53AE0"/>
    <w:rsid w:val="00C559AA"/>
    <w:rsid w:val="00C60212"/>
    <w:rsid w:val="00C61948"/>
    <w:rsid w:val="00C6259D"/>
    <w:rsid w:val="00C62779"/>
    <w:rsid w:val="00C654C2"/>
    <w:rsid w:val="00C65B87"/>
    <w:rsid w:val="00C676C4"/>
    <w:rsid w:val="00C67BAC"/>
    <w:rsid w:val="00C7021C"/>
    <w:rsid w:val="00C7039E"/>
    <w:rsid w:val="00C70CC6"/>
    <w:rsid w:val="00C71950"/>
    <w:rsid w:val="00C71A8B"/>
    <w:rsid w:val="00C7424F"/>
    <w:rsid w:val="00C7465B"/>
    <w:rsid w:val="00C7652D"/>
    <w:rsid w:val="00C77CE8"/>
    <w:rsid w:val="00C8019C"/>
    <w:rsid w:val="00C80E3B"/>
    <w:rsid w:val="00C8184D"/>
    <w:rsid w:val="00C8226F"/>
    <w:rsid w:val="00C828EE"/>
    <w:rsid w:val="00C83DC0"/>
    <w:rsid w:val="00C83E8F"/>
    <w:rsid w:val="00C84840"/>
    <w:rsid w:val="00C84F5D"/>
    <w:rsid w:val="00C8529D"/>
    <w:rsid w:val="00C85DE4"/>
    <w:rsid w:val="00C86409"/>
    <w:rsid w:val="00C86C6B"/>
    <w:rsid w:val="00C87E21"/>
    <w:rsid w:val="00C9011A"/>
    <w:rsid w:val="00C901D1"/>
    <w:rsid w:val="00C90ADF"/>
    <w:rsid w:val="00C90D56"/>
    <w:rsid w:val="00C9199D"/>
    <w:rsid w:val="00C920E1"/>
    <w:rsid w:val="00C92B46"/>
    <w:rsid w:val="00C9327E"/>
    <w:rsid w:val="00C94579"/>
    <w:rsid w:val="00C96CE0"/>
    <w:rsid w:val="00C97BF2"/>
    <w:rsid w:val="00C97DBB"/>
    <w:rsid w:val="00CA04C7"/>
    <w:rsid w:val="00CA07F6"/>
    <w:rsid w:val="00CA0BCA"/>
    <w:rsid w:val="00CA1166"/>
    <w:rsid w:val="00CA1202"/>
    <w:rsid w:val="00CA1CFB"/>
    <w:rsid w:val="00CA239D"/>
    <w:rsid w:val="00CA29E2"/>
    <w:rsid w:val="00CA2F41"/>
    <w:rsid w:val="00CA3230"/>
    <w:rsid w:val="00CA3E3A"/>
    <w:rsid w:val="00CA68BB"/>
    <w:rsid w:val="00CA7C5F"/>
    <w:rsid w:val="00CB030A"/>
    <w:rsid w:val="00CB1E6D"/>
    <w:rsid w:val="00CB27A5"/>
    <w:rsid w:val="00CB37DB"/>
    <w:rsid w:val="00CB4051"/>
    <w:rsid w:val="00CB5699"/>
    <w:rsid w:val="00CB5C2F"/>
    <w:rsid w:val="00CC07C4"/>
    <w:rsid w:val="00CC0FAE"/>
    <w:rsid w:val="00CC128F"/>
    <w:rsid w:val="00CC21C7"/>
    <w:rsid w:val="00CC38A7"/>
    <w:rsid w:val="00CC4CCF"/>
    <w:rsid w:val="00CC515C"/>
    <w:rsid w:val="00CC71F8"/>
    <w:rsid w:val="00CC7280"/>
    <w:rsid w:val="00CC74DC"/>
    <w:rsid w:val="00CD06FF"/>
    <w:rsid w:val="00CD12DE"/>
    <w:rsid w:val="00CD35B9"/>
    <w:rsid w:val="00CD4E87"/>
    <w:rsid w:val="00CD5341"/>
    <w:rsid w:val="00CD6817"/>
    <w:rsid w:val="00CD72B0"/>
    <w:rsid w:val="00CD79A8"/>
    <w:rsid w:val="00CE14EB"/>
    <w:rsid w:val="00CE2802"/>
    <w:rsid w:val="00CE31F3"/>
    <w:rsid w:val="00CE3478"/>
    <w:rsid w:val="00CE3B3B"/>
    <w:rsid w:val="00CE590C"/>
    <w:rsid w:val="00CE6D62"/>
    <w:rsid w:val="00CE72ED"/>
    <w:rsid w:val="00CF1404"/>
    <w:rsid w:val="00CF163E"/>
    <w:rsid w:val="00CF1987"/>
    <w:rsid w:val="00CF21E6"/>
    <w:rsid w:val="00CF2524"/>
    <w:rsid w:val="00CF303D"/>
    <w:rsid w:val="00CF3296"/>
    <w:rsid w:val="00CF4B07"/>
    <w:rsid w:val="00CF4B59"/>
    <w:rsid w:val="00CF578D"/>
    <w:rsid w:val="00CF622C"/>
    <w:rsid w:val="00D0049A"/>
    <w:rsid w:val="00D01875"/>
    <w:rsid w:val="00D02528"/>
    <w:rsid w:val="00D0274A"/>
    <w:rsid w:val="00D0331E"/>
    <w:rsid w:val="00D033FE"/>
    <w:rsid w:val="00D034B3"/>
    <w:rsid w:val="00D03CD4"/>
    <w:rsid w:val="00D03F77"/>
    <w:rsid w:val="00D052B0"/>
    <w:rsid w:val="00D05E86"/>
    <w:rsid w:val="00D06FA3"/>
    <w:rsid w:val="00D078D5"/>
    <w:rsid w:val="00D1016B"/>
    <w:rsid w:val="00D11468"/>
    <w:rsid w:val="00D12362"/>
    <w:rsid w:val="00D14417"/>
    <w:rsid w:val="00D14956"/>
    <w:rsid w:val="00D15035"/>
    <w:rsid w:val="00D150ED"/>
    <w:rsid w:val="00D171FC"/>
    <w:rsid w:val="00D173CC"/>
    <w:rsid w:val="00D20237"/>
    <w:rsid w:val="00D21EDB"/>
    <w:rsid w:val="00D22F85"/>
    <w:rsid w:val="00D24D09"/>
    <w:rsid w:val="00D251C7"/>
    <w:rsid w:val="00D2565E"/>
    <w:rsid w:val="00D2708F"/>
    <w:rsid w:val="00D2709D"/>
    <w:rsid w:val="00D279B7"/>
    <w:rsid w:val="00D31615"/>
    <w:rsid w:val="00D31B21"/>
    <w:rsid w:val="00D32A2E"/>
    <w:rsid w:val="00D32D4B"/>
    <w:rsid w:val="00D34802"/>
    <w:rsid w:val="00D34BBB"/>
    <w:rsid w:val="00D3575B"/>
    <w:rsid w:val="00D36098"/>
    <w:rsid w:val="00D365B7"/>
    <w:rsid w:val="00D36B95"/>
    <w:rsid w:val="00D37535"/>
    <w:rsid w:val="00D37CD1"/>
    <w:rsid w:val="00D4006F"/>
    <w:rsid w:val="00D41A75"/>
    <w:rsid w:val="00D41D28"/>
    <w:rsid w:val="00D429E6"/>
    <w:rsid w:val="00D42E1A"/>
    <w:rsid w:val="00D43174"/>
    <w:rsid w:val="00D4365A"/>
    <w:rsid w:val="00D43E37"/>
    <w:rsid w:val="00D4622C"/>
    <w:rsid w:val="00D47267"/>
    <w:rsid w:val="00D47655"/>
    <w:rsid w:val="00D50942"/>
    <w:rsid w:val="00D50F51"/>
    <w:rsid w:val="00D51292"/>
    <w:rsid w:val="00D516DE"/>
    <w:rsid w:val="00D52438"/>
    <w:rsid w:val="00D52659"/>
    <w:rsid w:val="00D53180"/>
    <w:rsid w:val="00D536D6"/>
    <w:rsid w:val="00D55B5E"/>
    <w:rsid w:val="00D55B67"/>
    <w:rsid w:val="00D56413"/>
    <w:rsid w:val="00D565FD"/>
    <w:rsid w:val="00D6052C"/>
    <w:rsid w:val="00D625A3"/>
    <w:rsid w:val="00D635E6"/>
    <w:rsid w:val="00D63BA7"/>
    <w:rsid w:val="00D655CB"/>
    <w:rsid w:val="00D6574C"/>
    <w:rsid w:val="00D657EC"/>
    <w:rsid w:val="00D6667E"/>
    <w:rsid w:val="00D705CA"/>
    <w:rsid w:val="00D70EFE"/>
    <w:rsid w:val="00D715CB"/>
    <w:rsid w:val="00D72065"/>
    <w:rsid w:val="00D72260"/>
    <w:rsid w:val="00D73722"/>
    <w:rsid w:val="00D7462C"/>
    <w:rsid w:val="00D74722"/>
    <w:rsid w:val="00D75F20"/>
    <w:rsid w:val="00D75FD4"/>
    <w:rsid w:val="00D7642D"/>
    <w:rsid w:val="00D76A13"/>
    <w:rsid w:val="00D76D1D"/>
    <w:rsid w:val="00D771A7"/>
    <w:rsid w:val="00D801A1"/>
    <w:rsid w:val="00D80266"/>
    <w:rsid w:val="00D80E31"/>
    <w:rsid w:val="00D813EB"/>
    <w:rsid w:val="00D8272C"/>
    <w:rsid w:val="00D82C3C"/>
    <w:rsid w:val="00D83FAE"/>
    <w:rsid w:val="00D84A75"/>
    <w:rsid w:val="00D864A9"/>
    <w:rsid w:val="00D87556"/>
    <w:rsid w:val="00D8782E"/>
    <w:rsid w:val="00D90B69"/>
    <w:rsid w:val="00D90D1F"/>
    <w:rsid w:val="00D92FCB"/>
    <w:rsid w:val="00D93F5A"/>
    <w:rsid w:val="00D9434A"/>
    <w:rsid w:val="00D94594"/>
    <w:rsid w:val="00D969F4"/>
    <w:rsid w:val="00DA027B"/>
    <w:rsid w:val="00DA0FAB"/>
    <w:rsid w:val="00DA1AB1"/>
    <w:rsid w:val="00DA1B65"/>
    <w:rsid w:val="00DA1E30"/>
    <w:rsid w:val="00DA25C0"/>
    <w:rsid w:val="00DA36BE"/>
    <w:rsid w:val="00DA3B7D"/>
    <w:rsid w:val="00DA3C39"/>
    <w:rsid w:val="00DA62FE"/>
    <w:rsid w:val="00DA6E9B"/>
    <w:rsid w:val="00DB066B"/>
    <w:rsid w:val="00DB0925"/>
    <w:rsid w:val="00DB1572"/>
    <w:rsid w:val="00DB2338"/>
    <w:rsid w:val="00DB27FA"/>
    <w:rsid w:val="00DB30C0"/>
    <w:rsid w:val="00DB316F"/>
    <w:rsid w:val="00DB3374"/>
    <w:rsid w:val="00DB433A"/>
    <w:rsid w:val="00DB4F39"/>
    <w:rsid w:val="00DB65C0"/>
    <w:rsid w:val="00DB6B73"/>
    <w:rsid w:val="00DB725A"/>
    <w:rsid w:val="00DB79E3"/>
    <w:rsid w:val="00DB7DA8"/>
    <w:rsid w:val="00DB7EB5"/>
    <w:rsid w:val="00DC08E4"/>
    <w:rsid w:val="00DC170B"/>
    <w:rsid w:val="00DC232D"/>
    <w:rsid w:val="00DC2622"/>
    <w:rsid w:val="00DC2654"/>
    <w:rsid w:val="00DC49E0"/>
    <w:rsid w:val="00DC5780"/>
    <w:rsid w:val="00DC6283"/>
    <w:rsid w:val="00DC6571"/>
    <w:rsid w:val="00DC6D34"/>
    <w:rsid w:val="00DC740F"/>
    <w:rsid w:val="00DD1634"/>
    <w:rsid w:val="00DD179B"/>
    <w:rsid w:val="00DD3F5D"/>
    <w:rsid w:val="00DD42B1"/>
    <w:rsid w:val="00DD4384"/>
    <w:rsid w:val="00DD4733"/>
    <w:rsid w:val="00DD4996"/>
    <w:rsid w:val="00DD632C"/>
    <w:rsid w:val="00DD6C7D"/>
    <w:rsid w:val="00DD7657"/>
    <w:rsid w:val="00DD7CF4"/>
    <w:rsid w:val="00DD7E6B"/>
    <w:rsid w:val="00DE04DA"/>
    <w:rsid w:val="00DE0860"/>
    <w:rsid w:val="00DE2DCA"/>
    <w:rsid w:val="00DE3578"/>
    <w:rsid w:val="00DE3F6A"/>
    <w:rsid w:val="00DE43DC"/>
    <w:rsid w:val="00DE536D"/>
    <w:rsid w:val="00DE5790"/>
    <w:rsid w:val="00DE5A2B"/>
    <w:rsid w:val="00DE5D2B"/>
    <w:rsid w:val="00DE5ECD"/>
    <w:rsid w:val="00DE64D8"/>
    <w:rsid w:val="00DE6D88"/>
    <w:rsid w:val="00DE6F4C"/>
    <w:rsid w:val="00DE7599"/>
    <w:rsid w:val="00DF218D"/>
    <w:rsid w:val="00DF2208"/>
    <w:rsid w:val="00DF328F"/>
    <w:rsid w:val="00DF4245"/>
    <w:rsid w:val="00DF47FF"/>
    <w:rsid w:val="00DF6E0C"/>
    <w:rsid w:val="00E00E6D"/>
    <w:rsid w:val="00E010A8"/>
    <w:rsid w:val="00E011DA"/>
    <w:rsid w:val="00E0257A"/>
    <w:rsid w:val="00E02898"/>
    <w:rsid w:val="00E02F0B"/>
    <w:rsid w:val="00E042A8"/>
    <w:rsid w:val="00E0478A"/>
    <w:rsid w:val="00E05829"/>
    <w:rsid w:val="00E075C4"/>
    <w:rsid w:val="00E077D4"/>
    <w:rsid w:val="00E078F3"/>
    <w:rsid w:val="00E07D88"/>
    <w:rsid w:val="00E118DF"/>
    <w:rsid w:val="00E13F65"/>
    <w:rsid w:val="00E14A2D"/>
    <w:rsid w:val="00E15E67"/>
    <w:rsid w:val="00E1642C"/>
    <w:rsid w:val="00E23A51"/>
    <w:rsid w:val="00E2408F"/>
    <w:rsid w:val="00E242A9"/>
    <w:rsid w:val="00E25225"/>
    <w:rsid w:val="00E271D3"/>
    <w:rsid w:val="00E30099"/>
    <w:rsid w:val="00E300BC"/>
    <w:rsid w:val="00E31A22"/>
    <w:rsid w:val="00E34F78"/>
    <w:rsid w:val="00E36A8B"/>
    <w:rsid w:val="00E3717E"/>
    <w:rsid w:val="00E416C8"/>
    <w:rsid w:val="00E418A9"/>
    <w:rsid w:val="00E43176"/>
    <w:rsid w:val="00E43360"/>
    <w:rsid w:val="00E4339F"/>
    <w:rsid w:val="00E43B2F"/>
    <w:rsid w:val="00E447F2"/>
    <w:rsid w:val="00E44CC2"/>
    <w:rsid w:val="00E453A8"/>
    <w:rsid w:val="00E45B6D"/>
    <w:rsid w:val="00E47780"/>
    <w:rsid w:val="00E47C20"/>
    <w:rsid w:val="00E47E80"/>
    <w:rsid w:val="00E50BB3"/>
    <w:rsid w:val="00E518F9"/>
    <w:rsid w:val="00E52477"/>
    <w:rsid w:val="00E536B4"/>
    <w:rsid w:val="00E55583"/>
    <w:rsid w:val="00E55B47"/>
    <w:rsid w:val="00E55E28"/>
    <w:rsid w:val="00E569C9"/>
    <w:rsid w:val="00E605C5"/>
    <w:rsid w:val="00E60DF6"/>
    <w:rsid w:val="00E6199D"/>
    <w:rsid w:val="00E62584"/>
    <w:rsid w:val="00E6263C"/>
    <w:rsid w:val="00E62940"/>
    <w:rsid w:val="00E62B3D"/>
    <w:rsid w:val="00E6525C"/>
    <w:rsid w:val="00E66472"/>
    <w:rsid w:val="00E665F7"/>
    <w:rsid w:val="00E6743E"/>
    <w:rsid w:val="00E67E0E"/>
    <w:rsid w:val="00E70506"/>
    <w:rsid w:val="00E71837"/>
    <w:rsid w:val="00E71C2D"/>
    <w:rsid w:val="00E723B3"/>
    <w:rsid w:val="00E73050"/>
    <w:rsid w:val="00E73433"/>
    <w:rsid w:val="00E734F4"/>
    <w:rsid w:val="00E77B63"/>
    <w:rsid w:val="00E805D3"/>
    <w:rsid w:val="00E81CD8"/>
    <w:rsid w:val="00E81EB9"/>
    <w:rsid w:val="00E83962"/>
    <w:rsid w:val="00E83E95"/>
    <w:rsid w:val="00E83F6F"/>
    <w:rsid w:val="00E843B1"/>
    <w:rsid w:val="00E84BF9"/>
    <w:rsid w:val="00E85109"/>
    <w:rsid w:val="00E8749F"/>
    <w:rsid w:val="00E87AB0"/>
    <w:rsid w:val="00E908E7"/>
    <w:rsid w:val="00E90B37"/>
    <w:rsid w:val="00E9102B"/>
    <w:rsid w:val="00E928C3"/>
    <w:rsid w:val="00E92FD2"/>
    <w:rsid w:val="00E93CCA"/>
    <w:rsid w:val="00E94A55"/>
    <w:rsid w:val="00E95C72"/>
    <w:rsid w:val="00E95E41"/>
    <w:rsid w:val="00E964A5"/>
    <w:rsid w:val="00E96791"/>
    <w:rsid w:val="00E976AC"/>
    <w:rsid w:val="00E97AFD"/>
    <w:rsid w:val="00EA0BAC"/>
    <w:rsid w:val="00EA13E8"/>
    <w:rsid w:val="00EA14C3"/>
    <w:rsid w:val="00EA19EA"/>
    <w:rsid w:val="00EA253B"/>
    <w:rsid w:val="00EA2658"/>
    <w:rsid w:val="00EA458B"/>
    <w:rsid w:val="00EA64A5"/>
    <w:rsid w:val="00EA7065"/>
    <w:rsid w:val="00EA7E42"/>
    <w:rsid w:val="00EB08CF"/>
    <w:rsid w:val="00EB2528"/>
    <w:rsid w:val="00EB2D62"/>
    <w:rsid w:val="00EB3581"/>
    <w:rsid w:val="00EB42FA"/>
    <w:rsid w:val="00EB43C7"/>
    <w:rsid w:val="00EB4F5A"/>
    <w:rsid w:val="00EB61F2"/>
    <w:rsid w:val="00EB6D20"/>
    <w:rsid w:val="00EB6F41"/>
    <w:rsid w:val="00EC0A73"/>
    <w:rsid w:val="00EC17F1"/>
    <w:rsid w:val="00EC3A5B"/>
    <w:rsid w:val="00EC48C3"/>
    <w:rsid w:val="00EC54DF"/>
    <w:rsid w:val="00EC63C0"/>
    <w:rsid w:val="00EC6CA8"/>
    <w:rsid w:val="00EC7CE7"/>
    <w:rsid w:val="00ED0501"/>
    <w:rsid w:val="00ED189E"/>
    <w:rsid w:val="00ED209E"/>
    <w:rsid w:val="00ED2313"/>
    <w:rsid w:val="00ED384C"/>
    <w:rsid w:val="00ED3CDE"/>
    <w:rsid w:val="00ED430F"/>
    <w:rsid w:val="00ED5607"/>
    <w:rsid w:val="00ED5A07"/>
    <w:rsid w:val="00ED5DCD"/>
    <w:rsid w:val="00ED6A31"/>
    <w:rsid w:val="00ED705F"/>
    <w:rsid w:val="00ED7224"/>
    <w:rsid w:val="00EE147A"/>
    <w:rsid w:val="00EE207C"/>
    <w:rsid w:val="00EE219E"/>
    <w:rsid w:val="00EE2517"/>
    <w:rsid w:val="00EE2BF7"/>
    <w:rsid w:val="00EE2ED7"/>
    <w:rsid w:val="00EE44E6"/>
    <w:rsid w:val="00EE45AB"/>
    <w:rsid w:val="00EE5622"/>
    <w:rsid w:val="00EE5AED"/>
    <w:rsid w:val="00EE6663"/>
    <w:rsid w:val="00EE6F8E"/>
    <w:rsid w:val="00EE7106"/>
    <w:rsid w:val="00EE74AB"/>
    <w:rsid w:val="00EE7555"/>
    <w:rsid w:val="00EF020A"/>
    <w:rsid w:val="00EF1C65"/>
    <w:rsid w:val="00EF1DF6"/>
    <w:rsid w:val="00EF2F5C"/>
    <w:rsid w:val="00EF48E9"/>
    <w:rsid w:val="00EF5BC2"/>
    <w:rsid w:val="00F01137"/>
    <w:rsid w:val="00F01F84"/>
    <w:rsid w:val="00F02C2E"/>
    <w:rsid w:val="00F02FB0"/>
    <w:rsid w:val="00F030C8"/>
    <w:rsid w:val="00F040D3"/>
    <w:rsid w:val="00F04671"/>
    <w:rsid w:val="00F05B7A"/>
    <w:rsid w:val="00F07F43"/>
    <w:rsid w:val="00F11D0C"/>
    <w:rsid w:val="00F11E16"/>
    <w:rsid w:val="00F129B2"/>
    <w:rsid w:val="00F132FF"/>
    <w:rsid w:val="00F137E0"/>
    <w:rsid w:val="00F13C4C"/>
    <w:rsid w:val="00F145B1"/>
    <w:rsid w:val="00F14F2A"/>
    <w:rsid w:val="00F16676"/>
    <w:rsid w:val="00F1724A"/>
    <w:rsid w:val="00F2112B"/>
    <w:rsid w:val="00F211B7"/>
    <w:rsid w:val="00F22885"/>
    <w:rsid w:val="00F27835"/>
    <w:rsid w:val="00F27A13"/>
    <w:rsid w:val="00F3115F"/>
    <w:rsid w:val="00F315EC"/>
    <w:rsid w:val="00F3356A"/>
    <w:rsid w:val="00F35662"/>
    <w:rsid w:val="00F36401"/>
    <w:rsid w:val="00F36E25"/>
    <w:rsid w:val="00F37063"/>
    <w:rsid w:val="00F3761E"/>
    <w:rsid w:val="00F3778C"/>
    <w:rsid w:val="00F4229F"/>
    <w:rsid w:val="00F42469"/>
    <w:rsid w:val="00F42DA3"/>
    <w:rsid w:val="00F4313F"/>
    <w:rsid w:val="00F473FD"/>
    <w:rsid w:val="00F4756C"/>
    <w:rsid w:val="00F50130"/>
    <w:rsid w:val="00F50988"/>
    <w:rsid w:val="00F52022"/>
    <w:rsid w:val="00F52292"/>
    <w:rsid w:val="00F52994"/>
    <w:rsid w:val="00F53C14"/>
    <w:rsid w:val="00F55466"/>
    <w:rsid w:val="00F56E2E"/>
    <w:rsid w:val="00F6046A"/>
    <w:rsid w:val="00F60F03"/>
    <w:rsid w:val="00F61050"/>
    <w:rsid w:val="00F61619"/>
    <w:rsid w:val="00F61958"/>
    <w:rsid w:val="00F627DA"/>
    <w:rsid w:val="00F636AB"/>
    <w:rsid w:val="00F63F55"/>
    <w:rsid w:val="00F653E2"/>
    <w:rsid w:val="00F66109"/>
    <w:rsid w:val="00F66BD2"/>
    <w:rsid w:val="00F702DF"/>
    <w:rsid w:val="00F70C0D"/>
    <w:rsid w:val="00F71420"/>
    <w:rsid w:val="00F724A9"/>
    <w:rsid w:val="00F729BA"/>
    <w:rsid w:val="00F72B44"/>
    <w:rsid w:val="00F73CBF"/>
    <w:rsid w:val="00F74C35"/>
    <w:rsid w:val="00F76662"/>
    <w:rsid w:val="00F8022D"/>
    <w:rsid w:val="00F809E0"/>
    <w:rsid w:val="00F82A64"/>
    <w:rsid w:val="00F83291"/>
    <w:rsid w:val="00F84533"/>
    <w:rsid w:val="00F84AB5"/>
    <w:rsid w:val="00F85238"/>
    <w:rsid w:val="00F8574C"/>
    <w:rsid w:val="00F860F0"/>
    <w:rsid w:val="00F8713A"/>
    <w:rsid w:val="00F87F0F"/>
    <w:rsid w:val="00F90FED"/>
    <w:rsid w:val="00F93DFD"/>
    <w:rsid w:val="00F940CD"/>
    <w:rsid w:val="00F954A5"/>
    <w:rsid w:val="00FA01DD"/>
    <w:rsid w:val="00FA03BB"/>
    <w:rsid w:val="00FA047A"/>
    <w:rsid w:val="00FA0492"/>
    <w:rsid w:val="00FA05C6"/>
    <w:rsid w:val="00FA0A5B"/>
    <w:rsid w:val="00FA1B52"/>
    <w:rsid w:val="00FA1B72"/>
    <w:rsid w:val="00FA258B"/>
    <w:rsid w:val="00FA281D"/>
    <w:rsid w:val="00FA2ED1"/>
    <w:rsid w:val="00FA2F31"/>
    <w:rsid w:val="00FA5042"/>
    <w:rsid w:val="00FA68D6"/>
    <w:rsid w:val="00FA7118"/>
    <w:rsid w:val="00FA74AB"/>
    <w:rsid w:val="00FA74E6"/>
    <w:rsid w:val="00FA764E"/>
    <w:rsid w:val="00FB1A37"/>
    <w:rsid w:val="00FB2D97"/>
    <w:rsid w:val="00FB5D76"/>
    <w:rsid w:val="00FB7087"/>
    <w:rsid w:val="00FC143F"/>
    <w:rsid w:val="00FC2119"/>
    <w:rsid w:val="00FC2510"/>
    <w:rsid w:val="00FC2B98"/>
    <w:rsid w:val="00FC4F03"/>
    <w:rsid w:val="00FC5123"/>
    <w:rsid w:val="00FC63A9"/>
    <w:rsid w:val="00FC7387"/>
    <w:rsid w:val="00FC7CE0"/>
    <w:rsid w:val="00FC7E96"/>
    <w:rsid w:val="00FD00B2"/>
    <w:rsid w:val="00FD0214"/>
    <w:rsid w:val="00FD0530"/>
    <w:rsid w:val="00FD0540"/>
    <w:rsid w:val="00FD06CA"/>
    <w:rsid w:val="00FD0D72"/>
    <w:rsid w:val="00FD334F"/>
    <w:rsid w:val="00FD6A26"/>
    <w:rsid w:val="00FD7109"/>
    <w:rsid w:val="00FD7A57"/>
    <w:rsid w:val="00FD7EAB"/>
    <w:rsid w:val="00FE0564"/>
    <w:rsid w:val="00FE0C03"/>
    <w:rsid w:val="00FE11D3"/>
    <w:rsid w:val="00FE172E"/>
    <w:rsid w:val="00FE1FCF"/>
    <w:rsid w:val="00FE476D"/>
    <w:rsid w:val="00FE47DC"/>
    <w:rsid w:val="00FE5BDF"/>
    <w:rsid w:val="00FE625A"/>
    <w:rsid w:val="00FE638B"/>
    <w:rsid w:val="00FF0A5A"/>
    <w:rsid w:val="00FF1128"/>
    <w:rsid w:val="00FF25AC"/>
    <w:rsid w:val="00FF4711"/>
    <w:rsid w:val="00FF67A6"/>
    <w:rsid w:val="00FF6B48"/>
    <w:rsid w:val="00FF78AF"/>
    <w:rsid w:val="00FF7BF0"/>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6AFA28F"/>
  <w15:docId w15:val="{3A4F4F11-2A71-4420-885F-FC7C337C1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AU" w:eastAsia="en-US" w:bidi="ar-SA"/>
      </w:rPr>
    </w:rPrDefault>
    <w:pPrDefault>
      <w:pPr>
        <w:spacing w:after="200"/>
      </w:pPr>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9"/>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4"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nhideWhenUsed="1"/>
    <w:lsdException w:name="List" w:semiHidden="1" w:unhideWhenUsed="1"/>
    <w:lsdException w:name="List Bullet" w:semiHidden="1" w:uiPriority="2" w:unhideWhenUsed="1"/>
    <w:lsdException w:name="List Number" w:uiPriority="73"/>
    <w:lsdException w:name="List 2" w:semiHidden="1" w:unhideWhenUsed="1"/>
    <w:lsdException w:name="List 3" w:semiHidden="1" w:unhideWhenUsed="1"/>
    <w:lsdException w:name="List 4" w:semiHidden="1"/>
    <w:lsdException w:name="List 5" w:semiHidden="1"/>
    <w:lsdException w:name="List Bullet 2" w:semiHidden="1" w:uiPriority="2" w:unhideWhenUsed="1"/>
    <w:lsdException w:name="List Bullet 3" w:semiHidden="1" w:uiPriority="2"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lsdException w:name="Salutation"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1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4A6AD2"/>
  </w:style>
  <w:style w:type="paragraph" w:styleId="Heading1">
    <w:name w:val="heading 1"/>
    <w:basedOn w:val="BodyText"/>
    <w:next w:val="BodyText"/>
    <w:link w:val="Heading1Char"/>
    <w:uiPriority w:val="1"/>
    <w:qFormat/>
    <w:rsid w:val="00544F37"/>
    <w:pPr>
      <w:keepNext/>
      <w:numPr>
        <w:numId w:val="11"/>
      </w:numPr>
      <w:spacing w:before="600" w:after="240"/>
      <w:outlineLvl w:val="0"/>
    </w:pPr>
    <w:rPr>
      <w:b/>
      <w:sz w:val="36"/>
      <w:szCs w:val="40"/>
    </w:rPr>
  </w:style>
  <w:style w:type="paragraph" w:styleId="Heading2">
    <w:name w:val="heading 2"/>
    <w:basedOn w:val="Heading1"/>
    <w:next w:val="BodyText"/>
    <w:link w:val="Heading2Char"/>
    <w:uiPriority w:val="1"/>
    <w:qFormat/>
    <w:rsid w:val="00544F37"/>
    <w:pPr>
      <w:numPr>
        <w:ilvl w:val="1"/>
      </w:numPr>
      <w:spacing w:before="240"/>
      <w:outlineLvl w:val="1"/>
    </w:pPr>
    <w:rPr>
      <w:sz w:val="32"/>
      <w:szCs w:val="36"/>
    </w:rPr>
  </w:style>
  <w:style w:type="paragraph" w:styleId="Heading3">
    <w:name w:val="heading 3"/>
    <w:basedOn w:val="Heading2"/>
    <w:next w:val="BodyText"/>
    <w:link w:val="Heading3Char"/>
    <w:uiPriority w:val="1"/>
    <w:qFormat/>
    <w:rsid w:val="00544F37"/>
    <w:pPr>
      <w:numPr>
        <w:ilvl w:val="2"/>
      </w:numPr>
      <w:outlineLvl w:val="2"/>
    </w:pPr>
    <w:rPr>
      <w:sz w:val="28"/>
      <w:szCs w:val="32"/>
    </w:rPr>
  </w:style>
  <w:style w:type="paragraph" w:styleId="Heading4">
    <w:name w:val="heading 4"/>
    <w:basedOn w:val="Heading3"/>
    <w:next w:val="BodyText"/>
    <w:link w:val="Heading4Char"/>
    <w:uiPriority w:val="1"/>
    <w:qFormat/>
    <w:rsid w:val="00544F37"/>
    <w:pPr>
      <w:numPr>
        <w:ilvl w:val="3"/>
      </w:numPr>
      <w:outlineLvl w:val="3"/>
    </w:pPr>
    <w:rPr>
      <w:sz w:val="24"/>
      <w:szCs w:val="28"/>
    </w:rPr>
  </w:style>
  <w:style w:type="paragraph" w:styleId="Heading5">
    <w:name w:val="heading 5"/>
    <w:basedOn w:val="Heading4"/>
    <w:next w:val="BodyText"/>
    <w:link w:val="Heading5Char"/>
    <w:uiPriority w:val="1"/>
    <w:qFormat/>
    <w:rsid w:val="00544F37"/>
    <w:pPr>
      <w:numPr>
        <w:ilvl w:val="4"/>
      </w:numPr>
      <w:outlineLvl w:val="4"/>
    </w:pPr>
    <w:rPr>
      <w:sz w:val="22"/>
      <w:szCs w:val="24"/>
    </w:rPr>
  </w:style>
  <w:style w:type="paragraph" w:styleId="Heading6">
    <w:name w:val="heading 6"/>
    <w:basedOn w:val="Heading5"/>
    <w:next w:val="BodyText"/>
    <w:link w:val="Heading6Char"/>
    <w:uiPriority w:val="9"/>
    <w:semiHidden/>
    <w:rsid w:val="00544F37"/>
    <w:pPr>
      <w:numPr>
        <w:ilvl w:val="5"/>
      </w:numPr>
      <w:spacing w:before="200"/>
      <w:outlineLvl w:val="5"/>
    </w:pPr>
    <w:rPr>
      <w:rFonts w:asciiTheme="majorHAnsi" w:eastAsiaTheme="majorEastAsia" w:hAnsiTheme="majorHAnsi" w:cstheme="majorBidi"/>
      <w:iCs/>
      <w:sz w:val="16"/>
    </w:rPr>
  </w:style>
  <w:style w:type="paragraph" w:styleId="Heading7">
    <w:name w:val="heading 7"/>
    <w:basedOn w:val="Heading6"/>
    <w:next w:val="Normal"/>
    <w:link w:val="Heading7Char"/>
    <w:uiPriority w:val="9"/>
    <w:semiHidden/>
    <w:rsid w:val="00F1724A"/>
    <w:pPr>
      <w:numPr>
        <w:ilvl w:val="0"/>
        <w:numId w:val="0"/>
      </w:numPr>
      <w:outlineLvl w:val="6"/>
    </w:pPr>
    <w:rPr>
      <w:i/>
      <w:iCs w:val="0"/>
      <w:color w:val="404040" w:themeColor="text1" w:themeTint="BF"/>
    </w:rPr>
  </w:style>
  <w:style w:type="paragraph" w:styleId="Heading8">
    <w:name w:val="heading 8"/>
    <w:basedOn w:val="Heading7"/>
    <w:next w:val="Normal"/>
    <w:link w:val="Heading8Char"/>
    <w:uiPriority w:val="9"/>
    <w:semiHidden/>
    <w:rsid w:val="00F1724A"/>
    <w:pPr>
      <w:numPr>
        <w:ilvl w:val="7"/>
      </w:numPr>
      <w:outlineLvl w:val="7"/>
    </w:pPr>
    <w:rPr>
      <w:color w:val="97ABB6" w:themeColor="accent1"/>
    </w:rPr>
  </w:style>
  <w:style w:type="paragraph" w:styleId="Heading9">
    <w:name w:val="heading 9"/>
    <w:basedOn w:val="Heading8"/>
    <w:next w:val="Normal"/>
    <w:link w:val="Heading9Char"/>
    <w:uiPriority w:val="9"/>
    <w:semiHidden/>
    <w:rsid w:val="00F1724A"/>
    <w:pPr>
      <w:numPr>
        <w:ilvl w:val="8"/>
      </w:numPr>
      <w:outlineLvl w:val="8"/>
    </w:pPr>
    <w:rPr>
      <w:i w:val="0"/>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Copy">
    <w:name w:val="Body Copy"/>
    <w:link w:val="BodyCopyChar"/>
    <w:semiHidden/>
    <w:rsid w:val="00D635E6"/>
    <w:pPr>
      <w:suppressAutoHyphens/>
      <w:autoSpaceDE w:val="0"/>
      <w:autoSpaceDN w:val="0"/>
      <w:adjustRightInd w:val="0"/>
      <w:spacing w:before="77" w:after="113" w:line="250" w:lineRule="atLeast"/>
      <w:textAlignment w:val="center"/>
    </w:pPr>
    <w:rPr>
      <w:rFonts w:ascii="Arial" w:hAnsi="Arial" w:cs="Arial (TT)"/>
      <w:color w:val="000000"/>
    </w:rPr>
  </w:style>
  <w:style w:type="character" w:customStyle="1" w:styleId="BodyCopyChar">
    <w:name w:val="Body Copy Char"/>
    <w:basedOn w:val="DefaultParagraphFont"/>
    <w:link w:val="BodyCopy"/>
    <w:semiHidden/>
    <w:rsid w:val="00F50988"/>
    <w:rPr>
      <w:rFonts w:ascii="Arial" w:hAnsi="Arial" w:cs="Arial (TT)"/>
      <w:color w:val="000000"/>
    </w:rPr>
  </w:style>
  <w:style w:type="paragraph" w:styleId="Header">
    <w:name w:val="header"/>
    <w:basedOn w:val="BodyText"/>
    <w:semiHidden/>
    <w:rsid w:val="00880A11"/>
    <w:pPr>
      <w:spacing w:before="100" w:beforeAutospacing="1" w:after="100" w:afterAutospacing="1"/>
    </w:pPr>
    <w:rPr>
      <w:rFonts w:ascii="Arial" w:hAnsi="Arial" w:cs="Arial"/>
      <w:color w:val="000000"/>
      <w:sz w:val="18"/>
      <w:szCs w:val="28"/>
    </w:rPr>
  </w:style>
  <w:style w:type="paragraph" w:styleId="Footer">
    <w:name w:val="footer"/>
    <w:link w:val="FooterChar"/>
    <w:uiPriority w:val="99"/>
    <w:semiHidden/>
    <w:rsid w:val="00C8184D"/>
    <w:pPr>
      <w:tabs>
        <w:tab w:val="right" w:pos="9184"/>
      </w:tabs>
      <w:spacing w:after="0" w:line="240" w:lineRule="atLeast"/>
    </w:pPr>
    <w:rPr>
      <w:rFonts w:ascii="Arial" w:hAnsi="Arial" w:cs="Arial"/>
      <w:sz w:val="18"/>
      <w:szCs w:val="16"/>
    </w:rPr>
  </w:style>
  <w:style w:type="character" w:customStyle="1" w:styleId="FooterChar">
    <w:name w:val="Footer Char"/>
    <w:basedOn w:val="DefaultParagraphFont"/>
    <w:link w:val="Footer"/>
    <w:uiPriority w:val="99"/>
    <w:semiHidden/>
    <w:rsid w:val="00C8184D"/>
    <w:rPr>
      <w:rFonts w:ascii="Arial" w:hAnsi="Arial" w:cs="Arial"/>
      <w:sz w:val="18"/>
      <w:szCs w:val="16"/>
    </w:rPr>
  </w:style>
  <w:style w:type="paragraph" w:customStyle="1" w:styleId="Address">
    <w:name w:val="Address"/>
    <w:link w:val="AddressChar"/>
    <w:semiHidden/>
    <w:rsid w:val="00557BCF"/>
    <w:pPr>
      <w:spacing w:line="210" w:lineRule="exact"/>
    </w:pPr>
    <w:rPr>
      <w:rFonts w:ascii="Arial" w:hAnsi="Arial" w:cs="Arial"/>
      <w:sz w:val="18"/>
      <w:szCs w:val="18"/>
    </w:rPr>
  </w:style>
  <w:style w:type="character" w:customStyle="1" w:styleId="AddressChar">
    <w:name w:val="Address Char"/>
    <w:basedOn w:val="DefaultParagraphFont"/>
    <w:link w:val="Address"/>
    <w:semiHidden/>
    <w:rsid w:val="00F50988"/>
    <w:rPr>
      <w:rFonts w:ascii="Arial" w:hAnsi="Arial" w:cs="Arial"/>
      <w:sz w:val="18"/>
      <w:szCs w:val="18"/>
    </w:rPr>
  </w:style>
  <w:style w:type="paragraph" w:customStyle="1" w:styleId="Company">
    <w:name w:val="Company"/>
    <w:link w:val="CompanyChar"/>
    <w:semiHidden/>
    <w:rsid w:val="00557BCF"/>
    <w:rPr>
      <w:rFonts w:ascii="Arial" w:hAnsi="Arial" w:cs="Arial"/>
      <w:b/>
      <w:sz w:val="18"/>
      <w:szCs w:val="18"/>
    </w:rPr>
  </w:style>
  <w:style w:type="character" w:customStyle="1" w:styleId="CompanyChar">
    <w:name w:val="Company Char"/>
    <w:basedOn w:val="AddressChar"/>
    <w:link w:val="Company"/>
    <w:semiHidden/>
    <w:rsid w:val="00F50988"/>
    <w:rPr>
      <w:rFonts w:ascii="Arial" w:hAnsi="Arial" w:cs="Arial"/>
      <w:b/>
      <w:sz w:val="18"/>
      <w:szCs w:val="18"/>
    </w:rPr>
  </w:style>
  <w:style w:type="paragraph" w:customStyle="1" w:styleId="Name">
    <w:name w:val="Name"/>
    <w:semiHidden/>
    <w:rsid w:val="00557BCF"/>
    <w:pPr>
      <w:spacing w:line="240" w:lineRule="exact"/>
    </w:pPr>
    <w:rPr>
      <w:rFonts w:ascii="Arial" w:hAnsi="Arial" w:cs="Arial"/>
      <w:b/>
      <w:sz w:val="18"/>
      <w:szCs w:val="18"/>
    </w:rPr>
  </w:style>
  <w:style w:type="character" w:styleId="PageNumber">
    <w:name w:val="page number"/>
    <w:basedOn w:val="DefaultParagraphFont"/>
    <w:semiHidden/>
    <w:rsid w:val="00557BCF"/>
    <w:rPr>
      <w:rFonts w:ascii="Arial" w:hAnsi="Arial"/>
      <w:sz w:val="18"/>
    </w:rPr>
  </w:style>
  <w:style w:type="paragraph" w:customStyle="1" w:styleId="FeatureText">
    <w:name w:val="Feature Text"/>
    <w:semiHidden/>
    <w:rsid w:val="00557BCF"/>
    <w:pPr>
      <w:spacing w:line="600" w:lineRule="exact"/>
    </w:pPr>
    <w:rPr>
      <w:rFonts w:ascii="Arial" w:hAnsi="Arial"/>
      <w:color w:val="000000"/>
      <w:sz w:val="48"/>
      <w:szCs w:val="48"/>
    </w:rPr>
  </w:style>
  <w:style w:type="paragraph" w:customStyle="1" w:styleId="AppendixHead">
    <w:name w:val="Appendix Head"/>
    <w:uiPriority w:val="99"/>
    <w:semiHidden/>
    <w:rsid w:val="0026741D"/>
    <w:pPr>
      <w:pageBreakBefore/>
      <w:spacing w:before="5387"/>
      <w:jc w:val="right"/>
    </w:pPr>
    <w:rPr>
      <w:rFonts w:ascii="Arial" w:hAnsi="Arial"/>
      <w:color w:val="000000"/>
      <w:sz w:val="48"/>
      <w:szCs w:val="48"/>
    </w:rPr>
  </w:style>
  <w:style w:type="paragraph" w:customStyle="1" w:styleId="ReportInfo">
    <w:name w:val="Report Info"/>
    <w:semiHidden/>
    <w:rsid w:val="00557BCF"/>
    <w:pPr>
      <w:spacing w:before="227" w:line="230" w:lineRule="exact"/>
    </w:pPr>
    <w:rPr>
      <w:rFonts w:ascii="Arial" w:hAnsi="Arial"/>
      <w:sz w:val="24"/>
      <w:szCs w:val="24"/>
    </w:rPr>
  </w:style>
  <w:style w:type="paragraph" w:customStyle="1" w:styleId="AppendixTitle">
    <w:name w:val="Appendix Title"/>
    <w:uiPriority w:val="99"/>
    <w:semiHidden/>
    <w:rsid w:val="0026741D"/>
    <w:pPr>
      <w:spacing w:before="227"/>
      <w:ind w:left="181" w:hanging="181"/>
      <w:jc w:val="right"/>
    </w:pPr>
    <w:rPr>
      <w:rFonts w:ascii="Arial" w:hAnsi="Arial"/>
      <w:b/>
      <w:sz w:val="24"/>
      <w:szCs w:val="24"/>
    </w:rPr>
  </w:style>
  <w:style w:type="table" w:styleId="MediumShading1">
    <w:name w:val="Medium Shading 1"/>
    <w:basedOn w:val="TableNormal"/>
    <w:uiPriority w:val="63"/>
    <w:rsid w:val="00D76D1D"/>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BodyBullets">
    <w:name w:val="Body Bullets"/>
    <w:semiHidden/>
    <w:rsid w:val="003F2E4D"/>
    <w:pPr>
      <w:numPr>
        <w:numId w:val="1"/>
      </w:numPr>
      <w:tabs>
        <w:tab w:val="left" w:pos="284"/>
      </w:tabs>
      <w:spacing w:before="57" w:after="113" w:line="250" w:lineRule="atLeast"/>
    </w:pPr>
    <w:rPr>
      <w:rFonts w:ascii="Arial" w:hAnsi="Arial"/>
      <w:color w:val="000000"/>
    </w:rPr>
  </w:style>
  <w:style w:type="paragraph" w:customStyle="1" w:styleId="BodyBullets2">
    <w:name w:val="Body Bullets 2"/>
    <w:basedOn w:val="Normal"/>
    <w:next w:val="ListBullet"/>
    <w:semiHidden/>
    <w:rsid w:val="000D377F"/>
    <w:pPr>
      <w:tabs>
        <w:tab w:val="left" w:pos="567"/>
      </w:tabs>
      <w:ind w:left="568"/>
    </w:pPr>
  </w:style>
  <w:style w:type="paragraph" w:customStyle="1" w:styleId="BodyBullets3">
    <w:name w:val="Body Bullets 3"/>
    <w:basedOn w:val="Normal"/>
    <w:next w:val="ListBullet"/>
    <w:semiHidden/>
    <w:rsid w:val="00D635E6"/>
    <w:pPr>
      <w:tabs>
        <w:tab w:val="left" w:pos="851"/>
      </w:tabs>
      <w:ind w:left="851"/>
    </w:pPr>
  </w:style>
  <w:style w:type="character" w:styleId="Hyperlink">
    <w:name w:val="Hyperlink"/>
    <w:basedOn w:val="DefaultParagraphFont"/>
    <w:uiPriority w:val="99"/>
    <w:rsid w:val="00557BCF"/>
    <w:rPr>
      <w:color w:val="0000FF"/>
      <w:u w:val="single"/>
    </w:rPr>
  </w:style>
  <w:style w:type="paragraph" w:styleId="TableofFigures">
    <w:name w:val="table of figures"/>
    <w:basedOn w:val="Normal"/>
    <w:next w:val="Normal"/>
    <w:uiPriority w:val="99"/>
    <w:rsid w:val="008D1400"/>
    <w:pPr>
      <w:keepLines/>
      <w:tabs>
        <w:tab w:val="right" w:leader="dot" w:pos="8789"/>
      </w:tabs>
      <w:spacing w:before="120" w:after="120"/>
      <w:ind w:left="284" w:right="567" w:hanging="284"/>
      <w:jc w:val="both"/>
    </w:pPr>
  </w:style>
  <w:style w:type="paragraph" w:styleId="TOC1">
    <w:name w:val="toc 1"/>
    <w:basedOn w:val="BodyText"/>
    <w:next w:val="BodyText"/>
    <w:uiPriority w:val="39"/>
    <w:rsid w:val="00531BF8"/>
    <w:pPr>
      <w:tabs>
        <w:tab w:val="left" w:pos="425"/>
        <w:tab w:val="right" w:leader="dot" w:pos="8789"/>
      </w:tabs>
      <w:spacing w:before="120" w:after="120"/>
    </w:pPr>
    <w:rPr>
      <w:noProof/>
    </w:rPr>
  </w:style>
  <w:style w:type="paragraph" w:styleId="TOC2">
    <w:name w:val="toc 2"/>
    <w:basedOn w:val="BodyText"/>
    <w:next w:val="BodyText"/>
    <w:uiPriority w:val="39"/>
    <w:rsid w:val="00531BF8"/>
    <w:pPr>
      <w:tabs>
        <w:tab w:val="left" w:pos="992"/>
        <w:tab w:val="right" w:leader="dot" w:pos="8789"/>
      </w:tabs>
      <w:spacing w:before="120" w:after="120"/>
      <w:ind w:left="425"/>
    </w:pPr>
    <w:rPr>
      <w:szCs w:val="18"/>
    </w:rPr>
  </w:style>
  <w:style w:type="paragraph" w:styleId="TOC3">
    <w:name w:val="toc 3"/>
    <w:basedOn w:val="BodyText"/>
    <w:next w:val="BodyText"/>
    <w:uiPriority w:val="39"/>
    <w:rsid w:val="00531BF8"/>
    <w:pPr>
      <w:tabs>
        <w:tab w:val="left" w:pos="1701"/>
        <w:tab w:val="right" w:leader="dot" w:pos="8789"/>
      </w:tabs>
      <w:spacing w:before="120" w:after="120"/>
      <w:ind w:left="992"/>
    </w:pPr>
    <w:rPr>
      <w:rFonts w:ascii="Arial" w:hAnsi="Arial"/>
      <w:szCs w:val="24"/>
    </w:rPr>
  </w:style>
  <w:style w:type="paragraph" w:customStyle="1" w:styleId="Nameaddress">
    <w:name w:val="Name address"/>
    <w:semiHidden/>
    <w:rsid w:val="00557BCF"/>
    <w:rPr>
      <w:rFonts w:ascii="Arial" w:hAnsi="Arial" w:cs="Arial (TT)"/>
      <w:color w:val="000000"/>
    </w:rPr>
  </w:style>
  <w:style w:type="paragraph" w:customStyle="1" w:styleId="Re">
    <w:name w:val="Re"/>
    <w:basedOn w:val="Normal"/>
    <w:next w:val="BodyCopy"/>
    <w:uiPriority w:val="1"/>
    <w:semiHidden/>
    <w:rsid w:val="00D635E6"/>
    <w:pPr>
      <w:tabs>
        <w:tab w:val="left" w:pos="567"/>
      </w:tabs>
      <w:suppressAutoHyphens/>
      <w:autoSpaceDE w:val="0"/>
      <w:autoSpaceDN w:val="0"/>
      <w:adjustRightInd w:val="0"/>
      <w:spacing w:line="250" w:lineRule="atLeast"/>
      <w:ind w:left="567" w:hanging="567"/>
      <w:textAlignment w:val="center"/>
    </w:pPr>
    <w:rPr>
      <w:rFonts w:cs="Arial (TT)"/>
      <w:b/>
      <w:color w:val="000000"/>
    </w:rPr>
  </w:style>
  <w:style w:type="paragraph" w:customStyle="1" w:styleId="Cc">
    <w:name w:val="Cc"/>
    <w:uiPriority w:val="1"/>
    <w:semiHidden/>
    <w:rsid w:val="00D635E6"/>
    <w:pPr>
      <w:spacing w:before="57" w:after="113" w:line="230" w:lineRule="atLeast"/>
      <w:ind w:left="284" w:hanging="284"/>
    </w:pPr>
    <w:rPr>
      <w:rFonts w:ascii="Arial" w:hAnsi="Arial" w:cs="Arial (TT)"/>
      <w:color w:val="000000"/>
      <w:sz w:val="18"/>
      <w:szCs w:val="18"/>
    </w:rPr>
  </w:style>
  <w:style w:type="paragraph" w:customStyle="1" w:styleId="Attachments">
    <w:name w:val="Attachments"/>
    <w:uiPriority w:val="1"/>
    <w:semiHidden/>
    <w:rsid w:val="00D635E6"/>
    <w:pPr>
      <w:spacing w:before="57" w:after="113" w:line="230" w:lineRule="atLeast"/>
      <w:ind w:left="1276" w:hanging="1276"/>
    </w:pPr>
    <w:rPr>
      <w:rFonts w:ascii="Arial" w:hAnsi="Arial" w:cs="Arial (TT)"/>
      <w:color w:val="000000"/>
      <w:sz w:val="18"/>
      <w:szCs w:val="18"/>
    </w:rPr>
  </w:style>
  <w:style w:type="paragraph" w:customStyle="1" w:styleId="Disclaimer">
    <w:name w:val="Disclaimer"/>
    <w:semiHidden/>
    <w:rsid w:val="00557BCF"/>
    <w:pPr>
      <w:autoSpaceDE w:val="0"/>
      <w:autoSpaceDN w:val="0"/>
      <w:adjustRightInd w:val="0"/>
      <w:spacing w:before="113" w:line="180" w:lineRule="atLeast"/>
      <w:textAlignment w:val="center"/>
    </w:pPr>
    <w:rPr>
      <w:rFonts w:ascii="Arial" w:hAnsi="Arial" w:cs="Arial"/>
      <w:color w:val="000000"/>
      <w:sz w:val="14"/>
      <w:szCs w:val="14"/>
    </w:rPr>
  </w:style>
  <w:style w:type="paragraph" w:customStyle="1" w:styleId="Fax">
    <w:name w:val="Fax"/>
    <w:semiHidden/>
    <w:rsid w:val="00557BCF"/>
    <w:pPr>
      <w:spacing w:before="80" w:after="80"/>
    </w:pPr>
    <w:rPr>
      <w:rFonts w:ascii="Arial" w:hAnsi="Arial" w:cs="Arial"/>
      <w:b/>
    </w:rPr>
  </w:style>
  <w:style w:type="character" w:customStyle="1" w:styleId="Heading2Char">
    <w:name w:val="Heading 2 Char"/>
    <w:basedOn w:val="DefaultParagraphFont"/>
    <w:link w:val="Heading2"/>
    <w:uiPriority w:val="1"/>
    <w:rsid w:val="00544F37"/>
    <w:rPr>
      <w:b/>
      <w:sz w:val="32"/>
      <w:szCs w:val="36"/>
    </w:rPr>
  </w:style>
  <w:style w:type="paragraph" w:customStyle="1" w:styleId="Info">
    <w:name w:val="Info"/>
    <w:semiHidden/>
    <w:rsid w:val="00557BCF"/>
    <w:rPr>
      <w:rFonts w:ascii="Arial" w:hAnsi="Arial" w:cs="Arial (TT)"/>
      <w:color w:val="000000"/>
      <w:sz w:val="14"/>
    </w:rPr>
  </w:style>
  <w:style w:type="paragraph" w:customStyle="1" w:styleId="Logo">
    <w:name w:val="Logo"/>
    <w:basedOn w:val="Normal"/>
    <w:semiHidden/>
    <w:rsid w:val="00174001"/>
  </w:style>
  <w:style w:type="paragraph" w:customStyle="1" w:styleId="TableContent">
    <w:name w:val="Table Content"/>
    <w:semiHidden/>
    <w:rsid w:val="00557BCF"/>
    <w:pPr>
      <w:spacing w:line="320" w:lineRule="exact"/>
    </w:pPr>
    <w:rPr>
      <w:rFonts w:ascii="Arial" w:hAnsi="Arial" w:cs="Arial"/>
      <w:b/>
    </w:rPr>
  </w:style>
  <w:style w:type="paragraph" w:customStyle="1" w:styleId="Tablesubhead">
    <w:name w:val="Table subhead"/>
    <w:semiHidden/>
    <w:rsid w:val="00557BCF"/>
    <w:pPr>
      <w:spacing w:line="320" w:lineRule="exact"/>
    </w:pPr>
    <w:rPr>
      <w:rFonts w:ascii="Arial" w:hAnsi="Arial" w:cs="Arial"/>
    </w:rPr>
  </w:style>
  <w:style w:type="paragraph" w:styleId="Date">
    <w:name w:val="Date"/>
    <w:basedOn w:val="Normal"/>
    <w:next w:val="Normal"/>
    <w:semiHidden/>
    <w:rsid w:val="003448CD"/>
    <w:pPr>
      <w:spacing w:before="1797"/>
    </w:pPr>
  </w:style>
  <w:style w:type="paragraph" w:styleId="Caption">
    <w:name w:val="caption"/>
    <w:basedOn w:val="BodyText"/>
    <w:next w:val="BodyText"/>
    <w:uiPriority w:val="4"/>
    <w:qFormat/>
    <w:rsid w:val="0056735A"/>
    <w:pPr>
      <w:spacing w:before="100" w:beforeAutospacing="1" w:after="100" w:afterAutospacing="1"/>
      <w:contextualSpacing/>
    </w:pPr>
    <w:rPr>
      <w:bCs/>
      <w:sz w:val="18"/>
      <w:szCs w:val="18"/>
    </w:rPr>
  </w:style>
  <w:style w:type="table" w:styleId="TableGrid">
    <w:name w:val="Table Grid"/>
    <w:basedOn w:val="TableNormal"/>
    <w:rsid w:val="009F1731"/>
    <w:pPr>
      <w:spacing w:before="77" w:after="113" w:line="25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282B08"/>
    <w:rPr>
      <w:rFonts w:ascii="Tahoma" w:hAnsi="Tahoma" w:cs="Tahoma"/>
      <w:sz w:val="16"/>
      <w:szCs w:val="16"/>
    </w:rPr>
  </w:style>
  <w:style w:type="character" w:customStyle="1" w:styleId="BalloonTextChar">
    <w:name w:val="Balloon Text Char"/>
    <w:basedOn w:val="DefaultParagraphFont"/>
    <w:link w:val="BalloonText"/>
    <w:semiHidden/>
    <w:rsid w:val="00F50988"/>
    <w:rPr>
      <w:rFonts w:ascii="Tahoma" w:hAnsi="Tahoma" w:cs="Tahoma"/>
      <w:sz w:val="16"/>
      <w:szCs w:val="16"/>
    </w:rPr>
  </w:style>
  <w:style w:type="numbering" w:customStyle="1" w:styleId="NewBullet">
    <w:name w:val="New Bullet"/>
    <w:uiPriority w:val="99"/>
    <w:rsid w:val="0053014B"/>
    <w:pPr>
      <w:numPr>
        <w:numId w:val="2"/>
      </w:numPr>
    </w:pPr>
  </w:style>
  <w:style w:type="paragraph" w:styleId="ListBullet">
    <w:name w:val="List Bullet"/>
    <w:basedOn w:val="BodyText"/>
    <w:uiPriority w:val="2"/>
    <w:semiHidden/>
    <w:rsid w:val="005267CA"/>
    <w:pPr>
      <w:numPr>
        <w:numId w:val="7"/>
      </w:numPr>
      <w:spacing w:before="100" w:beforeAutospacing="1" w:after="100" w:afterAutospacing="1"/>
      <w:contextualSpacing/>
    </w:pPr>
  </w:style>
  <w:style w:type="paragraph" w:styleId="ListParagraph">
    <w:name w:val="List Paragraph"/>
    <w:basedOn w:val="BodyText"/>
    <w:uiPriority w:val="34"/>
    <w:qFormat/>
    <w:rsid w:val="00DD4996"/>
    <w:pPr>
      <w:spacing w:before="100" w:beforeAutospacing="1" w:after="100" w:afterAutospacing="1"/>
      <w:ind w:left="720"/>
      <w:contextualSpacing/>
    </w:pPr>
  </w:style>
  <w:style w:type="character" w:customStyle="1" w:styleId="Heading1Char">
    <w:name w:val="Heading 1 Char"/>
    <w:basedOn w:val="DefaultParagraphFont"/>
    <w:link w:val="Heading1"/>
    <w:uiPriority w:val="1"/>
    <w:rsid w:val="00544F37"/>
    <w:rPr>
      <w:b/>
      <w:sz w:val="36"/>
      <w:szCs w:val="40"/>
    </w:rPr>
  </w:style>
  <w:style w:type="character" w:customStyle="1" w:styleId="Heading3Char">
    <w:name w:val="Heading 3 Char"/>
    <w:basedOn w:val="DefaultParagraphFont"/>
    <w:link w:val="Heading3"/>
    <w:uiPriority w:val="1"/>
    <w:rsid w:val="00544F37"/>
    <w:rPr>
      <w:b/>
      <w:sz w:val="28"/>
      <w:szCs w:val="32"/>
    </w:rPr>
  </w:style>
  <w:style w:type="character" w:customStyle="1" w:styleId="Heading4Char">
    <w:name w:val="Heading 4 Char"/>
    <w:basedOn w:val="DefaultParagraphFont"/>
    <w:link w:val="Heading4"/>
    <w:uiPriority w:val="1"/>
    <w:rsid w:val="00544F37"/>
    <w:rPr>
      <w:b/>
      <w:sz w:val="24"/>
      <w:szCs w:val="28"/>
    </w:rPr>
  </w:style>
  <w:style w:type="character" w:customStyle="1" w:styleId="Heading5Char">
    <w:name w:val="Heading 5 Char"/>
    <w:basedOn w:val="DefaultParagraphFont"/>
    <w:link w:val="Heading5"/>
    <w:uiPriority w:val="1"/>
    <w:rsid w:val="00544F37"/>
    <w:rPr>
      <w:b/>
      <w:sz w:val="22"/>
      <w:szCs w:val="24"/>
    </w:rPr>
  </w:style>
  <w:style w:type="character" w:customStyle="1" w:styleId="Heading6Char">
    <w:name w:val="Heading 6 Char"/>
    <w:basedOn w:val="DefaultParagraphFont"/>
    <w:link w:val="Heading6"/>
    <w:uiPriority w:val="9"/>
    <w:semiHidden/>
    <w:rsid w:val="00544F37"/>
    <w:rPr>
      <w:rFonts w:asciiTheme="majorHAnsi" w:eastAsiaTheme="majorEastAsia" w:hAnsiTheme="majorHAnsi" w:cstheme="majorBidi"/>
      <w:b/>
      <w:iCs/>
      <w:sz w:val="16"/>
      <w:szCs w:val="24"/>
    </w:rPr>
  </w:style>
  <w:style w:type="character" w:customStyle="1" w:styleId="Heading7Char">
    <w:name w:val="Heading 7 Char"/>
    <w:basedOn w:val="DefaultParagraphFont"/>
    <w:link w:val="Heading7"/>
    <w:uiPriority w:val="9"/>
    <w:semiHidden/>
    <w:rsid w:val="00F50988"/>
    <w:rPr>
      <w:rFonts w:asciiTheme="majorHAnsi" w:eastAsiaTheme="majorEastAsia" w:hAnsiTheme="majorHAnsi" w:cstheme="majorBidi"/>
      <w:b/>
      <w:i/>
      <w:color w:val="404040" w:themeColor="text1" w:themeTint="BF"/>
      <w:sz w:val="16"/>
      <w:szCs w:val="24"/>
    </w:rPr>
  </w:style>
  <w:style w:type="character" w:customStyle="1" w:styleId="Heading8Char">
    <w:name w:val="Heading 8 Char"/>
    <w:basedOn w:val="DefaultParagraphFont"/>
    <w:link w:val="Heading8"/>
    <w:uiPriority w:val="9"/>
    <w:semiHidden/>
    <w:rsid w:val="00F50988"/>
    <w:rPr>
      <w:rFonts w:asciiTheme="majorHAnsi" w:eastAsiaTheme="majorEastAsia" w:hAnsiTheme="majorHAnsi" w:cstheme="majorBidi"/>
      <w:b/>
      <w:i/>
      <w:color w:val="97ABB6" w:themeColor="accent1"/>
      <w:sz w:val="16"/>
      <w:szCs w:val="24"/>
    </w:rPr>
  </w:style>
  <w:style w:type="character" w:customStyle="1" w:styleId="Heading9Char">
    <w:name w:val="Heading 9 Char"/>
    <w:basedOn w:val="DefaultParagraphFont"/>
    <w:link w:val="Heading9"/>
    <w:uiPriority w:val="9"/>
    <w:semiHidden/>
    <w:rsid w:val="00F50988"/>
    <w:rPr>
      <w:rFonts w:asciiTheme="majorHAnsi" w:eastAsiaTheme="majorEastAsia" w:hAnsiTheme="majorHAnsi" w:cstheme="majorBidi"/>
      <w:b/>
      <w:iCs/>
      <w:color w:val="404040" w:themeColor="text1" w:themeTint="BF"/>
      <w:sz w:val="16"/>
      <w:szCs w:val="24"/>
    </w:rPr>
  </w:style>
  <w:style w:type="paragraph" w:styleId="Title">
    <w:name w:val="Title"/>
    <w:basedOn w:val="Subtitle"/>
    <w:link w:val="TitleChar"/>
    <w:uiPriority w:val="5"/>
    <w:rsid w:val="00FD334F"/>
    <w:rPr>
      <w:color w:val="auto"/>
    </w:rPr>
  </w:style>
  <w:style w:type="character" w:customStyle="1" w:styleId="TitleChar">
    <w:name w:val="Title Char"/>
    <w:basedOn w:val="DefaultParagraphFont"/>
    <w:link w:val="Title"/>
    <w:uiPriority w:val="5"/>
    <w:rsid w:val="00FD334F"/>
    <w:rPr>
      <w:rFonts w:ascii="Arial" w:hAnsi="Arial" w:cs="Times New Roman"/>
      <w:b/>
      <w:sz w:val="28"/>
      <w:szCs w:val="36"/>
    </w:rPr>
  </w:style>
  <w:style w:type="paragraph" w:styleId="Subtitle">
    <w:name w:val="Subtitle"/>
    <w:basedOn w:val="Normal"/>
    <w:link w:val="SubtitleChar"/>
    <w:uiPriority w:val="5"/>
    <w:rsid w:val="00261F6F"/>
    <w:pPr>
      <w:spacing w:after="0" w:line="240" w:lineRule="atLeast"/>
    </w:pPr>
    <w:rPr>
      <w:rFonts w:ascii="Arial" w:hAnsi="Arial" w:cs="Times New Roman"/>
      <w:b/>
      <w:color w:val="97ABB6" w:themeColor="accent1"/>
      <w:sz w:val="28"/>
      <w:szCs w:val="36"/>
    </w:rPr>
  </w:style>
  <w:style w:type="character" w:customStyle="1" w:styleId="SubtitleChar">
    <w:name w:val="Subtitle Char"/>
    <w:basedOn w:val="DefaultParagraphFont"/>
    <w:link w:val="Subtitle"/>
    <w:uiPriority w:val="5"/>
    <w:rsid w:val="00261F6F"/>
    <w:rPr>
      <w:rFonts w:ascii="Arial" w:hAnsi="Arial" w:cs="Times New Roman"/>
      <w:b/>
      <w:color w:val="97ABB6" w:themeColor="accent1"/>
      <w:sz w:val="28"/>
      <w:szCs w:val="36"/>
    </w:rPr>
  </w:style>
  <w:style w:type="character" w:styleId="Strong">
    <w:name w:val="Strong"/>
    <w:basedOn w:val="DefaultParagraphFont"/>
    <w:uiPriority w:val="22"/>
    <w:semiHidden/>
    <w:rsid w:val="000959C0"/>
    <w:rPr>
      <w:b/>
      <w:bCs/>
    </w:rPr>
  </w:style>
  <w:style w:type="character" w:styleId="Emphasis">
    <w:name w:val="Emphasis"/>
    <w:basedOn w:val="DefaultParagraphFont"/>
    <w:uiPriority w:val="20"/>
    <w:semiHidden/>
    <w:rsid w:val="000959C0"/>
    <w:rPr>
      <w:i/>
      <w:iCs/>
    </w:rPr>
  </w:style>
  <w:style w:type="paragraph" w:styleId="NoSpacing">
    <w:name w:val="No Spacing"/>
    <w:uiPriority w:val="1"/>
    <w:semiHidden/>
    <w:rsid w:val="000959C0"/>
    <w:pPr>
      <w:spacing w:after="0"/>
    </w:pPr>
  </w:style>
  <w:style w:type="paragraph" w:styleId="Quote">
    <w:name w:val="Quote"/>
    <w:basedOn w:val="BodyText"/>
    <w:next w:val="BodyText"/>
    <w:link w:val="QuoteChar"/>
    <w:uiPriority w:val="3"/>
    <w:qFormat/>
    <w:rsid w:val="00C45C02"/>
    <w:pPr>
      <w:spacing w:before="240" w:after="240"/>
      <w:ind w:left="284" w:right="284"/>
    </w:pPr>
    <w:rPr>
      <w:i/>
      <w:iCs/>
    </w:rPr>
  </w:style>
  <w:style w:type="character" w:customStyle="1" w:styleId="QuoteChar">
    <w:name w:val="Quote Char"/>
    <w:basedOn w:val="DefaultParagraphFont"/>
    <w:link w:val="Quote"/>
    <w:uiPriority w:val="3"/>
    <w:rsid w:val="00F50988"/>
    <w:rPr>
      <w:i/>
      <w:iCs/>
      <w:szCs w:val="22"/>
    </w:rPr>
  </w:style>
  <w:style w:type="paragraph" w:styleId="IntenseQuote">
    <w:name w:val="Intense Quote"/>
    <w:basedOn w:val="Normal"/>
    <w:link w:val="IntenseQuoteChar"/>
    <w:uiPriority w:val="19"/>
    <w:rsid w:val="00DC08E4"/>
    <w:pPr>
      <w:spacing w:before="200" w:after="280"/>
      <w:ind w:left="936" w:right="936"/>
      <w:jc w:val="center"/>
    </w:pPr>
    <w:rPr>
      <w:b/>
      <w:bCs/>
      <w:i/>
      <w:iCs/>
    </w:rPr>
  </w:style>
  <w:style w:type="character" w:customStyle="1" w:styleId="IntenseQuoteChar">
    <w:name w:val="Intense Quote Char"/>
    <w:basedOn w:val="DefaultParagraphFont"/>
    <w:link w:val="IntenseQuote"/>
    <w:uiPriority w:val="19"/>
    <w:rsid w:val="00DC08E4"/>
    <w:rPr>
      <w:b/>
      <w:bCs/>
      <w:i/>
      <w:iCs/>
    </w:rPr>
  </w:style>
  <w:style w:type="character" w:styleId="SubtleEmphasis">
    <w:name w:val="Subtle Emphasis"/>
    <w:basedOn w:val="DefaultParagraphFont"/>
    <w:uiPriority w:val="19"/>
    <w:semiHidden/>
    <w:rsid w:val="000959C0"/>
    <w:rPr>
      <w:i/>
      <w:iCs/>
      <w:color w:val="808080" w:themeColor="text1" w:themeTint="7F"/>
    </w:rPr>
  </w:style>
  <w:style w:type="character" w:styleId="IntenseEmphasis">
    <w:name w:val="Intense Emphasis"/>
    <w:basedOn w:val="DefaultParagraphFont"/>
    <w:uiPriority w:val="21"/>
    <w:semiHidden/>
    <w:rsid w:val="000959C0"/>
    <w:rPr>
      <w:b/>
      <w:bCs/>
      <w:i/>
      <w:iCs/>
      <w:color w:val="97ABB6" w:themeColor="accent1"/>
    </w:rPr>
  </w:style>
  <w:style w:type="character" w:styleId="SubtleReference">
    <w:name w:val="Subtle Reference"/>
    <w:basedOn w:val="DefaultParagraphFont"/>
    <w:uiPriority w:val="31"/>
    <w:semiHidden/>
    <w:rsid w:val="000959C0"/>
    <w:rPr>
      <w:smallCaps/>
      <w:color w:val="4FAA5F" w:themeColor="accent2"/>
      <w:u w:val="single"/>
    </w:rPr>
  </w:style>
  <w:style w:type="character" w:styleId="IntenseReference">
    <w:name w:val="Intense Reference"/>
    <w:basedOn w:val="DefaultParagraphFont"/>
    <w:uiPriority w:val="32"/>
    <w:semiHidden/>
    <w:rsid w:val="000959C0"/>
    <w:rPr>
      <w:b/>
      <w:bCs/>
      <w:smallCaps/>
      <w:color w:val="4FAA5F" w:themeColor="accent2"/>
      <w:spacing w:val="5"/>
      <w:u w:val="single"/>
    </w:rPr>
  </w:style>
  <w:style w:type="character" w:styleId="BookTitle">
    <w:name w:val="Book Title"/>
    <w:basedOn w:val="DefaultParagraphFont"/>
    <w:uiPriority w:val="33"/>
    <w:semiHidden/>
    <w:rsid w:val="000959C0"/>
    <w:rPr>
      <w:b/>
      <w:bCs/>
      <w:smallCaps/>
      <w:spacing w:val="5"/>
    </w:rPr>
  </w:style>
  <w:style w:type="paragraph" w:styleId="TOCHeading">
    <w:name w:val="TOC Heading"/>
    <w:basedOn w:val="Heading1"/>
    <w:next w:val="BodyText"/>
    <w:uiPriority w:val="39"/>
    <w:semiHidden/>
    <w:qFormat/>
    <w:rsid w:val="00271359"/>
    <w:pPr>
      <w:numPr>
        <w:numId w:val="0"/>
      </w:numPr>
      <w:spacing w:before="100" w:beforeAutospacing="1" w:after="480"/>
      <w:outlineLvl w:val="9"/>
    </w:pPr>
  </w:style>
  <w:style w:type="paragraph" w:styleId="BodyText">
    <w:name w:val="Body Text"/>
    <w:basedOn w:val="Normal"/>
    <w:link w:val="BodyTextChar"/>
    <w:qFormat/>
    <w:rsid w:val="00A37AEB"/>
    <w:pPr>
      <w:spacing w:before="200"/>
    </w:pPr>
    <w:rPr>
      <w:szCs w:val="22"/>
    </w:rPr>
  </w:style>
  <w:style w:type="character" w:customStyle="1" w:styleId="BodyTextChar">
    <w:name w:val="Body Text Char"/>
    <w:basedOn w:val="DefaultParagraphFont"/>
    <w:link w:val="BodyText"/>
    <w:rsid w:val="00A37AEB"/>
    <w:rPr>
      <w:szCs w:val="22"/>
    </w:rPr>
  </w:style>
  <w:style w:type="paragraph" w:styleId="ListBullet2">
    <w:name w:val="List Bullet 2"/>
    <w:basedOn w:val="BodyText"/>
    <w:uiPriority w:val="2"/>
    <w:semiHidden/>
    <w:rsid w:val="005267CA"/>
    <w:pPr>
      <w:numPr>
        <w:ilvl w:val="1"/>
        <w:numId w:val="7"/>
      </w:numPr>
      <w:spacing w:before="100" w:beforeAutospacing="1" w:after="100" w:afterAutospacing="1"/>
      <w:contextualSpacing/>
    </w:pPr>
  </w:style>
  <w:style w:type="paragraph" w:styleId="ListBullet3">
    <w:name w:val="List Bullet 3"/>
    <w:basedOn w:val="BodyText"/>
    <w:uiPriority w:val="2"/>
    <w:semiHidden/>
    <w:rsid w:val="005267CA"/>
    <w:pPr>
      <w:numPr>
        <w:ilvl w:val="2"/>
        <w:numId w:val="7"/>
      </w:numPr>
      <w:spacing w:before="100" w:beforeAutospacing="1" w:after="100" w:afterAutospacing="1"/>
      <w:contextualSpacing/>
    </w:pPr>
  </w:style>
  <w:style w:type="paragraph" w:customStyle="1" w:styleId="TableBullet">
    <w:name w:val="Table Bullet"/>
    <w:basedOn w:val="Normal"/>
    <w:uiPriority w:val="2"/>
    <w:semiHidden/>
    <w:rsid w:val="00FA05C6"/>
    <w:pPr>
      <w:numPr>
        <w:numId w:val="3"/>
      </w:numPr>
      <w:spacing w:before="60" w:after="60"/>
    </w:pPr>
    <w:rPr>
      <w:sz w:val="18"/>
      <w:szCs w:val="14"/>
    </w:rPr>
  </w:style>
  <w:style w:type="paragraph" w:customStyle="1" w:styleId="TableHeading">
    <w:name w:val="Table Heading"/>
    <w:basedOn w:val="Normal"/>
    <w:uiPriority w:val="2"/>
    <w:semiHidden/>
    <w:rsid w:val="00FA05C6"/>
    <w:pPr>
      <w:keepNext/>
      <w:keepLines/>
      <w:spacing w:before="240" w:after="120"/>
      <w:contextualSpacing/>
    </w:pPr>
    <w:rPr>
      <w:b/>
    </w:rPr>
  </w:style>
  <w:style w:type="paragraph" w:customStyle="1" w:styleId="TableText">
    <w:name w:val="Table Text"/>
    <w:basedOn w:val="Normal"/>
    <w:uiPriority w:val="2"/>
    <w:semiHidden/>
    <w:rsid w:val="00FA05C6"/>
    <w:pPr>
      <w:spacing w:before="60" w:after="60"/>
    </w:pPr>
    <w:rPr>
      <w:sz w:val="18"/>
      <w:szCs w:val="14"/>
    </w:rPr>
  </w:style>
  <w:style w:type="paragraph" w:customStyle="1" w:styleId="BigText">
    <w:name w:val="Big Text"/>
    <w:basedOn w:val="BodyText"/>
    <w:uiPriority w:val="3"/>
    <w:semiHidden/>
    <w:rsid w:val="00FA05C6"/>
    <w:rPr>
      <w:sz w:val="24"/>
      <w:szCs w:val="28"/>
    </w:rPr>
  </w:style>
  <w:style w:type="paragraph" w:customStyle="1" w:styleId="Calloutbox">
    <w:name w:val="Call out box"/>
    <w:basedOn w:val="Normal"/>
    <w:next w:val="BodyText"/>
    <w:uiPriority w:val="3"/>
    <w:semiHidden/>
    <w:rsid w:val="00FA05C6"/>
    <w:pPr>
      <w:framePr w:w="1418" w:vSpace="284" w:wrap="around" w:vAnchor="text" w:hAnchor="page" w:x="1441" w:y="69"/>
      <w:pBdr>
        <w:top w:val="single" w:sz="4" w:space="7" w:color="000000"/>
        <w:left w:val="single" w:sz="4" w:space="7" w:color="000000"/>
        <w:bottom w:val="single" w:sz="4" w:space="7" w:color="000000"/>
        <w:right w:val="single" w:sz="4" w:space="7" w:color="000000"/>
      </w:pBdr>
      <w:shd w:val="solid" w:color="FFFFFF" w:fill="FFFFFF"/>
    </w:pPr>
    <w:rPr>
      <w:rFonts w:eastAsia="Calibri" w:cstheme="minorHAnsi"/>
      <w:b/>
      <w:i/>
    </w:rPr>
  </w:style>
  <w:style w:type="paragraph" w:customStyle="1" w:styleId="SourceText">
    <w:name w:val="Source Text"/>
    <w:basedOn w:val="Normal"/>
    <w:next w:val="BodyText"/>
    <w:uiPriority w:val="3"/>
    <w:semiHidden/>
    <w:rsid w:val="00FA05C6"/>
    <w:pPr>
      <w:spacing w:before="120" w:after="240"/>
    </w:pPr>
    <w:rPr>
      <w:sz w:val="18"/>
      <w:szCs w:val="14"/>
    </w:rPr>
  </w:style>
  <w:style w:type="paragraph" w:styleId="ListNumber">
    <w:name w:val="List Number"/>
    <w:basedOn w:val="BodyText"/>
    <w:uiPriority w:val="2"/>
    <w:semiHidden/>
    <w:rsid w:val="005267CA"/>
    <w:pPr>
      <w:numPr>
        <w:numId w:val="8"/>
      </w:numPr>
      <w:spacing w:before="100" w:beforeAutospacing="1" w:after="100" w:afterAutospacing="1"/>
      <w:contextualSpacing/>
    </w:pPr>
  </w:style>
  <w:style w:type="paragraph" w:customStyle="1" w:styleId="AppendixHeading">
    <w:name w:val="Appendix Heading"/>
    <w:basedOn w:val="BodyText"/>
    <w:next w:val="BodyText"/>
    <w:uiPriority w:val="99"/>
    <w:qFormat/>
    <w:rsid w:val="00544F37"/>
    <w:pPr>
      <w:pageBreakBefore/>
      <w:numPr>
        <w:ilvl w:val="6"/>
        <w:numId w:val="11"/>
      </w:numPr>
      <w:spacing w:before="6720" w:after="0"/>
      <w:jc w:val="right"/>
      <w:outlineLvl w:val="6"/>
    </w:pPr>
    <w:rPr>
      <w:b/>
      <w:sz w:val="36"/>
    </w:rPr>
  </w:style>
  <w:style w:type="numbering" w:customStyle="1" w:styleId="Headings">
    <w:name w:val="Headings"/>
    <w:uiPriority w:val="99"/>
    <w:rsid w:val="00544F37"/>
    <w:pPr>
      <w:numPr>
        <w:numId w:val="4"/>
      </w:numPr>
    </w:pPr>
  </w:style>
  <w:style w:type="numbering" w:customStyle="1" w:styleId="ListBullets">
    <w:name w:val="ListBullets"/>
    <w:uiPriority w:val="99"/>
    <w:rsid w:val="005267CA"/>
    <w:pPr>
      <w:numPr>
        <w:numId w:val="5"/>
      </w:numPr>
    </w:pPr>
  </w:style>
  <w:style w:type="numbering" w:customStyle="1" w:styleId="ListNumbers">
    <w:name w:val="ListNumbers"/>
    <w:uiPriority w:val="99"/>
    <w:rsid w:val="005267CA"/>
    <w:pPr>
      <w:numPr>
        <w:numId w:val="6"/>
      </w:numPr>
    </w:pPr>
  </w:style>
  <w:style w:type="table" w:customStyle="1" w:styleId="Coffey">
    <w:name w:val="Coffey"/>
    <w:basedOn w:val="TableNormal"/>
    <w:uiPriority w:val="99"/>
    <w:rsid w:val="008A45CA"/>
    <w:pPr>
      <w:spacing w:before="100" w:beforeAutospacing="1" w:after="100" w:afterAutospacing="1"/>
    </w:pPr>
    <w:rPr>
      <w:sz w:val="18"/>
    </w:rPr>
    <w:tblPr>
      <w:tblStyleRowBandSize w:val="1"/>
      <w:tblStyleColBandSize w:val="1"/>
      <w:tblBorders>
        <w:top w:val="single" w:sz="4" w:space="0" w:color="EAEEF0"/>
        <w:left w:val="single" w:sz="4" w:space="0" w:color="EAEEF0"/>
        <w:bottom w:val="single" w:sz="4" w:space="0" w:color="EAEEF0"/>
        <w:right w:val="single" w:sz="4" w:space="0" w:color="EAEEF0"/>
        <w:insideH w:val="single" w:sz="4" w:space="0" w:color="EAEEF0"/>
        <w:insideV w:val="single" w:sz="4" w:space="0" w:color="EAEEF0"/>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shd w:val="clear" w:color="auto" w:fill="97ABB6"/>
      </w:tcPr>
    </w:tblStylePr>
    <w:tblStylePr w:type="lastRow">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double" w:sz="4" w:space="0" w:color="C0CCD3" w:themeColor="accent1" w:themeTint="99"/>
          <w:insideV w:val="double" w:sz="4" w:space="0" w:color="C0CCD3" w:themeColor="accent1" w:themeTint="99"/>
          <w:tl2br w:val="nil"/>
          <w:tr2bl w:val="nil"/>
        </w:tcBorders>
        <w:shd w:val="clear" w:color="auto" w:fill="auto"/>
      </w:tcPr>
    </w:tblStylePr>
    <w:tblStylePr w:type="firstCol">
      <w:rPr>
        <w:b/>
        <w:i w:val="0"/>
        <w:color w:val="FFFFFF" w:themeColor="background1"/>
      </w:rPr>
      <w:tblPr/>
      <w:tcPr>
        <w:shd w:val="clear" w:color="auto" w:fill="97ABB6"/>
      </w:tcPr>
    </w:tblStylePr>
    <w:tblStylePr w:type="lastCo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auto"/>
      </w:tcPr>
    </w:tblStylePr>
    <w:tblStylePr w:type="band1Vert">
      <w:tblPr/>
      <w:tcPr>
        <w:shd w:val="clear" w:color="auto" w:fill="EAEEF0"/>
      </w:tcPr>
    </w:tblStylePr>
    <w:tblStylePr w:type="band2Vert">
      <w:tblPr/>
      <w:tcPr>
        <w:shd w:val="clear" w:color="auto" w:fill="EAEEF0"/>
      </w:tcPr>
    </w:tblStylePr>
    <w:tblStylePr w:type="band1Horz">
      <w:tblPr/>
      <w:tcPr>
        <w:shd w:val="clear" w:color="auto" w:fill="EAEEF0"/>
      </w:tcPr>
    </w:tblStylePr>
    <w:tblStylePr w:type="neCel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97ABB6" w:themeFill="accent1"/>
      </w:tcPr>
    </w:tblStylePr>
    <w:tblStylePr w:type="swCell">
      <w:tblPr/>
      <w:tcPr>
        <w:tcBorders>
          <w:top w:val="double" w:sz="4" w:space="0" w:color="97ABB6" w:themeColor="accent1"/>
          <w:left w:val="double" w:sz="4" w:space="0" w:color="97ABB6" w:themeColor="accent1"/>
          <w:bottom w:val="double" w:sz="4" w:space="0" w:color="97ABB6" w:themeColor="accent1"/>
          <w:right w:val="double" w:sz="4" w:space="0" w:color="97ABB6" w:themeColor="accent1"/>
          <w:insideH w:val="nil"/>
          <w:insideV w:val="nil"/>
          <w:tl2br w:val="nil"/>
          <w:tr2bl w:val="nil"/>
        </w:tcBorders>
        <w:shd w:val="clear" w:color="auto" w:fill="97ABB6" w:themeFill="accent1"/>
      </w:tcPr>
    </w:tblStylePr>
  </w:style>
  <w:style w:type="paragraph" w:styleId="ListNumber2">
    <w:name w:val="List Number 2"/>
    <w:basedOn w:val="BodyText"/>
    <w:uiPriority w:val="2"/>
    <w:semiHidden/>
    <w:rsid w:val="005267CA"/>
    <w:pPr>
      <w:numPr>
        <w:ilvl w:val="1"/>
        <w:numId w:val="8"/>
      </w:numPr>
      <w:spacing w:before="100" w:beforeAutospacing="1" w:after="100" w:afterAutospacing="1"/>
      <w:contextualSpacing/>
    </w:pPr>
  </w:style>
  <w:style w:type="paragraph" w:styleId="ListNumber3">
    <w:name w:val="List Number 3"/>
    <w:basedOn w:val="BodyText"/>
    <w:uiPriority w:val="2"/>
    <w:semiHidden/>
    <w:rsid w:val="005267CA"/>
    <w:pPr>
      <w:numPr>
        <w:ilvl w:val="2"/>
        <w:numId w:val="8"/>
      </w:numPr>
      <w:spacing w:before="100" w:beforeAutospacing="1" w:after="100" w:afterAutospacing="1"/>
      <w:contextualSpacing/>
    </w:pPr>
  </w:style>
  <w:style w:type="table" w:styleId="Table3Deffects1">
    <w:name w:val="Table 3D effects 1"/>
    <w:basedOn w:val="TableNormal"/>
    <w:rsid w:val="009D12CB"/>
    <w:tblPr>
      <w:tblStyleRowBandSize w:val="1"/>
      <w:tblStyleColBandSize w:val="1"/>
    </w:tblPr>
    <w:tcPr>
      <w:shd w:val="solid" w:color="C0C0C0" w:fill="FFFFFF"/>
    </w:tcPr>
    <w:tblStylePr w:type="firstRow">
      <w:rPr>
        <w:b/>
        <w:bCs/>
        <w:color w:val="auto"/>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BA2ED3"/>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List">
    <w:name w:val="Light List"/>
    <w:basedOn w:val="TableNormal"/>
    <w:uiPriority w:val="61"/>
    <w:rsid w:val="00554A45"/>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
    <w:name w:val="Light Shading"/>
    <w:basedOn w:val="TableNormal"/>
    <w:uiPriority w:val="60"/>
    <w:rsid w:val="0006586F"/>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Coffey-Blackborders">
    <w:name w:val="Coffey - Black borders"/>
    <w:basedOn w:val="TableNormal"/>
    <w:uiPriority w:val="99"/>
    <w:rsid w:val="00F132FF"/>
    <w:pPr>
      <w:spacing w:before="100" w:beforeAutospacing="1" w:after="100" w:afterAutospacing="1"/>
    </w:pPr>
    <w:rPr>
      <w:sz w:val="18"/>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shd w:val="clear" w:color="auto" w:fill="97ABB6"/>
      </w:tcPr>
    </w:tblStylePr>
    <w:tblStylePr w:type="lastRow">
      <w:tblPr/>
      <w:tcPr>
        <w:tcBorders>
          <w:top w:val="double" w:sz="4" w:space="0" w:color="auto"/>
          <w:left w:val="double" w:sz="4" w:space="0" w:color="auto"/>
          <w:bottom w:val="double" w:sz="4" w:space="0" w:color="auto"/>
          <w:right w:val="double" w:sz="4" w:space="0" w:color="auto"/>
          <w:insideH w:val="double" w:sz="4" w:space="0" w:color="auto"/>
          <w:insideV w:val="double" w:sz="4" w:space="0" w:color="auto"/>
          <w:tl2br w:val="nil"/>
          <w:tr2bl w:val="nil"/>
        </w:tcBorders>
        <w:shd w:val="clear" w:color="auto" w:fill="auto"/>
      </w:tcPr>
    </w:tblStylePr>
    <w:tblStylePr w:type="firstCol">
      <w:rPr>
        <w:b/>
        <w:i w:val="0"/>
        <w:color w:val="FFFFFF" w:themeColor="background1"/>
      </w:rPr>
      <w:tblPr/>
      <w:tcPr>
        <w:shd w:val="clear" w:color="auto" w:fill="97ABB6"/>
      </w:tcPr>
    </w:tblStylePr>
    <w:tblStylePr w:type="lastCol">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auto"/>
      </w:tcPr>
    </w:tblStylePr>
    <w:tblStylePr w:type="band1Vert">
      <w:tblPr/>
      <w:tcPr>
        <w:shd w:val="clear" w:color="auto" w:fill="EAEEF0"/>
      </w:tcPr>
    </w:tblStylePr>
    <w:tblStylePr w:type="band1Horz">
      <w:tblPr/>
      <w:tcPr>
        <w:shd w:val="clear" w:color="auto" w:fill="EAEEF0"/>
      </w:tcPr>
    </w:tblStylePr>
    <w:tblStylePr w:type="neCell">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97ABB6" w:themeFill="accent1"/>
      </w:tcPr>
    </w:tblStylePr>
    <w:tblStylePr w:type="swCell">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97ABB6" w:themeFill="accent1"/>
      </w:tcPr>
    </w:tblStylePr>
  </w:style>
  <w:style w:type="table" w:customStyle="1" w:styleId="CoffeyColour2Green">
    <w:name w:val="Coffey Colour 2 (Green)"/>
    <w:basedOn w:val="TableNormal"/>
    <w:uiPriority w:val="99"/>
    <w:rsid w:val="001444EE"/>
    <w:pPr>
      <w:spacing w:before="100" w:beforeAutospacing="1" w:after="100" w:afterAutospacing="1"/>
    </w:pPr>
    <w:rPr>
      <w:sz w:val="18"/>
    </w:rPr>
    <w:tblPr>
      <w:tblStyleRowBandSize w:val="1"/>
      <w:tblStyleColBandSize w:val="1"/>
      <w:tblBorders>
        <w:top w:val="single" w:sz="4" w:space="0" w:color="97ABB6"/>
        <w:left w:val="single" w:sz="4" w:space="0" w:color="97ABB6"/>
        <w:bottom w:val="single" w:sz="4" w:space="0" w:color="97ABB6"/>
        <w:right w:val="single" w:sz="4" w:space="0" w:color="97ABB6"/>
        <w:insideH w:val="single" w:sz="4" w:space="0" w:color="97ABB6"/>
        <w:insideV w:val="single" w:sz="4" w:space="0" w:color="97ABB6"/>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shd w:val="clear" w:color="auto" w:fill="4FAA5F" w:themeFill="accent2"/>
      </w:tcPr>
    </w:tblStylePr>
    <w:tblStylePr w:type="lastRow">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double" w:sz="4" w:space="0" w:color="C0CCD3" w:themeColor="accent1" w:themeTint="99"/>
          <w:insideV w:val="double" w:sz="4" w:space="0" w:color="C0CCD3" w:themeColor="accent1" w:themeTint="99"/>
          <w:tl2br w:val="nil"/>
          <w:tr2bl w:val="nil"/>
        </w:tcBorders>
        <w:shd w:val="clear" w:color="auto" w:fill="auto"/>
      </w:tcPr>
    </w:tblStylePr>
    <w:tblStylePr w:type="firstCol">
      <w:rPr>
        <w:b/>
        <w:i w:val="0"/>
        <w:color w:val="FFFFFF" w:themeColor="background1"/>
      </w:rPr>
      <w:tblPr/>
      <w:tcPr>
        <w:shd w:val="clear" w:color="auto" w:fill="4FAA5F" w:themeFill="accent2"/>
      </w:tcPr>
    </w:tblStylePr>
    <w:tblStylePr w:type="lastCo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auto"/>
      </w:tcPr>
    </w:tblStylePr>
    <w:tblStylePr w:type="band1Vert">
      <w:tblPr/>
      <w:tcPr>
        <w:shd w:val="clear" w:color="auto" w:fill="DBEEDE" w:themeFill="accent2" w:themeFillTint="33"/>
      </w:tcPr>
    </w:tblStylePr>
    <w:tblStylePr w:type="band2Vert">
      <w:tblPr/>
      <w:tcPr>
        <w:tcBorders>
          <w:top w:val="nil"/>
          <w:left w:val="nil"/>
          <w:bottom w:val="nil"/>
          <w:right w:val="nil"/>
          <w:insideH w:val="nil"/>
          <w:insideV w:val="nil"/>
          <w:tl2br w:val="nil"/>
          <w:tr2bl w:val="nil"/>
        </w:tcBorders>
        <w:shd w:val="clear" w:color="auto" w:fill="auto"/>
      </w:tcPr>
    </w:tblStylePr>
    <w:tblStylePr w:type="band1Horz">
      <w:tblPr/>
      <w:tcPr>
        <w:shd w:val="clear" w:color="auto" w:fill="DBEEDE" w:themeFill="accent2" w:themeFillTint="33"/>
      </w:tcPr>
    </w:tblStylePr>
    <w:tblStylePr w:type="neCell">
      <w:tblPr/>
      <w:tcPr>
        <w:shd w:val="clear" w:color="auto" w:fill="4FAA5F" w:themeFill="accent2"/>
      </w:tcPr>
    </w:tblStylePr>
    <w:tblStylePr w:type="swCell">
      <w:tblPr/>
      <w:tcPr>
        <w:shd w:val="clear" w:color="auto" w:fill="4FAA5F" w:themeFill="accent2"/>
      </w:tcPr>
    </w:tblStylePr>
  </w:style>
  <w:style w:type="table" w:customStyle="1" w:styleId="CoffeyColour2Green-Blackborders">
    <w:name w:val="Coffey Colour 2 (Green) - Black borders"/>
    <w:basedOn w:val="TableNormal"/>
    <w:uiPriority w:val="99"/>
    <w:rsid w:val="00A35980"/>
    <w:pPr>
      <w:spacing w:before="100" w:beforeAutospacing="1" w:after="100" w:afterAutospacing="1"/>
    </w:pPr>
    <w:rPr>
      <w:sz w:val="18"/>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shd w:val="clear" w:color="auto" w:fill="4FAA5F" w:themeFill="accent2"/>
      </w:tcPr>
    </w:tblStylePr>
    <w:tblStylePr w:type="lastRow">
      <w:tblPr/>
      <w:tcPr>
        <w:tcBorders>
          <w:top w:val="double" w:sz="4" w:space="0" w:color="auto"/>
          <w:left w:val="double" w:sz="4" w:space="0" w:color="auto"/>
          <w:bottom w:val="double" w:sz="4" w:space="0" w:color="auto"/>
          <w:right w:val="double" w:sz="4" w:space="0" w:color="auto"/>
          <w:insideH w:val="double" w:sz="4" w:space="0" w:color="auto"/>
          <w:insideV w:val="double" w:sz="4" w:space="0" w:color="auto"/>
          <w:tl2br w:val="nil"/>
          <w:tr2bl w:val="nil"/>
        </w:tcBorders>
        <w:shd w:val="clear" w:color="auto" w:fill="auto"/>
      </w:tcPr>
    </w:tblStylePr>
    <w:tblStylePr w:type="firstCol">
      <w:rPr>
        <w:b/>
        <w:i w:val="0"/>
        <w:color w:val="FFFFFF" w:themeColor="background1"/>
      </w:rPr>
      <w:tblPr/>
      <w:tcPr>
        <w:shd w:val="clear" w:color="auto" w:fill="4FAA5F" w:themeFill="accent2"/>
      </w:tcPr>
    </w:tblStylePr>
    <w:tblStylePr w:type="lastCol">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auto"/>
      </w:tcPr>
    </w:tblStylePr>
    <w:tblStylePr w:type="band1Vert">
      <w:tblPr/>
      <w:tcPr>
        <w:shd w:val="clear" w:color="auto" w:fill="DBEEDE" w:themeFill="accent2" w:themeFillTint="33"/>
      </w:tcPr>
    </w:tblStylePr>
    <w:tblStylePr w:type="band1Horz">
      <w:tblPr/>
      <w:tcPr>
        <w:shd w:val="clear" w:color="auto" w:fill="DBEEDE" w:themeFill="accent2" w:themeFillTint="33"/>
      </w:tcPr>
    </w:tblStylePr>
    <w:tblStylePr w:type="neCell">
      <w:tblPr/>
      <w:tcPr>
        <w:shd w:val="clear" w:color="auto" w:fill="4FAA5F" w:themeFill="accent2"/>
      </w:tcPr>
    </w:tblStylePr>
    <w:tblStylePr w:type="swCell">
      <w:tblPr/>
      <w:tcPr>
        <w:shd w:val="clear" w:color="auto" w:fill="4FAA5F" w:themeFill="accent2"/>
      </w:tcPr>
    </w:tblStylePr>
  </w:style>
  <w:style w:type="paragraph" w:customStyle="1" w:styleId="ContentsHeading">
    <w:name w:val="Contents Heading"/>
    <w:basedOn w:val="Normal"/>
    <w:next w:val="BodyText"/>
    <w:uiPriority w:val="99"/>
    <w:semiHidden/>
    <w:rsid w:val="00830FD0"/>
    <w:pPr>
      <w:spacing w:before="480" w:after="240" w:line="264" w:lineRule="auto"/>
      <w:contextualSpacing/>
    </w:pPr>
    <w:rPr>
      <w:rFonts w:cs="Times New Roman"/>
      <w:b/>
      <w:sz w:val="44"/>
      <w:szCs w:val="40"/>
    </w:rPr>
  </w:style>
  <w:style w:type="character" w:styleId="PlaceholderText">
    <w:name w:val="Placeholder Text"/>
    <w:basedOn w:val="DefaultParagraphFont"/>
    <w:uiPriority w:val="99"/>
    <w:semiHidden/>
    <w:rsid w:val="00E300BC"/>
    <w:rPr>
      <w:color w:val="808080"/>
    </w:rPr>
  </w:style>
  <w:style w:type="paragraph" w:customStyle="1" w:styleId="CoffeyBlankPageText">
    <w:name w:val="Coffey Blank Page Text"/>
    <w:basedOn w:val="BodyText"/>
    <w:next w:val="BodyText"/>
    <w:link w:val="CoffeyBlankPageTextChar"/>
    <w:uiPriority w:val="99"/>
    <w:qFormat/>
    <w:rsid w:val="002E4E54"/>
    <w:pPr>
      <w:keepLines/>
      <w:pageBreakBefore/>
      <w:spacing w:before="2000"/>
      <w:jc w:val="center"/>
    </w:pPr>
    <w:rPr>
      <w:color w:val="97ABB6" w:themeColor="accent1"/>
    </w:rPr>
  </w:style>
  <w:style w:type="character" w:customStyle="1" w:styleId="CoffeyBlankPageTextChar">
    <w:name w:val="Coffey Blank Page Text Char"/>
    <w:basedOn w:val="BodyTextChar"/>
    <w:link w:val="CoffeyBlankPageText"/>
    <w:uiPriority w:val="99"/>
    <w:rsid w:val="002E4E54"/>
    <w:rPr>
      <w:color w:val="97ABB6" w:themeColor="accent1"/>
      <w:szCs w:val="22"/>
    </w:rPr>
  </w:style>
  <w:style w:type="paragraph" w:customStyle="1" w:styleId="Heading1NoNumbers">
    <w:name w:val="Heading 1 No Numbers"/>
    <w:basedOn w:val="Heading1"/>
    <w:next w:val="BodyText"/>
    <w:link w:val="Heading1NoNumbersChar"/>
    <w:uiPriority w:val="2"/>
    <w:qFormat/>
    <w:rsid w:val="00004CD9"/>
    <w:pPr>
      <w:numPr>
        <w:numId w:val="0"/>
      </w:numPr>
    </w:pPr>
  </w:style>
  <w:style w:type="character" w:customStyle="1" w:styleId="Heading1NoNumbersChar">
    <w:name w:val="Heading 1 No Numbers Char"/>
    <w:basedOn w:val="Heading1Char"/>
    <w:link w:val="Heading1NoNumbers"/>
    <w:uiPriority w:val="2"/>
    <w:rsid w:val="00F50988"/>
    <w:rPr>
      <w:b/>
      <w:sz w:val="36"/>
      <w:szCs w:val="40"/>
    </w:rPr>
  </w:style>
  <w:style w:type="paragraph" w:customStyle="1" w:styleId="Heading2NoNumbers">
    <w:name w:val="Heading 2 No Numbers"/>
    <w:basedOn w:val="Heading2"/>
    <w:next w:val="BodyText"/>
    <w:link w:val="Heading2NoNumbersChar"/>
    <w:uiPriority w:val="2"/>
    <w:qFormat/>
    <w:rsid w:val="00EE5622"/>
    <w:pPr>
      <w:numPr>
        <w:ilvl w:val="0"/>
        <w:numId w:val="0"/>
      </w:numPr>
    </w:pPr>
  </w:style>
  <w:style w:type="character" w:customStyle="1" w:styleId="Heading2NoNumbersChar">
    <w:name w:val="Heading 2 No Numbers Char"/>
    <w:basedOn w:val="Heading2Char"/>
    <w:link w:val="Heading2NoNumbers"/>
    <w:uiPriority w:val="2"/>
    <w:rsid w:val="00EE5622"/>
    <w:rPr>
      <w:b/>
      <w:sz w:val="32"/>
      <w:szCs w:val="36"/>
    </w:rPr>
  </w:style>
  <w:style w:type="paragraph" w:customStyle="1" w:styleId="Heading3NoNumbers">
    <w:name w:val="Heading 3 No Numbers"/>
    <w:basedOn w:val="Heading3"/>
    <w:next w:val="BodyText"/>
    <w:link w:val="Heading3NoNumbersChar"/>
    <w:uiPriority w:val="2"/>
    <w:qFormat/>
    <w:rsid w:val="00004CD9"/>
    <w:pPr>
      <w:numPr>
        <w:ilvl w:val="0"/>
        <w:numId w:val="0"/>
      </w:numPr>
    </w:pPr>
  </w:style>
  <w:style w:type="character" w:customStyle="1" w:styleId="Heading3NoNumbersChar">
    <w:name w:val="Heading 3 No Numbers Char"/>
    <w:basedOn w:val="Heading3Char"/>
    <w:link w:val="Heading3NoNumbers"/>
    <w:uiPriority w:val="2"/>
    <w:rsid w:val="00F50988"/>
    <w:rPr>
      <w:b/>
      <w:sz w:val="28"/>
      <w:szCs w:val="32"/>
    </w:rPr>
  </w:style>
  <w:style w:type="numbering" w:customStyle="1" w:styleId="CoffeyBullets">
    <w:name w:val="Coffey Bullets"/>
    <w:uiPriority w:val="99"/>
    <w:rsid w:val="00FC4F03"/>
    <w:pPr>
      <w:numPr>
        <w:numId w:val="9"/>
      </w:numPr>
    </w:pPr>
  </w:style>
  <w:style w:type="paragraph" w:customStyle="1" w:styleId="CoffeyBulletsL1">
    <w:name w:val="Coffey Bullets L1"/>
    <w:basedOn w:val="Normal"/>
    <w:link w:val="CoffeyBulletsL1Char"/>
    <w:uiPriority w:val="99"/>
    <w:qFormat/>
    <w:rsid w:val="00FC4F03"/>
    <w:pPr>
      <w:numPr>
        <w:numId w:val="12"/>
      </w:numPr>
      <w:spacing w:before="100" w:after="100"/>
    </w:pPr>
    <w:rPr>
      <w:szCs w:val="22"/>
    </w:rPr>
  </w:style>
  <w:style w:type="character" w:customStyle="1" w:styleId="CoffeyBulletsL1Char">
    <w:name w:val="Coffey Bullets L1 Char"/>
    <w:basedOn w:val="BodyTextChar"/>
    <w:link w:val="CoffeyBulletsL1"/>
    <w:uiPriority w:val="99"/>
    <w:rsid w:val="00FC4F03"/>
    <w:rPr>
      <w:szCs w:val="22"/>
    </w:rPr>
  </w:style>
  <w:style w:type="paragraph" w:customStyle="1" w:styleId="CoffeyBulletsL2">
    <w:name w:val="Coffey Bullets L2"/>
    <w:basedOn w:val="CoffeyBulletsL1"/>
    <w:link w:val="CoffeyBulletsL2Char"/>
    <w:uiPriority w:val="99"/>
    <w:qFormat/>
    <w:rsid w:val="00FC4F03"/>
    <w:pPr>
      <w:numPr>
        <w:ilvl w:val="1"/>
      </w:numPr>
    </w:pPr>
    <w:rPr>
      <w:szCs w:val="20"/>
    </w:rPr>
  </w:style>
  <w:style w:type="character" w:customStyle="1" w:styleId="CoffeyBulletsL2Char">
    <w:name w:val="Coffey Bullets L2 Char"/>
    <w:basedOn w:val="DefaultParagraphFont"/>
    <w:link w:val="CoffeyBulletsL2"/>
    <w:uiPriority w:val="99"/>
    <w:rsid w:val="00FC4F03"/>
  </w:style>
  <w:style w:type="paragraph" w:customStyle="1" w:styleId="CoffeyBulletsL3">
    <w:name w:val="Coffey Bullets L3"/>
    <w:basedOn w:val="CoffeyBulletsL2"/>
    <w:link w:val="CoffeyBulletsL3Char"/>
    <w:uiPriority w:val="99"/>
    <w:qFormat/>
    <w:rsid w:val="00FC4F03"/>
    <w:pPr>
      <w:numPr>
        <w:ilvl w:val="2"/>
      </w:numPr>
    </w:pPr>
  </w:style>
  <w:style w:type="character" w:customStyle="1" w:styleId="CoffeyBulletsL3Char">
    <w:name w:val="Coffey Bullets L3 Char"/>
    <w:basedOn w:val="DefaultParagraphFont"/>
    <w:link w:val="CoffeyBulletsL3"/>
    <w:uiPriority w:val="99"/>
    <w:rsid w:val="00FC4F03"/>
  </w:style>
  <w:style w:type="numbering" w:customStyle="1" w:styleId="CoffeyNumbers">
    <w:name w:val="Coffey Numbers"/>
    <w:uiPriority w:val="99"/>
    <w:rsid w:val="00FC4F03"/>
    <w:pPr>
      <w:numPr>
        <w:numId w:val="10"/>
      </w:numPr>
    </w:pPr>
  </w:style>
  <w:style w:type="paragraph" w:customStyle="1" w:styleId="CoffeyNumbersL1">
    <w:name w:val="Coffey Numbers L1"/>
    <w:basedOn w:val="Normal"/>
    <w:link w:val="CoffeyNumbersL1Char"/>
    <w:uiPriority w:val="99"/>
    <w:qFormat/>
    <w:rsid w:val="00FC4F03"/>
    <w:pPr>
      <w:numPr>
        <w:numId w:val="13"/>
      </w:numPr>
      <w:spacing w:before="100" w:after="100"/>
    </w:pPr>
  </w:style>
  <w:style w:type="character" w:customStyle="1" w:styleId="CoffeyNumbersL1Char">
    <w:name w:val="Coffey Numbers L1 Char"/>
    <w:basedOn w:val="DefaultParagraphFont"/>
    <w:link w:val="CoffeyNumbersL1"/>
    <w:uiPriority w:val="99"/>
    <w:rsid w:val="00FC4F03"/>
  </w:style>
  <w:style w:type="paragraph" w:customStyle="1" w:styleId="CoffeyNumbersL2">
    <w:name w:val="Coffey Numbers L2"/>
    <w:basedOn w:val="CoffeyNumbersL1"/>
    <w:link w:val="CoffeyNumbersL2Char"/>
    <w:uiPriority w:val="99"/>
    <w:qFormat/>
    <w:rsid w:val="00FC4F03"/>
    <w:pPr>
      <w:numPr>
        <w:ilvl w:val="1"/>
      </w:numPr>
    </w:pPr>
  </w:style>
  <w:style w:type="character" w:customStyle="1" w:styleId="CoffeyNumbersL2Char">
    <w:name w:val="Coffey Numbers L2 Char"/>
    <w:basedOn w:val="DefaultParagraphFont"/>
    <w:link w:val="CoffeyNumbersL2"/>
    <w:uiPriority w:val="99"/>
    <w:rsid w:val="00FC4F03"/>
  </w:style>
  <w:style w:type="paragraph" w:customStyle="1" w:styleId="CoffeyNumbersL3">
    <w:name w:val="Coffey Numbers L3"/>
    <w:basedOn w:val="CoffeyNumbersL2"/>
    <w:link w:val="CoffeyNumbersL3Char"/>
    <w:uiPriority w:val="99"/>
    <w:qFormat/>
    <w:rsid w:val="00FC4F03"/>
    <w:pPr>
      <w:numPr>
        <w:ilvl w:val="2"/>
      </w:numPr>
    </w:pPr>
  </w:style>
  <w:style w:type="character" w:customStyle="1" w:styleId="CoffeyNumbersL3Char">
    <w:name w:val="Coffey Numbers L3 Char"/>
    <w:basedOn w:val="DefaultParagraphFont"/>
    <w:link w:val="CoffeyNumbersL3"/>
    <w:uiPriority w:val="99"/>
    <w:rsid w:val="00FC4F03"/>
  </w:style>
  <w:style w:type="paragraph" w:styleId="TOC4">
    <w:name w:val="toc 4"/>
    <w:basedOn w:val="Normal"/>
    <w:next w:val="Normal"/>
    <w:autoRedefine/>
    <w:uiPriority w:val="39"/>
    <w:semiHidden/>
    <w:rsid w:val="005E6405"/>
    <w:pPr>
      <w:tabs>
        <w:tab w:val="right" w:leader="dot" w:pos="9016"/>
      </w:tabs>
      <w:spacing w:after="100"/>
    </w:pPr>
    <w:rPr>
      <w:b/>
      <w:noProof/>
    </w:rPr>
  </w:style>
  <w:style w:type="paragraph" w:styleId="TOC7">
    <w:name w:val="toc 7"/>
    <w:basedOn w:val="Normal"/>
    <w:next w:val="Normal"/>
    <w:uiPriority w:val="39"/>
    <w:rsid w:val="00531BF8"/>
    <w:pPr>
      <w:spacing w:after="100"/>
    </w:pPr>
  </w:style>
  <w:style w:type="table" w:customStyle="1" w:styleId="Coffey1">
    <w:name w:val="Coffey1"/>
    <w:basedOn w:val="TableNormal"/>
    <w:uiPriority w:val="99"/>
    <w:rsid w:val="00B321C6"/>
    <w:pPr>
      <w:spacing w:before="100" w:beforeAutospacing="1" w:after="100" w:afterAutospacing="1"/>
    </w:pPr>
    <w:rPr>
      <w:rFonts w:ascii="Arial" w:eastAsia="Arial" w:hAnsi="Arial" w:cs="Times New Roman"/>
      <w:sz w:val="18"/>
    </w:rPr>
    <w:tblPr>
      <w:tblStyleRowBandSize w:val="1"/>
      <w:tblStyleColBandSize w:val="1"/>
      <w:tblBorders>
        <w:top w:val="single" w:sz="4" w:space="0" w:color="97ABB6"/>
        <w:left w:val="single" w:sz="4" w:space="0" w:color="97ABB6"/>
        <w:bottom w:val="single" w:sz="4" w:space="0" w:color="97ABB6"/>
        <w:right w:val="single" w:sz="4" w:space="0" w:color="97ABB6"/>
        <w:insideH w:val="single" w:sz="4" w:space="0" w:color="97ABB6"/>
        <w:insideV w:val="single" w:sz="4" w:space="0" w:color="97ABB6"/>
      </w:tblBorders>
      <w:tblCellMar>
        <w:top w:w="57" w:type="dxa"/>
        <w:left w:w="85" w:type="dxa"/>
        <w:bottom w:w="57" w:type="dxa"/>
        <w:right w:w="85" w:type="dxa"/>
      </w:tblCellMar>
    </w:tblPr>
    <w:tblStylePr w:type="firstRow">
      <w:pPr>
        <w:wordWrap/>
      </w:pPr>
      <w:rPr>
        <w:b/>
        <w:color w:val="FFFFFF" w:themeColor="background1"/>
      </w:rPr>
      <w:tblPr/>
      <w:tcPr>
        <w:shd w:val="clear" w:color="auto" w:fill="97ABB6"/>
      </w:tcPr>
    </w:tblStylePr>
    <w:tblStylePr w:type="lastRow">
      <w:tblPr/>
      <w:tcPr>
        <w:tcBorders>
          <w:top w:val="double" w:sz="4" w:space="0" w:color="auto"/>
          <w:left w:val="double" w:sz="4" w:space="0" w:color="auto"/>
          <w:bottom w:val="double" w:sz="4" w:space="0" w:color="auto"/>
          <w:right w:val="double" w:sz="4" w:space="0" w:color="auto"/>
          <w:insideH w:val="double" w:sz="4" w:space="0" w:color="auto"/>
          <w:insideV w:val="double" w:sz="4" w:space="0" w:color="auto"/>
          <w:tl2br w:val="nil"/>
          <w:tr2bl w:val="nil"/>
        </w:tcBorders>
      </w:tcPr>
    </w:tblStylePr>
    <w:tblStylePr w:type="firstCol">
      <w:rPr>
        <w:b w:val="0"/>
      </w:rPr>
      <w:tblPr/>
      <w:tcPr>
        <w:shd w:val="clear" w:color="auto" w:fill="97ABB6"/>
      </w:tcPr>
    </w:tblStylePr>
    <w:tblStylePr w:type="lastCol">
      <w:tblPr/>
      <w:tcPr>
        <w:tcBorders>
          <w:top w:val="double" w:sz="4" w:space="0" w:color="auto"/>
          <w:left w:val="double" w:sz="4" w:space="0" w:color="auto"/>
          <w:bottom w:val="double" w:sz="4" w:space="0" w:color="auto"/>
          <w:right w:val="double" w:sz="4" w:space="0" w:color="auto"/>
          <w:insideH w:val="nil"/>
          <w:insideV w:val="nil"/>
          <w:tl2br w:val="nil"/>
          <w:tr2bl w:val="nil"/>
        </w:tcBorders>
      </w:tcPr>
    </w:tblStylePr>
    <w:tblStylePr w:type="band1Vert">
      <w:tblPr/>
      <w:tcPr>
        <w:shd w:val="clear" w:color="auto" w:fill="EAEEF0"/>
      </w:tcPr>
    </w:tblStylePr>
    <w:tblStylePr w:type="band1Horz">
      <w:tblPr/>
      <w:tcPr>
        <w:shd w:val="clear" w:color="auto" w:fill="EAEEF0"/>
      </w:tcPr>
    </w:tblStylePr>
    <w:tblStylePr w:type="neCell">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97ABB6" w:themeFill="accent1"/>
      </w:tcPr>
    </w:tblStylePr>
    <w:tblStylePr w:type="swCell">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97ABB6" w:themeFill="accent1"/>
      </w:tcPr>
    </w:tblStylePr>
  </w:style>
  <w:style w:type="table" w:customStyle="1" w:styleId="CoffeyColour3Blue">
    <w:name w:val="Coffey Colour 3 (Blue)"/>
    <w:basedOn w:val="TableNormal"/>
    <w:uiPriority w:val="99"/>
    <w:rsid w:val="00A41DF4"/>
    <w:pPr>
      <w:spacing w:before="100" w:beforeAutospacing="1" w:after="100" w:afterAutospacing="1"/>
    </w:pPr>
    <w:rPr>
      <w:sz w:val="18"/>
    </w:rPr>
    <w:tblPr>
      <w:tblStyleRowBandSize w:val="1"/>
      <w:tblStyleColBandSize w:val="1"/>
      <w:tblBorders>
        <w:top w:val="single" w:sz="4" w:space="0" w:color="97ABB6"/>
        <w:left w:val="single" w:sz="4" w:space="0" w:color="97ABB6"/>
        <w:bottom w:val="single" w:sz="4" w:space="0" w:color="97ABB6"/>
        <w:right w:val="single" w:sz="4" w:space="0" w:color="97ABB6"/>
        <w:insideH w:val="single" w:sz="4" w:space="0" w:color="97ABB6"/>
        <w:insideV w:val="single" w:sz="4" w:space="0" w:color="97ABB6"/>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shd w:val="clear" w:color="auto" w:fill="049CD5" w:themeFill="accent3"/>
      </w:tcPr>
    </w:tblStylePr>
    <w:tblStylePr w:type="lastRow">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double" w:sz="4" w:space="0" w:color="C0CCD3" w:themeColor="accent1" w:themeTint="99"/>
          <w:insideV w:val="double" w:sz="4" w:space="0" w:color="C0CCD3" w:themeColor="accent1" w:themeTint="99"/>
          <w:tl2br w:val="nil"/>
          <w:tr2bl w:val="nil"/>
        </w:tcBorders>
        <w:shd w:val="clear" w:color="auto" w:fill="auto"/>
      </w:tcPr>
    </w:tblStylePr>
    <w:tblStylePr w:type="firstCol">
      <w:rPr>
        <w:b/>
        <w:i w:val="0"/>
        <w:color w:val="FFFFFF" w:themeColor="background1"/>
      </w:rPr>
      <w:tblPr/>
      <w:tcPr>
        <w:shd w:val="clear" w:color="auto" w:fill="049CD5" w:themeFill="accent3"/>
      </w:tcPr>
    </w:tblStylePr>
    <w:tblStylePr w:type="lastCo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auto"/>
      </w:tcPr>
    </w:tblStylePr>
    <w:tblStylePr w:type="band1Vert">
      <w:tblPr/>
      <w:tcPr>
        <w:shd w:val="clear" w:color="auto" w:fill="C5EEFE" w:themeFill="accent3" w:themeFillTint="33"/>
      </w:tcPr>
    </w:tblStylePr>
    <w:tblStylePr w:type="band2Vert">
      <w:tblPr/>
      <w:tcPr>
        <w:tcBorders>
          <w:top w:val="nil"/>
          <w:left w:val="nil"/>
          <w:bottom w:val="nil"/>
          <w:right w:val="nil"/>
          <w:insideH w:val="nil"/>
          <w:insideV w:val="nil"/>
          <w:tl2br w:val="nil"/>
          <w:tr2bl w:val="nil"/>
        </w:tcBorders>
        <w:shd w:val="clear" w:color="auto" w:fill="auto"/>
      </w:tcPr>
    </w:tblStylePr>
    <w:tblStylePr w:type="band1Horz">
      <w:tblPr/>
      <w:tcPr>
        <w:shd w:val="clear" w:color="auto" w:fill="C5EEFE" w:themeFill="accent3" w:themeFillTint="33"/>
      </w:tcPr>
    </w:tblStylePr>
    <w:tblStylePr w:type="neCell">
      <w:tblPr/>
      <w:tcPr>
        <w:shd w:val="clear" w:color="auto" w:fill="049CD5" w:themeFill="accent3"/>
      </w:tcPr>
    </w:tblStylePr>
    <w:tblStylePr w:type="swCell">
      <w:tblPr/>
      <w:tcPr>
        <w:shd w:val="clear" w:color="auto" w:fill="049CD5" w:themeFill="accent3"/>
      </w:tcPr>
    </w:tblStylePr>
  </w:style>
  <w:style w:type="table" w:customStyle="1" w:styleId="CoffeyColour3Blue-Blackborders">
    <w:name w:val="Coffey Colour 3 (Blue) - Black borders"/>
    <w:basedOn w:val="TableNormal"/>
    <w:uiPriority w:val="99"/>
    <w:rsid w:val="00A35980"/>
    <w:pPr>
      <w:spacing w:before="100" w:beforeAutospacing="1" w:after="100" w:afterAutospacing="1"/>
    </w:pPr>
    <w:rPr>
      <w:sz w:val="18"/>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shd w:val="clear" w:color="auto" w:fill="049CD5" w:themeFill="accent3"/>
      </w:tcPr>
    </w:tblStylePr>
    <w:tblStylePr w:type="lastRow">
      <w:tblPr/>
      <w:tcPr>
        <w:tcBorders>
          <w:top w:val="double" w:sz="4" w:space="0" w:color="auto"/>
          <w:left w:val="double" w:sz="4" w:space="0" w:color="auto"/>
          <w:bottom w:val="double" w:sz="4" w:space="0" w:color="auto"/>
          <w:right w:val="double" w:sz="4" w:space="0" w:color="auto"/>
          <w:insideH w:val="double" w:sz="4" w:space="0" w:color="auto"/>
          <w:insideV w:val="double" w:sz="4" w:space="0" w:color="auto"/>
          <w:tl2br w:val="nil"/>
          <w:tr2bl w:val="nil"/>
        </w:tcBorders>
        <w:shd w:val="clear" w:color="auto" w:fill="auto"/>
      </w:tcPr>
    </w:tblStylePr>
    <w:tblStylePr w:type="firstCol">
      <w:rPr>
        <w:b/>
        <w:i w:val="0"/>
        <w:color w:val="FFFFFF" w:themeColor="background1"/>
      </w:rPr>
      <w:tblPr/>
      <w:tcPr>
        <w:shd w:val="clear" w:color="auto" w:fill="049CD5" w:themeFill="accent3"/>
      </w:tcPr>
    </w:tblStylePr>
    <w:tblStylePr w:type="lastCol">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auto"/>
      </w:tcPr>
    </w:tblStylePr>
    <w:tblStylePr w:type="band1Vert">
      <w:tblPr/>
      <w:tcPr>
        <w:shd w:val="clear" w:color="auto" w:fill="C5EEFE" w:themeFill="accent3" w:themeFillTint="33"/>
      </w:tcPr>
    </w:tblStylePr>
    <w:tblStylePr w:type="band1Horz">
      <w:tblPr/>
      <w:tcPr>
        <w:shd w:val="clear" w:color="auto" w:fill="C5EEFE" w:themeFill="accent3" w:themeFillTint="33"/>
      </w:tcPr>
    </w:tblStylePr>
    <w:tblStylePr w:type="neCell">
      <w:tblPr/>
      <w:tcPr>
        <w:shd w:val="clear" w:color="auto" w:fill="049CD5" w:themeFill="accent3"/>
      </w:tcPr>
    </w:tblStylePr>
    <w:tblStylePr w:type="swCell">
      <w:tblPr/>
      <w:tcPr>
        <w:shd w:val="clear" w:color="auto" w:fill="049CD5" w:themeFill="accent3"/>
      </w:tcPr>
    </w:tblStylePr>
  </w:style>
  <w:style w:type="table" w:styleId="GridTable2-Accent4">
    <w:name w:val="Grid Table 2 Accent 4"/>
    <w:basedOn w:val="TableNormal"/>
    <w:uiPriority w:val="47"/>
    <w:rsid w:val="00B74244"/>
    <w:pPr>
      <w:spacing w:after="0"/>
    </w:pPr>
    <w:tblPr>
      <w:tblStyleRowBandSize w:val="1"/>
      <w:tblStyleColBandSize w:val="1"/>
      <w:tblBorders>
        <w:top w:val="single" w:sz="2" w:space="0" w:color="9E9DD3" w:themeColor="accent4" w:themeTint="99"/>
        <w:bottom w:val="single" w:sz="2" w:space="0" w:color="9E9DD3" w:themeColor="accent4" w:themeTint="99"/>
        <w:insideH w:val="single" w:sz="2" w:space="0" w:color="9E9DD3" w:themeColor="accent4" w:themeTint="99"/>
        <w:insideV w:val="single" w:sz="2" w:space="0" w:color="9E9DD3" w:themeColor="accent4" w:themeTint="99"/>
      </w:tblBorders>
    </w:tblPr>
    <w:tblStylePr w:type="firstRow">
      <w:rPr>
        <w:b/>
        <w:bCs/>
      </w:rPr>
      <w:tblPr/>
      <w:tcPr>
        <w:tcBorders>
          <w:top w:val="nil"/>
          <w:bottom w:val="single" w:sz="12" w:space="0" w:color="9E9DD3" w:themeColor="accent4" w:themeTint="99"/>
          <w:insideH w:val="nil"/>
          <w:insideV w:val="nil"/>
        </w:tcBorders>
        <w:shd w:val="clear" w:color="auto" w:fill="FFFFFF" w:themeFill="background1"/>
      </w:tcPr>
    </w:tblStylePr>
    <w:tblStylePr w:type="lastRow">
      <w:rPr>
        <w:b/>
        <w:bCs/>
      </w:rPr>
      <w:tblPr/>
      <w:tcPr>
        <w:tcBorders>
          <w:top w:val="double" w:sz="2" w:space="0" w:color="9E9DD3"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DEF0" w:themeFill="accent4" w:themeFillTint="33"/>
      </w:tcPr>
    </w:tblStylePr>
    <w:tblStylePr w:type="band1Horz">
      <w:tblPr/>
      <w:tcPr>
        <w:shd w:val="clear" w:color="auto" w:fill="DEDEF0" w:themeFill="accent4" w:themeFillTint="33"/>
      </w:tcPr>
    </w:tblStylePr>
  </w:style>
  <w:style w:type="paragraph" w:styleId="TableofAuthorities">
    <w:name w:val="table of authorities"/>
    <w:basedOn w:val="Normal"/>
    <w:next w:val="Normal"/>
    <w:uiPriority w:val="99"/>
    <w:semiHidden/>
    <w:rsid w:val="008D1400"/>
    <w:pPr>
      <w:tabs>
        <w:tab w:val="right" w:leader="dot" w:pos="8789"/>
      </w:tabs>
      <w:spacing w:before="120" w:after="120"/>
      <w:ind w:left="284" w:right="567" w:hanging="284"/>
    </w:pPr>
  </w:style>
  <w:style w:type="paragraph" w:customStyle="1" w:styleId="ABNnr">
    <w:name w:val="ABN nr."/>
    <w:basedOn w:val="BodyText"/>
    <w:uiPriority w:val="8"/>
    <w:rsid w:val="00057F20"/>
    <w:pPr>
      <w:spacing w:before="0" w:after="0" w:line="240" w:lineRule="atLeast"/>
    </w:pPr>
  </w:style>
  <w:style w:type="paragraph" w:customStyle="1" w:styleId="Template-Address">
    <w:name w:val="Template - Address"/>
    <w:basedOn w:val="BodyText"/>
    <w:uiPriority w:val="8"/>
    <w:semiHidden/>
    <w:rsid w:val="0095777B"/>
    <w:pPr>
      <w:spacing w:before="0" w:after="0" w:line="240" w:lineRule="atLeast"/>
    </w:pPr>
  </w:style>
  <w:style w:type="paragraph" w:customStyle="1" w:styleId="ProjectDocumentReference">
    <w:name w:val="Project/Document Reference"/>
    <w:basedOn w:val="BodyText"/>
    <w:uiPriority w:val="8"/>
    <w:rsid w:val="00400A7E"/>
  </w:style>
  <w:style w:type="paragraph" w:customStyle="1" w:styleId="Template-Date">
    <w:name w:val="Template - Date"/>
    <w:basedOn w:val="BodyText"/>
    <w:uiPriority w:val="8"/>
    <w:semiHidden/>
    <w:rsid w:val="003D46A2"/>
  </w:style>
  <w:style w:type="paragraph" w:customStyle="1" w:styleId="Projectname">
    <w:name w:val="Project name"/>
    <w:basedOn w:val="BodyText"/>
    <w:uiPriority w:val="99"/>
    <w:rsid w:val="003076A6"/>
    <w:rPr>
      <w:b/>
      <w:sz w:val="28"/>
    </w:rPr>
  </w:style>
  <w:style w:type="table" w:customStyle="1" w:styleId="TableGrid1">
    <w:name w:val="Table Grid1"/>
    <w:basedOn w:val="TableNormal"/>
    <w:next w:val="TableGrid"/>
    <w:uiPriority w:val="59"/>
    <w:rsid w:val="00602C4A"/>
    <w:pPr>
      <w:spacing w:after="0" w:line="240" w:lineRule="atLeast"/>
    </w:pPr>
    <w:rPr>
      <w:rFonts w:ascii="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ientname">
    <w:name w:val="Client name"/>
    <w:basedOn w:val="BodyText"/>
    <w:uiPriority w:val="5"/>
    <w:rsid w:val="00602C4A"/>
    <w:pPr>
      <w:spacing w:before="0" w:after="0" w:line="320" w:lineRule="atLeast"/>
    </w:pPr>
    <w:rPr>
      <w:rFonts w:ascii="Arial" w:hAnsi="Arial" w:cs="Times New Roman"/>
      <w:b/>
      <w:sz w:val="28"/>
      <w:szCs w:val="20"/>
    </w:rPr>
  </w:style>
  <w:style w:type="paragraph" w:customStyle="1" w:styleId="DDMonthYear">
    <w:name w:val="DD Month Year"/>
    <w:basedOn w:val="BodyText"/>
    <w:uiPriority w:val="6"/>
    <w:rsid w:val="00FD334F"/>
    <w:pPr>
      <w:spacing w:after="0" w:line="240" w:lineRule="atLeast"/>
    </w:pPr>
    <w:rPr>
      <w:rFonts w:ascii="Arial" w:hAnsi="Arial" w:cs="Times New Roman"/>
      <w:szCs w:val="20"/>
    </w:rPr>
  </w:style>
  <w:style w:type="paragraph" w:customStyle="1" w:styleId="Template-Companyname">
    <w:name w:val="Template - Company name"/>
    <w:basedOn w:val="BodyText"/>
    <w:uiPriority w:val="99"/>
    <w:semiHidden/>
    <w:rsid w:val="0095777B"/>
    <w:pPr>
      <w:spacing w:after="0" w:line="240" w:lineRule="atLeast"/>
    </w:pPr>
  </w:style>
  <w:style w:type="table" w:customStyle="1" w:styleId="CoffeyColour4Purple-Blackborders">
    <w:name w:val="Coffey Colour 4 (Purple) - Black borders"/>
    <w:basedOn w:val="TableNormal"/>
    <w:uiPriority w:val="99"/>
    <w:rsid w:val="00EF020A"/>
    <w:pPr>
      <w:spacing w:before="100" w:beforeAutospacing="1" w:after="100" w:afterAutospacing="1"/>
    </w:pPr>
    <w:rPr>
      <w:sz w:val="18"/>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shd w:val="clear" w:color="auto" w:fill="5F5CB6"/>
      </w:tcPr>
    </w:tblStylePr>
    <w:tblStylePr w:type="lastRow">
      <w:tblPr/>
      <w:tcPr>
        <w:tcBorders>
          <w:top w:val="double" w:sz="4" w:space="0" w:color="auto"/>
          <w:left w:val="double" w:sz="4" w:space="0" w:color="auto"/>
          <w:bottom w:val="double" w:sz="4" w:space="0" w:color="auto"/>
          <w:right w:val="double" w:sz="4" w:space="0" w:color="auto"/>
          <w:insideH w:val="double" w:sz="4" w:space="0" w:color="auto"/>
          <w:insideV w:val="double" w:sz="4" w:space="0" w:color="auto"/>
          <w:tl2br w:val="nil"/>
          <w:tr2bl w:val="nil"/>
        </w:tcBorders>
        <w:shd w:val="clear" w:color="auto" w:fill="auto"/>
      </w:tcPr>
    </w:tblStylePr>
    <w:tblStylePr w:type="firstCol">
      <w:rPr>
        <w:b/>
        <w:i w:val="0"/>
        <w:color w:val="FFFFFF" w:themeColor="background1"/>
      </w:rPr>
      <w:tblPr/>
      <w:tcPr>
        <w:shd w:val="clear" w:color="auto" w:fill="5F5CB6"/>
      </w:tcPr>
    </w:tblStylePr>
    <w:tblStylePr w:type="lastCol">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auto"/>
      </w:tcPr>
    </w:tblStylePr>
    <w:tblStylePr w:type="band1Vert">
      <w:tblPr/>
      <w:tcPr>
        <w:shd w:val="clear" w:color="auto" w:fill="DEDEF0"/>
      </w:tcPr>
    </w:tblStylePr>
    <w:tblStylePr w:type="band1Horz">
      <w:tblPr/>
      <w:tcPr>
        <w:shd w:val="clear" w:color="auto" w:fill="DEDEF0"/>
      </w:tcPr>
    </w:tblStylePr>
    <w:tblStylePr w:type="neCell">
      <w:tblPr/>
      <w:tcPr>
        <w:shd w:val="clear" w:color="auto" w:fill="5F5CB6" w:themeFill="accent4"/>
      </w:tcPr>
    </w:tblStylePr>
    <w:tblStylePr w:type="swCell">
      <w:tblPr/>
      <w:tcPr>
        <w:shd w:val="clear" w:color="auto" w:fill="5F5CB6" w:themeFill="accent4"/>
      </w:tcPr>
    </w:tblStylePr>
  </w:style>
  <w:style w:type="table" w:customStyle="1" w:styleId="Coffey2">
    <w:name w:val="Coffey2"/>
    <w:basedOn w:val="TableNormal"/>
    <w:uiPriority w:val="99"/>
    <w:rsid w:val="001444EE"/>
    <w:pPr>
      <w:spacing w:before="100" w:beforeAutospacing="1" w:after="100" w:afterAutospacing="1"/>
    </w:pPr>
    <w:rPr>
      <w:sz w:val="18"/>
    </w:rPr>
    <w:tblPr>
      <w:tblStyleRowBandSize w:val="1"/>
      <w:tblStyleColBandSize w:val="1"/>
      <w:tblBorders>
        <w:top w:val="single" w:sz="4" w:space="0" w:color="97ABB6"/>
        <w:left w:val="single" w:sz="4" w:space="0" w:color="97ABB6"/>
        <w:bottom w:val="single" w:sz="4" w:space="0" w:color="97ABB6"/>
        <w:right w:val="single" w:sz="4" w:space="0" w:color="97ABB6"/>
        <w:insideH w:val="single" w:sz="4" w:space="0" w:color="97ABB6"/>
        <w:insideV w:val="single" w:sz="4" w:space="0" w:color="97ABB6"/>
      </w:tblBorders>
      <w:tblCellMar>
        <w:top w:w="57" w:type="dxa"/>
        <w:left w:w="85" w:type="dxa"/>
        <w:bottom w:w="57" w:type="dxa"/>
        <w:right w:w="85" w:type="dxa"/>
      </w:tblCellMar>
    </w:tblPr>
    <w:tcPr>
      <w:shd w:val="clear" w:color="auto" w:fill="auto"/>
    </w:tcPr>
    <w:tblStylePr w:type="firstRow">
      <w:pPr>
        <w:wordWrap/>
      </w:pPr>
      <w:rPr>
        <w:b/>
        <w:color w:val="FFFFFF" w:themeColor="background1"/>
      </w:rPr>
      <w:tblPr/>
      <w:tcPr>
        <w:tcBorders>
          <w:top w:val="single" w:sz="4" w:space="0" w:color="C0CCD3" w:themeColor="accent1" w:themeTint="99"/>
          <w:left w:val="single" w:sz="4" w:space="0" w:color="C0CCD3" w:themeColor="accent1" w:themeTint="99"/>
          <w:bottom w:val="single" w:sz="4" w:space="0" w:color="C0CCD3" w:themeColor="accent1" w:themeTint="99"/>
          <w:right w:val="single" w:sz="4" w:space="0" w:color="C0CCD3" w:themeColor="accent1" w:themeTint="99"/>
          <w:insideH w:val="single" w:sz="4" w:space="0" w:color="C0CCD3" w:themeColor="accent1" w:themeTint="99"/>
          <w:insideV w:val="single" w:sz="4" w:space="0" w:color="C0CCD3" w:themeColor="accent1" w:themeTint="99"/>
          <w:tl2br w:val="nil"/>
          <w:tr2bl w:val="nil"/>
        </w:tcBorders>
        <w:shd w:val="clear" w:color="auto" w:fill="97ABB6" w:themeFill="accent1"/>
      </w:tcPr>
    </w:tblStylePr>
    <w:tblStylePr w:type="lastRow">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double" w:sz="4" w:space="0" w:color="C0CCD3" w:themeColor="accent1" w:themeTint="99"/>
          <w:insideV w:val="double" w:sz="4" w:space="0" w:color="C0CCD3" w:themeColor="accent1" w:themeTint="99"/>
          <w:tl2br w:val="nil"/>
          <w:tr2bl w:val="nil"/>
        </w:tcBorders>
        <w:shd w:val="clear" w:color="auto" w:fill="auto"/>
      </w:tcPr>
    </w:tblStylePr>
    <w:tblStylePr w:type="firstCol">
      <w:rPr>
        <w:b/>
        <w:i w:val="0"/>
        <w:color w:val="FFFFFF" w:themeColor="background1"/>
      </w:rPr>
      <w:tblPr/>
      <w:tcPr>
        <w:shd w:val="clear" w:color="auto" w:fill="97ABB6" w:themeFill="accent1"/>
      </w:tcPr>
    </w:tblStylePr>
    <w:tblStylePr w:type="lastCo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auto"/>
      </w:tcPr>
    </w:tblStylePr>
    <w:tblStylePr w:type="band1Vert">
      <w:tblPr/>
      <w:tcPr>
        <w:shd w:val="clear" w:color="auto" w:fill="EAEEF0" w:themeFill="accent1" w:themeFillTint="33"/>
      </w:tcPr>
    </w:tblStylePr>
    <w:tblStylePr w:type="band1Horz">
      <w:tblPr/>
      <w:tcPr>
        <w:shd w:val="clear" w:color="auto" w:fill="EAEEF0" w:themeFill="accent1" w:themeFillTint="33"/>
      </w:tcPr>
    </w:tblStylePr>
    <w:tblStylePr w:type="neCel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97ABB6" w:themeFill="accent1"/>
      </w:tcPr>
    </w:tblStylePr>
    <w:tblStylePr w:type="swCell">
      <w:tblPr/>
      <w:tcPr>
        <w:tcBorders>
          <w:top w:val="double" w:sz="4" w:space="0" w:color="97ABB6" w:themeColor="accent1"/>
          <w:left w:val="double" w:sz="4" w:space="0" w:color="97ABB6" w:themeColor="accent1"/>
          <w:bottom w:val="double" w:sz="4" w:space="0" w:color="97ABB6" w:themeColor="accent1"/>
          <w:right w:val="double" w:sz="4" w:space="0" w:color="97ABB6" w:themeColor="accent1"/>
          <w:insideH w:val="nil"/>
          <w:insideV w:val="nil"/>
          <w:tl2br w:val="nil"/>
          <w:tr2bl w:val="nil"/>
        </w:tcBorders>
        <w:shd w:val="clear" w:color="auto" w:fill="97ABB6" w:themeFill="accent1"/>
      </w:tcPr>
    </w:tblStylePr>
  </w:style>
  <w:style w:type="paragraph" w:styleId="Bibliography">
    <w:name w:val="Bibliography"/>
    <w:basedOn w:val="Normal"/>
    <w:next w:val="Normal"/>
    <w:uiPriority w:val="37"/>
    <w:semiHidden/>
    <w:unhideWhenUsed/>
    <w:rsid w:val="00A37AEB"/>
  </w:style>
  <w:style w:type="paragraph" w:styleId="BlockText">
    <w:name w:val="Block Text"/>
    <w:basedOn w:val="Normal"/>
    <w:semiHidden/>
    <w:unhideWhenUsed/>
    <w:rsid w:val="00A37AEB"/>
    <w:pPr>
      <w:pBdr>
        <w:top w:val="single" w:sz="2" w:space="10" w:color="97ABB6" w:themeColor="accent1"/>
        <w:left w:val="single" w:sz="2" w:space="10" w:color="97ABB6" w:themeColor="accent1"/>
        <w:bottom w:val="single" w:sz="2" w:space="10" w:color="97ABB6" w:themeColor="accent1"/>
        <w:right w:val="single" w:sz="2" w:space="10" w:color="97ABB6" w:themeColor="accent1"/>
      </w:pBdr>
      <w:ind w:left="1152" w:right="1152"/>
    </w:pPr>
    <w:rPr>
      <w:rFonts w:eastAsiaTheme="minorEastAsia"/>
      <w:i/>
      <w:iCs/>
      <w:color w:val="97ABB6" w:themeColor="accent1"/>
    </w:rPr>
  </w:style>
  <w:style w:type="paragraph" w:styleId="BodyText2">
    <w:name w:val="Body Text 2"/>
    <w:basedOn w:val="Normal"/>
    <w:link w:val="BodyText2Char"/>
    <w:semiHidden/>
    <w:unhideWhenUsed/>
    <w:rsid w:val="00A37AEB"/>
    <w:pPr>
      <w:spacing w:after="120" w:line="480" w:lineRule="auto"/>
    </w:pPr>
  </w:style>
  <w:style w:type="character" w:customStyle="1" w:styleId="BodyText2Char">
    <w:name w:val="Body Text 2 Char"/>
    <w:basedOn w:val="DefaultParagraphFont"/>
    <w:link w:val="BodyText2"/>
    <w:semiHidden/>
    <w:rsid w:val="00A37AEB"/>
  </w:style>
  <w:style w:type="paragraph" w:styleId="BodyText3">
    <w:name w:val="Body Text 3"/>
    <w:basedOn w:val="Normal"/>
    <w:link w:val="BodyText3Char"/>
    <w:semiHidden/>
    <w:unhideWhenUsed/>
    <w:rsid w:val="00A37AEB"/>
    <w:pPr>
      <w:spacing w:after="120"/>
    </w:pPr>
    <w:rPr>
      <w:sz w:val="16"/>
      <w:szCs w:val="16"/>
    </w:rPr>
  </w:style>
  <w:style w:type="character" w:customStyle="1" w:styleId="BodyText3Char">
    <w:name w:val="Body Text 3 Char"/>
    <w:basedOn w:val="DefaultParagraphFont"/>
    <w:link w:val="BodyText3"/>
    <w:semiHidden/>
    <w:rsid w:val="00A37AEB"/>
    <w:rPr>
      <w:sz w:val="16"/>
      <w:szCs w:val="16"/>
    </w:rPr>
  </w:style>
  <w:style w:type="paragraph" w:styleId="BodyTextFirstIndent">
    <w:name w:val="Body Text First Indent"/>
    <w:basedOn w:val="BodyText"/>
    <w:link w:val="BodyTextFirstIndentChar"/>
    <w:semiHidden/>
    <w:rsid w:val="00A37AEB"/>
    <w:pPr>
      <w:spacing w:before="0"/>
      <w:ind w:firstLine="360"/>
    </w:pPr>
    <w:rPr>
      <w:szCs w:val="20"/>
    </w:rPr>
  </w:style>
  <w:style w:type="character" w:customStyle="1" w:styleId="BodyTextFirstIndentChar">
    <w:name w:val="Body Text First Indent Char"/>
    <w:basedOn w:val="BodyTextChar"/>
    <w:link w:val="BodyTextFirstIndent"/>
    <w:semiHidden/>
    <w:rsid w:val="00A37AEB"/>
    <w:rPr>
      <w:szCs w:val="22"/>
    </w:rPr>
  </w:style>
  <w:style w:type="paragraph" w:styleId="BodyTextIndent">
    <w:name w:val="Body Text Indent"/>
    <w:basedOn w:val="Normal"/>
    <w:link w:val="BodyTextIndentChar"/>
    <w:semiHidden/>
    <w:unhideWhenUsed/>
    <w:rsid w:val="00A37AEB"/>
    <w:pPr>
      <w:spacing w:after="120"/>
      <w:ind w:left="283"/>
    </w:pPr>
  </w:style>
  <w:style w:type="character" w:customStyle="1" w:styleId="BodyTextIndentChar">
    <w:name w:val="Body Text Indent Char"/>
    <w:basedOn w:val="DefaultParagraphFont"/>
    <w:link w:val="BodyTextIndent"/>
    <w:semiHidden/>
    <w:rsid w:val="00A37AEB"/>
  </w:style>
  <w:style w:type="paragraph" w:styleId="BodyTextFirstIndent2">
    <w:name w:val="Body Text First Indent 2"/>
    <w:basedOn w:val="BodyTextIndent"/>
    <w:link w:val="BodyTextFirstIndent2Char"/>
    <w:semiHidden/>
    <w:unhideWhenUsed/>
    <w:rsid w:val="00A37AEB"/>
    <w:pPr>
      <w:spacing w:after="200"/>
      <w:ind w:left="360" w:firstLine="360"/>
    </w:pPr>
  </w:style>
  <w:style w:type="character" w:customStyle="1" w:styleId="BodyTextFirstIndent2Char">
    <w:name w:val="Body Text First Indent 2 Char"/>
    <w:basedOn w:val="BodyTextIndentChar"/>
    <w:link w:val="BodyTextFirstIndent2"/>
    <w:semiHidden/>
    <w:rsid w:val="00A37AEB"/>
  </w:style>
  <w:style w:type="paragraph" w:styleId="BodyTextIndent2">
    <w:name w:val="Body Text Indent 2"/>
    <w:basedOn w:val="Normal"/>
    <w:link w:val="BodyTextIndent2Char"/>
    <w:semiHidden/>
    <w:unhideWhenUsed/>
    <w:rsid w:val="00A37AEB"/>
    <w:pPr>
      <w:spacing w:after="120" w:line="480" w:lineRule="auto"/>
      <w:ind w:left="283"/>
    </w:pPr>
  </w:style>
  <w:style w:type="character" w:customStyle="1" w:styleId="BodyTextIndent2Char">
    <w:name w:val="Body Text Indent 2 Char"/>
    <w:basedOn w:val="DefaultParagraphFont"/>
    <w:link w:val="BodyTextIndent2"/>
    <w:semiHidden/>
    <w:rsid w:val="00A37AEB"/>
  </w:style>
  <w:style w:type="paragraph" w:styleId="BodyTextIndent3">
    <w:name w:val="Body Text Indent 3"/>
    <w:basedOn w:val="Normal"/>
    <w:link w:val="BodyTextIndent3Char"/>
    <w:semiHidden/>
    <w:unhideWhenUsed/>
    <w:rsid w:val="00A37AEB"/>
    <w:pPr>
      <w:spacing w:after="120"/>
      <w:ind w:left="283"/>
    </w:pPr>
    <w:rPr>
      <w:sz w:val="16"/>
      <w:szCs w:val="16"/>
    </w:rPr>
  </w:style>
  <w:style w:type="character" w:customStyle="1" w:styleId="BodyTextIndent3Char">
    <w:name w:val="Body Text Indent 3 Char"/>
    <w:basedOn w:val="DefaultParagraphFont"/>
    <w:link w:val="BodyTextIndent3"/>
    <w:semiHidden/>
    <w:rsid w:val="00A37AEB"/>
    <w:rPr>
      <w:sz w:val="16"/>
      <w:szCs w:val="16"/>
    </w:rPr>
  </w:style>
  <w:style w:type="paragraph" w:styleId="Closing">
    <w:name w:val="Closing"/>
    <w:basedOn w:val="Normal"/>
    <w:link w:val="ClosingChar"/>
    <w:semiHidden/>
    <w:unhideWhenUsed/>
    <w:rsid w:val="00A37AEB"/>
    <w:pPr>
      <w:spacing w:after="0"/>
      <w:ind w:left="4252"/>
    </w:pPr>
  </w:style>
  <w:style w:type="character" w:customStyle="1" w:styleId="ClosingChar">
    <w:name w:val="Closing Char"/>
    <w:basedOn w:val="DefaultParagraphFont"/>
    <w:link w:val="Closing"/>
    <w:semiHidden/>
    <w:rsid w:val="00A37AEB"/>
  </w:style>
  <w:style w:type="table" w:styleId="ColorfulGrid">
    <w:name w:val="Colorful Grid"/>
    <w:basedOn w:val="TableNormal"/>
    <w:uiPriority w:val="73"/>
    <w:semiHidden/>
    <w:unhideWhenUsed/>
    <w:rsid w:val="00A37AEB"/>
    <w:pPr>
      <w:spacing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37AEB"/>
    <w:pPr>
      <w:spacing w:after="0"/>
    </w:pPr>
    <w:rPr>
      <w:color w:val="000000" w:themeColor="text1"/>
    </w:rPr>
    <w:tblPr>
      <w:tblStyleRowBandSize w:val="1"/>
      <w:tblStyleColBandSize w:val="1"/>
      <w:tblBorders>
        <w:insideH w:val="single" w:sz="4" w:space="0" w:color="FFFFFF" w:themeColor="background1"/>
      </w:tblBorders>
    </w:tblPr>
    <w:tcPr>
      <w:shd w:val="clear" w:color="auto" w:fill="EAEEF0" w:themeFill="accent1" w:themeFillTint="33"/>
    </w:tcPr>
    <w:tblStylePr w:type="firstRow">
      <w:rPr>
        <w:b/>
        <w:bCs/>
      </w:rPr>
      <w:tblPr/>
      <w:tcPr>
        <w:shd w:val="clear" w:color="auto" w:fill="D5DDE1" w:themeFill="accent1" w:themeFillTint="66"/>
      </w:tcPr>
    </w:tblStylePr>
    <w:tblStylePr w:type="lastRow">
      <w:rPr>
        <w:b/>
        <w:bCs/>
        <w:color w:val="000000" w:themeColor="text1"/>
      </w:rPr>
      <w:tblPr/>
      <w:tcPr>
        <w:shd w:val="clear" w:color="auto" w:fill="D5DDE1" w:themeFill="accent1" w:themeFillTint="66"/>
      </w:tcPr>
    </w:tblStylePr>
    <w:tblStylePr w:type="firstCol">
      <w:rPr>
        <w:color w:val="FFFFFF" w:themeColor="background1"/>
      </w:rPr>
      <w:tblPr/>
      <w:tcPr>
        <w:shd w:val="clear" w:color="auto" w:fill="678292" w:themeFill="accent1" w:themeFillShade="BF"/>
      </w:tcPr>
    </w:tblStylePr>
    <w:tblStylePr w:type="lastCol">
      <w:rPr>
        <w:color w:val="FFFFFF" w:themeColor="background1"/>
      </w:rPr>
      <w:tblPr/>
      <w:tcPr>
        <w:shd w:val="clear" w:color="auto" w:fill="678292" w:themeFill="accent1" w:themeFillShade="BF"/>
      </w:tcPr>
    </w:tblStylePr>
    <w:tblStylePr w:type="band1Vert">
      <w:tblPr/>
      <w:tcPr>
        <w:shd w:val="clear" w:color="auto" w:fill="CBD5DA" w:themeFill="accent1" w:themeFillTint="7F"/>
      </w:tcPr>
    </w:tblStylePr>
    <w:tblStylePr w:type="band1Horz">
      <w:tblPr/>
      <w:tcPr>
        <w:shd w:val="clear" w:color="auto" w:fill="CBD5DA" w:themeFill="accent1" w:themeFillTint="7F"/>
      </w:tcPr>
    </w:tblStylePr>
  </w:style>
  <w:style w:type="table" w:styleId="ColorfulGrid-Accent2">
    <w:name w:val="Colorful Grid Accent 2"/>
    <w:basedOn w:val="TableNormal"/>
    <w:uiPriority w:val="73"/>
    <w:semiHidden/>
    <w:unhideWhenUsed/>
    <w:rsid w:val="00A37AEB"/>
    <w:pPr>
      <w:spacing w:after="0"/>
    </w:pPr>
    <w:rPr>
      <w:color w:val="000000" w:themeColor="text1"/>
    </w:rPr>
    <w:tblPr>
      <w:tblStyleRowBandSize w:val="1"/>
      <w:tblStyleColBandSize w:val="1"/>
      <w:tblBorders>
        <w:insideH w:val="single" w:sz="4" w:space="0" w:color="FFFFFF" w:themeColor="background1"/>
      </w:tblBorders>
    </w:tblPr>
    <w:tcPr>
      <w:shd w:val="clear" w:color="auto" w:fill="DBEEDE" w:themeFill="accent2" w:themeFillTint="33"/>
    </w:tcPr>
    <w:tblStylePr w:type="firstRow">
      <w:rPr>
        <w:b/>
        <w:bCs/>
      </w:rPr>
      <w:tblPr/>
      <w:tcPr>
        <w:shd w:val="clear" w:color="auto" w:fill="B7DDBE" w:themeFill="accent2" w:themeFillTint="66"/>
      </w:tcPr>
    </w:tblStylePr>
    <w:tblStylePr w:type="lastRow">
      <w:rPr>
        <w:b/>
        <w:bCs/>
        <w:color w:val="000000" w:themeColor="text1"/>
      </w:rPr>
      <w:tblPr/>
      <w:tcPr>
        <w:shd w:val="clear" w:color="auto" w:fill="B7DDBE" w:themeFill="accent2" w:themeFillTint="66"/>
      </w:tcPr>
    </w:tblStylePr>
    <w:tblStylePr w:type="firstCol">
      <w:rPr>
        <w:color w:val="FFFFFF" w:themeColor="background1"/>
      </w:rPr>
      <w:tblPr/>
      <w:tcPr>
        <w:shd w:val="clear" w:color="auto" w:fill="3B7F46" w:themeFill="accent2" w:themeFillShade="BF"/>
      </w:tcPr>
    </w:tblStylePr>
    <w:tblStylePr w:type="lastCol">
      <w:rPr>
        <w:color w:val="FFFFFF" w:themeColor="background1"/>
      </w:rPr>
      <w:tblPr/>
      <w:tcPr>
        <w:shd w:val="clear" w:color="auto" w:fill="3B7F46" w:themeFill="accent2" w:themeFillShade="BF"/>
      </w:tcPr>
    </w:tblStylePr>
    <w:tblStylePr w:type="band1Vert">
      <w:tblPr/>
      <w:tcPr>
        <w:shd w:val="clear" w:color="auto" w:fill="A6D5AE" w:themeFill="accent2" w:themeFillTint="7F"/>
      </w:tcPr>
    </w:tblStylePr>
    <w:tblStylePr w:type="band1Horz">
      <w:tblPr/>
      <w:tcPr>
        <w:shd w:val="clear" w:color="auto" w:fill="A6D5AE" w:themeFill="accent2" w:themeFillTint="7F"/>
      </w:tcPr>
    </w:tblStylePr>
  </w:style>
  <w:style w:type="table" w:styleId="ColorfulGrid-Accent3">
    <w:name w:val="Colorful Grid Accent 3"/>
    <w:basedOn w:val="TableNormal"/>
    <w:uiPriority w:val="73"/>
    <w:semiHidden/>
    <w:unhideWhenUsed/>
    <w:rsid w:val="00A37AEB"/>
    <w:pPr>
      <w:spacing w:after="0"/>
    </w:pPr>
    <w:rPr>
      <w:color w:val="000000" w:themeColor="text1"/>
    </w:rPr>
    <w:tblPr>
      <w:tblStyleRowBandSize w:val="1"/>
      <w:tblStyleColBandSize w:val="1"/>
      <w:tblBorders>
        <w:insideH w:val="single" w:sz="4" w:space="0" w:color="FFFFFF" w:themeColor="background1"/>
      </w:tblBorders>
    </w:tblPr>
    <w:tcPr>
      <w:shd w:val="clear" w:color="auto" w:fill="C5EEFE" w:themeFill="accent3" w:themeFillTint="33"/>
    </w:tcPr>
    <w:tblStylePr w:type="firstRow">
      <w:rPr>
        <w:b/>
        <w:bCs/>
      </w:rPr>
      <w:tblPr/>
      <w:tcPr>
        <w:shd w:val="clear" w:color="auto" w:fill="8BDDFC" w:themeFill="accent3" w:themeFillTint="66"/>
      </w:tcPr>
    </w:tblStylePr>
    <w:tblStylePr w:type="lastRow">
      <w:rPr>
        <w:b/>
        <w:bCs/>
        <w:color w:val="000000" w:themeColor="text1"/>
      </w:rPr>
      <w:tblPr/>
      <w:tcPr>
        <w:shd w:val="clear" w:color="auto" w:fill="8BDDFC" w:themeFill="accent3" w:themeFillTint="66"/>
      </w:tcPr>
    </w:tblStylePr>
    <w:tblStylePr w:type="firstCol">
      <w:rPr>
        <w:color w:val="FFFFFF" w:themeColor="background1"/>
      </w:rPr>
      <w:tblPr/>
      <w:tcPr>
        <w:shd w:val="clear" w:color="auto" w:fill="03749F" w:themeFill="accent3" w:themeFillShade="BF"/>
      </w:tcPr>
    </w:tblStylePr>
    <w:tblStylePr w:type="lastCol">
      <w:rPr>
        <w:color w:val="FFFFFF" w:themeColor="background1"/>
      </w:rPr>
      <w:tblPr/>
      <w:tcPr>
        <w:shd w:val="clear" w:color="auto" w:fill="03749F" w:themeFill="accent3" w:themeFillShade="BF"/>
      </w:tcPr>
    </w:tblStylePr>
    <w:tblStylePr w:type="band1Vert">
      <w:tblPr/>
      <w:tcPr>
        <w:shd w:val="clear" w:color="auto" w:fill="6FD5FC" w:themeFill="accent3" w:themeFillTint="7F"/>
      </w:tcPr>
    </w:tblStylePr>
    <w:tblStylePr w:type="band1Horz">
      <w:tblPr/>
      <w:tcPr>
        <w:shd w:val="clear" w:color="auto" w:fill="6FD5FC" w:themeFill="accent3" w:themeFillTint="7F"/>
      </w:tcPr>
    </w:tblStylePr>
  </w:style>
  <w:style w:type="table" w:styleId="ColorfulGrid-Accent4">
    <w:name w:val="Colorful Grid Accent 4"/>
    <w:basedOn w:val="TableNormal"/>
    <w:uiPriority w:val="73"/>
    <w:semiHidden/>
    <w:unhideWhenUsed/>
    <w:rsid w:val="00A37AEB"/>
    <w:pPr>
      <w:spacing w:after="0"/>
    </w:pPr>
    <w:rPr>
      <w:color w:val="000000" w:themeColor="text1"/>
    </w:rPr>
    <w:tblPr>
      <w:tblStyleRowBandSize w:val="1"/>
      <w:tblStyleColBandSize w:val="1"/>
      <w:tblBorders>
        <w:insideH w:val="single" w:sz="4" w:space="0" w:color="FFFFFF" w:themeColor="background1"/>
      </w:tblBorders>
    </w:tblPr>
    <w:tcPr>
      <w:shd w:val="clear" w:color="auto" w:fill="DEDEF0" w:themeFill="accent4" w:themeFillTint="33"/>
    </w:tcPr>
    <w:tblStylePr w:type="firstRow">
      <w:rPr>
        <w:b/>
        <w:bCs/>
      </w:rPr>
      <w:tblPr/>
      <w:tcPr>
        <w:shd w:val="clear" w:color="auto" w:fill="BEBDE1" w:themeFill="accent4" w:themeFillTint="66"/>
      </w:tcPr>
    </w:tblStylePr>
    <w:tblStylePr w:type="lastRow">
      <w:rPr>
        <w:b/>
        <w:bCs/>
        <w:color w:val="000000" w:themeColor="text1"/>
      </w:rPr>
      <w:tblPr/>
      <w:tcPr>
        <w:shd w:val="clear" w:color="auto" w:fill="BEBDE1" w:themeFill="accent4" w:themeFillTint="66"/>
      </w:tcPr>
    </w:tblStylePr>
    <w:tblStylePr w:type="firstCol">
      <w:rPr>
        <w:color w:val="FFFFFF" w:themeColor="background1"/>
      </w:rPr>
      <w:tblPr/>
      <w:tcPr>
        <w:shd w:val="clear" w:color="auto" w:fill="413F8D" w:themeFill="accent4" w:themeFillShade="BF"/>
      </w:tcPr>
    </w:tblStylePr>
    <w:tblStylePr w:type="lastCol">
      <w:rPr>
        <w:color w:val="FFFFFF" w:themeColor="background1"/>
      </w:rPr>
      <w:tblPr/>
      <w:tcPr>
        <w:shd w:val="clear" w:color="auto" w:fill="413F8D" w:themeFill="accent4" w:themeFillShade="BF"/>
      </w:tcPr>
    </w:tblStylePr>
    <w:tblStylePr w:type="band1Vert">
      <w:tblPr/>
      <w:tcPr>
        <w:shd w:val="clear" w:color="auto" w:fill="AFADDA" w:themeFill="accent4" w:themeFillTint="7F"/>
      </w:tcPr>
    </w:tblStylePr>
    <w:tblStylePr w:type="band1Horz">
      <w:tblPr/>
      <w:tcPr>
        <w:shd w:val="clear" w:color="auto" w:fill="AFADDA" w:themeFill="accent4" w:themeFillTint="7F"/>
      </w:tcPr>
    </w:tblStylePr>
  </w:style>
  <w:style w:type="table" w:styleId="ColorfulGrid-Accent5">
    <w:name w:val="Colorful Grid Accent 5"/>
    <w:basedOn w:val="TableNormal"/>
    <w:uiPriority w:val="73"/>
    <w:semiHidden/>
    <w:unhideWhenUsed/>
    <w:rsid w:val="00A37AEB"/>
    <w:pPr>
      <w:spacing w:after="0"/>
    </w:pPr>
    <w:rPr>
      <w:color w:val="000000" w:themeColor="text1"/>
    </w:rPr>
    <w:tblPr>
      <w:tblStyleRowBandSize w:val="1"/>
      <w:tblStyleColBandSize w:val="1"/>
      <w:tblBorders>
        <w:insideH w:val="single" w:sz="4" w:space="0" w:color="FFFFFF" w:themeColor="background1"/>
      </w:tblBorders>
    </w:tblPr>
    <w:tcPr>
      <w:shd w:val="clear" w:color="auto" w:fill="EAEEF0" w:themeFill="accent5" w:themeFillTint="33"/>
    </w:tcPr>
    <w:tblStylePr w:type="firstRow">
      <w:rPr>
        <w:b/>
        <w:bCs/>
      </w:rPr>
      <w:tblPr/>
      <w:tcPr>
        <w:shd w:val="clear" w:color="auto" w:fill="D5DDE1" w:themeFill="accent5" w:themeFillTint="66"/>
      </w:tcPr>
    </w:tblStylePr>
    <w:tblStylePr w:type="lastRow">
      <w:rPr>
        <w:b/>
        <w:bCs/>
        <w:color w:val="000000" w:themeColor="text1"/>
      </w:rPr>
      <w:tblPr/>
      <w:tcPr>
        <w:shd w:val="clear" w:color="auto" w:fill="D5DDE1" w:themeFill="accent5" w:themeFillTint="66"/>
      </w:tcPr>
    </w:tblStylePr>
    <w:tblStylePr w:type="firstCol">
      <w:rPr>
        <w:color w:val="FFFFFF" w:themeColor="background1"/>
      </w:rPr>
      <w:tblPr/>
      <w:tcPr>
        <w:shd w:val="clear" w:color="auto" w:fill="678292" w:themeFill="accent5" w:themeFillShade="BF"/>
      </w:tcPr>
    </w:tblStylePr>
    <w:tblStylePr w:type="lastCol">
      <w:rPr>
        <w:color w:val="FFFFFF" w:themeColor="background1"/>
      </w:rPr>
      <w:tblPr/>
      <w:tcPr>
        <w:shd w:val="clear" w:color="auto" w:fill="678292" w:themeFill="accent5" w:themeFillShade="BF"/>
      </w:tcPr>
    </w:tblStylePr>
    <w:tblStylePr w:type="band1Vert">
      <w:tblPr/>
      <w:tcPr>
        <w:shd w:val="clear" w:color="auto" w:fill="CBD5DA" w:themeFill="accent5" w:themeFillTint="7F"/>
      </w:tcPr>
    </w:tblStylePr>
    <w:tblStylePr w:type="band1Horz">
      <w:tblPr/>
      <w:tcPr>
        <w:shd w:val="clear" w:color="auto" w:fill="CBD5DA" w:themeFill="accent5" w:themeFillTint="7F"/>
      </w:tcPr>
    </w:tblStylePr>
  </w:style>
  <w:style w:type="table" w:styleId="ColorfulGrid-Accent6">
    <w:name w:val="Colorful Grid Accent 6"/>
    <w:basedOn w:val="TableNormal"/>
    <w:uiPriority w:val="73"/>
    <w:semiHidden/>
    <w:unhideWhenUsed/>
    <w:rsid w:val="00A37AEB"/>
    <w:pPr>
      <w:spacing w:after="0"/>
    </w:pPr>
    <w:rPr>
      <w:color w:val="000000" w:themeColor="text1"/>
    </w:rPr>
    <w:tblPr>
      <w:tblStyleRowBandSize w:val="1"/>
      <w:tblStyleColBandSize w:val="1"/>
      <w:tblBorders>
        <w:insideH w:val="single" w:sz="4" w:space="0" w:color="FFFFFF" w:themeColor="background1"/>
      </w:tblBorders>
    </w:tblPr>
    <w:tcPr>
      <w:shd w:val="clear" w:color="auto" w:fill="EAEEF0" w:themeFill="accent6" w:themeFillTint="33"/>
    </w:tcPr>
    <w:tblStylePr w:type="firstRow">
      <w:rPr>
        <w:b/>
        <w:bCs/>
      </w:rPr>
      <w:tblPr/>
      <w:tcPr>
        <w:shd w:val="clear" w:color="auto" w:fill="D5DDE1" w:themeFill="accent6" w:themeFillTint="66"/>
      </w:tcPr>
    </w:tblStylePr>
    <w:tblStylePr w:type="lastRow">
      <w:rPr>
        <w:b/>
        <w:bCs/>
        <w:color w:val="000000" w:themeColor="text1"/>
      </w:rPr>
      <w:tblPr/>
      <w:tcPr>
        <w:shd w:val="clear" w:color="auto" w:fill="D5DDE1" w:themeFill="accent6" w:themeFillTint="66"/>
      </w:tcPr>
    </w:tblStylePr>
    <w:tblStylePr w:type="firstCol">
      <w:rPr>
        <w:color w:val="FFFFFF" w:themeColor="background1"/>
      </w:rPr>
      <w:tblPr/>
      <w:tcPr>
        <w:shd w:val="clear" w:color="auto" w:fill="678292" w:themeFill="accent6" w:themeFillShade="BF"/>
      </w:tcPr>
    </w:tblStylePr>
    <w:tblStylePr w:type="lastCol">
      <w:rPr>
        <w:color w:val="FFFFFF" w:themeColor="background1"/>
      </w:rPr>
      <w:tblPr/>
      <w:tcPr>
        <w:shd w:val="clear" w:color="auto" w:fill="678292" w:themeFill="accent6" w:themeFillShade="BF"/>
      </w:tcPr>
    </w:tblStylePr>
    <w:tblStylePr w:type="band1Vert">
      <w:tblPr/>
      <w:tcPr>
        <w:shd w:val="clear" w:color="auto" w:fill="CBD5DA" w:themeFill="accent6" w:themeFillTint="7F"/>
      </w:tcPr>
    </w:tblStylePr>
    <w:tblStylePr w:type="band1Horz">
      <w:tblPr/>
      <w:tcPr>
        <w:shd w:val="clear" w:color="auto" w:fill="CBD5DA" w:themeFill="accent6" w:themeFillTint="7F"/>
      </w:tcPr>
    </w:tblStylePr>
  </w:style>
  <w:style w:type="table" w:styleId="ColorfulList">
    <w:name w:val="Colorful List"/>
    <w:basedOn w:val="TableNormal"/>
    <w:uiPriority w:val="72"/>
    <w:semiHidden/>
    <w:unhideWhenUsed/>
    <w:rsid w:val="00A37AEB"/>
    <w:pPr>
      <w:spacing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F874B" w:themeFill="accent2" w:themeFillShade="CC"/>
      </w:tcPr>
    </w:tblStylePr>
    <w:tblStylePr w:type="lastRow">
      <w:rPr>
        <w:b/>
        <w:bCs/>
        <w:color w:val="3F874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37AEB"/>
    <w:pPr>
      <w:spacing w:after="0"/>
    </w:pPr>
    <w:rPr>
      <w:color w:val="000000" w:themeColor="text1"/>
    </w:rPr>
    <w:tblPr>
      <w:tblStyleRowBandSize w:val="1"/>
      <w:tblStyleColBandSize w:val="1"/>
    </w:tblPr>
    <w:tcPr>
      <w:shd w:val="clear" w:color="auto" w:fill="F4F6F7" w:themeFill="accent1" w:themeFillTint="19"/>
    </w:tcPr>
    <w:tblStylePr w:type="firstRow">
      <w:rPr>
        <w:b/>
        <w:bCs/>
        <w:color w:val="FFFFFF" w:themeColor="background1"/>
      </w:rPr>
      <w:tblPr/>
      <w:tcPr>
        <w:tcBorders>
          <w:bottom w:val="single" w:sz="12" w:space="0" w:color="FFFFFF" w:themeColor="background1"/>
        </w:tcBorders>
        <w:shd w:val="clear" w:color="auto" w:fill="3F874B" w:themeFill="accent2" w:themeFillShade="CC"/>
      </w:tcPr>
    </w:tblStylePr>
    <w:tblStylePr w:type="lastRow">
      <w:rPr>
        <w:b/>
        <w:bCs/>
        <w:color w:val="3F874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EAED" w:themeFill="accent1" w:themeFillTint="3F"/>
      </w:tcPr>
    </w:tblStylePr>
    <w:tblStylePr w:type="band1Horz">
      <w:tblPr/>
      <w:tcPr>
        <w:shd w:val="clear" w:color="auto" w:fill="EAEEF0" w:themeFill="accent1" w:themeFillTint="33"/>
      </w:tcPr>
    </w:tblStylePr>
  </w:style>
  <w:style w:type="table" w:styleId="ColorfulList-Accent2">
    <w:name w:val="Colorful List Accent 2"/>
    <w:basedOn w:val="TableNormal"/>
    <w:uiPriority w:val="72"/>
    <w:semiHidden/>
    <w:unhideWhenUsed/>
    <w:rsid w:val="00A37AEB"/>
    <w:pPr>
      <w:spacing w:after="0"/>
    </w:pPr>
    <w:rPr>
      <w:color w:val="000000" w:themeColor="text1"/>
    </w:rPr>
    <w:tblPr>
      <w:tblStyleRowBandSize w:val="1"/>
      <w:tblStyleColBandSize w:val="1"/>
    </w:tblPr>
    <w:tcPr>
      <w:shd w:val="clear" w:color="auto" w:fill="EDF7EF" w:themeFill="accent2" w:themeFillTint="19"/>
    </w:tcPr>
    <w:tblStylePr w:type="firstRow">
      <w:rPr>
        <w:b/>
        <w:bCs/>
        <w:color w:val="FFFFFF" w:themeColor="background1"/>
      </w:rPr>
      <w:tblPr/>
      <w:tcPr>
        <w:tcBorders>
          <w:bottom w:val="single" w:sz="12" w:space="0" w:color="FFFFFF" w:themeColor="background1"/>
        </w:tcBorders>
        <w:shd w:val="clear" w:color="auto" w:fill="3F874B" w:themeFill="accent2" w:themeFillShade="CC"/>
      </w:tcPr>
    </w:tblStylePr>
    <w:tblStylePr w:type="lastRow">
      <w:rPr>
        <w:b/>
        <w:bCs/>
        <w:color w:val="3F874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D6" w:themeFill="accent2" w:themeFillTint="3F"/>
      </w:tcPr>
    </w:tblStylePr>
    <w:tblStylePr w:type="band1Horz">
      <w:tblPr/>
      <w:tcPr>
        <w:shd w:val="clear" w:color="auto" w:fill="DBEEDE" w:themeFill="accent2" w:themeFillTint="33"/>
      </w:tcPr>
    </w:tblStylePr>
  </w:style>
  <w:style w:type="table" w:styleId="ColorfulList-Accent3">
    <w:name w:val="Colorful List Accent 3"/>
    <w:basedOn w:val="TableNormal"/>
    <w:uiPriority w:val="72"/>
    <w:semiHidden/>
    <w:unhideWhenUsed/>
    <w:rsid w:val="00A37AEB"/>
    <w:pPr>
      <w:spacing w:after="0"/>
    </w:pPr>
    <w:rPr>
      <w:color w:val="000000" w:themeColor="text1"/>
    </w:rPr>
    <w:tblPr>
      <w:tblStyleRowBandSize w:val="1"/>
      <w:tblStyleColBandSize w:val="1"/>
    </w:tblPr>
    <w:tcPr>
      <w:shd w:val="clear" w:color="auto" w:fill="E2F6FE" w:themeFill="accent3" w:themeFillTint="19"/>
    </w:tcPr>
    <w:tblStylePr w:type="firstRow">
      <w:rPr>
        <w:b/>
        <w:bCs/>
        <w:color w:val="FFFFFF" w:themeColor="background1"/>
      </w:rPr>
      <w:tblPr/>
      <w:tcPr>
        <w:tcBorders>
          <w:bottom w:val="single" w:sz="12" w:space="0" w:color="FFFFFF" w:themeColor="background1"/>
        </w:tcBorders>
        <w:shd w:val="clear" w:color="auto" w:fill="464397" w:themeFill="accent4" w:themeFillShade="CC"/>
      </w:tcPr>
    </w:tblStylePr>
    <w:tblStylePr w:type="lastRow">
      <w:rPr>
        <w:b/>
        <w:bCs/>
        <w:color w:val="464397"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7EAFD" w:themeFill="accent3" w:themeFillTint="3F"/>
      </w:tcPr>
    </w:tblStylePr>
    <w:tblStylePr w:type="band1Horz">
      <w:tblPr/>
      <w:tcPr>
        <w:shd w:val="clear" w:color="auto" w:fill="C5EEFE" w:themeFill="accent3" w:themeFillTint="33"/>
      </w:tcPr>
    </w:tblStylePr>
  </w:style>
  <w:style w:type="table" w:styleId="ColorfulList-Accent4">
    <w:name w:val="Colorful List Accent 4"/>
    <w:basedOn w:val="TableNormal"/>
    <w:uiPriority w:val="72"/>
    <w:semiHidden/>
    <w:unhideWhenUsed/>
    <w:rsid w:val="00A37AEB"/>
    <w:pPr>
      <w:spacing w:after="0"/>
    </w:pPr>
    <w:rPr>
      <w:color w:val="000000" w:themeColor="text1"/>
    </w:rPr>
    <w:tblPr>
      <w:tblStyleRowBandSize w:val="1"/>
      <w:tblStyleColBandSize w:val="1"/>
    </w:tblPr>
    <w:tcPr>
      <w:shd w:val="clear" w:color="auto" w:fill="EFEEF7" w:themeFill="accent4" w:themeFillTint="19"/>
    </w:tcPr>
    <w:tblStylePr w:type="firstRow">
      <w:rPr>
        <w:b/>
        <w:bCs/>
        <w:color w:val="FFFFFF" w:themeColor="background1"/>
      </w:rPr>
      <w:tblPr/>
      <w:tcPr>
        <w:tcBorders>
          <w:bottom w:val="single" w:sz="12" w:space="0" w:color="FFFFFF" w:themeColor="background1"/>
        </w:tcBorders>
        <w:shd w:val="clear" w:color="auto" w:fill="037CAA" w:themeFill="accent3" w:themeFillShade="CC"/>
      </w:tcPr>
    </w:tblStylePr>
    <w:tblStylePr w:type="lastRow">
      <w:rPr>
        <w:b/>
        <w:bCs/>
        <w:color w:val="037CAA"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D6ED" w:themeFill="accent4" w:themeFillTint="3F"/>
      </w:tcPr>
    </w:tblStylePr>
    <w:tblStylePr w:type="band1Horz">
      <w:tblPr/>
      <w:tcPr>
        <w:shd w:val="clear" w:color="auto" w:fill="DEDEF0" w:themeFill="accent4" w:themeFillTint="33"/>
      </w:tcPr>
    </w:tblStylePr>
  </w:style>
  <w:style w:type="table" w:styleId="ColorfulList-Accent5">
    <w:name w:val="Colorful List Accent 5"/>
    <w:basedOn w:val="TableNormal"/>
    <w:uiPriority w:val="72"/>
    <w:semiHidden/>
    <w:unhideWhenUsed/>
    <w:rsid w:val="00A37AEB"/>
    <w:pPr>
      <w:spacing w:after="0"/>
    </w:pPr>
    <w:rPr>
      <w:color w:val="000000" w:themeColor="text1"/>
    </w:rPr>
    <w:tblPr>
      <w:tblStyleRowBandSize w:val="1"/>
      <w:tblStyleColBandSize w:val="1"/>
    </w:tblPr>
    <w:tcPr>
      <w:shd w:val="clear" w:color="auto" w:fill="F4F6F7" w:themeFill="accent5" w:themeFillTint="19"/>
    </w:tcPr>
    <w:tblStylePr w:type="firstRow">
      <w:rPr>
        <w:b/>
        <w:bCs/>
        <w:color w:val="FFFFFF" w:themeColor="background1"/>
      </w:rPr>
      <w:tblPr/>
      <w:tcPr>
        <w:tcBorders>
          <w:bottom w:val="single" w:sz="12" w:space="0" w:color="FFFFFF" w:themeColor="background1"/>
        </w:tcBorders>
        <w:shd w:val="clear" w:color="auto" w:fill="6F8B9A" w:themeFill="accent6" w:themeFillShade="CC"/>
      </w:tcPr>
    </w:tblStylePr>
    <w:tblStylePr w:type="lastRow">
      <w:rPr>
        <w:b/>
        <w:bCs/>
        <w:color w:val="6F8B9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EAED" w:themeFill="accent5" w:themeFillTint="3F"/>
      </w:tcPr>
    </w:tblStylePr>
    <w:tblStylePr w:type="band1Horz">
      <w:tblPr/>
      <w:tcPr>
        <w:shd w:val="clear" w:color="auto" w:fill="EAEEF0" w:themeFill="accent5" w:themeFillTint="33"/>
      </w:tcPr>
    </w:tblStylePr>
  </w:style>
  <w:style w:type="table" w:styleId="ColorfulList-Accent6">
    <w:name w:val="Colorful List Accent 6"/>
    <w:basedOn w:val="TableNormal"/>
    <w:uiPriority w:val="72"/>
    <w:semiHidden/>
    <w:unhideWhenUsed/>
    <w:rsid w:val="00A37AEB"/>
    <w:pPr>
      <w:spacing w:after="0"/>
    </w:pPr>
    <w:rPr>
      <w:color w:val="000000" w:themeColor="text1"/>
    </w:rPr>
    <w:tblPr>
      <w:tblStyleRowBandSize w:val="1"/>
      <w:tblStyleColBandSize w:val="1"/>
    </w:tblPr>
    <w:tcPr>
      <w:shd w:val="clear" w:color="auto" w:fill="F4F6F7" w:themeFill="accent6" w:themeFillTint="19"/>
    </w:tcPr>
    <w:tblStylePr w:type="firstRow">
      <w:rPr>
        <w:b/>
        <w:bCs/>
        <w:color w:val="FFFFFF" w:themeColor="background1"/>
      </w:rPr>
      <w:tblPr/>
      <w:tcPr>
        <w:tcBorders>
          <w:bottom w:val="single" w:sz="12" w:space="0" w:color="FFFFFF" w:themeColor="background1"/>
        </w:tcBorders>
        <w:shd w:val="clear" w:color="auto" w:fill="6F8B9A" w:themeFill="accent5" w:themeFillShade="CC"/>
      </w:tcPr>
    </w:tblStylePr>
    <w:tblStylePr w:type="lastRow">
      <w:rPr>
        <w:b/>
        <w:bCs/>
        <w:color w:val="6F8B9A"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EAED" w:themeFill="accent6" w:themeFillTint="3F"/>
      </w:tcPr>
    </w:tblStylePr>
    <w:tblStylePr w:type="band1Horz">
      <w:tblPr/>
      <w:tcPr>
        <w:shd w:val="clear" w:color="auto" w:fill="EAEEF0" w:themeFill="accent6" w:themeFillTint="33"/>
      </w:tcPr>
    </w:tblStylePr>
  </w:style>
  <w:style w:type="table" w:styleId="ColorfulShading">
    <w:name w:val="Colorful Shading"/>
    <w:basedOn w:val="TableNormal"/>
    <w:uiPriority w:val="71"/>
    <w:semiHidden/>
    <w:unhideWhenUsed/>
    <w:rsid w:val="00A37AEB"/>
    <w:pPr>
      <w:spacing w:after="0"/>
    </w:pPr>
    <w:rPr>
      <w:color w:val="000000" w:themeColor="text1"/>
    </w:rPr>
    <w:tblPr>
      <w:tblStyleRowBandSize w:val="1"/>
      <w:tblStyleColBandSize w:val="1"/>
      <w:tblBorders>
        <w:top w:val="single" w:sz="24" w:space="0" w:color="4FAA5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4FAA5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37AEB"/>
    <w:pPr>
      <w:spacing w:after="0"/>
    </w:pPr>
    <w:rPr>
      <w:color w:val="000000" w:themeColor="text1"/>
    </w:rPr>
    <w:tblPr>
      <w:tblStyleRowBandSize w:val="1"/>
      <w:tblStyleColBandSize w:val="1"/>
      <w:tblBorders>
        <w:top w:val="single" w:sz="24" w:space="0" w:color="4FAA5F" w:themeColor="accent2"/>
        <w:left w:val="single" w:sz="4" w:space="0" w:color="97ABB6" w:themeColor="accent1"/>
        <w:bottom w:val="single" w:sz="4" w:space="0" w:color="97ABB6" w:themeColor="accent1"/>
        <w:right w:val="single" w:sz="4" w:space="0" w:color="97ABB6" w:themeColor="accent1"/>
        <w:insideH w:val="single" w:sz="4" w:space="0" w:color="FFFFFF" w:themeColor="background1"/>
        <w:insideV w:val="single" w:sz="4" w:space="0" w:color="FFFFFF" w:themeColor="background1"/>
      </w:tblBorders>
    </w:tblPr>
    <w:tcPr>
      <w:shd w:val="clear" w:color="auto" w:fill="F4F6F7" w:themeFill="accent1" w:themeFillTint="19"/>
    </w:tcPr>
    <w:tblStylePr w:type="firstRow">
      <w:rPr>
        <w:b/>
        <w:bCs/>
      </w:rPr>
      <w:tblPr/>
      <w:tcPr>
        <w:tcBorders>
          <w:top w:val="nil"/>
          <w:left w:val="nil"/>
          <w:bottom w:val="single" w:sz="24" w:space="0" w:color="4FAA5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6875" w:themeFill="accent1" w:themeFillShade="99"/>
      </w:tcPr>
    </w:tblStylePr>
    <w:tblStylePr w:type="firstCol">
      <w:rPr>
        <w:color w:val="FFFFFF" w:themeColor="background1"/>
      </w:rPr>
      <w:tblPr/>
      <w:tcPr>
        <w:tcBorders>
          <w:top w:val="nil"/>
          <w:left w:val="nil"/>
          <w:bottom w:val="nil"/>
          <w:right w:val="nil"/>
          <w:insideH w:val="single" w:sz="4" w:space="0" w:color="526875" w:themeColor="accent1" w:themeShade="99"/>
          <w:insideV w:val="nil"/>
        </w:tcBorders>
        <w:shd w:val="clear" w:color="auto" w:fill="52687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26875" w:themeFill="accent1" w:themeFillShade="99"/>
      </w:tcPr>
    </w:tblStylePr>
    <w:tblStylePr w:type="band1Vert">
      <w:tblPr/>
      <w:tcPr>
        <w:shd w:val="clear" w:color="auto" w:fill="D5DDE1" w:themeFill="accent1" w:themeFillTint="66"/>
      </w:tcPr>
    </w:tblStylePr>
    <w:tblStylePr w:type="band1Horz">
      <w:tblPr/>
      <w:tcPr>
        <w:shd w:val="clear" w:color="auto" w:fill="CBD5D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37AEB"/>
    <w:pPr>
      <w:spacing w:after="0"/>
    </w:pPr>
    <w:rPr>
      <w:color w:val="000000" w:themeColor="text1"/>
    </w:rPr>
    <w:tblPr>
      <w:tblStyleRowBandSize w:val="1"/>
      <w:tblStyleColBandSize w:val="1"/>
      <w:tblBorders>
        <w:top w:val="single" w:sz="24" w:space="0" w:color="4FAA5F" w:themeColor="accent2"/>
        <w:left w:val="single" w:sz="4" w:space="0" w:color="4FAA5F" w:themeColor="accent2"/>
        <w:bottom w:val="single" w:sz="4" w:space="0" w:color="4FAA5F" w:themeColor="accent2"/>
        <w:right w:val="single" w:sz="4" w:space="0" w:color="4FAA5F" w:themeColor="accent2"/>
        <w:insideH w:val="single" w:sz="4" w:space="0" w:color="FFFFFF" w:themeColor="background1"/>
        <w:insideV w:val="single" w:sz="4" w:space="0" w:color="FFFFFF" w:themeColor="background1"/>
      </w:tblBorders>
    </w:tblPr>
    <w:tcPr>
      <w:shd w:val="clear" w:color="auto" w:fill="EDF7EF" w:themeFill="accent2" w:themeFillTint="19"/>
    </w:tcPr>
    <w:tblStylePr w:type="firstRow">
      <w:rPr>
        <w:b/>
        <w:bCs/>
      </w:rPr>
      <w:tblPr/>
      <w:tcPr>
        <w:tcBorders>
          <w:top w:val="nil"/>
          <w:left w:val="nil"/>
          <w:bottom w:val="single" w:sz="24" w:space="0" w:color="4FAA5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F6538" w:themeFill="accent2" w:themeFillShade="99"/>
      </w:tcPr>
    </w:tblStylePr>
    <w:tblStylePr w:type="firstCol">
      <w:rPr>
        <w:color w:val="FFFFFF" w:themeColor="background1"/>
      </w:rPr>
      <w:tblPr/>
      <w:tcPr>
        <w:tcBorders>
          <w:top w:val="nil"/>
          <w:left w:val="nil"/>
          <w:bottom w:val="nil"/>
          <w:right w:val="nil"/>
          <w:insideH w:val="single" w:sz="4" w:space="0" w:color="2F6538" w:themeColor="accent2" w:themeShade="99"/>
          <w:insideV w:val="nil"/>
        </w:tcBorders>
        <w:shd w:val="clear" w:color="auto" w:fill="2F6538"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F6538" w:themeFill="accent2" w:themeFillShade="99"/>
      </w:tcPr>
    </w:tblStylePr>
    <w:tblStylePr w:type="band1Vert">
      <w:tblPr/>
      <w:tcPr>
        <w:shd w:val="clear" w:color="auto" w:fill="B7DDBE" w:themeFill="accent2" w:themeFillTint="66"/>
      </w:tcPr>
    </w:tblStylePr>
    <w:tblStylePr w:type="band1Horz">
      <w:tblPr/>
      <w:tcPr>
        <w:shd w:val="clear" w:color="auto" w:fill="A6D5AE"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37AEB"/>
    <w:pPr>
      <w:spacing w:after="0"/>
    </w:pPr>
    <w:rPr>
      <w:color w:val="000000" w:themeColor="text1"/>
    </w:rPr>
    <w:tblPr>
      <w:tblStyleRowBandSize w:val="1"/>
      <w:tblStyleColBandSize w:val="1"/>
      <w:tblBorders>
        <w:top w:val="single" w:sz="24" w:space="0" w:color="5F5CB6" w:themeColor="accent4"/>
        <w:left w:val="single" w:sz="4" w:space="0" w:color="049CD5" w:themeColor="accent3"/>
        <w:bottom w:val="single" w:sz="4" w:space="0" w:color="049CD5" w:themeColor="accent3"/>
        <w:right w:val="single" w:sz="4" w:space="0" w:color="049CD5" w:themeColor="accent3"/>
        <w:insideH w:val="single" w:sz="4" w:space="0" w:color="FFFFFF" w:themeColor="background1"/>
        <w:insideV w:val="single" w:sz="4" w:space="0" w:color="FFFFFF" w:themeColor="background1"/>
      </w:tblBorders>
    </w:tblPr>
    <w:tcPr>
      <w:shd w:val="clear" w:color="auto" w:fill="E2F6FE" w:themeFill="accent3" w:themeFillTint="19"/>
    </w:tcPr>
    <w:tblStylePr w:type="firstRow">
      <w:rPr>
        <w:b/>
        <w:bCs/>
      </w:rPr>
      <w:tblPr/>
      <w:tcPr>
        <w:tcBorders>
          <w:top w:val="nil"/>
          <w:left w:val="nil"/>
          <w:bottom w:val="single" w:sz="24" w:space="0" w:color="5F5CB6"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25D7F" w:themeFill="accent3" w:themeFillShade="99"/>
      </w:tcPr>
    </w:tblStylePr>
    <w:tblStylePr w:type="firstCol">
      <w:rPr>
        <w:color w:val="FFFFFF" w:themeColor="background1"/>
      </w:rPr>
      <w:tblPr/>
      <w:tcPr>
        <w:tcBorders>
          <w:top w:val="nil"/>
          <w:left w:val="nil"/>
          <w:bottom w:val="nil"/>
          <w:right w:val="nil"/>
          <w:insideH w:val="single" w:sz="4" w:space="0" w:color="025D7F" w:themeColor="accent3" w:themeShade="99"/>
          <w:insideV w:val="nil"/>
        </w:tcBorders>
        <w:shd w:val="clear" w:color="auto" w:fill="025D7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25D7F" w:themeFill="accent3" w:themeFillShade="99"/>
      </w:tcPr>
    </w:tblStylePr>
    <w:tblStylePr w:type="band1Vert">
      <w:tblPr/>
      <w:tcPr>
        <w:shd w:val="clear" w:color="auto" w:fill="8BDDFC" w:themeFill="accent3" w:themeFillTint="66"/>
      </w:tcPr>
    </w:tblStylePr>
    <w:tblStylePr w:type="band1Horz">
      <w:tblPr/>
      <w:tcPr>
        <w:shd w:val="clear" w:color="auto" w:fill="6FD5FC" w:themeFill="accent3" w:themeFillTint="7F"/>
      </w:tcPr>
    </w:tblStylePr>
  </w:style>
  <w:style w:type="table" w:styleId="ColorfulShading-Accent4">
    <w:name w:val="Colorful Shading Accent 4"/>
    <w:basedOn w:val="TableNormal"/>
    <w:uiPriority w:val="71"/>
    <w:semiHidden/>
    <w:unhideWhenUsed/>
    <w:rsid w:val="00A37AEB"/>
    <w:pPr>
      <w:spacing w:after="0"/>
    </w:pPr>
    <w:rPr>
      <w:color w:val="000000" w:themeColor="text1"/>
    </w:rPr>
    <w:tblPr>
      <w:tblStyleRowBandSize w:val="1"/>
      <w:tblStyleColBandSize w:val="1"/>
      <w:tblBorders>
        <w:top w:val="single" w:sz="24" w:space="0" w:color="049CD5" w:themeColor="accent3"/>
        <w:left w:val="single" w:sz="4" w:space="0" w:color="5F5CB6" w:themeColor="accent4"/>
        <w:bottom w:val="single" w:sz="4" w:space="0" w:color="5F5CB6" w:themeColor="accent4"/>
        <w:right w:val="single" w:sz="4" w:space="0" w:color="5F5CB6" w:themeColor="accent4"/>
        <w:insideH w:val="single" w:sz="4" w:space="0" w:color="FFFFFF" w:themeColor="background1"/>
        <w:insideV w:val="single" w:sz="4" w:space="0" w:color="FFFFFF" w:themeColor="background1"/>
      </w:tblBorders>
    </w:tblPr>
    <w:tcPr>
      <w:shd w:val="clear" w:color="auto" w:fill="EFEEF7" w:themeFill="accent4" w:themeFillTint="19"/>
    </w:tcPr>
    <w:tblStylePr w:type="firstRow">
      <w:rPr>
        <w:b/>
        <w:bCs/>
      </w:rPr>
      <w:tblPr/>
      <w:tcPr>
        <w:tcBorders>
          <w:top w:val="nil"/>
          <w:left w:val="nil"/>
          <w:bottom w:val="single" w:sz="24" w:space="0" w:color="049CD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3371" w:themeFill="accent4" w:themeFillShade="99"/>
      </w:tcPr>
    </w:tblStylePr>
    <w:tblStylePr w:type="firstCol">
      <w:rPr>
        <w:color w:val="FFFFFF" w:themeColor="background1"/>
      </w:rPr>
      <w:tblPr/>
      <w:tcPr>
        <w:tcBorders>
          <w:top w:val="nil"/>
          <w:left w:val="nil"/>
          <w:bottom w:val="nil"/>
          <w:right w:val="nil"/>
          <w:insideH w:val="single" w:sz="4" w:space="0" w:color="343371" w:themeColor="accent4" w:themeShade="99"/>
          <w:insideV w:val="nil"/>
        </w:tcBorders>
        <w:shd w:val="clear" w:color="auto" w:fill="343371"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43371" w:themeFill="accent4" w:themeFillShade="99"/>
      </w:tcPr>
    </w:tblStylePr>
    <w:tblStylePr w:type="band1Vert">
      <w:tblPr/>
      <w:tcPr>
        <w:shd w:val="clear" w:color="auto" w:fill="BEBDE1" w:themeFill="accent4" w:themeFillTint="66"/>
      </w:tcPr>
    </w:tblStylePr>
    <w:tblStylePr w:type="band1Horz">
      <w:tblPr/>
      <w:tcPr>
        <w:shd w:val="clear" w:color="auto" w:fill="AFADDA"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37AEB"/>
    <w:pPr>
      <w:spacing w:after="0"/>
    </w:pPr>
    <w:rPr>
      <w:color w:val="000000" w:themeColor="text1"/>
    </w:rPr>
    <w:tblPr>
      <w:tblStyleRowBandSize w:val="1"/>
      <w:tblStyleColBandSize w:val="1"/>
      <w:tblBorders>
        <w:top w:val="single" w:sz="24" w:space="0" w:color="97ABB6" w:themeColor="accent6"/>
        <w:left w:val="single" w:sz="4" w:space="0" w:color="97ABB6" w:themeColor="accent5"/>
        <w:bottom w:val="single" w:sz="4" w:space="0" w:color="97ABB6" w:themeColor="accent5"/>
        <w:right w:val="single" w:sz="4" w:space="0" w:color="97ABB6" w:themeColor="accent5"/>
        <w:insideH w:val="single" w:sz="4" w:space="0" w:color="FFFFFF" w:themeColor="background1"/>
        <w:insideV w:val="single" w:sz="4" w:space="0" w:color="FFFFFF" w:themeColor="background1"/>
      </w:tblBorders>
    </w:tblPr>
    <w:tcPr>
      <w:shd w:val="clear" w:color="auto" w:fill="F4F6F7" w:themeFill="accent5" w:themeFillTint="19"/>
    </w:tcPr>
    <w:tblStylePr w:type="firstRow">
      <w:rPr>
        <w:b/>
        <w:bCs/>
      </w:rPr>
      <w:tblPr/>
      <w:tcPr>
        <w:tcBorders>
          <w:top w:val="nil"/>
          <w:left w:val="nil"/>
          <w:bottom w:val="single" w:sz="24" w:space="0" w:color="97ABB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6875" w:themeFill="accent5" w:themeFillShade="99"/>
      </w:tcPr>
    </w:tblStylePr>
    <w:tblStylePr w:type="firstCol">
      <w:rPr>
        <w:color w:val="FFFFFF" w:themeColor="background1"/>
      </w:rPr>
      <w:tblPr/>
      <w:tcPr>
        <w:tcBorders>
          <w:top w:val="nil"/>
          <w:left w:val="nil"/>
          <w:bottom w:val="nil"/>
          <w:right w:val="nil"/>
          <w:insideH w:val="single" w:sz="4" w:space="0" w:color="526875" w:themeColor="accent5" w:themeShade="99"/>
          <w:insideV w:val="nil"/>
        </w:tcBorders>
        <w:shd w:val="clear" w:color="auto" w:fill="526875"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26875" w:themeFill="accent5" w:themeFillShade="99"/>
      </w:tcPr>
    </w:tblStylePr>
    <w:tblStylePr w:type="band1Vert">
      <w:tblPr/>
      <w:tcPr>
        <w:shd w:val="clear" w:color="auto" w:fill="D5DDE1" w:themeFill="accent5" w:themeFillTint="66"/>
      </w:tcPr>
    </w:tblStylePr>
    <w:tblStylePr w:type="band1Horz">
      <w:tblPr/>
      <w:tcPr>
        <w:shd w:val="clear" w:color="auto" w:fill="CBD5D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37AEB"/>
    <w:pPr>
      <w:spacing w:after="0"/>
    </w:pPr>
    <w:rPr>
      <w:color w:val="000000" w:themeColor="text1"/>
    </w:rPr>
    <w:tblPr>
      <w:tblStyleRowBandSize w:val="1"/>
      <w:tblStyleColBandSize w:val="1"/>
      <w:tblBorders>
        <w:top w:val="single" w:sz="24" w:space="0" w:color="97ABB6" w:themeColor="accent5"/>
        <w:left w:val="single" w:sz="4" w:space="0" w:color="97ABB6" w:themeColor="accent6"/>
        <w:bottom w:val="single" w:sz="4" w:space="0" w:color="97ABB6" w:themeColor="accent6"/>
        <w:right w:val="single" w:sz="4" w:space="0" w:color="97ABB6" w:themeColor="accent6"/>
        <w:insideH w:val="single" w:sz="4" w:space="0" w:color="FFFFFF" w:themeColor="background1"/>
        <w:insideV w:val="single" w:sz="4" w:space="0" w:color="FFFFFF" w:themeColor="background1"/>
      </w:tblBorders>
    </w:tblPr>
    <w:tcPr>
      <w:shd w:val="clear" w:color="auto" w:fill="F4F6F7" w:themeFill="accent6" w:themeFillTint="19"/>
    </w:tcPr>
    <w:tblStylePr w:type="firstRow">
      <w:rPr>
        <w:b/>
        <w:bCs/>
      </w:rPr>
      <w:tblPr/>
      <w:tcPr>
        <w:tcBorders>
          <w:top w:val="nil"/>
          <w:left w:val="nil"/>
          <w:bottom w:val="single" w:sz="24" w:space="0" w:color="97ABB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6875" w:themeFill="accent6" w:themeFillShade="99"/>
      </w:tcPr>
    </w:tblStylePr>
    <w:tblStylePr w:type="firstCol">
      <w:rPr>
        <w:color w:val="FFFFFF" w:themeColor="background1"/>
      </w:rPr>
      <w:tblPr/>
      <w:tcPr>
        <w:tcBorders>
          <w:top w:val="nil"/>
          <w:left w:val="nil"/>
          <w:bottom w:val="nil"/>
          <w:right w:val="nil"/>
          <w:insideH w:val="single" w:sz="4" w:space="0" w:color="526875" w:themeColor="accent6" w:themeShade="99"/>
          <w:insideV w:val="nil"/>
        </w:tcBorders>
        <w:shd w:val="clear" w:color="auto" w:fill="526875"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26875" w:themeFill="accent6" w:themeFillShade="99"/>
      </w:tcPr>
    </w:tblStylePr>
    <w:tblStylePr w:type="band1Vert">
      <w:tblPr/>
      <w:tcPr>
        <w:shd w:val="clear" w:color="auto" w:fill="D5DDE1" w:themeFill="accent6" w:themeFillTint="66"/>
      </w:tcPr>
    </w:tblStylePr>
    <w:tblStylePr w:type="band1Horz">
      <w:tblPr/>
      <w:tcPr>
        <w:shd w:val="clear" w:color="auto" w:fill="CBD5DA"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semiHidden/>
    <w:unhideWhenUsed/>
    <w:rsid w:val="00A37AEB"/>
    <w:rPr>
      <w:sz w:val="16"/>
      <w:szCs w:val="16"/>
    </w:rPr>
  </w:style>
  <w:style w:type="paragraph" w:styleId="CommentText">
    <w:name w:val="annotation text"/>
    <w:basedOn w:val="Normal"/>
    <w:link w:val="CommentTextChar"/>
    <w:semiHidden/>
    <w:unhideWhenUsed/>
    <w:rsid w:val="00A37AEB"/>
  </w:style>
  <w:style w:type="character" w:customStyle="1" w:styleId="CommentTextChar">
    <w:name w:val="Comment Text Char"/>
    <w:basedOn w:val="DefaultParagraphFont"/>
    <w:link w:val="CommentText"/>
    <w:semiHidden/>
    <w:rsid w:val="00A37AEB"/>
  </w:style>
  <w:style w:type="paragraph" w:styleId="CommentSubject">
    <w:name w:val="annotation subject"/>
    <w:basedOn w:val="CommentText"/>
    <w:next w:val="CommentText"/>
    <w:link w:val="CommentSubjectChar"/>
    <w:semiHidden/>
    <w:unhideWhenUsed/>
    <w:rsid w:val="00A37AEB"/>
    <w:rPr>
      <w:b/>
      <w:bCs/>
    </w:rPr>
  </w:style>
  <w:style w:type="character" w:customStyle="1" w:styleId="CommentSubjectChar">
    <w:name w:val="Comment Subject Char"/>
    <w:basedOn w:val="CommentTextChar"/>
    <w:link w:val="CommentSubject"/>
    <w:semiHidden/>
    <w:rsid w:val="00A37AEB"/>
    <w:rPr>
      <w:b/>
      <w:bCs/>
    </w:rPr>
  </w:style>
  <w:style w:type="table" w:styleId="DarkList">
    <w:name w:val="Dark List"/>
    <w:basedOn w:val="TableNormal"/>
    <w:uiPriority w:val="70"/>
    <w:semiHidden/>
    <w:unhideWhenUsed/>
    <w:rsid w:val="00A37AEB"/>
    <w:pPr>
      <w:spacing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37AEB"/>
    <w:pPr>
      <w:spacing w:after="0"/>
    </w:pPr>
    <w:rPr>
      <w:color w:val="FFFFFF" w:themeColor="background1"/>
    </w:rPr>
    <w:tblPr>
      <w:tblStyleRowBandSize w:val="1"/>
      <w:tblStyleColBandSize w:val="1"/>
    </w:tblPr>
    <w:tcPr>
      <w:shd w:val="clear" w:color="auto" w:fill="97ABB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5661"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7829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78292" w:themeFill="accent1" w:themeFillShade="BF"/>
      </w:tcPr>
    </w:tblStylePr>
    <w:tblStylePr w:type="band1Vert">
      <w:tblPr/>
      <w:tcPr>
        <w:tcBorders>
          <w:top w:val="nil"/>
          <w:left w:val="nil"/>
          <w:bottom w:val="nil"/>
          <w:right w:val="nil"/>
          <w:insideH w:val="nil"/>
          <w:insideV w:val="nil"/>
        </w:tcBorders>
        <w:shd w:val="clear" w:color="auto" w:fill="678292" w:themeFill="accent1" w:themeFillShade="BF"/>
      </w:tcPr>
    </w:tblStylePr>
    <w:tblStylePr w:type="band1Horz">
      <w:tblPr/>
      <w:tcPr>
        <w:tcBorders>
          <w:top w:val="nil"/>
          <w:left w:val="nil"/>
          <w:bottom w:val="nil"/>
          <w:right w:val="nil"/>
          <w:insideH w:val="nil"/>
          <w:insideV w:val="nil"/>
        </w:tcBorders>
        <w:shd w:val="clear" w:color="auto" w:fill="678292" w:themeFill="accent1" w:themeFillShade="BF"/>
      </w:tcPr>
    </w:tblStylePr>
  </w:style>
  <w:style w:type="table" w:styleId="DarkList-Accent2">
    <w:name w:val="Dark List Accent 2"/>
    <w:basedOn w:val="TableNormal"/>
    <w:uiPriority w:val="70"/>
    <w:semiHidden/>
    <w:unhideWhenUsed/>
    <w:rsid w:val="00A37AEB"/>
    <w:pPr>
      <w:spacing w:after="0"/>
    </w:pPr>
    <w:rPr>
      <w:color w:val="FFFFFF" w:themeColor="background1"/>
    </w:rPr>
    <w:tblPr>
      <w:tblStyleRowBandSize w:val="1"/>
      <w:tblStyleColBandSize w:val="1"/>
    </w:tblPr>
    <w:tcPr>
      <w:shd w:val="clear" w:color="auto" w:fill="4FAA5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7542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3B7F4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3B7F46" w:themeFill="accent2" w:themeFillShade="BF"/>
      </w:tcPr>
    </w:tblStylePr>
    <w:tblStylePr w:type="band1Vert">
      <w:tblPr/>
      <w:tcPr>
        <w:tcBorders>
          <w:top w:val="nil"/>
          <w:left w:val="nil"/>
          <w:bottom w:val="nil"/>
          <w:right w:val="nil"/>
          <w:insideH w:val="nil"/>
          <w:insideV w:val="nil"/>
        </w:tcBorders>
        <w:shd w:val="clear" w:color="auto" w:fill="3B7F46" w:themeFill="accent2" w:themeFillShade="BF"/>
      </w:tcPr>
    </w:tblStylePr>
    <w:tblStylePr w:type="band1Horz">
      <w:tblPr/>
      <w:tcPr>
        <w:tcBorders>
          <w:top w:val="nil"/>
          <w:left w:val="nil"/>
          <w:bottom w:val="nil"/>
          <w:right w:val="nil"/>
          <w:insideH w:val="nil"/>
          <w:insideV w:val="nil"/>
        </w:tcBorders>
        <w:shd w:val="clear" w:color="auto" w:fill="3B7F46" w:themeFill="accent2" w:themeFillShade="BF"/>
      </w:tcPr>
    </w:tblStylePr>
  </w:style>
  <w:style w:type="table" w:styleId="DarkList-Accent3">
    <w:name w:val="Dark List Accent 3"/>
    <w:basedOn w:val="TableNormal"/>
    <w:uiPriority w:val="70"/>
    <w:semiHidden/>
    <w:unhideWhenUsed/>
    <w:rsid w:val="00A37AEB"/>
    <w:pPr>
      <w:spacing w:after="0"/>
    </w:pPr>
    <w:rPr>
      <w:color w:val="FFFFFF" w:themeColor="background1"/>
    </w:rPr>
    <w:tblPr>
      <w:tblStyleRowBandSize w:val="1"/>
      <w:tblStyleColBandSize w:val="1"/>
    </w:tblPr>
    <w:tcPr>
      <w:shd w:val="clear" w:color="auto" w:fill="049CD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24D6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3749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3749F" w:themeFill="accent3" w:themeFillShade="BF"/>
      </w:tcPr>
    </w:tblStylePr>
    <w:tblStylePr w:type="band1Vert">
      <w:tblPr/>
      <w:tcPr>
        <w:tcBorders>
          <w:top w:val="nil"/>
          <w:left w:val="nil"/>
          <w:bottom w:val="nil"/>
          <w:right w:val="nil"/>
          <w:insideH w:val="nil"/>
          <w:insideV w:val="nil"/>
        </w:tcBorders>
        <w:shd w:val="clear" w:color="auto" w:fill="03749F" w:themeFill="accent3" w:themeFillShade="BF"/>
      </w:tcPr>
    </w:tblStylePr>
    <w:tblStylePr w:type="band1Horz">
      <w:tblPr/>
      <w:tcPr>
        <w:tcBorders>
          <w:top w:val="nil"/>
          <w:left w:val="nil"/>
          <w:bottom w:val="nil"/>
          <w:right w:val="nil"/>
          <w:insideH w:val="nil"/>
          <w:insideV w:val="nil"/>
        </w:tcBorders>
        <w:shd w:val="clear" w:color="auto" w:fill="03749F" w:themeFill="accent3" w:themeFillShade="BF"/>
      </w:tcPr>
    </w:tblStylePr>
  </w:style>
  <w:style w:type="table" w:styleId="DarkList-Accent4">
    <w:name w:val="Dark List Accent 4"/>
    <w:basedOn w:val="TableNormal"/>
    <w:uiPriority w:val="70"/>
    <w:semiHidden/>
    <w:unhideWhenUsed/>
    <w:rsid w:val="00A37AEB"/>
    <w:pPr>
      <w:spacing w:after="0"/>
    </w:pPr>
    <w:rPr>
      <w:color w:val="FFFFFF" w:themeColor="background1"/>
    </w:rPr>
    <w:tblPr>
      <w:tblStyleRowBandSize w:val="1"/>
      <w:tblStyleColBandSize w:val="1"/>
    </w:tblPr>
    <w:tcPr>
      <w:shd w:val="clear" w:color="auto" w:fill="5F5CB6"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B2A5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13F8D"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13F8D" w:themeFill="accent4" w:themeFillShade="BF"/>
      </w:tcPr>
    </w:tblStylePr>
    <w:tblStylePr w:type="band1Vert">
      <w:tblPr/>
      <w:tcPr>
        <w:tcBorders>
          <w:top w:val="nil"/>
          <w:left w:val="nil"/>
          <w:bottom w:val="nil"/>
          <w:right w:val="nil"/>
          <w:insideH w:val="nil"/>
          <w:insideV w:val="nil"/>
        </w:tcBorders>
        <w:shd w:val="clear" w:color="auto" w:fill="413F8D" w:themeFill="accent4" w:themeFillShade="BF"/>
      </w:tcPr>
    </w:tblStylePr>
    <w:tblStylePr w:type="band1Horz">
      <w:tblPr/>
      <w:tcPr>
        <w:tcBorders>
          <w:top w:val="nil"/>
          <w:left w:val="nil"/>
          <w:bottom w:val="nil"/>
          <w:right w:val="nil"/>
          <w:insideH w:val="nil"/>
          <w:insideV w:val="nil"/>
        </w:tcBorders>
        <w:shd w:val="clear" w:color="auto" w:fill="413F8D" w:themeFill="accent4" w:themeFillShade="BF"/>
      </w:tcPr>
    </w:tblStylePr>
  </w:style>
  <w:style w:type="table" w:styleId="DarkList-Accent5">
    <w:name w:val="Dark List Accent 5"/>
    <w:basedOn w:val="TableNormal"/>
    <w:uiPriority w:val="70"/>
    <w:semiHidden/>
    <w:unhideWhenUsed/>
    <w:rsid w:val="00A37AEB"/>
    <w:pPr>
      <w:spacing w:after="0"/>
    </w:pPr>
    <w:rPr>
      <w:color w:val="FFFFFF" w:themeColor="background1"/>
    </w:rPr>
    <w:tblPr>
      <w:tblStyleRowBandSize w:val="1"/>
      <w:tblStyleColBandSize w:val="1"/>
    </w:tblPr>
    <w:tcPr>
      <w:shd w:val="clear" w:color="auto" w:fill="97ABB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566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7829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78292" w:themeFill="accent5" w:themeFillShade="BF"/>
      </w:tcPr>
    </w:tblStylePr>
    <w:tblStylePr w:type="band1Vert">
      <w:tblPr/>
      <w:tcPr>
        <w:tcBorders>
          <w:top w:val="nil"/>
          <w:left w:val="nil"/>
          <w:bottom w:val="nil"/>
          <w:right w:val="nil"/>
          <w:insideH w:val="nil"/>
          <w:insideV w:val="nil"/>
        </w:tcBorders>
        <w:shd w:val="clear" w:color="auto" w:fill="678292" w:themeFill="accent5" w:themeFillShade="BF"/>
      </w:tcPr>
    </w:tblStylePr>
    <w:tblStylePr w:type="band1Horz">
      <w:tblPr/>
      <w:tcPr>
        <w:tcBorders>
          <w:top w:val="nil"/>
          <w:left w:val="nil"/>
          <w:bottom w:val="nil"/>
          <w:right w:val="nil"/>
          <w:insideH w:val="nil"/>
          <w:insideV w:val="nil"/>
        </w:tcBorders>
        <w:shd w:val="clear" w:color="auto" w:fill="678292" w:themeFill="accent5" w:themeFillShade="BF"/>
      </w:tcPr>
    </w:tblStylePr>
  </w:style>
  <w:style w:type="table" w:styleId="DarkList-Accent6">
    <w:name w:val="Dark List Accent 6"/>
    <w:basedOn w:val="TableNormal"/>
    <w:uiPriority w:val="70"/>
    <w:semiHidden/>
    <w:unhideWhenUsed/>
    <w:rsid w:val="00A37AEB"/>
    <w:pPr>
      <w:spacing w:after="0"/>
    </w:pPr>
    <w:rPr>
      <w:color w:val="FFFFFF" w:themeColor="background1"/>
    </w:rPr>
    <w:tblPr>
      <w:tblStyleRowBandSize w:val="1"/>
      <w:tblStyleColBandSize w:val="1"/>
    </w:tblPr>
    <w:tcPr>
      <w:shd w:val="clear" w:color="auto" w:fill="97ABB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566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7829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78292" w:themeFill="accent6" w:themeFillShade="BF"/>
      </w:tcPr>
    </w:tblStylePr>
    <w:tblStylePr w:type="band1Vert">
      <w:tblPr/>
      <w:tcPr>
        <w:tcBorders>
          <w:top w:val="nil"/>
          <w:left w:val="nil"/>
          <w:bottom w:val="nil"/>
          <w:right w:val="nil"/>
          <w:insideH w:val="nil"/>
          <w:insideV w:val="nil"/>
        </w:tcBorders>
        <w:shd w:val="clear" w:color="auto" w:fill="678292" w:themeFill="accent6" w:themeFillShade="BF"/>
      </w:tcPr>
    </w:tblStylePr>
    <w:tblStylePr w:type="band1Horz">
      <w:tblPr/>
      <w:tcPr>
        <w:tcBorders>
          <w:top w:val="nil"/>
          <w:left w:val="nil"/>
          <w:bottom w:val="nil"/>
          <w:right w:val="nil"/>
          <w:insideH w:val="nil"/>
          <w:insideV w:val="nil"/>
        </w:tcBorders>
        <w:shd w:val="clear" w:color="auto" w:fill="678292" w:themeFill="accent6" w:themeFillShade="BF"/>
      </w:tcPr>
    </w:tblStylePr>
  </w:style>
  <w:style w:type="paragraph" w:styleId="DocumentMap">
    <w:name w:val="Document Map"/>
    <w:basedOn w:val="Normal"/>
    <w:link w:val="DocumentMapChar"/>
    <w:semiHidden/>
    <w:unhideWhenUsed/>
    <w:rsid w:val="00A37AEB"/>
    <w:pPr>
      <w:spacing w:after="0"/>
    </w:pPr>
    <w:rPr>
      <w:rFonts w:ascii="Segoe UI" w:hAnsi="Segoe UI" w:cs="Segoe UI"/>
      <w:sz w:val="16"/>
      <w:szCs w:val="16"/>
    </w:rPr>
  </w:style>
  <w:style w:type="character" w:customStyle="1" w:styleId="DocumentMapChar">
    <w:name w:val="Document Map Char"/>
    <w:basedOn w:val="DefaultParagraphFont"/>
    <w:link w:val="DocumentMap"/>
    <w:semiHidden/>
    <w:rsid w:val="00A37AEB"/>
    <w:rPr>
      <w:rFonts w:ascii="Segoe UI" w:hAnsi="Segoe UI" w:cs="Segoe UI"/>
      <w:sz w:val="16"/>
      <w:szCs w:val="16"/>
    </w:rPr>
  </w:style>
  <w:style w:type="paragraph" w:styleId="E-mailSignature">
    <w:name w:val="E-mail Signature"/>
    <w:basedOn w:val="Normal"/>
    <w:link w:val="E-mailSignatureChar"/>
    <w:semiHidden/>
    <w:unhideWhenUsed/>
    <w:rsid w:val="00A37AEB"/>
    <w:pPr>
      <w:spacing w:after="0"/>
    </w:pPr>
  </w:style>
  <w:style w:type="character" w:customStyle="1" w:styleId="E-mailSignatureChar">
    <w:name w:val="E-mail Signature Char"/>
    <w:basedOn w:val="DefaultParagraphFont"/>
    <w:link w:val="E-mailSignature"/>
    <w:semiHidden/>
    <w:rsid w:val="00A37AEB"/>
  </w:style>
  <w:style w:type="character" w:styleId="EndnoteReference">
    <w:name w:val="endnote reference"/>
    <w:basedOn w:val="DefaultParagraphFont"/>
    <w:semiHidden/>
    <w:unhideWhenUsed/>
    <w:rsid w:val="00A37AEB"/>
    <w:rPr>
      <w:vertAlign w:val="superscript"/>
    </w:rPr>
  </w:style>
  <w:style w:type="paragraph" w:styleId="EndnoteText">
    <w:name w:val="endnote text"/>
    <w:basedOn w:val="Normal"/>
    <w:link w:val="EndnoteTextChar"/>
    <w:semiHidden/>
    <w:unhideWhenUsed/>
    <w:rsid w:val="00A37AEB"/>
    <w:pPr>
      <w:spacing w:after="0"/>
    </w:pPr>
  </w:style>
  <w:style w:type="character" w:customStyle="1" w:styleId="EndnoteTextChar">
    <w:name w:val="Endnote Text Char"/>
    <w:basedOn w:val="DefaultParagraphFont"/>
    <w:link w:val="EndnoteText"/>
    <w:semiHidden/>
    <w:rsid w:val="00A37AEB"/>
  </w:style>
  <w:style w:type="paragraph" w:styleId="EnvelopeAddress">
    <w:name w:val="envelope address"/>
    <w:basedOn w:val="Normal"/>
    <w:semiHidden/>
    <w:unhideWhenUsed/>
    <w:rsid w:val="00A37AEB"/>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A37AEB"/>
    <w:pPr>
      <w:spacing w:after="0"/>
    </w:pPr>
    <w:rPr>
      <w:rFonts w:asciiTheme="majorHAnsi" w:eastAsiaTheme="majorEastAsia" w:hAnsiTheme="majorHAnsi" w:cstheme="majorBidi"/>
    </w:rPr>
  </w:style>
  <w:style w:type="character" w:styleId="FollowedHyperlink">
    <w:name w:val="FollowedHyperlink"/>
    <w:basedOn w:val="DefaultParagraphFont"/>
    <w:semiHidden/>
    <w:unhideWhenUsed/>
    <w:rsid w:val="00A37AEB"/>
    <w:rPr>
      <w:color w:val="800080" w:themeColor="followedHyperlink"/>
      <w:u w:val="single"/>
    </w:rPr>
  </w:style>
  <w:style w:type="character" w:styleId="FootnoteReference">
    <w:name w:val="footnote reference"/>
    <w:basedOn w:val="DefaultParagraphFont"/>
    <w:semiHidden/>
    <w:unhideWhenUsed/>
    <w:rsid w:val="00A37AEB"/>
    <w:rPr>
      <w:vertAlign w:val="superscript"/>
    </w:rPr>
  </w:style>
  <w:style w:type="paragraph" w:styleId="FootnoteText">
    <w:name w:val="footnote text"/>
    <w:basedOn w:val="Normal"/>
    <w:link w:val="FootnoteTextChar"/>
    <w:semiHidden/>
    <w:unhideWhenUsed/>
    <w:rsid w:val="00A37AEB"/>
    <w:pPr>
      <w:spacing w:after="0"/>
    </w:pPr>
  </w:style>
  <w:style w:type="character" w:customStyle="1" w:styleId="FootnoteTextChar">
    <w:name w:val="Footnote Text Char"/>
    <w:basedOn w:val="DefaultParagraphFont"/>
    <w:link w:val="FootnoteText"/>
    <w:semiHidden/>
    <w:rsid w:val="00A37AEB"/>
  </w:style>
  <w:style w:type="table" w:styleId="GridTable1Light">
    <w:name w:val="Grid Table 1 Light"/>
    <w:basedOn w:val="TableNormal"/>
    <w:uiPriority w:val="46"/>
    <w:rsid w:val="00A37AEB"/>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37AEB"/>
    <w:pPr>
      <w:spacing w:after="0"/>
    </w:pPr>
    <w:tblPr>
      <w:tblStyleRowBandSize w:val="1"/>
      <w:tblStyleColBandSize w:val="1"/>
      <w:tblBorders>
        <w:top w:val="single" w:sz="4" w:space="0" w:color="D5DDE1" w:themeColor="accent1" w:themeTint="66"/>
        <w:left w:val="single" w:sz="4" w:space="0" w:color="D5DDE1" w:themeColor="accent1" w:themeTint="66"/>
        <w:bottom w:val="single" w:sz="4" w:space="0" w:color="D5DDE1" w:themeColor="accent1" w:themeTint="66"/>
        <w:right w:val="single" w:sz="4" w:space="0" w:color="D5DDE1" w:themeColor="accent1" w:themeTint="66"/>
        <w:insideH w:val="single" w:sz="4" w:space="0" w:color="D5DDE1" w:themeColor="accent1" w:themeTint="66"/>
        <w:insideV w:val="single" w:sz="4" w:space="0" w:color="D5DDE1" w:themeColor="accent1" w:themeTint="66"/>
      </w:tblBorders>
    </w:tblPr>
    <w:tblStylePr w:type="firstRow">
      <w:rPr>
        <w:b/>
        <w:bCs/>
      </w:rPr>
      <w:tblPr/>
      <w:tcPr>
        <w:tcBorders>
          <w:bottom w:val="single" w:sz="12" w:space="0" w:color="C0CCD3" w:themeColor="accent1" w:themeTint="99"/>
        </w:tcBorders>
      </w:tcPr>
    </w:tblStylePr>
    <w:tblStylePr w:type="lastRow">
      <w:rPr>
        <w:b/>
        <w:bCs/>
      </w:rPr>
      <w:tblPr/>
      <w:tcPr>
        <w:tcBorders>
          <w:top w:val="double" w:sz="2" w:space="0" w:color="C0CCD3"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37AEB"/>
    <w:pPr>
      <w:spacing w:after="0"/>
    </w:pPr>
    <w:tblPr>
      <w:tblStyleRowBandSize w:val="1"/>
      <w:tblStyleColBandSize w:val="1"/>
      <w:tblBorders>
        <w:top w:val="single" w:sz="4" w:space="0" w:color="B7DDBE" w:themeColor="accent2" w:themeTint="66"/>
        <w:left w:val="single" w:sz="4" w:space="0" w:color="B7DDBE" w:themeColor="accent2" w:themeTint="66"/>
        <w:bottom w:val="single" w:sz="4" w:space="0" w:color="B7DDBE" w:themeColor="accent2" w:themeTint="66"/>
        <w:right w:val="single" w:sz="4" w:space="0" w:color="B7DDBE" w:themeColor="accent2" w:themeTint="66"/>
        <w:insideH w:val="single" w:sz="4" w:space="0" w:color="B7DDBE" w:themeColor="accent2" w:themeTint="66"/>
        <w:insideV w:val="single" w:sz="4" w:space="0" w:color="B7DDBE" w:themeColor="accent2" w:themeTint="66"/>
      </w:tblBorders>
    </w:tblPr>
    <w:tblStylePr w:type="firstRow">
      <w:rPr>
        <w:b/>
        <w:bCs/>
      </w:rPr>
      <w:tblPr/>
      <w:tcPr>
        <w:tcBorders>
          <w:bottom w:val="single" w:sz="12" w:space="0" w:color="94CD9D" w:themeColor="accent2" w:themeTint="99"/>
        </w:tcBorders>
      </w:tcPr>
    </w:tblStylePr>
    <w:tblStylePr w:type="lastRow">
      <w:rPr>
        <w:b/>
        <w:bCs/>
      </w:rPr>
      <w:tblPr/>
      <w:tcPr>
        <w:tcBorders>
          <w:top w:val="double" w:sz="2" w:space="0" w:color="94CD9D"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37AEB"/>
    <w:pPr>
      <w:spacing w:after="0"/>
    </w:pPr>
    <w:tblPr>
      <w:tblStyleRowBandSize w:val="1"/>
      <w:tblStyleColBandSize w:val="1"/>
      <w:tblBorders>
        <w:top w:val="single" w:sz="4" w:space="0" w:color="8BDDFC" w:themeColor="accent3" w:themeTint="66"/>
        <w:left w:val="single" w:sz="4" w:space="0" w:color="8BDDFC" w:themeColor="accent3" w:themeTint="66"/>
        <w:bottom w:val="single" w:sz="4" w:space="0" w:color="8BDDFC" w:themeColor="accent3" w:themeTint="66"/>
        <w:right w:val="single" w:sz="4" w:space="0" w:color="8BDDFC" w:themeColor="accent3" w:themeTint="66"/>
        <w:insideH w:val="single" w:sz="4" w:space="0" w:color="8BDDFC" w:themeColor="accent3" w:themeTint="66"/>
        <w:insideV w:val="single" w:sz="4" w:space="0" w:color="8BDDFC" w:themeColor="accent3" w:themeTint="66"/>
      </w:tblBorders>
    </w:tblPr>
    <w:tblStylePr w:type="firstRow">
      <w:rPr>
        <w:b/>
        <w:bCs/>
      </w:rPr>
      <w:tblPr/>
      <w:tcPr>
        <w:tcBorders>
          <w:bottom w:val="single" w:sz="12" w:space="0" w:color="52CDFB" w:themeColor="accent3" w:themeTint="99"/>
        </w:tcBorders>
      </w:tcPr>
    </w:tblStylePr>
    <w:tblStylePr w:type="lastRow">
      <w:rPr>
        <w:b/>
        <w:bCs/>
      </w:rPr>
      <w:tblPr/>
      <w:tcPr>
        <w:tcBorders>
          <w:top w:val="double" w:sz="2" w:space="0" w:color="52CDF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37AEB"/>
    <w:pPr>
      <w:spacing w:after="0"/>
    </w:pPr>
    <w:tblPr>
      <w:tblStyleRowBandSize w:val="1"/>
      <w:tblStyleColBandSize w:val="1"/>
      <w:tblBorders>
        <w:top w:val="single" w:sz="4" w:space="0" w:color="BEBDE1" w:themeColor="accent4" w:themeTint="66"/>
        <w:left w:val="single" w:sz="4" w:space="0" w:color="BEBDE1" w:themeColor="accent4" w:themeTint="66"/>
        <w:bottom w:val="single" w:sz="4" w:space="0" w:color="BEBDE1" w:themeColor="accent4" w:themeTint="66"/>
        <w:right w:val="single" w:sz="4" w:space="0" w:color="BEBDE1" w:themeColor="accent4" w:themeTint="66"/>
        <w:insideH w:val="single" w:sz="4" w:space="0" w:color="BEBDE1" w:themeColor="accent4" w:themeTint="66"/>
        <w:insideV w:val="single" w:sz="4" w:space="0" w:color="BEBDE1" w:themeColor="accent4" w:themeTint="66"/>
      </w:tblBorders>
    </w:tblPr>
    <w:tblStylePr w:type="firstRow">
      <w:rPr>
        <w:b/>
        <w:bCs/>
      </w:rPr>
      <w:tblPr/>
      <w:tcPr>
        <w:tcBorders>
          <w:bottom w:val="single" w:sz="12" w:space="0" w:color="9E9DD3" w:themeColor="accent4" w:themeTint="99"/>
        </w:tcBorders>
      </w:tcPr>
    </w:tblStylePr>
    <w:tblStylePr w:type="lastRow">
      <w:rPr>
        <w:b/>
        <w:bCs/>
      </w:rPr>
      <w:tblPr/>
      <w:tcPr>
        <w:tcBorders>
          <w:top w:val="double" w:sz="2" w:space="0" w:color="9E9DD3"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37AEB"/>
    <w:pPr>
      <w:spacing w:after="0"/>
    </w:pPr>
    <w:tblPr>
      <w:tblStyleRowBandSize w:val="1"/>
      <w:tblStyleColBandSize w:val="1"/>
      <w:tblBorders>
        <w:top w:val="single" w:sz="4" w:space="0" w:color="D5DDE1" w:themeColor="accent5" w:themeTint="66"/>
        <w:left w:val="single" w:sz="4" w:space="0" w:color="D5DDE1" w:themeColor="accent5" w:themeTint="66"/>
        <w:bottom w:val="single" w:sz="4" w:space="0" w:color="D5DDE1" w:themeColor="accent5" w:themeTint="66"/>
        <w:right w:val="single" w:sz="4" w:space="0" w:color="D5DDE1" w:themeColor="accent5" w:themeTint="66"/>
        <w:insideH w:val="single" w:sz="4" w:space="0" w:color="D5DDE1" w:themeColor="accent5" w:themeTint="66"/>
        <w:insideV w:val="single" w:sz="4" w:space="0" w:color="D5DDE1" w:themeColor="accent5" w:themeTint="66"/>
      </w:tblBorders>
    </w:tblPr>
    <w:tblStylePr w:type="firstRow">
      <w:rPr>
        <w:b/>
        <w:bCs/>
      </w:rPr>
      <w:tblPr/>
      <w:tcPr>
        <w:tcBorders>
          <w:bottom w:val="single" w:sz="12" w:space="0" w:color="C0CCD3" w:themeColor="accent5" w:themeTint="99"/>
        </w:tcBorders>
      </w:tcPr>
    </w:tblStylePr>
    <w:tblStylePr w:type="lastRow">
      <w:rPr>
        <w:b/>
        <w:bCs/>
      </w:rPr>
      <w:tblPr/>
      <w:tcPr>
        <w:tcBorders>
          <w:top w:val="double" w:sz="2" w:space="0" w:color="C0CCD3"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37AEB"/>
    <w:pPr>
      <w:spacing w:after="0"/>
    </w:pPr>
    <w:tblPr>
      <w:tblStyleRowBandSize w:val="1"/>
      <w:tblStyleColBandSize w:val="1"/>
      <w:tblBorders>
        <w:top w:val="single" w:sz="4" w:space="0" w:color="D5DDE1" w:themeColor="accent6" w:themeTint="66"/>
        <w:left w:val="single" w:sz="4" w:space="0" w:color="D5DDE1" w:themeColor="accent6" w:themeTint="66"/>
        <w:bottom w:val="single" w:sz="4" w:space="0" w:color="D5DDE1" w:themeColor="accent6" w:themeTint="66"/>
        <w:right w:val="single" w:sz="4" w:space="0" w:color="D5DDE1" w:themeColor="accent6" w:themeTint="66"/>
        <w:insideH w:val="single" w:sz="4" w:space="0" w:color="D5DDE1" w:themeColor="accent6" w:themeTint="66"/>
        <w:insideV w:val="single" w:sz="4" w:space="0" w:color="D5DDE1" w:themeColor="accent6" w:themeTint="66"/>
      </w:tblBorders>
    </w:tblPr>
    <w:tblStylePr w:type="firstRow">
      <w:rPr>
        <w:b/>
        <w:bCs/>
      </w:rPr>
      <w:tblPr/>
      <w:tcPr>
        <w:tcBorders>
          <w:bottom w:val="single" w:sz="12" w:space="0" w:color="C0CCD3" w:themeColor="accent6" w:themeTint="99"/>
        </w:tcBorders>
      </w:tcPr>
    </w:tblStylePr>
    <w:tblStylePr w:type="lastRow">
      <w:rPr>
        <w:b/>
        <w:bCs/>
      </w:rPr>
      <w:tblPr/>
      <w:tcPr>
        <w:tcBorders>
          <w:top w:val="double" w:sz="2" w:space="0" w:color="C0CCD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37AEB"/>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A37AEB"/>
    <w:pPr>
      <w:spacing w:after="0"/>
    </w:pPr>
    <w:tblPr>
      <w:tblStyleRowBandSize w:val="1"/>
      <w:tblStyleColBandSize w:val="1"/>
      <w:tblBorders>
        <w:top w:val="single" w:sz="2" w:space="0" w:color="C0CCD3" w:themeColor="accent1" w:themeTint="99"/>
        <w:bottom w:val="single" w:sz="2" w:space="0" w:color="C0CCD3" w:themeColor="accent1" w:themeTint="99"/>
        <w:insideH w:val="single" w:sz="2" w:space="0" w:color="C0CCD3" w:themeColor="accent1" w:themeTint="99"/>
        <w:insideV w:val="single" w:sz="2" w:space="0" w:color="C0CCD3" w:themeColor="accent1" w:themeTint="99"/>
      </w:tblBorders>
    </w:tblPr>
    <w:tblStylePr w:type="firstRow">
      <w:rPr>
        <w:b/>
        <w:bCs/>
      </w:rPr>
      <w:tblPr/>
      <w:tcPr>
        <w:tcBorders>
          <w:top w:val="nil"/>
          <w:bottom w:val="single" w:sz="12" w:space="0" w:color="C0CCD3" w:themeColor="accent1" w:themeTint="99"/>
          <w:insideH w:val="nil"/>
          <w:insideV w:val="nil"/>
        </w:tcBorders>
        <w:shd w:val="clear" w:color="auto" w:fill="FFFFFF" w:themeFill="background1"/>
      </w:tcPr>
    </w:tblStylePr>
    <w:tblStylePr w:type="lastRow">
      <w:rPr>
        <w:b/>
        <w:bCs/>
      </w:rPr>
      <w:tblPr/>
      <w:tcPr>
        <w:tcBorders>
          <w:top w:val="double" w:sz="2" w:space="0" w:color="C0CCD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EF0" w:themeFill="accent1" w:themeFillTint="33"/>
      </w:tcPr>
    </w:tblStylePr>
    <w:tblStylePr w:type="band1Horz">
      <w:tblPr/>
      <w:tcPr>
        <w:shd w:val="clear" w:color="auto" w:fill="EAEEF0" w:themeFill="accent1" w:themeFillTint="33"/>
      </w:tcPr>
    </w:tblStylePr>
  </w:style>
  <w:style w:type="table" w:styleId="GridTable2-Accent2">
    <w:name w:val="Grid Table 2 Accent 2"/>
    <w:basedOn w:val="TableNormal"/>
    <w:uiPriority w:val="47"/>
    <w:rsid w:val="00A37AEB"/>
    <w:pPr>
      <w:spacing w:after="0"/>
    </w:pPr>
    <w:tblPr>
      <w:tblStyleRowBandSize w:val="1"/>
      <w:tblStyleColBandSize w:val="1"/>
      <w:tblBorders>
        <w:top w:val="single" w:sz="2" w:space="0" w:color="94CD9D" w:themeColor="accent2" w:themeTint="99"/>
        <w:bottom w:val="single" w:sz="2" w:space="0" w:color="94CD9D" w:themeColor="accent2" w:themeTint="99"/>
        <w:insideH w:val="single" w:sz="2" w:space="0" w:color="94CD9D" w:themeColor="accent2" w:themeTint="99"/>
        <w:insideV w:val="single" w:sz="2" w:space="0" w:color="94CD9D" w:themeColor="accent2" w:themeTint="99"/>
      </w:tblBorders>
    </w:tblPr>
    <w:tblStylePr w:type="firstRow">
      <w:rPr>
        <w:b/>
        <w:bCs/>
      </w:rPr>
      <w:tblPr/>
      <w:tcPr>
        <w:tcBorders>
          <w:top w:val="nil"/>
          <w:bottom w:val="single" w:sz="12" w:space="0" w:color="94CD9D" w:themeColor="accent2" w:themeTint="99"/>
          <w:insideH w:val="nil"/>
          <w:insideV w:val="nil"/>
        </w:tcBorders>
        <w:shd w:val="clear" w:color="auto" w:fill="FFFFFF" w:themeFill="background1"/>
      </w:tcPr>
    </w:tblStylePr>
    <w:tblStylePr w:type="lastRow">
      <w:rPr>
        <w:b/>
        <w:bCs/>
      </w:rPr>
      <w:tblPr/>
      <w:tcPr>
        <w:tcBorders>
          <w:top w:val="double" w:sz="2" w:space="0" w:color="94CD9D"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EDE" w:themeFill="accent2" w:themeFillTint="33"/>
      </w:tcPr>
    </w:tblStylePr>
    <w:tblStylePr w:type="band1Horz">
      <w:tblPr/>
      <w:tcPr>
        <w:shd w:val="clear" w:color="auto" w:fill="DBEEDE" w:themeFill="accent2" w:themeFillTint="33"/>
      </w:tcPr>
    </w:tblStylePr>
  </w:style>
  <w:style w:type="table" w:styleId="GridTable2-Accent3">
    <w:name w:val="Grid Table 2 Accent 3"/>
    <w:basedOn w:val="TableNormal"/>
    <w:uiPriority w:val="47"/>
    <w:rsid w:val="00A37AEB"/>
    <w:pPr>
      <w:spacing w:after="0"/>
    </w:pPr>
    <w:tblPr>
      <w:tblStyleRowBandSize w:val="1"/>
      <w:tblStyleColBandSize w:val="1"/>
      <w:tblBorders>
        <w:top w:val="single" w:sz="2" w:space="0" w:color="52CDFB" w:themeColor="accent3" w:themeTint="99"/>
        <w:bottom w:val="single" w:sz="2" w:space="0" w:color="52CDFB" w:themeColor="accent3" w:themeTint="99"/>
        <w:insideH w:val="single" w:sz="2" w:space="0" w:color="52CDFB" w:themeColor="accent3" w:themeTint="99"/>
        <w:insideV w:val="single" w:sz="2" w:space="0" w:color="52CDFB" w:themeColor="accent3" w:themeTint="99"/>
      </w:tblBorders>
    </w:tblPr>
    <w:tblStylePr w:type="firstRow">
      <w:rPr>
        <w:b/>
        <w:bCs/>
      </w:rPr>
      <w:tblPr/>
      <w:tcPr>
        <w:tcBorders>
          <w:top w:val="nil"/>
          <w:bottom w:val="single" w:sz="12" w:space="0" w:color="52CDFB" w:themeColor="accent3" w:themeTint="99"/>
          <w:insideH w:val="nil"/>
          <w:insideV w:val="nil"/>
        </w:tcBorders>
        <w:shd w:val="clear" w:color="auto" w:fill="FFFFFF" w:themeFill="background1"/>
      </w:tcPr>
    </w:tblStylePr>
    <w:tblStylePr w:type="lastRow">
      <w:rPr>
        <w:b/>
        <w:bCs/>
      </w:rPr>
      <w:tblPr/>
      <w:tcPr>
        <w:tcBorders>
          <w:top w:val="double" w:sz="2" w:space="0" w:color="52CDF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5EEFE" w:themeFill="accent3" w:themeFillTint="33"/>
      </w:tcPr>
    </w:tblStylePr>
    <w:tblStylePr w:type="band1Horz">
      <w:tblPr/>
      <w:tcPr>
        <w:shd w:val="clear" w:color="auto" w:fill="C5EEFE" w:themeFill="accent3" w:themeFillTint="33"/>
      </w:tcPr>
    </w:tblStylePr>
  </w:style>
  <w:style w:type="table" w:styleId="GridTable2-Accent5">
    <w:name w:val="Grid Table 2 Accent 5"/>
    <w:basedOn w:val="TableNormal"/>
    <w:uiPriority w:val="47"/>
    <w:rsid w:val="00A37AEB"/>
    <w:pPr>
      <w:spacing w:after="0"/>
    </w:pPr>
    <w:tblPr>
      <w:tblStyleRowBandSize w:val="1"/>
      <w:tblStyleColBandSize w:val="1"/>
      <w:tblBorders>
        <w:top w:val="single" w:sz="2" w:space="0" w:color="C0CCD3" w:themeColor="accent5" w:themeTint="99"/>
        <w:bottom w:val="single" w:sz="2" w:space="0" w:color="C0CCD3" w:themeColor="accent5" w:themeTint="99"/>
        <w:insideH w:val="single" w:sz="2" w:space="0" w:color="C0CCD3" w:themeColor="accent5" w:themeTint="99"/>
        <w:insideV w:val="single" w:sz="2" w:space="0" w:color="C0CCD3" w:themeColor="accent5" w:themeTint="99"/>
      </w:tblBorders>
    </w:tblPr>
    <w:tblStylePr w:type="firstRow">
      <w:rPr>
        <w:b/>
        <w:bCs/>
      </w:rPr>
      <w:tblPr/>
      <w:tcPr>
        <w:tcBorders>
          <w:top w:val="nil"/>
          <w:bottom w:val="single" w:sz="12" w:space="0" w:color="C0CCD3" w:themeColor="accent5" w:themeTint="99"/>
          <w:insideH w:val="nil"/>
          <w:insideV w:val="nil"/>
        </w:tcBorders>
        <w:shd w:val="clear" w:color="auto" w:fill="FFFFFF" w:themeFill="background1"/>
      </w:tcPr>
    </w:tblStylePr>
    <w:tblStylePr w:type="lastRow">
      <w:rPr>
        <w:b/>
        <w:bCs/>
      </w:rPr>
      <w:tblPr/>
      <w:tcPr>
        <w:tcBorders>
          <w:top w:val="double" w:sz="2" w:space="0" w:color="C0CCD3"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EF0" w:themeFill="accent5" w:themeFillTint="33"/>
      </w:tcPr>
    </w:tblStylePr>
    <w:tblStylePr w:type="band1Horz">
      <w:tblPr/>
      <w:tcPr>
        <w:shd w:val="clear" w:color="auto" w:fill="EAEEF0" w:themeFill="accent5" w:themeFillTint="33"/>
      </w:tcPr>
    </w:tblStylePr>
  </w:style>
  <w:style w:type="table" w:styleId="GridTable2-Accent6">
    <w:name w:val="Grid Table 2 Accent 6"/>
    <w:basedOn w:val="TableNormal"/>
    <w:uiPriority w:val="47"/>
    <w:rsid w:val="00A37AEB"/>
    <w:pPr>
      <w:spacing w:after="0"/>
    </w:pPr>
    <w:tblPr>
      <w:tblStyleRowBandSize w:val="1"/>
      <w:tblStyleColBandSize w:val="1"/>
      <w:tblBorders>
        <w:top w:val="single" w:sz="2" w:space="0" w:color="C0CCD3" w:themeColor="accent6" w:themeTint="99"/>
        <w:bottom w:val="single" w:sz="2" w:space="0" w:color="C0CCD3" w:themeColor="accent6" w:themeTint="99"/>
        <w:insideH w:val="single" w:sz="2" w:space="0" w:color="C0CCD3" w:themeColor="accent6" w:themeTint="99"/>
        <w:insideV w:val="single" w:sz="2" w:space="0" w:color="C0CCD3" w:themeColor="accent6" w:themeTint="99"/>
      </w:tblBorders>
    </w:tblPr>
    <w:tblStylePr w:type="firstRow">
      <w:rPr>
        <w:b/>
        <w:bCs/>
      </w:rPr>
      <w:tblPr/>
      <w:tcPr>
        <w:tcBorders>
          <w:top w:val="nil"/>
          <w:bottom w:val="single" w:sz="12" w:space="0" w:color="C0CCD3" w:themeColor="accent6" w:themeTint="99"/>
          <w:insideH w:val="nil"/>
          <w:insideV w:val="nil"/>
        </w:tcBorders>
        <w:shd w:val="clear" w:color="auto" w:fill="FFFFFF" w:themeFill="background1"/>
      </w:tcPr>
    </w:tblStylePr>
    <w:tblStylePr w:type="lastRow">
      <w:rPr>
        <w:b/>
        <w:bCs/>
      </w:rPr>
      <w:tblPr/>
      <w:tcPr>
        <w:tcBorders>
          <w:top w:val="double" w:sz="2" w:space="0" w:color="C0CCD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EF0" w:themeFill="accent6" w:themeFillTint="33"/>
      </w:tcPr>
    </w:tblStylePr>
    <w:tblStylePr w:type="band1Horz">
      <w:tblPr/>
      <w:tcPr>
        <w:shd w:val="clear" w:color="auto" w:fill="EAEEF0" w:themeFill="accent6" w:themeFillTint="33"/>
      </w:tcPr>
    </w:tblStylePr>
  </w:style>
  <w:style w:type="table" w:styleId="GridTable3">
    <w:name w:val="Grid Table 3"/>
    <w:basedOn w:val="TableNormal"/>
    <w:uiPriority w:val="48"/>
    <w:rsid w:val="00A37AEB"/>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A37AEB"/>
    <w:pPr>
      <w:spacing w:after="0"/>
    </w:pPr>
    <w:tblPr>
      <w:tblStyleRowBandSize w:val="1"/>
      <w:tblStyleColBandSize w:val="1"/>
      <w:tblBorders>
        <w:top w:val="single" w:sz="4" w:space="0" w:color="C0CCD3" w:themeColor="accent1" w:themeTint="99"/>
        <w:left w:val="single" w:sz="4" w:space="0" w:color="C0CCD3" w:themeColor="accent1" w:themeTint="99"/>
        <w:bottom w:val="single" w:sz="4" w:space="0" w:color="C0CCD3" w:themeColor="accent1" w:themeTint="99"/>
        <w:right w:val="single" w:sz="4" w:space="0" w:color="C0CCD3" w:themeColor="accent1" w:themeTint="99"/>
        <w:insideH w:val="single" w:sz="4" w:space="0" w:color="C0CCD3" w:themeColor="accent1" w:themeTint="99"/>
        <w:insideV w:val="single" w:sz="4" w:space="0" w:color="C0CCD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EF0" w:themeFill="accent1" w:themeFillTint="33"/>
      </w:tcPr>
    </w:tblStylePr>
    <w:tblStylePr w:type="band1Horz">
      <w:tblPr/>
      <w:tcPr>
        <w:shd w:val="clear" w:color="auto" w:fill="EAEEF0" w:themeFill="accent1" w:themeFillTint="33"/>
      </w:tcPr>
    </w:tblStylePr>
    <w:tblStylePr w:type="neCell">
      <w:tblPr/>
      <w:tcPr>
        <w:tcBorders>
          <w:bottom w:val="single" w:sz="4" w:space="0" w:color="C0CCD3" w:themeColor="accent1" w:themeTint="99"/>
        </w:tcBorders>
      </w:tcPr>
    </w:tblStylePr>
    <w:tblStylePr w:type="nwCell">
      <w:tblPr/>
      <w:tcPr>
        <w:tcBorders>
          <w:bottom w:val="single" w:sz="4" w:space="0" w:color="C0CCD3" w:themeColor="accent1" w:themeTint="99"/>
        </w:tcBorders>
      </w:tcPr>
    </w:tblStylePr>
    <w:tblStylePr w:type="seCell">
      <w:tblPr/>
      <w:tcPr>
        <w:tcBorders>
          <w:top w:val="single" w:sz="4" w:space="0" w:color="C0CCD3" w:themeColor="accent1" w:themeTint="99"/>
        </w:tcBorders>
      </w:tcPr>
    </w:tblStylePr>
    <w:tblStylePr w:type="swCell">
      <w:tblPr/>
      <w:tcPr>
        <w:tcBorders>
          <w:top w:val="single" w:sz="4" w:space="0" w:color="C0CCD3" w:themeColor="accent1" w:themeTint="99"/>
        </w:tcBorders>
      </w:tcPr>
    </w:tblStylePr>
  </w:style>
  <w:style w:type="table" w:styleId="GridTable3-Accent2">
    <w:name w:val="Grid Table 3 Accent 2"/>
    <w:basedOn w:val="TableNormal"/>
    <w:uiPriority w:val="48"/>
    <w:rsid w:val="00A37AEB"/>
    <w:pPr>
      <w:spacing w:after="0"/>
    </w:pPr>
    <w:tblPr>
      <w:tblStyleRowBandSize w:val="1"/>
      <w:tblStyleColBandSize w:val="1"/>
      <w:tblBorders>
        <w:top w:val="single" w:sz="4" w:space="0" w:color="94CD9D" w:themeColor="accent2" w:themeTint="99"/>
        <w:left w:val="single" w:sz="4" w:space="0" w:color="94CD9D" w:themeColor="accent2" w:themeTint="99"/>
        <w:bottom w:val="single" w:sz="4" w:space="0" w:color="94CD9D" w:themeColor="accent2" w:themeTint="99"/>
        <w:right w:val="single" w:sz="4" w:space="0" w:color="94CD9D" w:themeColor="accent2" w:themeTint="99"/>
        <w:insideH w:val="single" w:sz="4" w:space="0" w:color="94CD9D" w:themeColor="accent2" w:themeTint="99"/>
        <w:insideV w:val="single" w:sz="4" w:space="0" w:color="94CD9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EDE" w:themeFill="accent2" w:themeFillTint="33"/>
      </w:tcPr>
    </w:tblStylePr>
    <w:tblStylePr w:type="band1Horz">
      <w:tblPr/>
      <w:tcPr>
        <w:shd w:val="clear" w:color="auto" w:fill="DBEEDE" w:themeFill="accent2" w:themeFillTint="33"/>
      </w:tcPr>
    </w:tblStylePr>
    <w:tblStylePr w:type="neCell">
      <w:tblPr/>
      <w:tcPr>
        <w:tcBorders>
          <w:bottom w:val="single" w:sz="4" w:space="0" w:color="94CD9D" w:themeColor="accent2" w:themeTint="99"/>
        </w:tcBorders>
      </w:tcPr>
    </w:tblStylePr>
    <w:tblStylePr w:type="nwCell">
      <w:tblPr/>
      <w:tcPr>
        <w:tcBorders>
          <w:bottom w:val="single" w:sz="4" w:space="0" w:color="94CD9D" w:themeColor="accent2" w:themeTint="99"/>
        </w:tcBorders>
      </w:tcPr>
    </w:tblStylePr>
    <w:tblStylePr w:type="seCell">
      <w:tblPr/>
      <w:tcPr>
        <w:tcBorders>
          <w:top w:val="single" w:sz="4" w:space="0" w:color="94CD9D" w:themeColor="accent2" w:themeTint="99"/>
        </w:tcBorders>
      </w:tcPr>
    </w:tblStylePr>
    <w:tblStylePr w:type="swCell">
      <w:tblPr/>
      <w:tcPr>
        <w:tcBorders>
          <w:top w:val="single" w:sz="4" w:space="0" w:color="94CD9D" w:themeColor="accent2" w:themeTint="99"/>
        </w:tcBorders>
      </w:tcPr>
    </w:tblStylePr>
  </w:style>
  <w:style w:type="table" w:styleId="GridTable3-Accent3">
    <w:name w:val="Grid Table 3 Accent 3"/>
    <w:basedOn w:val="TableNormal"/>
    <w:uiPriority w:val="48"/>
    <w:rsid w:val="00A37AEB"/>
    <w:pPr>
      <w:spacing w:after="0"/>
    </w:pPr>
    <w:tblPr>
      <w:tblStyleRowBandSize w:val="1"/>
      <w:tblStyleColBandSize w:val="1"/>
      <w:tblBorders>
        <w:top w:val="single" w:sz="4" w:space="0" w:color="52CDFB" w:themeColor="accent3" w:themeTint="99"/>
        <w:left w:val="single" w:sz="4" w:space="0" w:color="52CDFB" w:themeColor="accent3" w:themeTint="99"/>
        <w:bottom w:val="single" w:sz="4" w:space="0" w:color="52CDFB" w:themeColor="accent3" w:themeTint="99"/>
        <w:right w:val="single" w:sz="4" w:space="0" w:color="52CDFB" w:themeColor="accent3" w:themeTint="99"/>
        <w:insideH w:val="single" w:sz="4" w:space="0" w:color="52CDFB" w:themeColor="accent3" w:themeTint="99"/>
        <w:insideV w:val="single" w:sz="4" w:space="0" w:color="52CDF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EEFE" w:themeFill="accent3" w:themeFillTint="33"/>
      </w:tcPr>
    </w:tblStylePr>
    <w:tblStylePr w:type="band1Horz">
      <w:tblPr/>
      <w:tcPr>
        <w:shd w:val="clear" w:color="auto" w:fill="C5EEFE" w:themeFill="accent3" w:themeFillTint="33"/>
      </w:tcPr>
    </w:tblStylePr>
    <w:tblStylePr w:type="neCell">
      <w:tblPr/>
      <w:tcPr>
        <w:tcBorders>
          <w:bottom w:val="single" w:sz="4" w:space="0" w:color="52CDFB" w:themeColor="accent3" w:themeTint="99"/>
        </w:tcBorders>
      </w:tcPr>
    </w:tblStylePr>
    <w:tblStylePr w:type="nwCell">
      <w:tblPr/>
      <w:tcPr>
        <w:tcBorders>
          <w:bottom w:val="single" w:sz="4" w:space="0" w:color="52CDFB" w:themeColor="accent3" w:themeTint="99"/>
        </w:tcBorders>
      </w:tcPr>
    </w:tblStylePr>
    <w:tblStylePr w:type="seCell">
      <w:tblPr/>
      <w:tcPr>
        <w:tcBorders>
          <w:top w:val="single" w:sz="4" w:space="0" w:color="52CDFB" w:themeColor="accent3" w:themeTint="99"/>
        </w:tcBorders>
      </w:tcPr>
    </w:tblStylePr>
    <w:tblStylePr w:type="swCell">
      <w:tblPr/>
      <w:tcPr>
        <w:tcBorders>
          <w:top w:val="single" w:sz="4" w:space="0" w:color="52CDFB" w:themeColor="accent3" w:themeTint="99"/>
        </w:tcBorders>
      </w:tcPr>
    </w:tblStylePr>
  </w:style>
  <w:style w:type="table" w:styleId="GridTable3-Accent4">
    <w:name w:val="Grid Table 3 Accent 4"/>
    <w:basedOn w:val="TableNormal"/>
    <w:uiPriority w:val="48"/>
    <w:rsid w:val="00A37AEB"/>
    <w:pPr>
      <w:spacing w:after="0"/>
    </w:pPr>
    <w:tblPr>
      <w:tblStyleRowBandSize w:val="1"/>
      <w:tblStyleColBandSize w:val="1"/>
      <w:tblBorders>
        <w:top w:val="single" w:sz="4" w:space="0" w:color="9E9DD3" w:themeColor="accent4" w:themeTint="99"/>
        <w:left w:val="single" w:sz="4" w:space="0" w:color="9E9DD3" w:themeColor="accent4" w:themeTint="99"/>
        <w:bottom w:val="single" w:sz="4" w:space="0" w:color="9E9DD3" w:themeColor="accent4" w:themeTint="99"/>
        <w:right w:val="single" w:sz="4" w:space="0" w:color="9E9DD3" w:themeColor="accent4" w:themeTint="99"/>
        <w:insideH w:val="single" w:sz="4" w:space="0" w:color="9E9DD3" w:themeColor="accent4" w:themeTint="99"/>
        <w:insideV w:val="single" w:sz="4" w:space="0" w:color="9E9DD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DEF0" w:themeFill="accent4" w:themeFillTint="33"/>
      </w:tcPr>
    </w:tblStylePr>
    <w:tblStylePr w:type="band1Horz">
      <w:tblPr/>
      <w:tcPr>
        <w:shd w:val="clear" w:color="auto" w:fill="DEDEF0" w:themeFill="accent4" w:themeFillTint="33"/>
      </w:tcPr>
    </w:tblStylePr>
    <w:tblStylePr w:type="neCell">
      <w:tblPr/>
      <w:tcPr>
        <w:tcBorders>
          <w:bottom w:val="single" w:sz="4" w:space="0" w:color="9E9DD3" w:themeColor="accent4" w:themeTint="99"/>
        </w:tcBorders>
      </w:tcPr>
    </w:tblStylePr>
    <w:tblStylePr w:type="nwCell">
      <w:tblPr/>
      <w:tcPr>
        <w:tcBorders>
          <w:bottom w:val="single" w:sz="4" w:space="0" w:color="9E9DD3" w:themeColor="accent4" w:themeTint="99"/>
        </w:tcBorders>
      </w:tcPr>
    </w:tblStylePr>
    <w:tblStylePr w:type="seCell">
      <w:tblPr/>
      <w:tcPr>
        <w:tcBorders>
          <w:top w:val="single" w:sz="4" w:space="0" w:color="9E9DD3" w:themeColor="accent4" w:themeTint="99"/>
        </w:tcBorders>
      </w:tcPr>
    </w:tblStylePr>
    <w:tblStylePr w:type="swCell">
      <w:tblPr/>
      <w:tcPr>
        <w:tcBorders>
          <w:top w:val="single" w:sz="4" w:space="0" w:color="9E9DD3" w:themeColor="accent4" w:themeTint="99"/>
        </w:tcBorders>
      </w:tcPr>
    </w:tblStylePr>
  </w:style>
  <w:style w:type="table" w:styleId="GridTable3-Accent5">
    <w:name w:val="Grid Table 3 Accent 5"/>
    <w:basedOn w:val="TableNormal"/>
    <w:uiPriority w:val="48"/>
    <w:rsid w:val="00A37AEB"/>
    <w:pPr>
      <w:spacing w:after="0"/>
    </w:pPr>
    <w:tblPr>
      <w:tblStyleRowBandSize w:val="1"/>
      <w:tblStyleColBandSize w:val="1"/>
      <w:tblBorders>
        <w:top w:val="single" w:sz="4" w:space="0" w:color="C0CCD3" w:themeColor="accent5" w:themeTint="99"/>
        <w:left w:val="single" w:sz="4" w:space="0" w:color="C0CCD3" w:themeColor="accent5" w:themeTint="99"/>
        <w:bottom w:val="single" w:sz="4" w:space="0" w:color="C0CCD3" w:themeColor="accent5" w:themeTint="99"/>
        <w:right w:val="single" w:sz="4" w:space="0" w:color="C0CCD3" w:themeColor="accent5" w:themeTint="99"/>
        <w:insideH w:val="single" w:sz="4" w:space="0" w:color="C0CCD3" w:themeColor="accent5" w:themeTint="99"/>
        <w:insideV w:val="single" w:sz="4" w:space="0" w:color="C0CCD3"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EF0" w:themeFill="accent5" w:themeFillTint="33"/>
      </w:tcPr>
    </w:tblStylePr>
    <w:tblStylePr w:type="band1Horz">
      <w:tblPr/>
      <w:tcPr>
        <w:shd w:val="clear" w:color="auto" w:fill="EAEEF0" w:themeFill="accent5" w:themeFillTint="33"/>
      </w:tcPr>
    </w:tblStylePr>
    <w:tblStylePr w:type="neCell">
      <w:tblPr/>
      <w:tcPr>
        <w:tcBorders>
          <w:bottom w:val="single" w:sz="4" w:space="0" w:color="C0CCD3" w:themeColor="accent5" w:themeTint="99"/>
        </w:tcBorders>
      </w:tcPr>
    </w:tblStylePr>
    <w:tblStylePr w:type="nwCell">
      <w:tblPr/>
      <w:tcPr>
        <w:tcBorders>
          <w:bottom w:val="single" w:sz="4" w:space="0" w:color="C0CCD3" w:themeColor="accent5" w:themeTint="99"/>
        </w:tcBorders>
      </w:tcPr>
    </w:tblStylePr>
    <w:tblStylePr w:type="seCell">
      <w:tblPr/>
      <w:tcPr>
        <w:tcBorders>
          <w:top w:val="single" w:sz="4" w:space="0" w:color="C0CCD3" w:themeColor="accent5" w:themeTint="99"/>
        </w:tcBorders>
      </w:tcPr>
    </w:tblStylePr>
    <w:tblStylePr w:type="swCell">
      <w:tblPr/>
      <w:tcPr>
        <w:tcBorders>
          <w:top w:val="single" w:sz="4" w:space="0" w:color="C0CCD3" w:themeColor="accent5" w:themeTint="99"/>
        </w:tcBorders>
      </w:tcPr>
    </w:tblStylePr>
  </w:style>
  <w:style w:type="table" w:styleId="GridTable3-Accent6">
    <w:name w:val="Grid Table 3 Accent 6"/>
    <w:basedOn w:val="TableNormal"/>
    <w:uiPriority w:val="48"/>
    <w:rsid w:val="00A37AEB"/>
    <w:pPr>
      <w:spacing w:after="0"/>
    </w:pPr>
    <w:tblPr>
      <w:tblStyleRowBandSize w:val="1"/>
      <w:tblStyleColBandSize w:val="1"/>
      <w:tblBorders>
        <w:top w:val="single" w:sz="4" w:space="0" w:color="C0CCD3" w:themeColor="accent6" w:themeTint="99"/>
        <w:left w:val="single" w:sz="4" w:space="0" w:color="C0CCD3" w:themeColor="accent6" w:themeTint="99"/>
        <w:bottom w:val="single" w:sz="4" w:space="0" w:color="C0CCD3" w:themeColor="accent6" w:themeTint="99"/>
        <w:right w:val="single" w:sz="4" w:space="0" w:color="C0CCD3" w:themeColor="accent6" w:themeTint="99"/>
        <w:insideH w:val="single" w:sz="4" w:space="0" w:color="C0CCD3" w:themeColor="accent6" w:themeTint="99"/>
        <w:insideV w:val="single" w:sz="4" w:space="0" w:color="C0CCD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EF0" w:themeFill="accent6" w:themeFillTint="33"/>
      </w:tcPr>
    </w:tblStylePr>
    <w:tblStylePr w:type="band1Horz">
      <w:tblPr/>
      <w:tcPr>
        <w:shd w:val="clear" w:color="auto" w:fill="EAEEF0" w:themeFill="accent6" w:themeFillTint="33"/>
      </w:tcPr>
    </w:tblStylePr>
    <w:tblStylePr w:type="neCell">
      <w:tblPr/>
      <w:tcPr>
        <w:tcBorders>
          <w:bottom w:val="single" w:sz="4" w:space="0" w:color="C0CCD3" w:themeColor="accent6" w:themeTint="99"/>
        </w:tcBorders>
      </w:tcPr>
    </w:tblStylePr>
    <w:tblStylePr w:type="nwCell">
      <w:tblPr/>
      <w:tcPr>
        <w:tcBorders>
          <w:bottom w:val="single" w:sz="4" w:space="0" w:color="C0CCD3" w:themeColor="accent6" w:themeTint="99"/>
        </w:tcBorders>
      </w:tcPr>
    </w:tblStylePr>
    <w:tblStylePr w:type="seCell">
      <w:tblPr/>
      <w:tcPr>
        <w:tcBorders>
          <w:top w:val="single" w:sz="4" w:space="0" w:color="C0CCD3" w:themeColor="accent6" w:themeTint="99"/>
        </w:tcBorders>
      </w:tcPr>
    </w:tblStylePr>
    <w:tblStylePr w:type="swCell">
      <w:tblPr/>
      <w:tcPr>
        <w:tcBorders>
          <w:top w:val="single" w:sz="4" w:space="0" w:color="C0CCD3" w:themeColor="accent6" w:themeTint="99"/>
        </w:tcBorders>
      </w:tcPr>
    </w:tblStylePr>
  </w:style>
  <w:style w:type="table" w:styleId="GridTable4">
    <w:name w:val="Grid Table 4"/>
    <w:basedOn w:val="TableNormal"/>
    <w:uiPriority w:val="49"/>
    <w:rsid w:val="00A37AEB"/>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37AEB"/>
    <w:pPr>
      <w:spacing w:after="0"/>
    </w:pPr>
    <w:tblPr>
      <w:tblStyleRowBandSize w:val="1"/>
      <w:tblStyleColBandSize w:val="1"/>
      <w:tblBorders>
        <w:top w:val="single" w:sz="4" w:space="0" w:color="C0CCD3" w:themeColor="accent1" w:themeTint="99"/>
        <w:left w:val="single" w:sz="4" w:space="0" w:color="C0CCD3" w:themeColor="accent1" w:themeTint="99"/>
        <w:bottom w:val="single" w:sz="4" w:space="0" w:color="C0CCD3" w:themeColor="accent1" w:themeTint="99"/>
        <w:right w:val="single" w:sz="4" w:space="0" w:color="C0CCD3" w:themeColor="accent1" w:themeTint="99"/>
        <w:insideH w:val="single" w:sz="4" w:space="0" w:color="C0CCD3" w:themeColor="accent1" w:themeTint="99"/>
        <w:insideV w:val="single" w:sz="4" w:space="0" w:color="C0CCD3" w:themeColor="accent1" w:themeTint="99"/>
      </w:tblBorders>
    </w:tblPr>
    <w:tblStylePr w:type="firstRow">
      <w:rPr>
        <w:b/>
        <w:bCs/>
        <w:color w:val="FFFFFF" w:themeColor="background1"/>
      </w:rPr>
      <w:tblPr/>
      <w:tcPr>
        <w:tcBorders>
          <w:top w:val="single" w:sz="4" w:space="0" w:color="97ABB6" w:themeColor="accent1"/>
          <w:left w:val="single" w:sz="4" w:space="0" w:color="97ABB6" w:themeColor="accent1"/>
          <w:bottom w:val="single" w:sz="4" w:space="0" w:color="97ABB6" w:themeColor="accent1"/>
          <w:right w:val="single" w:sz="4" w:space="0" w:color="97ABB6" w:themeColor="accent1"/>
          <w:insideH w:val="nil"/>
          <w:insideV w:val="nil"/>
        </w:tcBorders>
        <w:shd w:val="clear" w:color="auto" w:fill="97ABB6" w:themeFill="accent1"/>
      </w:tcPr>
    </w:tblStylePr>
    <w:tblStylePr w:type="lastRow">
      <w:rPr>
        <w:b/>
        <w:bCs/>
      </w:rPr>
      <w:tblPr/>
      <w:tcPr>
        <w:tcBorders>
          <w:top w:val="double" w:sz="4" w:space="0" w:color="97ABB6" w:themeColor="accent1"/>
        </w:tcBorders>
      </w:tcPr>
    </w:tblStylePr>
    <w:tblStylePr w:type="firstCol">
      <w:rPr>
        <w:b/>
        <w:bCs/>
      </w:rPr>
    </w:tblStylePr>
    <w:tblStylePr w:type="lastCol">
      <w:rPr>
        <w:b/>
        <w:bCs/>
      </w:rPr>
    </w:tblStylePr>
    <w:tblStylePr w:type="band1Vert">
      <w:tblPr/>
      <w:tcPr>
        <w:shd w:val="clear" w:color="auto" w:fill="EAEEF0" w:themeFill="accent1" w:themeFillTint="33"/>
      </w:tcPr>
    </w:tblStylePr>
    <w:tblStylePr w:type="band1Horz">
      <w:tblPr/>
      <w:tcPr>
        <w:shd w:val="clear" w:color="auto" w:fill="EAEEF0" w:themeFill="accent1" w:themeFillTint="33"/>
      </w:tcPr>
    </w:tblStylePr>
  </w:style>
  <w:style w:type="table" w:styleId="GridTable4-Accent2">
    <w:name w:val="Grid Table 4 Accent 2"/>
    <w:basedOn w:val="TableNormal"/>
    <w:uiPriority w:val="49"/>
    <w:rsid w:val="00A37AEB"/>
    <w:pPr>
      <w:spacing w:after="0"/>
    </w:pPr>
    <w:tblPr>
      <w:tblStyleRowBandSize w:val="1"/>
      <w:tblStyleColBandSize w:val="1"/>
      <w:tblBorders>
        <w:top w:val="single" w:sz="4" w:space="0" w:color="94CD9D" w:themeColor="accent2" w:themeTint="99"/>
        <w:left w:val="single" w:sz="4" w:space="0" w:color="94CD9D" w:themeColor="accent2" w:themeTint="99"/>
        <w:bottom w:val="single" w:sz="4" w:space="0" w:color="94CD9D" w:themeColor="accent2" w:themeTint="99"/>
        <w:right w:val="single" w:sz="4" w:space="0" w:color="94CD9D" w:themeColor="accent2" w:themeTint="99"/>
        <w:insideH w:val="single" w:sz="4" w:space="0" w:color="94CD9D" w:themeColor="accent2" w:themeTint="99"/>
        <w:insideV w:val="single" w:sz="4" w:space="0" w:color="94CD9D" w:themeColor="accent2" w:themeTint="99"/>
      </w:tblBorders>
    </w:tblPr>
    <w:tblStylePr w:type="firstRow">
      <w:rPr>
        <w:b/>
        <w:bCs/>
        <w:color w:val="FFFFFF" w:themeColor="background1"/>
      </w:rPr>
      <w:tblPr/>
      <w:tcPr>
        <w:tcBorders>
          <w:top w:val="single" w:sz="4" w:space="0" w:color="4FAA5F" w:themeColor="accent2"/>
          <w:left w:val="single" w:sz="4" w:space="0" w:color="4FAA5F" w:themeColor="accent2"/>
          <w:bottom w:val="single" w:sz="4" w:space="0" w:color="4FAA5F" w:themeColor="accent2"/>
          <w:right w:val="single" w:sz="4" w:space="0" w:color="4FAA5F" w:themeColor="accent2"/>
          <w:insideH w:val="nil"/>
          <w:insideV w:val="nil"/>
        </w:tcBorders>
        <w:shd w:val="clear" w:color="auto" w:fill="4FAA5F" w:themeFill="accent2"/>
      </w:tcPr>
    </w:tblStylePr>
    <w:tblStylePr w:type="lastRow">
      <w:rPr>
        <w:b/>
        <w:bCs/>
      </w:rPr>
      <w:tblPr/>
      <w:tcPr>
        <w:tcBorders>
          <w:top w:val="double" w:sz="4" w:space="0" w:color="4FAA5F" w:themeColor="accent2"/>
        </w:tcBorders>
      </w:tcPr>
    </w:tblStylePr>
    <w:tblStylePr w:type="firstCol">
      <w:rPr>
        <w:b/>
        <w:bCs/>
      </w:rPr>
    </w:tblStylePr>
    <w:tblStylePr w:type="lastCol">
      <w:rPr>
        <w:b/>
        <w:bCs/>
      </w:rPr>
    </w:tblStylePr>
    <w:tblStylePr w:type="band1Vert">
      <w:tblPr/>
      <w:tcPr>
        <w:shd w:val="clear" w:color="auto" w:fill="DBEEDE" w:themeFill="accent2" w:themeFillTint="33"/>
      </w:tcPr>
    </w:tblStylePr>
    <w:tblStylePr w:type="band1Horz">
      <w:tblPr/>
      <w:tcPr>
        <w:shd w:val="clear" w:color="auto" w:fill="DBEEDE" w:themeFill="accent2" w:themeFillTint="33"/>
      </w:tcPr>
    </w:tblStylePr>
  </w:style>
  <w:style w:type="table" w:styleId="GridTable4-Accent3">
    <w:name w:val="Grid Table 4 Accent 3"/>
    <w:basedOn w:val="TableNormal"/>
    <w:uiPriority w:val="49"/>
    <w:rsid w:val="00A37AEB"/>
    <w:pPr>
      <w:spacing w:after="0"/>
    </w:pPr>
    <w:tblPr>
      <w:tblStyleRowBandSize w:val="1"/>
      <w:tblStyleColBandSize w:val="1"/>
      <w:tblBorders>
        <w:top w:val="single" w:sz="4" w:space="0" w:color="52CDFB" w:themeColor="accent3" w:themeTint="99"/>
        <w:left w:val="single" w:sz="4" w:space="0" w:color="52CDFB" w:themeColor="accent3" w:themeTint="99"/>
        <w:bottom w:val="single" w:sz="4" w:space="0" w:color="52CDFB" w:themeColor="accent3" w:themeTint="99"/>
        <w:right w:val="single" w:sz="4" w:space="0" w:color="52CDFB" w:themeColor="accent3" w:themeTint="99"/>
        <w:insideH w:val="single" w:sz="4" w:space="0" w:color="52CDFB" w:themeColor="accent3" w:themeTint="99"/>
        <w:insideV w:val="single" w:sz="4" w:space="0" w:color="52CDFB" w:themeColor="accent3" w:themeTint="99"/>
      </w:tblBorders>
    </w:tblPr>
    <w:tblStylePr w:type="firstRow">
      <w:rPr>
        <w:b/>
        <w:bCs/>
        <w:color w:val="FFFFFF" w:themeColor="background1"/>
      </w:rPr>
      <w:tblPr/>
      <w:tcPr>
        <w:tcBorders>
          <w:top w:val="single" w:sz="4" w:space="0" w:color="049CD5" w:themeColor="accent3"/>
          <w:left w:val="single" w:sz="4" w:space="0" w:color="049CD5" w:themeColor="accent3"/>
          <w:bottom w:val="single" w:sz="4" w:space="0" w:color="049CD5" w:themeColor="accent3"/>
          <w:right w:val="single" w:sz="4" w:space="0" w:color="049CD5" w:themeColor="accent3"/>
          <w:insideH w:val="nil"/>
          <w:insideV w:val="nil"/>
        </w:tcBorders>
        <w:shd w:val="clear" w:color="auto" w:fill="049CD5" w:themeFill="accent3"/>
      </w:tcPr>
    </w:tblStylePr>
    <w:tblStylePr w:type="lastRow">
      <w:rPr>
        <w:b/>
        <w:bCs/>
      </w:rPr>
      <w:tblPr/>
      <w:tcPr>
        <w:tcBorders>
          <w:top w:val="double" w:sz="4" w:space="0" w:color="049CD5" w:themeColor="accent3"/>
        </w:tcBorders>
      </w:tcPr>
    </w:tblStylePr>
    <w:tblStylePr w:type="firstCol">
      <w:rPr>
        <w:b/>
        <w:bCs/>
      </w:rPr>
    </w:tblStylePr>
    <w:tblStylePr w:type="lastCol">
      <w:rPr>
        <w:b/>
        <w:bCs/>
      </w:rPr>
    </w:tblStylePr>
    <w:tblStylePr w:type="band1Vert">
      <w:tblPr/>
      <w:tcPr>
        <w:shd w:val="clear" w:color="auto" w:fill="C5EEFE" w:themeFill="accent3" w:themeFillTint="33"/>
      </w:tcPr>
    </w:tblStylePr>
    <w:tblStylePr w:type="band1Horz">
      <w:tblPr/>
      <w:tcPr>
        <w:shd w:val="clear" w:color="auto" w:fill="C5EEFE" w:themeFill="accent3" w:themeFillTint="33"/>
      </w:tcPr>
    </w:tblStylePr>
  </w:style>
  <w:style w:type="table" w:styleId="GridTable4-Accent4">
    <w:name w:val="Grid Table 4 Accent 4"/>
    <w:basedOn w:val="TableNormal"/>
    <w:uiPriority w:val="49"/>
    <w:rsid w:val="00A37AEB"/>
    <w:pPr>
      <w:spacing w:after="0"/>
    </w:pPr>
    <w:tblPr>
      <w:tblStyleRowBandSize w:val="1"/>
      <w:tblStyleColBandSize w:val="1"/>
      <w:tblBorders>
        <w:top w:val="single" w:sz="4" w:space="0" w:color="9E9DD3" w:themeColor="accent4" w:themeTint="99"/>
        <w:left w:val="single" w:sz="4" w:space="0" w:color="9E9DD3" w:themeColor="accent4" w:themeTint="99"/>
        <w:bottom w:val="single" w:sz="4" w:space="0" w:color="9E9DD3" w:themeColor="accent4" w:themeTint="99"/>
        <w:right w:val="single" w:sz="4" w:space="0" w:color="9E9DD3" w:themeColor="accent4" w:themeTint="99"/>
        <w:insideH w:val="single" w:sz="4" w:space="0" w:color="9E9DD3" w:themeColor="accent4" w:themeTint="99"/>
        <w:insideV w:val="single" w:sz="4" w:space="0" w:color="9E9DD3" w:themeColor="accent4" w:themeTint="99"/>
      </w:tblBorders>
    </w:tblPr>
    <w:tblStylePr w:type="firstRow">
      <w:rPr>
        <w:b/>
        <w:bCs/>
        <w:color w:val="FFFFFF" w:themeColor="background1"/>
      </w:rPr>
      <w:tblPr/>
      <w:tcPr>
        <w:tcBorders>
          <w:top w:val="single" w:sz="4" w:space="0" w:color="5F5CB6" w:themeColor="accent4"/>
          <w:left w:val="single" w:sz="4" w:space="0" w:color="5F5CB6" w:themeColor="accent4"/>
          <w:bottom w:val="single" w:sz="4" w:space="0" w:color="5F5CB6" w:themeColor="accent4"/>
          <w:right w:val="single" w:sz="4" w:space="0" w:color="5F5CB6" w:themeColor="accent4"/>
          <w:insideH w:val="nil"/>
          <w:insideV w:val="nil"/>
        </w:tcBorders>
        <w:shd w:val="clear" w:color="auto" w:fill="5F5CB6" w:themeFill="accent4"/>
      </w:tcPr>
    </w:tblStylePr>
    <w:tblStylePr w:type="lastRow">
      <w:rPr>
        <w:b/>
        <w:bCs/>
      </w:rPr>
      <w:tblPr/>
      <w:tcPr>
        <w:tcBorders>
          <w:top w:val="double" w:sz="4" w:space="0" w:color="5F5CB6" w:themeColor="accent4"/>
        </w:tcBorders>
      </w:tcPr>
    </w:tblStylePr>
    <w:tblStylePr w:type="firstCol">
      <w:rPr>
        <w:b/>
        <w:bCs/>
      </w:rPr>
    </w:tblStylePr>
    <w:tblStylePr w:type="lastCol">
      <w:rPr>
        <w:b/>
        <w:bCs/>
      </w:rPr>
    </w:tblStylePr>
    <w:tblStylePr w:type="band1Vert">
      <w:tblPr/>
      <w:tcPr>
        <w:shd w:val="clear" w:color="auto" w:fill="DEDEF0" w:themeFill="accent4" w:themeFillTint="33"/>
      </w:tcPr>
    </w:tblStylePr>
    <w:tblStylePr w:type="band1Horz">
      <w:tblPr/>
      <w:tcPr>
        <w:shd w:val="clear" w:color="auto" w:fill="DEDEF0" w:themeFill="accent4" w:themeFillTint="33"/>
      </w:tcPr>
    </w:tblStylePr>
  </w:style>
  <w:style w:type="table" w:styleId="GridTable4-Accent5">
    <w:name w:val="Grid Table 4 Accent 5"/>
    <w:basedOn w:val="TableNormal"/>
    <w:uiPriority w:val="49"/>
    <w:rsid w:val="00A37AEB"/>
    <w:pPr>
      <w:spacing w:after="0"/>
    </w:pPr>
    <w:tblPr>
      <w:tblStyleRowBandSize w:val="1"/>
      <w:tblStyleColBandSize w:val="1"/>
      <w:tblBorders>
        <w:top w:val="single" w:sz="4" w:space="0" w:color="C0CCD3" w:themeColor="accent5" w:themeTint="99"/>
        <w:left w:val="single" w:sz="4" w:space="0" w:color="C0CCD3" w:themeColor="accent5" w:themeTint="99"/>
        <w:bottom w:val="single" w:sz="4" w:space="0" w:color="C0CCD3" w:themeColor="accent5" w:themeTint="99"/>
        <w:right w:val="single" w:sz="4" w:space="0" w:color="C0CCD3" w:themeColor="accent5" w:themeTint="99"/>
        <w:insideH w:val="single" w:sz="4" w:space="0" w:color="C0CCD3" w:themeColor="accent5" w:themeTint="99"/>
        <w:insideV w:val="single" w:sz="4" w:space="0" w:color="C0CCD3" w:themeColor="accent5" w:themeTint="99"/>
      </w:tblBorders>
    </w:tblPr>
    <w:tblStylePr w:type="firstRow">
      <w:rPr>
        <w:b/>
        <w:bCs/>
        <w:color w:val="FFFFFF" w:themeColor="background1"/>
      </w:rPr>
      <w:tblPr/>
      <w:tcPr>
        <w:tcBorders>
          <w:top w:val="single" w:sz="4" w:space="0" w:color="97ABB6" w:themeColor="accent5"/>
          <w:left w:val="single" w:sz="4" w:space="0" w:color="97ABB6" w:themeColor="accent5"/>
          <w:bottom w:val="single" w:sz="4" w:space="0" w:color="97ABB6" w:themeColor="accent5"/>
          <w:right w:val="single" w:sz="4" w:space="0" w:color="97ABB6" w:themeColor="accent5"/>
          <w:insideH w:val="nil"/>
          <w:insideV w:val="nil"/>
        </w:tcBorders>
        <w:shd w:val="clear" w:color="auto" w:fill="97ABB6" w:themeFill="accent5"/>
      </w:tcPr>
    </w:tblStylePr>
    <w:tblStylePr w:type="lastRow">
      <w:rPr>
        <w:b/>
        <w:bCs/>
      </w:rPr>
      <w:tblPr/>
      <w:tcPr>
        <w:tcBorders>
          <w:top w:val="double" w:sz="4" w:space="0" w:color="97ABB6" w:themeColor="accent5"/>
        </w:tcBorders>
      </w:tcPr>
    </w:tblStylePr>
    <w:tblStylePr w:type="firstCol">
      <w:rPr>
        <w:b/>
        <w:bCs/>
      </w:rPr>
    </w:tblStylePr>
    <w:tblStylePr w:type="lastCol">
      <w:rPr>
        <w:b/>
        <w:bCs/>
      </w:rPr>
    </w:tblStylePr>
    <w:tblStylePr w:type="band1Vert">
      <w:tblPr/>
      <w:tcPr>
        <w:shd w:val="clear" w:color="auto" w:fill="EAEEF0" w:themeFill="accent5" w:themeFillTint="33"/>
      </w:tcPr>
    </w:tblStylePr>
    <w:tblStylePr w:type="band1Horz">
      <w:tblPr/>
      <w:tcPr>
        <w:shd w:val="clear" w:color="auto" w:fill="EAEEF0" w:themeFill="accent5" w:themeFillTint="33"/>
      </w:tcPr>
    </w:tblStylePr>
  </w:style>
  <w:style w:type="table" w:styleId="GridTable4-Accent6">
    <w:name w:val="Grid Table 4 Accent 6"/>
    <w:basedOn w:val="TableNormal"/>
    <w:uiPriority w:val="49"/>
    <w:rsid w:val="00A37AEB"/>
    <w:pPr>
      <w:spacing w:after="0"/>
    </w:pPr>
    <w:tblPr>
      <w:tblStyleRowBandSize w:val="1"/>
      <w:tblStyleColBandSize w:val="1"/>
      <w:tblBorders>
        <w:top w:val="single" w:sz="4" w:space="0" w:color="C0CCD3" w:themeColor="accent6" w:themeTint="99"/>
        <w:left w:val="single" w:sz="4" w:space="0" w:color="C0CCD3" w:themeColor="accent6" w:themeTint="99"/>
        <w:bottom w:val="single" w:sz="4" w:space="0" w:color="C0CCD3" w:themeColor="accent6" w:themeTint="99"/>
        <w:right w:val="single" w:sz="4" w:space="0" w:color="C0CCD3" w:themeColor="accent6" w:themeTint="99"/>
        <w:insideH w:val="single" w:sz="4" w:space="0" w:color="C0CCD3" w:themeColor="accent6" w:themeTint="99"/>
        <w:insideV w:val="single" w:sz="4" w:space="0" w:color="C0CCD3" w:themeColor="accent6" w:themeTint="99"/>
      </w:tblBorders>
    </w:tblPr>
    <w:tblStylePr w:type="firstRow">
      <w:rPr>
        <w:b/>
        <w:bCs/>
        <w:color w:val="FFFFFF" w:themeColor="background1"/>
      </w:rPr>
      <w:tblPr/>
      <w:tcPr>
        <w:tcBorders>
          <w:top w:val="single" w:sz="4" w:space="0" w:color="97ABB6" w:themeColor="accent6"/>
          <w:left w:val="single" w:sz="4" w:space="0" w:color="97ABB6" w:themeColor="accent6"/>
          <w:bottom w:val="single" w:sz="4" w:space="0" w:color="97ABB6" w:themeColor="accent6"/>
          <w:right w:val="single" w:sz="4" w:space="0" w:color="97ABB6" w:themeColor="accent6"/>
          <w:insideH w:val="nil"/>
          <w:insideV w:val="nil"/>
        </w:tcBorders>
        <w:shd w:val="clear" w:color="auto" w:fill="97ABB6" w:themeFill="accent6"/>
      </w:tcPr>
    </w:tblStylePr>
    <w:tblStylePr w:type="lastRow">
      <w:rPr>
        <w:b/>
        <w:bCs/>
      </w:rPr>
      <w:tblPr/>
      <w:tcPr>
        <w:tcBorders>
          <w:top w:val="double" w:sz="4" w:space="0" w:color="97ABB6" w:themeColor="accent6"/>
        </w:tcBorders>
      </w:tcPr>
    </w:tblStylePr>
    <w:tblStylePr w:type="firstCol">
      <w:rPr>
        <w:b/>
        <w:bCs/>
      </w:rPr>
    </w:tblStylePr>
    <w:tblStylePr w:type="lastCol">
      <w:rPr>
        <w:b/>
        <w:bCs/>
      </w:rPr>
    </w:tblStylePr>
    <w:tblStylePr w:type="band1Vert">
      <w:tblPr/>
      <w:tcPr>
        <w:shd w:val="clear" w:color="auto" w:fill="EAEEF0" w:themeFill="accent6" w:themeFillTint="33"/>
      </w:tcPr>
    </w:tblStylePr>
    <w:tblStylePr w:type="band1Horz">
      <w:tblPr/>
      <w:tcPr>
        <w:shd w:val="clear" w:color="auto" w:fill="EAEEF0" w:themeFill="accent6" w:themeFillTint="33"/>
      </w:tcPr>
    </w:tblStylePr>
  </w:style>
  <w:style w:type="table" w:styleId="GridTable5Dark">
    <w:name w:val="Grid Table 5 Dark"/>
    <w:basedOn w:val="TableNormal"/>
    <w:uiPriority w:val="50"/>
    <w:rsid w:val="00A37AE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A37AE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EF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ABB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ABB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ABB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ABB6" w:themeFill="accent1"/>
      </w:tcPr>
    </w:tblStylePr>
    <w:tblStylePr w:type="band1Vert">
      <w:tblPr/>
      <w:tcPr>
        <w:shd w:val="clear" w:color="auto" w:fill="D5DDE1" w:themeFill="accent1" w:themeFillTint="66"/>
      </w:tcPr>
    </w:tblStylePr>
    <w:tblStylePr w:type="band1Horz">
      <w:tblPr/>
      <w:tcPr>
        <w:shd w:val="clear" w:color="auto" w:fill="D5DDE1" w:themeFill="accent1" w:themeFillTint="66"/>
      </w:tcPr>
    </w:tblStylePr>
  </w:style>
  <w:style w:type="table" w:styleId="GridTable5Dark-Accent2">
    <w:name w:val="Grid Table 5 Dark Accent 2"/>
    <w:basedOn w:val="TableNormal"/>
    <w:uiPriority w:val="50"/>
    <w:rsid w:val="00A37AE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ED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AA5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AA5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AA5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AA5F" w:themeFill="accent2"/>
      </w:tcPr>
    </w:tblStylePr>
    <w:tblStylePr w:type="band1Vert">
      <w:tblPr/>
      <w:tcPr>
        <w:shd w:val="clear" w:color="auto" w:fill="B7DDBE" w:themeFill="accent2" w:themeFillTint="66"/>
      </w:tcPr>
    </w:tblStylePr>
    <w:tblStylePr w:type="band1Horz">
      <w:tblPr/>
      <w:tcPr>
        <w:shd w:val="clear" w:color="auto" w:fill="B7DDBE" w:themeFill="accent2" w:themeFillTint="66"/>
      </w:tcPr>
    </w:tblStylePr>
  </w:style>
  <w:style w:type="table" w:styleId="GridTable5Dark-Accent3">
    <w:name w:val="Grid Table 5 Dark Accent 3"/>
    <w:basedOn w:val="TableNormal"/>
    <w:uiPriority w:val="50"/>
    <w:rsid w:val="00A37AE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5EEFE"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49CD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49CD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49CD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49CD5" w:themeFill="accent3"/>
      </w:tcPr>
    </w:tblStylePr>
    <w:tblStylePr w:type="band1Vert">
      <w:tblPr/>
      <w:tcPr>
        <w:shd w:val="clear" w:color="auto" w:fill="8BDDFC" w:themeFill="accent3" w:themeFillTint="66"/>
      </w:tcPr>
    </w:tblStylePr>
    <w:tblStylePr w:type="band1Horz">
      <w:tblPr/>
      <w:tcPr>
        <w:shd w:val="clear" w:color="auto" w:fill="8BDDFC" w:themeFill="accent3" w:themeFillTint="66"/>
      </w:tcPr>
    </w:tblStylePr>
  </w:style>
  <w:style w:type="table" w:styleId="GridTable5Dark-Accent4">
    <w:name w:val="Grid Table 5 Dark Accent 4"/>
    <w:basedOn w:val="TableNormal"/>
    <w:uiPriority w:val="50"/>
    <w:rsid w:val="00A37AE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DEF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F5CB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F5CB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F5CB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F5CB6" w:themeFill="accent4"/>
      </w:tcPr>
    </w:tblStylePr>
    <w:tblStylePr w:type="band1Vert">
      <w:tblPr/>
      <w:tcPr>
        <w:shd w:val="clear" w:color="auto" w:fill="BEBDE1" w:themeFill="accent4" w:themeFillTint="66"/>
      </w:tcPr>
    </w:tblStylePr>
    <w:tblStylePr w:type="band1Horz">
      <w:tblPr/>
      <w:tcPr>
        <w:shd w:val="clear" w:color="auto" w:fill="BEBDE1" w:themeFill="accent4" w:themeFillTint="66"/>
      </w:tcPr>
    </w:tblStylePr>
  </w:style>
  <w:style w:type="table" w:styleId="GridTable5Dark-Accent5">
    <w:name w:val="Grid Table 5 Dark Accent 5"/>
    <w:basedOn w:val="TableNormal"/>
    <w:uiPriority w:val="50"/>
    <w:rsid w:val="00A37AE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EF0"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ABB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ABB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ABB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ABB6" w:themeFill="accent5"/>
      </w:tcPr>
    </w:tblStylePr>
    <w:tblStylePr w:type="band1Vert">
      <w:tblPr/>
      <w:tcPr>
        <w:shd w:val="clear" w:color="auto" w:fill="D5DDE1" w:themeFill="accent5" w:themeFillTint="66"/>
      </w:tcPr>
    </w:tblStylePr>
    <w:tblStylePr w:type="band1Horz">
      <w:tblPr/>
      <w:tcPr>
        <w:shd w:val="clear" w:color="auto" w:fill="D5DDE1" w:themeFill="accent5" w:themeFillTint="66"/>
      </w:tcPr>
    </w:tblStylePr>
  </w:style>
  <w:style w:type="table" w:styleId="GridTable5Dark-Accent6">
    <w:name w:val="Grid Table 5 Dark Accent 6"/>
    <w:basedOn w:val="TableNormal"/>
    <w:uiPriority w:val="50"/>
    <w:rsid w:val="00A37AE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E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ABB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ABB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ABB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ABB6" w:themeFill="accent6"/>
      </w:tcPr>
    </w:tblStylePr>
    <w:tblStylePr w:type="band1Vert">
      <w:tblPr/>
      <w:tcPr>
        <w:shd w:val="clear" w:color="auto" w:fill="D5DDE1" w:themeFill="accent6" w:themeFillTint="66"/>
      </w:tcPr>
    </w:tblStylePr>
    <w:tblStylePr w:type="band1Horz">
      <w:tblPr/>
      <w:tcPr>
        <w:shd w:val="clear" w:color="auto" w:fill="D5DDE1" w:themeFill="accent6" w:themeFillTint="66"/>
      </w:tcPr>
    </w:tblStylePr>
  </w:style>
  <w:style w:type="table" w:styleId="GridTable6Colorful">
    <w:name w:val="Grid Table 6 Colorful"/>
    <w:basedOn w:val="TableNormal"/>
    <w:uiPriority w:val="51"/>
    <w:rsid w:val="00A37AEB"/>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A37AEB"/>
    <w:pPr>
      <w:spacing w:after="0"/>
    </w:pPr>
    <w:rPr>
      <w:color w:val="678292" w:themeColor="accent1" w:themeShade="BF"/>
    </w:rPr>
    <w:tblPr>
      <w:tblStyleRowBandSize w:val="1"/>
      <w:tblStyleColBandSize w:val="1"/>
      <w:tblBorders>
        <w:top w:val="single" w:sz="4" w:space="0" w:color="C0CCD3" w:themeColor="accent1" w:themeTint="99"/>
        <w:left w:val="single" w:sz="4" w:space="0" w:color="C0CCD3" w:themeColor="accent1" w:themeTint="99"/>
        <w:bottom w:val="single" w:sz="4" w:space="0" w:color="C0CCD3" w:themeColor="accent1" w:themeTint="99"/>
        <w:right w:val="single" w:sz="4" w:space="0" w:color="C0CCD3" w:themeColor="accent1" w:themeTint="99"/>
        <w:insideH w:val="single" w:sz="4" w:space="0" w:color="C0CCD3" w:themeColor="accent1" w:themeTint="99"/>
        <w:insideV w:val="single" w:sz="4" w:space="0" w:color="C0CCD3" w:themeColor="accent1" w:themeTint="99"/>
      </w:tblBorders>
    </w:tblPr>
    <w:tblStylePr w:type="firstRow">
      <w:rPr>
        <w:b/>
        <w:bCs/>
      </w:rPr>
      <w:tblPr/>
      <w:tcPr>
        <w:tcBorders>
          <w:bottom w:val="single" w:sz="12" w:space="0" w:color="C0CCD3" w:themeColor="accent1" w:themeTint="99"/>
        </w:tcBorders>
      </w:tcPr>
    </w:tblStylePr>
    <w:tblStylePr w:type="lastRow">
      <w:rPr>
        <w:b/>
        <w:bCs/>
      </w:rPr>
      <w:tblPr/>
      <w:tcPr>
        <w:tcBorders>
          <w:top w:val="double" w:sz="4" w:space="0" w:color="C0CCD3" w:themeColor="accent1" w:themeTint="99"/>
        </w:tcBorders>
      </w:tcPr>
    </w:tblStylePr>
    <w:tblStylePr w:type="firstCol">
      <w:rPr>
        <w:b/>
        <w:bCs/>
      </w:rPr>
    </w:tblStylePr>
    <w:tblStylePr w:type="lastCol">
      <w:rPr>
        <w:b/>
        <w:bCs/>
      </w:rPr>
    </w:tblStylePr>
    <w:tblStylePr w:type="band1Vert">
      <w:tblPr/>
      <w:tcPr>
        <w:shd w:val="clear" w:color="auto" w:fill="EAEEF0" w:themeFill="accent1" w:themeFillTint="33"/>
      </w:tcPr>
    </w:tblStylePr>
    <w:tblStylePr w:type="band1Horz">
      <w:tblPr/>
      <w:tcPr>
        <w:shd w:val="clear" w:color="auto" w:fill="EAEEF0" w:themeFill="accent1" w:themeFillTint="33"/>
      </w:tcPr>
    </w:tblStylePr>
  </w:style>
  <w:style w:type="table" w:styleId="GridTable6Colorful-Accent2">
    <w:name w:val="Grid Table 6 Colorful Accent 2"/>
    <w:basedOn w:val="TableNormal"/>
    <w:uiPriority w:val="51"/>
    <w:rsid w:val="00A37AEB"/>
    <w:pPr>
      <w:spacing w:after="0"/>
    </w:pPr>
    <w:rPr>
      <w:color w:val="3B7F46" w:themeColor="accent2" w:themeShade="BF"/>
    </w:rPr>
    <w:tblPr>
      <w:tblStyleRowBandSize w:val="1"/>
      <w:tblStyleColBandSize w:val="1"/>
      <w:tblBorders>
        <w:top w:val="single" w:sz="4" w:space="0" w:color="94CD9D" w:themeColor="accent2" w:themeTint="99"/>
        <w:left w:val="single" w:sz="4" w:space="0" w:color="94CD9D" w:themeColor="accent2" w:themeTint="99"/>
        <w:bottom w:val="single" w:sz="4" w:space="0" w:color="94CD9D" w:themeColor="accent2" w:themeTint="99"/>
        <w:right w:val="single" w:sz="4" w:space="0" w:color="94CD9D" w:themeColor="accent2" w:themeTint="99"/>
        <w:insideH w:val="single" w:sz="4" w:space="0" w:color="94CD9D" w:themeColor="accent2" w:themeTint="99"/>
        <w:insideV w:val="single" w:sz="4" w:space="0" w:color="94CD9D" w:themeColor="accent2" w:themeTint="99"/>
      </w:tblBorders>
    </w:tblPr>
    <w:tblStylePr w:type="firstRow">
      <w:rPr>
        <w:b/>
        <w:bCs/>
      </w:rPr>
      <w:tblPr/>
      <w:tcPr>
        <w:tcBorders>
          <w:bottom w:val="single" w:sz="12" w:space="0" w:color="94CD9D" w:themeColor="accent2" w:themeTint="99"/>
        </w:tcBorders>
      </w:tcPr>
    </w:tblStylePr>
    <w:tblStylePr w:type="lastRow">
      <w:rPr>
        <w:b/>
        <w:bCs/>
      </w:rPr>
      <w:tblPr/>
      <w:tcPr>
        <w:tcBorders>
          <w:top w:val="double" w:sz="4" w:space="0" w:color="94CD9D" w:themeColor="accent2" w:themeTint="99"/>
        </w:tcBorders>
      </w:tcPr>
    </w:tblStylePr>
    <w:tblStylePr w:type="firstCol">
      <w:rPr>
        <w:b/>
        <w:bCs/>
      </w:rPr>
    </w:tblStylePr>
    <w:tblStylePr w:type="lastCol">
      <w:rPr>
        <w:b/>
        <w:bCs/>
      </w:rPr>
    </w:tblStylePr>
    <w:tblStylePr w:type="band1Vert">
      <w:tblPr/>
      <w:tcPr>
        <w:shd w:val="clear" w:color="auto" w:fill="DBEEDE" w:themeFill="accent2" w:themeFillTint="33"/>
      </w:tcPr>
    </w:tblStylePr>
    <w:tblStylePr w:type="band1Horz">
      <w:tblPr/>
      <w:tcPr>
        <w:shd w:val="clear" w:color="auto" w:fill="DBEEDE" w:themeFill="accent2" w:themeFillTint="33"/>
      </w:tcPr>
    </w:tblStylePr>
  </w:style>
  <w:style w:type="table" w:styleId="GridTable6Colorful-Accent3">
    <w:name w:val="Grid Table 6 Colorful Accent 3"/>
    <w:basedOn w:val="TableNormal"/>
    <w:uiPriority w:val="51"/>
    <w:rsid w:val="00A37AEB"/>
    <w:pPr>
      <w:spacing w:after="0"/>
    </w:pPr>
    <w:rPr>
      <w:color w:val="03749F" w:themeColor="accent3" w:themeShade="BF"/>
    </w:rPr>
    <w:tblPr>
      <w:tblStyleRowBandSize w:val="1"/>
      <w:tblStyleColBandSize w:val="1"/>
      <w:tblBorders>
        <w:top w:val="single" w:sz="4" w:space="0" w:color="52CDFB" w:themeColor="accent3" w:themeTint="99"/>
        <w:left w:val="single" w:sz="4" w:space="0" w:color="52CDFB" w:themeColor="accent3" w:themeTint="99"/>
        <w:bottom w:val="single" w:sz="4" w:space="0" w:color="52CDFB" w:themeColor="accent3" w:themeTint="99"/>
        <w:right w:val="single" w:sz="4" w:space="0" w:color="52CDFB" w:themeColor="accent3" w:themeTint="99"/>
        <w:insideH w:val="single" w:sz="4" w:space="0" w:color="52CDFB" w:themeColor="accent3" w:themeTint="99"/>
        <w:insideV w:val="single" w:sz="4" w:space="0" w:color="52CDFB" w:themeColor="accent3" w:themeTint="99"/>
      </w:tblBorders>
    </w:tblPr>
    <w:tblStylePr w:type="firstRow">
      <w:rPr>
        <w:b/>
        <w:bCs/>
      </w:rPr>
      <w:tblPr/>
      <w:tcPr>
        <w:tcBorders>
          <w:bottom w:val="single" w:sz="12" w:space="0" w:color="52CDFB" w:themeColor="accent3" w:themeTint="99"/>
        </w:tcBorders>
      </w:tcPr>
    </w:tblStylePr>
    <w:tblStylePr w:type="lastRow">
      <w:rPr>
        <w:b/>
        <w:bCs/>
      </w:rPr>
      <w:tblPr/>
      <w:tcPr>
        <w:tcBorders>
          <w:top w:val="double" w:sz="4" w:space="0" w:color="52CDFB" w:themeColor="accent3" w:themeTint="99"/>
        </w:tcBorders>
      </w:tcPr>
    </w:tblStylePr>
    <w:tblStylePr w:type="firstCol">
      <w:rPr>
        <w:b/>
        <w:bCs/>
      </w:rPr>
    </w:tblStylePr>
    <w:tblStylePr w:type="lastCol">
      <w:rPr>
        <w:b/>
        <w:bCs/>
      </w:rPr>
    </w:tblStylePr>
    <w:tblStylePr w:type="band1Vert">
      <w:tblPr/>
      <w:tcPr>
        <w:shd w:val="clear" w:color="auto" w:fill="C5EEFE" w:themeFill="accent3" w:themeFillTint="33"/>
      </w:tcPr>
    </w:tblStylePr>
    <w:tblStylePr w:type="band1Horz">
      <w:tblPr/>
      <w:tcPr>
        <w:shd w:val="clear" w:color="auto" w:fill="C5EEFE" w:themeFill="accent3" w:themeFillTint="33"/>
      </w:tcPr>
    </w:tblStylePr>
  </w:style>
  <w:style w:type="table" w:styleId="GridTable6Colorful-Accent4">
    <w:name w:val="Grid Table 6 Colorful Accent 4"/>
    <w:basedOn w:val="TableNormal"/>
    <w:uiPriority w:val="51"/>
    <w:rsid w:val="00A37AEB"/>
    <w:pPr>
      <w:spacing w:after="0"/>
    </w:pPr>
    <w:rPr>
      <w:color w:val="413F8D" w:themeColor="accent4" w:themeShade="BF"/>
    </w:rPr>
    <w:tblPr>
      <w:tblStyleRowBandSize w:val="1"/>
      <w:tblStyleColBandSize w:val="1"/>
      <w:tblBorders>
        <w:top w:val="single" w:sz="4" w:space="0" w:color="9E9DD3" w:themeColor="accent4" w:themeTint="99"/>
        <w:left w:val="single" w:sz="4" w:space="0" w:color="9E9DD3" w:themeColor="accent4" w:themeTint="99"/>
        <w:bottom w:val="single" w:sz="4" w:space="0" w:color="9E9DD3" w:themeColor="accent4" w:themeTint="99"/>
        <w:right w:val="single" w:sz="4" w:space="0" w:color="9E9DD3" w:themeColor="accent4" w:themeTint="99"/>
        <w:insideH w:val="single" w:sz="4" w:space="0" w:color="9E9DD3" w:themeColor="accent4" w:themeTint="99"/>
        <w:insideV w:val="single" w:sz="4" w:space="0" w:color="9E9DD3" w:themeColor="accent4" w:themeTint="99"/>
      </w:tblBorders>
    </w:tblPr>
    <w:tblStylePr w:type="firstRow">
      <w:rPr>
        <w:b/>
        <w:bCs/>
      </w:rPr>
      <w:tblPr/>
      <w:tcPr>
        <w:tcBorders>
          <w:bottom w:val="single" w:sz="12" w:space="0" w:color="9E9DD3" w:themeColor="accent4" w:themeTint="99"/>
        </w:tcBorders>
      </w:tcPr>
    </w:tblStylePr>
    <w:tblStylePr w:type="lastRow">
      <w:rPr>
        <w:b/>
        <w:bCs/>
      </w:rPr>
      <w:tblPr/>
      <w:tcPr>
        <w:tcBorders>
          <w:top w:val="double" w:sz="4" w:space="0" w:color="9E9DD3" w:themeColor="accent4" w:themeTint="99"/>
        </w:tcBorders>
      </w:tcPr>
    </w:tblStylePr>
    <w:tblStylePr w:type="firstCol">
      <w:rPr>
        <w:b/>
        <w:bCs/>
      </w:rPr>
    </w:tblStylePr>
    <w:tblStylePr w:type="lastCol">
      <w:rPr>
        <w:b/>
        <w:bCs/>
      </w:rPr>
    </w:tblStylePr>
    <w:tblStylePr w:type="band1Vert">
      <w:tblPr/>
      <w:tcPr>
        <w:shd w:val="clear" w:color="auto" w:fill="DEDEF0" w:themeFill="accent4" w:themeFillTint="33"/>
      </w:tcPr>
    </w:tblStylePr>
    <w:tblStylePr w:type="band1Horz">
      <w:tblPr/>
      <w:tcPr>
        <w:shd w:val="clear" w:color="auto" w:fill="DEDEF0" w:themeFill="accent4" w:themeFillTint="33"/>
      </w:tcPr>
    </w:tblStylePr>
  </w:style>
  <w:style w:type="table" w:styleId="GridTable6Colorful-Accent5">
    <w:name w:val="Grid Table 6 Colorful Accent 5"/>
    <w:basedOn w:val="TableNormal"/>
    <w:uiPriority w:val="51"/>
    <w:rsid w:val="00A37AEB"/>
    <w:pPr>
      <w:spacing w:after="0"/>
    </w:pPr>
    <w:rPr>
      <w:color w:val="678292" w:themeColor="accent5" w:themeShade="BF"/>
    </w:rPr>
    <w:tblPr>
      <w:tblStyleRowBandSize w:val="1"/>
      <w:tblStyleColBandSize w:val="1"/>
      <w:tblBorders>
        <w:top w:val="single" w:sz="4" w:space="0" w:color="C0CCD3" w:themeColor="accent5" w:themeTint="99"/>
        <w:left w:val="single" w:sz="4" w:space="0" w:color="C0CCD3" w:themeColor="accent5" w:themeTint="99"/>
        <w:bottom w:val="single" w:sz="4" w:space="0" w:color="C0CCD3" w:themeColor="accent5" w:themeTint="99"/>
        <w:right w:val="single" w:sz="4" w:space="0" w:color="C0CCD3" w:themeColor="accent5" w:themeTint="99"/>
        <w:insideH w:val="single" w:sz="4" w:space="0" w:color="C0CCD3" w:themeColor="accent5" w:themeTint="99"/>
        <w:insideV w:val="single" w:sz="4" w:space="0" w:color="C0CCD3" w:themeColor="accent5" w:themeTint="99"/>
      </w:tblBorders>
    </w:tblPr>
    <w:tblStylePr w:type="firstRow">
      <w:rPr>
        <w:b/>
        <w:bCs/>
      </w:rPr>
      <w:tblPr/>
      <w:tcPr>
        <w:tcBorders>
          <w:bottom w:val="single" w:sz="12" w:space="0" w:color="C0CCD3" w:themeColor="accent5" w:themeTint="99"/>
        </w:tcBorders>
      </w:tcPr>
    </w:tblStylePr>
    <w:tblStylePr w:type="lastRow">
      <w:rPr>
        <w:b/>
        <w:bCs/>
      </w:rPr>
      <w:tblPr/>
      <w:tcPr>
        <w:tcBorders>
          <w:top w:val="double" w:sz="4" w:space="0" w:color="C0CCD3" w:themeColor="accent5" w:themeTint="99"/>
        </w:tcBorders>
      </w:tcPr>
    </w:tblStylePr>
    <w:tblStylePr w:type="firstCol">
      <w:rPr>
        <w:b/>
        <w:bCs/>
      </w:rPr>
    </w:tblStylePr>
    <w:tblStylePr w:type="lastCol">
      <w:rPr>
        <w:b/>
        <w:bCs/>
      </w:rPr>
    </w:tblStylePr>
    <w:tblStylePr w:type="band1Vert">
      <w:tblPr/>
      <w:tcPr>
        <w:shd w:val="clear" w:color="auto" w:fill="EAEEF0" w:themeFill="accent5" w:themeFillTint="33"/>
      </w:tcPr>
    </w:tblStylePr>
    <w:tblStylePr w:type="band1Horz">
      <w:tblPr/>
      <w:tcPr>
        <w:shd w:val="clear" w:color="auto" w:fill="EAEEF0" w:themeFill="accent5" w:themeFillTint="33"/>
      </w:tcPr>
    </w:tblStylePr>
  </w:style>
  <w:style w:type="table" w:styleId="GridTable6Colorful-Accent6">
    <w:name w:val="Grid Table 6 Colorful Accent 6"/>
    <w:basedOn w:val="TableNormal"/>
    <w:uiPriority w:val="51"/>
    <w:rsid w:val="00A37AEB"/>
    <w:pPr>
      <w:spacing w:after="0"/>
    </w:pPr>
    <w:rPr>
      <w:color w:val="678292" w:themeColor="accent6" w:themeShade="BF"/>
    </w:rPr>
    <w:tblPr>
      <w:tblStyleRowBandSize w:val="1"/>
      <w:tblStyleColBandSize w:val="1"/>
      <w:tblBorders>
        <w:top w:val="single" w:sz="4" w:space="0" w:color="C0CCD3" w:themeColor="accent6" w:themeTint="99"/>
        <w:left w:val="single" w:sz="4" w:space="0" w:color="C0CCD3" w:themeColor="accent6" w:themeTint="99"/>
        <w:bottom w:val="single" w:sz="4" w:space="0" w:color="C0CCD3" w:themeColor="accent6" w:themeTint="99"/>
        <w:right w:val="single" w:sz="4" w:space="0" w:color="C0CCD3" w:themeColor="accent6" w:themeTint="99"/>
        <w:insideH w:val="single" w:sz="4" w:space="0" w:color="C0CCD3" w:themeColor="accent6" w:themeTint="99"/>
        <w:insideV w:val="single" w:sz="4" w:space="0" w:color="C0CCD3" w:themeColor="accent6" w:themeTint="99"/>
      </w:tblBorders>
    </w:tblPr>
    <w:tblStylePr w:type="firstRow">
      <w:rPr>
        <w:b/>
        <w:bCs/>
      </w:rPr>
      <w:tblPr/>
      <w:tcPr>
        <w:tcBorders>
          <w:bottom w:val="single" w:sz="12" w:space="0" w:color="C0CCD3" w:themeColor="accent6" w:themeTint="99"/>
        </w:tcBorders>
      </w:tcPr>
    </w:tblStylePr>
    <w:tblStylePr w:type="lastRow">
      <w:rPr>
        <w:b/>
        <w:bCs/>
      </w:rPr>
      <w:tblPr/>
      <w:tcPr>
        <w:tcBorders>
          <w:top w:val="double" w:sz="4" w:space="0" w:color="C0CCD3" w:themeColor="accent6" w:themeTint="99"/>
        </w:tcBorders>
      </w:tcPr>
    </w:tblStylePr>
    <w:tblStylePr w:type="firstCol">
      <w:rPr>
        <w:b/>
        <w:bCs/>
      </w:rPr>
    </w:tblStylePr>
    <w:tblStylePr w:type="lastCol">
      <w:rPr>
        <w:b/>
        <w:bCs/>
      </w:rPr>
    </w:tblStylePr>
    <w:tblStylePr w:type="band1Vert">
      <w:tblPr/>
      <w:tcPr>
        <w:shd w:val="clear" w:color="auto" w:fill="EAEEF0" w:themeFill="accent6" w:themeFillTint="33"/>
      </w:tcPr>
    </w:tblStylePr>
    <w:tblStylePr w:type="band1Horz">
      <w:tblPr/>
      <w:tcPr>
        <w:shd w:val="clear" w:color="auto" w:fill="EAEEF0" w:themeFill="accent6" w:themeFillTint="33"/>
      </w:tcPr>
    </w:tblStylePr>
  </w:style>
  <w:style w:type="table" w:styleId="GridTable7Colorful">
    <w:name w:val="Grid Table 7 Colorful"/>
    <w:basedOn w:val="TableNormal"/>
    <w:uiPriority w:val="52"/>
    <w:rsid w:val="00A37AEB"/>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A37AEB"/>
    <w:pPr>
      <w:spacing w:after="0"/>
    </w:pPr>
    <w:rPr>
      <w:color w:val="678292" w:themeColor="accent1" w:themeShade="BF"/>
    </w:rPr>
    <w:tblPr>
      <w:tblStyleRowBandSize w:val="1"/>
      <w:tblStyleColBandSize w:val="1"/>
      <w:tblBorders>
        <w:top w:val="single" w:sz="4" w:space="0" w:color="C0CCD3" w:themeColor="accent1" w:themeTint="99"/>
        <w:left w:val="single" w:sz="4" w:space="0" w:color="C0CCD3" w:themeColor="accent1" w:themeTint="99"/>
        <w:bottom w:val="single" w:sz="4" w:space="0" w:color="C0CCD3" w:themeColor="accent1" w:themeTint="99"/>
        <w:right w:val="single" w:sz="4" w:space="0" w:color="C0CCD3" w:themeColor="accent1" w:themeTint="99"/>
        <w:insideH w:val="single" w:sz="4" w:space="0" w:color="C0CCD3" w:themeColor="accent1" w:themeTint="99"/>
        <w:insideV w:val="single" w:sz="4" w:space="0" w:color="C0CCD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EF0" w:themeFill="accent1" w:themeFillTint="33"/>
      </w:tcPr>
    </w:tblStylePr>
    <w:tblStylePr w:type="band1Horz">
      <w:tblPr/>
      <w:tcPr>
        <w:shd w:val="clear" w:color="auto" w:fill="EAEEF0" w:themeFill="accent1" w:themeFillTint="33"/>
      </w:tcPr>
    </w:tblStylePr>
    <w:tblStylePr w:type="neCell">
      <w:tblPr/>
      <w:tcPr>
        <w:tcBorders>
          <w:bottom w:val="single" w:sz="4" w:space="0" w:color="C0CCD3" w:themeColor="accent1" w:themeTint="99"/>
        </w:tcBorders>
      </w:tcPr>
    </w:tblStylePr>
    <w:tblStylePr w:type="nwCell">
      <w:tblPr/>
      <w:tcPr>
        <w:tcBorders>
          <w:bottom w:val="single" w:sz="4" w:space="0" w:color="C0CCD3" w:themeColor="accent1" w:themeTint="99"/>
        </w:tcBorders>
      </w:tcPr>
    </w:tblStylePr>
    <w:tblStylePr w:type="seCell">
      <w:tblPr/>
      <w:tcPr>
        <w:tcBorders>
          <w:top w:val="single" w:sz="4" w:space="0" w:color="C0CCD3" w:themeColor="accent1" w:themeTint="99"/>
        </w:tcBorders>
      </w:tcPr>
    </w:tblStylePr>
    <w:tblStylePr w:type="swCell">
      <w:tblPr/>
      <w:tcPr>
        <w:tcBorders>
          <w:top w:val="single" w:sz="4" w:space="0" w:color="C0CCD3" w:themeColor="accent1" w:themeTint="99"/>
        </w:tcBorders>
      </w:tcPr>
    </w:tblStylePr>
  </w:style>
  <w:style w:type="table" w:styleId="GridTable7Colorful-Accent2">
    <w:name w:val="Grid Table 7 Colorful Accent 2"/>
    <w:basedOn w:val="TableNormal"/>
    <w:uiPriority w:val="52"/>
    <w:rsid w:val="00A37AEB"/>
    <w:pPr>
      <w:spacing w:after="0"/>
    </w:pPr>
    <w:rPr>
      <w:color w:val="3B7F46" w:themeColor="accent2" w:themeShade="BF"/>
    </w:rPr>
    <w:tblPr>
      <w:tblStyleRowBandSize w:val="1"/>
      <w:tblStyleColBandSize w:val="1"/>
      <w:tblBorders>
        <w:top w:val="single" w:sz="4" w:space="0" w:color="94CD9D" w:themeColor="accent2" w:themeTint="99"/>
        <w:left w:val="single" w:sz="4" w:space="0" w:color="94CD9D" w:themeColor="accent2" w:themeTint="99"/>
        <w:bottom w:val="single" w:sz="4" w:space="0" w:color="94CD9D" w:themeColor="accent2" w:themeTint="99"/>
        <w:right w:val="single" w:sz="4" w:space="0" w:color="94CD9D" w:themeColor="accent2" w:themeTint="99"/>
        <w:insideH w:val="single" w:sz="4" w:space="0" w:color="94CD9D" w:themeColor="accent2" w:themeTint="99"/>
        <w:insideV w:val="single" w:sz="4" w:space="0" w:color="94CD9D"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EDE" w:themeFill="accent2" w:themeFillTint="33"/>
      </w:tcPr>
    </w:tblStylePr>
    <w:tblStylePr w:type="band1Horz">
      <w:tblPr/>
      <w:tcPr>
        <w:shd w:val="clear" w:color="auto" w:fill="DBEEDE" w:themeFill="accent2" w:themeFillTint="33"/>
      </w:tcPr>
    </w:tblStylePr>
    <w:tblStylePr w:type="neCell">
      <w:tblPr/>
      <w:tcPr>
        <w:tcBorders>
          <w:bottom w:val="single" w:sz="4" w:space="0" w:color="94CD9D" w:themeColor="accent2" w:themeTint="99"/>
        </w:tcBorders>
      </w:tcPr>
    </w:tblStylePr>
    <w:tblStylePr w:type="nwCell">
      <w:tblPr/>
      <w:tcPr>
        <w:tcBorders>
          <w:bottom w:val="single" w:sz="4" w:space="0" w:color="94CD9D" w:themeColor="accent2" w:themeTint="99"/>
        </w:tcBorders>
      </w:tcPr>
    </w:tblStylePr>
    <w:tblStylePr w:type="seCell">
      <w:tblPr/>
      <w:tcPr>
        <w:tcBorders>
          <w:top w:val="single" w:sz="4" w:space="0" w:color="94CD9D" w:themeColor="accent2" w:themeTint="99"/>
        </w:tcBorders>
      </w:tcPr>
    </w:tblStylePr>
    <w:tblStylePr w:type="swCell">
      <w:tblPr/>
      <w:tcPr>
        <w:tcBorders>
          <w:top w:val="single" w:sz="4" w:space="0" w:color="94CD9D" w:themeColor="accent2" w:themeTint="99"/>
        </w:tcBorders>
      </w:tcPr>
    </w:tblStylePr>
  </w:style>
  <w:style w:type="table" w:styleId="GridTable7Colorful-Accent3">
    <w:name w:val="Grid Table 7 Colorful Accent 3"/>
    <w:basedOn w:val="TableNormal"/>
    <w:uiPriority w:val="52"/>
    <w:rsid w:val="00A37AEB"/>
    <w:pPr>
      <w:spacing w:after="0"/>
    </w:pPr>
    <w:rPr>
      <w:color w:val="03749F" w:themeColor="accent3" w:themeShade="BF"/>
    </w:rPr>
    <w:tblPr>
      <w:tblStyleRowBandSize w:val="1"/>
      <w:tblStyleColBandSize w:val="1"/>
      <w:tblBorders>
        <w:top w:val="single" w:sz="4" w:space="0" w:color="52CDFB" w:themeColor="accent3" w:themeTint="99"/>
        <w:left w:val="single" w:sz="4" w:space="0" w:color="52CDFB" w:themeColor="accent3" w:themeTint="99"/>
        <w:bottom w:val="single" w:sz="4" w:space="0" w:color="52CDFB" w:themeColor="accent3" w:themeTint="99"/>
        <w:right w:val="single" w:sz="4" w:space="0" w:color="52CDFB" w:themeColor="accent3" w:themeTint="99"/>
        <w:insideH w:val="single" w:sz="4" w:space="0" w:color="52CDFB" w:themeColor="accent3" w:themeTint="99"/>
        <w:insideV w:val="single" w:sz="4" w:space="0" w:color="52CDF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EEFE" w:themeFill="accent3" w:themeFillTint="33"/>
      </w:tcPr>
    </w:tblStylePr>
    <w:tblStylePr w:type="band1Horz">
      <w:tblPr/>
      <w:tcPr>
        <w:shd w:val="clear" w:color="auto" w:fill="C5EEFE" w:themeFill="accent3" w:themeFillTint="33"/>
      </w:tcPr>
    </w:tblStylePr>
    <w:tblStylePr w:type="neCell">
      <w:tblPr/>
      <w:tcPr>
        <w:tcBorders>
          <w:bottom w:val="single" w:sz="4" w:space="0" w:color="52CDFB" w:themeColor="accent3" w:themeTint="99"/>
        </w:tcBorders>
      </w:tcPr>
    </w:tblStylePr>
    <w:tblStylePr w:type="nwCell">
      <w:tblPr/>
      <w:tcPr>
        <w:tcBorders>
          <w:bottom w:val="single" w:sz="4" w:space="0" w:color="52CDFB" w:themeColor="accent3" w:themeTint="99"/>
        </w:tcBorders>
      </w:tcPr>
    </w:tblStylePr>
    <w:tblStylePr w:type="seCell">
      <w:tblPr/>
      <w:tcPr>
        <w:tcBorders>
          <w:top w:val="single" w:sz="4" w:space="0" w:color="52CDFB" w:themeColor="accent3" w:themeTint="99"/>
        </w:tcBorders>
      </w:tcPr>
    </w:tblStylePr>
    <w:tblStylePr w:type="swCell">
      <w:tblPr/>
      <w:tcPr>
        <w:tcBorders>
          <w:top w:val="single" w:sz="4" w:space="0" w:color="52CDFB" w:themeColor="accent3" w:themeTint="99"/>
        </w:tcBorders>
      </w:tcPr>
    </w:tblStylePr>
  </w:style>
  <w:style w:type="table" w:styleId="GridTable7Colorful-Accent4">
    <w:name w:val="Grid Table 7 Colorful Accent 4"/>
    <w:basedOn w:val="TableNormal"/>
    <w:uiPriority w:val="52"/>
    <w:rsid w:val="00A37AEB"/>
    <w:pPr>
      <w:spacing w:after="0"/>
    </w:pPr>
    <w:rPr>
      <w:color w:val="413F8D" w:themeColor="accent4" w:themeShade="BF"/>
    </w:rPr>
    <w:tblPr>
      <w:tblStyleRowBandSize w:val="1"/>
      <w:tblStyleColBandSize w:val="1"/>
      <w:tblBorders>
        <w:top w:val="single" w:sz="4" w:space="0" w:color="9E9DD3" w:themeColor="accent4" w:themeTint="99"/>
        <w:left w:val="single" w:sz="4" w:space="0" w:color="9E9DD3" w:themeColor="accent4" w:themeTint="99"/>
        <w:bottom w:val="single" w:sz="4" w:space="0" w:color="9E9DD3" w:themeColor="accent4" w:themeTint="99"/>
        <w:right w:val="single" w:sz="4" w:space="0" w:color="9E9DD3" w:themeColor="accent4" w:themeTint="99"/>
        <w:insideH w:val="single" w:sz="4" w:space="0" w:color="9E9DD3" w:themeColor="accent4" w:themeTint="99"/>
        <w:insideV w:val="single" w:sz="4" w:space="0" w:color="9E9DD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DEF0" w:themeFill="accent4" w:themeFillTint="33"/>
      </w:tcPr>
    </w:tblStylePr>
    <w:tblStylePr w:type="band1Horz">
      <w:tblPr/>
      <w:tcPr>
        <w:shd w:val="clear" w:color="auto" w:fill="DEDEF0" w:themeFill="accent4" w:themeFillTint="33"/>
      </w:tcPr>
    </w:tblStylePr>
    <w:tblStylePr w:type="neCell">
      <w:tblPr/>
      <w:tcPr>
        <w:tcBorders>
          <w:bottom w:val="single" w:sz="4" w:space="0" w:color="9E9DD3" w:themeColor="accent4" w:themeTint="99"/>
        </w:tcBorders>
      </w:tcPr>
    </w:tblStylePr>
    <w:tblStylePr w:type="nwCell">
      <w:tblPr/>
      <w:tcPr>
        <w:tcBorders>
          <w:bottom w:val="single" w:sz="4" w:space="0" w:color="9E9DD3" w:themeColor="accent4" w:themeTint="99"/>
        </w:tcBorders>
      </w:tcPr>
    </w:tblStylePr>
    <w:tblStylePr w:type="seCell">
      <w:tblPr/>
      <w:tcPr>
        <w:tcBorders>
          <w:top w:val="single" w:sz="4" w:space="0" w:color="9E9DD3" w:themeColor="accent4" w:themeTint="99"/>
        </w:tcBorders>
      </w:tcPr>
    </w:tblStylePr>
    <w:tblStylePr w:type="swCell">
      <w:tblPr/>
      <w:tcPr>
        <w:tcBorders>
          <w:top w:val="single" w:sz="4" w:space="0" w:color="9E9DD3" w:themeColor="accent4" w:themeTint="99"/>
        </w:tcBorders>
      </w:tcPr>
    </w:tblStylePr>
  </w:style>
  <w:style w:type="table" w:styleId="GridTable7Colorful-Accent5">
    <w:name w:val="Grid Table 7 Colorful Accent 5"/>
    <w:basedOn w:val="TableNormal"/>
    <w:uiPriority w:val="52"/>
    <w:rsid w:val="00A37AEB"/>
    <w:pPr>
      <w:spacing w:after="0"/>
    </w:pPr>
    <w:rPr>
      <w:color w:val="678292" w:themeColor="accent5" w:themeShade="BF"/>
    </w:rPr>
    <w:tblPr>
      <w:tblStyleRowBandSize w:val="1"/>
      <w:tblStyleColBandSize w:val="1"/>
      <w:tblBorders>
        <w:top w:val="single" w:sz="4" w:space="0" w:color="C0CCD3" w:themeColor="accent5" w:themeTint="99"/>
        <w:left w:val="single" w:sz="4" w:space="0" w:color="C0CCD3" w:themeColor="accent5" w:themeTint="99"/>
        <w:bottom w:val="single" w:sz="4" w:space="0" w:color="C0CCD3" w:themeColor="accent5" w:themeTint="99"/>
        <w:right w:val="single" w:sz="4" w:space="0" w:color="C0CCD3" w:themeColor="accent5" w:themeTint="99"/>
        <w:insideH w:val="single" w:sz="4" w:space="0" w:color="C0CCD3" w:themeColor="accent5" w:themeTint="99"/>
        <w:insideV w:val="single" w:sz="4" w:space="0" w:color="C0CCD3"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EF0" w:themeFill="accent5" w:themeFillTint="33"/>
      </w:tcPr>
    </w:tblStylePr>
    <w:tblStylePr w:type="band1Horz">
      <w:tblPr/>
      <w:tcPr>
        <w:shd w:val="clear" w:color="auto" w:fill="EAEEF0" w:themeFill="accent5" w:themeFillTint="33"/>
      </w:tcPr>
    </w:tblStylePr>
    <w:tblStylePr w:type="neCell">
      <w:tblPr/>
      <w:tcPr>
        <w:tcBorders>
          <w:bottom w:val="single" w:sz="4" w:space="0" w:color="C0CCD3" w:themeColor="accent5" w:themeTint="99"/>
        </w:tcBorders>
      </w:tcPr>
    </w:tblStylePr>
    <w:tblStylePr w:type="nwCell">
      <w:tblPr/>
      <w:tcPr>
        <w:tcBorders>
          <w:bottom w:val="single" w:sz="4" w:space="0" w:color="C0CCD3" w:themeColor="accent5" w:themeTint="99"/>
        </w:tcBorders>
      </w:tcPr>
    </w:tblStylePr>
    <w:tblStylePr w:type="seCell">
      <w:tblPr/>
      <w:tcPr>
        <w:tcBorders>
          <w:top w:val="single" w:sz="4" w:space="0" w:color="C0CCD3" w:themeColor="accent5" w:themeTint="99"/>
        </w:tcBorders>
      </w:tcPr>
    </w:tblStylePr>
    <w:tblStylePr w:type="swCell">
      <w:tblPr/>
      <w:tcPr>
        <w:tcBorders>
          <w:top w:val="single" w:sz="4" w:space="0" w:color="C0CCD3" w:themeColor="accent5" w:themeTint="99"/>
        </w:tcBorders>
      </w:tcPr>
    </w:tblStylePr>
  </w:style>
  <w:style w:type="table" w:styleId="GridTable7Colorful-Accent6">
    <w:name w:val="Grid Table 7 Colorful Accent 6"/>
    <w:basedOn w:val="TableNormal"/>
    <w:uiPriority w:val="52"/>
    <w:rsid w:val="00A37AEB"/>
    <w:pPr>
      <w:spacing w:after="0"/>
    </w:pPr>
    <w:rPr>
      <w:color w:val="678292" w:themeColor="accent6" w:themeShade="BF"/>
    </w:rPr>
    <w:tblPr>
      <w:tblStyleRowBandSize w:val="1"/>
      <w:tblStyleColBandSize w:val="1"/>
      <w:tblBorders>
        <w:top w:val="single" w:sz="4" w:space="0" w:color="C0CCD3" w:themeColor="accent6" w:themeTint="99"/>
        <w:left w:val="single" w:sz="4" w:space="0" w:color="C0CCD3" w:themeColor="accent6" w:themeTint="99"/>
        <w:bottom w:val="single" w:sz="4" w:space="0" w:color="C0CCD3" w:themeColor="accent6" w:themeTint="99"/>
        <w:right w:val="single" w:sz="4" w:space="0" w:color="C0CCD3" w:themeColor="accent6" w:themeTint="99"/>
        <w:insideH w:val="single" w:sz="4" w:space="0" w:color="C0CCD3" w:themeColor="accent6" w:themeTint="99"/>
        <w:insideV w:val="single" w:sz="4" w:space="0" w:color="C0CCD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EF0" w:themeFill="accent6" w:themeFillTint="33"/>
      </w:tcPr>
    </w:tblStylePr>
    <w:tblStylePr w:type="band1Horz">
      <w:tblPr/>
      <w:tcPr>
        <w:shd w:val="clear" w:color="auto" w:fill="EAEEF0" w:themeFill="accent6" w:themeFillTint="33"/>
      </w:tcPr>
    </w:tblStylePr>
    <w:tblStylePr w:type="neCell">
      <w:tblPr/>
      <w:tcPr>
        <w:tcBorders>
          <w:bottom w:val="single" w:sz="4" w:space="0" w:color="C0CCD3" w:themeColor="accent6" w:themeTint="99"/>
        </w:tcBorders>
      </w:tcPr>
    </w:tblStylePr>
    <w:tblStylePr w:type="nwCell">
      <w:tblPr/>
      <w:tcPr>
        <w:tcBorders>
          <w:bottom w:val="single" w:sz="4" w:space="0" w:color="C0CCD3" w:themeColor="accent6" w:themeTint="99"/>
        </w:tcBorders>
      </w:tcPr>
    </w:tblStylePr>
    <w:tblStylePr w:type="seCell">
      <w:tblPr/>
      <w:tcPr>
        <w:tcBorders>
          <w:top w:val="single" w:sz="4" w:space="0" w:color="C0CCD3" w:themeColor="accent6" w:themeTint="99"/>
        </w:tcBorders>
      </w:tcPr>
    </w:tblStylePr>
    <w:tblStylePr w:type="swCell">
      <w:tblPr/>
      <w:tcPr>
        <w:tcBorders>
          <w:top w:val="single" w:sz="4" w:space="0" w:color="C0CCD3" w:themeColor="accent6" w:themeTint="99"/>
        </w:tcBorders>
      </w:tcPr>
    </w:tblStylePr>
  </w:style>
  <w:style w:type="character" w:styleId="Hashtag">
    <w:name w:val="Hashtag"/>
    <w:basedOn w:val="DefaultParagraphFont"/>
    <w:uiPriority w:val="99"/>
    <w:semiHidden/>
    <w:unhideWhenUsed/>
    <w:rsid w:val="00A37AEB"/>
    <w:rPr>
      <w:color w:val="2B579A"/>
      <w:shd w:val="clear" w:color="auto" w:fill="E1DFDD"/>
    </w:rPr>
  </w:style>
  <w:style w:type="character" w:styleId="HTMLAcronym">
    <w:name w:val="HTML Acronym"/>
    <w:basedOn w:val="DefaultParagraphFont"/>
    <w:semiHidden/>
    <w:unhideWhenUsed/>
    <w:rsid w:val="00A37AEB"/>
  </w:style>
  <w:style w:type="paragraph" w:styleId="HTMLAddress">
    <w:name w:val="HTML Address"/>
    <w:basedOn w:val="Normal"/>
    <w:link w:val="HTMLAddressChar"/>
    <w:semiHidden/>
    <w:unhideWhenUsed/>
    <w:rsid w:val="00A37AEB"/>
    <w:pPr>
      <w:spacing w:after="0"/>
    </w:pPr>
    <w:rPr>
      <w:i/>
      <w:iCs/>
    </w:rPr>
  </w:style>
  <w:style w:type="character" w:customStyle="1" w:styleId="HTMLAddressChar">
    <w:name w:val="HTML Address Char"/>
    <w:basedOn w:val="DefaultParagraphFont"/>
    <w:link w:val="HTMLAddress"/>
    <w:semiHidden/>
    <w:rsid w:val="00A37AEB"/>
    <w:rPr>
      <w:i/>
      <w:iCs/>
    </w:rPr>
  </w:style>
  <w:style w:type="character" w:styleId="HTMLCite">
    <w:name w:val="HTML Cite"/>
    <w:basedOn w:val="DefaultParagraphFont"/>
    <w:semiHidden/>
    <w:unhideWhenUsed/>
    <w:rsid w:val="00A37AEB"/>
    <w:rPr>
      <w:i/>
      <w:iCs/>
    </w:rPr>
  </w:style>
  <w:style w:type="character" w:styleId="HTMLCode">
    <w:name w:val="HTML Code"/>
    <w:basedOn w:val="DefaultParagraphFont"/>
    <w:semiHidden/>
    <w:unhideWhenUsed/>
    <w:rsid w:val="00A37AEB"/>
    <w:rPr>
      <w:rFonts w:ascii="Consolas" w:hAnsi="Consolas"/>
      <w:sz w:val="20"/>
      <w:szCs w:val="20"/>
    </w:rPr>
  </w:style>
  <w:style w:type="character" w:styleId="HTMLDefinition">
    <w:name w:val="HTML Definition"/>
    <w:basedOn w:val="DefaultParagraphFont"/>
    <w:semiHidden/>
    <w:unhideWhenUsed/>
    <w:rsid w:val="00A37AEB"/>
    <w:rPr>
      <w:i/>
      <w:iCs/>
    </w:rPr>
  </w:style>
  <w:style w:type="character" w:styleId="HTMLKeyboard">
    <w:name w:val="HTML Keyboard"/>
    <w:basedOn w:val="DefaultParagraphFont"/>
    <w:semiHidden/>
    <w:unhideWhenUsed/>
    <w:rsid w:val="00A37AEB"/>
    <w:rPr>
      <w:rFonts w:ascii="Consolas" w:hAnsi="Consolas"/>
      <w:sz w:val="20"/>
      <w:szCs w:val="20"/>
    </w:rPr>
  </w:style>
  <w:style w:type="paragraph" w:styleId="HTMLPreformatted">
    <w:name w:val="HTML Preformatted"/>
    <w:basedOn w:val="Normal"/>
    <w:link w:val="HTMLPreformattedChar"/>
    <w:semiHidden/>
    <w:unhideWhenUsed/>
    <w:rsid w:val="00A37AEB"/>
    <w:pPr>
      <w:spacing w:after="0"/>
    </w:pPr>
    <w:rPr>
      <w:rFonts w:ascii="Consolas" w:hAnsi="Consolas"/>
    </w:rPr>
  </w:style>
  <w:style w:type="character" w:customStyle="1" w:styleId="HTMLPreformattedChar">
    <w:name w:val="HTML Preformatted Char"/>
    <w:basedOn w:val="DefaultParagraphFont"/>
    <w:link w:val="HTMLPreformatted"/>
    <w:semiHidden/>
    <w:rsid w:val="00A37AEB"/>
    <w:rPr>
      <w:rFonts w:ascii="Consolas" w:hAnsi="Consolas"/>
    </w:rPr>
  </w:style>
  <w:style w:type="character" w:styleId="HTMLSample">
    <w:name w:val="HTML Sample"/>
    <w:basedOn w:val="DefaultParagraphFont"/>
    <w:semiHidden/>
    <w:unhideWhenUsed/>
    <w:rsid w:val="00A37AEB"/>
    <w:rPr>
      <w:rFonts w:ascii="Consolas" w:hAnsi="Consolas"/>
      <w:sz w:val="24"/>
      <w:szCs w:val="24"/>
    </w:rPr>
  </w:style>
  <w:style w:type="character" w:styleId="HTMLTypewriter">
    <w:name w:val="HTML Typewriter"/>
    <w:basedOn w:val="DefaultParagraphFont"/>
    <w:semiHidden/>
    <w:unhideWhenUsed/>
    <w:rsid w:val="00A37AEB"/>
    <w:rPr>
      <w:rFonts w:ascii="Consolas" w:hAnsi="Consolas"/>
      <w:sz w:val="20"/>
      <w:szCs w:val="20"/>
    </w:rPr>
  </w:style>
  <w:style w:type="character" w:styleId="HTMLVariable">
    <w:name w:val="HTML Variable"/>
    <w:basedOn w:val="DefaultParagraphFont"/>
    <w:semiHidden/>
    <w:unhideWhenUsed/>
    <w:rsid w:val="00A37AEB"/>
    <w:rPr>
      <w:i/>
      <w:iCs/>
    </w:rPr>
  </w:style>
  <w:style w:type="paragraph" w:styleId="Index1">
    <w:name w:val="index 1"/>
    <w:basedOn w:val="Normal"/>
    <w:next w:val="Normal"/>
    <w:autoRedefine/>
    <w:semiHidden/>
    <w:unhideWhenUsed/>
    <w:rsid w:val="00A37AEB"/>
    <w:pPr>
      <w:spacing w:after="0"/>
      <w:ind w:left="200" w:hanging="200"/>
    </w:pPr>
  </w:style>
  <w:style w:type="paragraph" w:styleId="Index2">
    <w:name w:val="index 2"/>
    <w:basedOn w:val="Normal"/>
    <w:next w:val="Normal"/>
    <w:autoRedefine/>
    <w:semiHidden/>
    <w:unhideWhenUsed/>
    <w:rsid w:val="00A37AEB"/>
    <w:pPr>
      <w:spacing w:after="0"/>
      <w:ind w:left="400" w:hanging="200"/>
    </w:pPr>
  </w:style>
  <w:style w:type="paragraph" w:styleId="Index3">
    <w:name w:val="index 3"/>
    <w:basedOn w:val="Normal"/>
    <w:next w:val="Normal"/>
    <w:autoRedefine/>
    <w:semiHidden/>
    <w:unhideWhenUsed/>
    <w:rsid w:val="00A37AEB"/>
    <w:pPr>
      <w:spacing w:after="0"/>
      <w:ind w:left="600" w:hanging="200"/>
    </w:pPr>
  </w:style>
  <w:style w:type="paragraph" w:styleId="Index4">
    <w:name w:val="index 4"/>
    <w:basedOn w:val="Normal"/>
    <w:next w:val="Normal"/>
    <w:autoRedefine/>
    <w:semiHidden/>
    <w:unhideWhenUsed/>
    <w:rsid w:val="00A37AEB"/>
    <w:pPr>
      <w:spacing w:after="0"/>
      <w:ind w:left="800" w:hanging="200"/>
    </w:pPr>
  </w:style>
  <w:style w:type="paragraph" w:styleId="Index5">
    <w:name w:val="index 5"/>
    <w:basedOn w:val="Normal"/>
    <w:next w:val="Normal"/>
    <w:autoRedefine/>
    <w:semiHidden/>
    <w:unhideWhenUsed/>
    <w:rsid w:val="00A37AEB"/>
    <w:pPr>
      <w:spacing w:after="0"/>
      <w:ind w:left="1000" w:hanging="200"/>
    </w:pPr>
  </w:style>
  <w:style w:type="paragraph" w:styleId="Index6">
    <w:name w:val="index 6"/>
    <w:basedOn w:val="Normal"/>
    <w:next w:val="Normal"/>
    <w:autoRedefine/>
    <w:semiHidden/>
    <w:unhideWhenUsed/>
    <w:rsid w:val="00A37AEB"/>
    <w:pPr>
      <w:spacing w:after="0"/>
      <w:ind w:left="1200" w:hanging="200"/>
    </w:pPr>
  </w:style>
  <w:style w:type="paragraph" w:styleId="Index7">
    <w:name w:val="index 7"/>
    <w:basedOn w:val="Normal"/>
    <w:next w:val="Normal"/>
    <w:autoRedefine/>
    <w:semiHidden/>
    <w:unhideWhenUsed/>
    <w:rsid w:val="00A37AEB"/>
    <w:pPr>
      <w:spacing w:after="0"/>
      <w:ind w:left="1400" w:hanging="200"/>
    </w:pPr>
  </w:style>
  <w:style w:type="paragraph" w:styleId="Index8">
    <w:name w:val="index 8"/>
    <w:basedOn w:val="Normal"/>
    <w:next w:val="Normal"/>
    <w:autoRedefine/>
    <w:semiHidden/>
    <w:unhideWhenUsed/>
    <w:rsid w:val="00A37AEB"/>
    <w:pPr>
      <w:spacing w:after="0"/>
      <w:ind w:left="1600" w:hanging="200"/>
    </w:pPr>
  </w:style>
  <w:style w:type="paragraph" w:styleId="Index9">
    <w:name w:val="index 9"/>
    <w:basedOn w:val="Normal"/>
    <w:next w:val="Normal"/>
    <w:autoRedefine/>
    <w:semiHidden/>
    <w:unhideWhenUsed/>
    <w:rsid w:val="00A37AEB"/>
    <w:pPr>
      <w:spacing w:after="0"/>
      <w:ind w:left="1800" w:hanging="200"/>
    </w:pPr>
  </w:style>
  <w:style w:type="paragraph" w:styleId="IndexHeading">
    <w:name w:val="index heading"/>
    <w:basedOn w:val="Normal"/>
    <w:next w:val="Index1"/>
    <w:semiHidden/>
    <w:unhideWhenUsed/>
    <w:rsid w:val="00A37AEB"/>
    <w:rPr>
      <w:rFonts w:asciiTheme="majorHAnsi" w:eastAsiaTheme="majorEastAsia" w:hAnsiTheme="majorHAnsi" w:cstheme="majorBidi"/>
      <w:b/>
      <w:bCs/>
    </w:rPr>
  </w:style>
  <w:style w:type="table" w:styleId="LightGrid">
    <w:name w:val="Light Grid"/>
    <w:basedOn w:val="TableNormal"/>
    <w:uiPriority w:val="62"/>
    <w:semiHidden/>
    <w:unhideWhenUsed/>
    <w:rsid w:val="00A37AEB"/>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37AEB"/>
    <w:pPr>
      <w:spacing w:after="0"/>
    </w:pPr>
    <w:tblPr>
      <w:tblStyleRowBandSize w:val="1"/>
      <w:tblStyleColBandSize w:val="1"/>
      <w:tblBorders>
        <w:top w:val="single" w:sz="8" w:space="0" w:color="97ABB6" w:themeColor="accent1"/>
        <w:left w:val="single" w:sz="8" w:space="0" w:color="97ABB6" w:themeColor="accent1"/>
        <w:bottom w:val="single" w:sz="8" w:space="0" w:color="97ABB6" w:themeColor="accent1"/>
        <w:right w:val="single" w:sz="8" w:space="0" w:color="97ABB6" w:themeColor="accent1"/>
        <w:insideH w:val="single" w:sz="8" w:space="0" w:color="97ABB6" w:themeColor="accent1"/>
        <w:insideV w:val="single" w:sz="8" w:space="0" w:color="97ABB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7ABB6" w:themeColor="accent1"/>
          <w:left w:val="single" w:sz="8" w:space="0" w:color="97ABB6" w:themeColor="accent1"/>
          <w:bottom w:val="single" w:sz="18" w:space="0" w:color="97ABB6" w:themeColor="accent1"/>
          <w:right w:val="single" w:sz="8" w:space="0" w:color="97ABB6" w:themeColor="accent1"/>
          <w:insideH w:val="nil"/>
          <w:insideV w:val="single" w:sz="8" w:space="0" w:color="97ABB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7ABB6" w:themeColor="accent1"/>
          <w:left w:val="single" w:sz="8" w:space="0" w:color="97ABB6" w:themeColor="accent1"/>
          <w:bottom w:val="single" w:sz="8" w:space="0" w:color="97ABB6" w:themeColor="accent1"/>
          <w:right w:val="single" w:sz="8" w:space="0" w:color="97ABB6" w:themeColor="accent1"/>
          <w:insideH w:val="nil"/>
          <w:insideV w:val="single" w:sz="8" w:space="0" w:color="97ABB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7ABB6" w:themeColor="accent1"/>
          <w:left w:val="single" w:sz="8" w:space="0" w:color="97ABB6" w:themeColor="accent1"/>
          <w:bottom w:val="single" w:sz="8" w:space="0" w:color="97ABB6" w:themeColor="accent1"/>
          <w:right w:val="single" w:sz="8" w:space="0" w:color="97ABB6" w:themeColor="accent1"/>
        </w:tcBorders>
      </w:tcPr>
    </w:tblStylePr>
    <w:tblStylePr w:type="band1Vert">
      <w:tblPr/>
      <w:tcPr>
        <w:tcBorders>
          <w:top w:val="single" w:sz="8" w:space="0" w:color="97ABB6" w:themeColor="accent1"/>
          <w:left w:val="single" w:sz="8" w:space="0" w:color="97ABB6" w:themeColor="accent1"/>
          <w:bottom w:val="single" w:sz="8" w:space="0" w:color="97ABB6" w:themeColor="accent1"/>
          <w:right w:val="single" w:sz="8" w:space="0" w:color="97ABB6" w:themeColor="accent1"/>
        </w:tcBorders>
        <w:shd w:val="clear" w:color="auto" w:fill="E5EAED" w:themeFill="accent1" w:themeFillTint="3F"/>
      </w:tcPr>
    </w:tblStylePr>
    <w:tblStylePr w:type="band1Horz">
      <w:tblPr/>
      <w:tcPr>
        <w:tcBorders>
          <w:top w:val="single" w:sz="8" w:space="0" w:color="97ABB6" w:themeColor="accent1"/>
          <w:left w:val="single" w:sz="8" w:space="0" w:color="97ABB6" w:themeColor="accent1"/>
          <w:bottom w:val="single" w:sz="8" w:space="0" w:color="97ABB6" w:themeColor="accent1"/>
          <w:right w:val="single" w:sz="8" w:space="0" w:color="97ABB6" w:themeColor="accent1"/>
          <w:insideV w:val="single" w:sz="8" w:space="0" w:color="97ABB6" w:themeColor="accent1"/>
        </w:tcBorders>
        <w:shd w:val="clear" w:color="auto" w:fill="E5EAED" w:themeFill="accent1" w:themeFillTint="3F"/>
      </w:tcPr>
    </w:tblStylePr>
    <w:tblStylePr w:type="band2Horz">
      <w:tblPr/>
      <w:tcPr>
        <w:tcBorders>
          <w:top w:val="single" w:sz="8" w:space="0" w:color="97ABB6" w:themeColor="accent1"/>
          <w:left w:val="single" w:sz="8" w:space="0" w:color="97ABB6" w:themeColor="accent1"/>
          <w:bottom w:val="single" w:sz="8" w:space="0" w:color="97ABB6" w:themeColor="accent1"/>
          <w:right w:val="single" w:sz="8" w:space="0" w:color="97ABB6" w:themeColor="accent1"/>
          <w:insideV w:val="single" w:sz="8" w:space="0" w:color="97ABB6" w:themeColor="accent1"/>
        </w:tcBorders>
      </w:tcPr>
    </w:tblStylePr>
  </w:style>
  <w:style w:type="table" w:styleId="LightGrid-Accent2">
    <w:name w:val="Light Grid Accent 2"/>
    <w:basedOn w:val="TableNormal"/>
    <w:uiPriority w:val="62"/>
    <w:semiHidden/>
    <w:unhideWhenUsed/>
    <w:rsid w:val="00A37AEB"/>
    <w:pPr>
      <w:spacing w:after="0"/>
    </w:pPr>
    <w:tblPr>
      <w:tblStyleRowBandSize w:val="1"/>
      <w:tblStyleColBandSize w:val="1"/>
      <w:tblBorders>
        <w:top w:val="single" w:sz="8" w:space="0" w:color="4FAA5F" w:themeColor="accent2"/>
        <w:left w:val="single" w:sz="8" w:space="0" w:color="4FAA5F" w:themeColor="accent2"/>
        <w:bottom w:val="single" w:sz="8" w:space="0" w:color="4FAA5F" w:themeColor="accent2"/>
        <w:right w:val="single" w:sz="8" w:space="0" w:color="4FAA5F" w:themeColor="accent2"/>
        <w:insideH w:val="single" w:sz="8" w:space="0" w:color="4FAA5F" w:themeColor="accent2"/>
        <w:insideV w:val="single" w:sz="8" w:space="0" w:color="4FAA5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AA5F" w:themeColor="accent2"/>
          <w:left w:val="single" w:sz="8" w:space="0" w:color="4FAA5F" w:themeColor="accent2"/>
          <w:bottom w:val="single" w:sz="18" w:space="0" w:color="4FAA5F" w:themeColor="accent2"/>
          <w:right w:val="single" w:sz="8" w:space="0" w:color="4FAA5F" w:themeColor="accent2"/>
          <w:insideH w:val="nil"/>
          <w:insideV w:val="single" w:sz="8" w:space="0" w:color="4FAA5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AA5F" w:themeColor="accent2"/>
          <w:left w:val="single" w:sz="8" w:space="0" w:color="4FAA5F" w:themeColor="accent2"/>
          <w:bottom w:val="single" w:sz="8" w:space="0" w:color="4FAA5F" w:themeColor="accent2"/>
          <w:right w:val="single" w:sz="8" w:space="0" w:color="4FAA5F" w:themeColor="accent2"/>
          <w:insideH w:val="nil"/>
          <w:insideV w:val="single" w:sz="8" w:space="0" w:color="4FAA5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AA5F" w:themeColor="accent2"/>
          <w:left w:val="single" w:sz="8" w:space="0" w:color="4FAA5F" w:themeColor="accent2"/>
          <w:bottom w:val="single" w:sz="8" w:space="0" w:color="4FAA5F" w:themeColor="accent2"/>
          <w:right w:val="single" w:sz="8" w:space="0" w:color="4FAA5F" w:themeColor="accent2"/>
        </w:tcBorders>
      </w:tcPr>
    </w:tblStylePr>
    <w:tblStylePr w:type="band1Vert">
      <w:tblPr/>
      <w:tcPr>
        <w:tcBorders>
          <w:top w:val="single" w:sz="8" w:space="0" w:color="4FAA5F" w:themeColor="accent2"/>
          <w:left w:val="single" w:sz="8" w:space="0" w:color="4FAA5F" w:themeColor="accent2"/>
          <w:bottom w:val="single" w:sz="8" w:space="0" w:color="4FAA5F" w:themeColor="accent2"/>
          <w:right w:val="single" w:sz="8" w:space="0" w:color="4FAA5F" w:themeColor="accent2"/>
        </w:tcBorders>
        <w:shd w:val="clear" w:color="auto" w:fill="D2EAD6" w:themeFill="accent2" w:themeFillTint="3F"/>
      </w:tcPr>
    </w:tblStylePr>
    <w:tblStylePr w:type="band1Horz">
      <w:tblPr/>
      <w:tcPr>
        <w:tcBorders>
          <w:top w:val="single" w:sz="8" w:space="0" w:color="4FAA5F" w:themeColor="accent2"/>
          <w:left w:val="single" w:sz="8" w:space="0" w:color="4FAA5F" w:themeColor="accent2"/>
          <w:bottom w:val="single" w:sz="8" w:space="0" w:color="4FAA5F" w:themeColor="accent2"/>
          <w:right w:val="single" w:sz="8" w:space="0" w:color="4FAA5F" w:themeColor="accent2"/>
          <w:insideV w:val="single" w:sz="8" w:space="0" w:color="4FAA5F" w:themeColor="accent2"/>
        </w:tcBorders>
        <w:shd w:val="clear" w:color="auto" w:fill="D2EAD6" w:themeFill="accent2" w:themeFillTint="3F"/>
      </w:tcPr>
    </w:tblStylePr>
    <w:tblStylePr w:type="band2Horz">
      <w:tblPr/>
      <w:tcPr>
        <w:tcBorders>
          <w:top w:val="single" w:sz="8" w:space="0" w:color="4FAA5F" w:themeColor="accent2"/>
          <w:left w:val="single" w:sz="8" w:space="0" w:color="4FAA5F" w:themeColor="accent2"/>
          <w:bottom w:val="single" w:sz="8" w:space="0" w:color="4FAA5F" w:themeColor="accent2"/>
          <w:right w:val="single" w:sz="8" w:space="0" w:color="4FAA5F" w:themeColor="accent2"/>
          <w:insideV w:val="single" w:sz="8" w:space="0" w:color="4FAA5F" w:themeColor="accent2"/>
        </w:tcBorders>
      </w:tcPr>
    </w:tblStylePr>
  </w:style>
  <w:style w:type="table" w:styleId="LightGrid-Accent3">
    <w:name w:val="Light Grid Accent 3"/>
    <w:basedOn w:val="TableNormal"/>
    <w:uiPriority w:val="62"/>
    <w:semiHidden/>
    <w:unhideWhenUsed/>
    <w:rsid w:val="00A37AEB"/>
    <w:pPr>
      <w:spacing w:after="0"/>
    </w:pPr>
    <w:tblPr>
      <w:tblStyleRowBandSize w:val="1"/>
      <w:tblStyleColBandSize w:val="1"/>
      <w:tblBorders>
        <w:top w:val="single" w:sz="8" w:space="0" w:color="049CD5" w:themeColor="accent3"/>
        <w:left w:val="single" w:sz="8" w:space="0" w:color="049CD5" w:themeColor="accent3"/>
        <w:bottom w:val="single" w:sz="8" w:space="0" w:color="049CD5" w:themeColor="accent3"/>
        <w:right w:val="single" w:sz="8" w:space="0" w:color="049CD5" w:themeColor="accent3"/>
        <w:insideH w:val="single" w:sz="8" w:space="0" w:color="049CD5" w:themeColor="accent3"/>
        <w:insideV w:val="single" w:sz="8" w:space="0" w:color="049CD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49CD5" w:themeColor="accent3"/>
          <w:left w:val="single" w:sz="8" w:space="0" w:color="049CD5" w:themeColor="accent3"/>
          <w:bottom w:val="single" w:sz="18" w:space="0" w:color="049CD5" w:themeColor="accent3"/>
          <w:right w:val="single" w:sz="8" w:space="0" w:color="049CD5" w:themeColor="accent3"/>
          <w:insideH w:val="nil"/>
          <w:insideV w:val="single" w:sz="8" w:space="0" w:color="049CD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49CD5" w:themeColor="accent3"/>
          <w:left w:val="single" w:sz="8" w:space="0" w:color="049CD5" w:themeColor="accent3"/>
          <w:bottom w:val="single" w:sz="8" w:space="0" w:color="049CD5" w:themeColor="accent3"/>
          <w:right w:val="single" w:sz="8" w:space="0" w:color="049CD5" w:themeColor="accent3"/>
          <w:insideH w:val="nil"/>
          <w:insideV w:val="single" w:sz="8" w:space="0" w:color="049CD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49CD5" w:themeColor="accent3"/>
          <w:left w:val="single" w:sz="8" w:space="0" w:color="049CD5" w:themeColor="accent3"/>
          <w:bottom w:val="single" w:sz="8" w:space="0" w:color="049CD5" w:themeColor="accent3"/>
          <w:right w:val="single" w:sz="8" w:space="0" w:color="049CD5" w:themeColor="accent3"/>
        </w:tcBorders>
      </w:tcPr>
    </w:tblStylePr>
    <w:tblStylePr w:type="band1Vert">
      <w:tblPr/>
      <w:tcPr>
        <w:tcBorders>
          <w:top w:val="single" w:sz="8" w:space="0" w:color="049CD5" w:themeColor="accent3"/>
          <w:left w:val="single" w:sz="8" w:space="0" w:color="049CD5" w:themeColor="accent3"/>
          <w:bottom w:val="single" w:sz="8" w:space="0" w:color="049CD5" w:themeColor="accent3"/>
          <w:right w:val="single" w:sz="8" w:space="0" w:color="049CD5" w:themeColor="accent3"/>
        </w:tcBorders>
        <w:shd w:val="clear" w:color="auto" w:fill="B7EAFD" w:themeFill="accent3" w:themeFillTint="3F"/>
      </w:tcPr>
    </w:tblStylePr>
    <w:tblStylePr w:type="band1Horz">
      <w:tblPr/>
      <w:tcPr>
        <w:tcBorders>
          <w:top w:val="single" w:sz="8" w:space="0" w:color="049CD5" w:themeColor="accent3"/>
          <w:left w:val="single" w:sz="8" w:space="0" w:color="049CD5" w:themeColor="accent3"/>
          <w:bottom w:val="single" w:sz="8" w:space="0" w:color="049CD5" w:themeColor="accent3"/>
          <w:right w:val="single" w:sz="8" w:space="0" w:color="049CD5" w:themeColor="accent3"/>
          <w:insideV w:val="single" w:sz="8" w:space="0" w:color="049CD5" w:themeColor="accent3"/>
        </w:tcBorders>
        <w:shd w:val="clear" w:color="auto" w:fill="B7EAFD" w:themeFill="accent3" w:themeFillTint="3F"/>
      </w:tcPr>
    </w:tblStylePr>
    <w:tblStylePr w:type="band2Horz">
      <w:tblPr/>
      <w:tcPr>
        <w:tcBorders>
          <w:top w:val="single" w:sz="8" w:space="0" w:color="049CD5" w:themeColor="accent3"/>
          <w:left w:val="single" w:sz="8" w:space="0" w:color="049CD5" w:themeColor="accent3"/>
          <w:bottom w:val="single" w:sz="8" w:space="0" w:color="049CD5" w:themeColor="accent3"/>
          <w:right w:val="single" w:sz="8" w:space="0" w:color="049CD5" w:themeColor="accent3"/>
          <w:insideV w:val="single" w:sz="8" w:space="0" w:color="049CD5" w:themeColor="accent3"/>
        </w:tcBorders>
      </w:tcPr>
    </w:tblStylePr>
  </w:style>
  <w:style w:type="table" w:styleId="LightGrid-Accent4">
    <w:name w:val="Light Grid Accent 4"/>
    <w:basedOn w:val="TableNormal"/>
    <w:uiPriority w:val="62"/>
    <w:semiHidden/>
    <w:unhideWhenUsed/>
    <w:rsid w:val="00A37AEB"/>
    <w:pPr>
      <w:spacing w:after="0"/>
    </w:pPr>
    <w:tblPr>
      <w:tblStyleRowBandSize w:val="1"/>
      <w:tblStyleColBandSize w:val="1"/>
      <w:tblBorders>
        <w:top w:val="single" w:sz="8" w:space="0" w:color="5F5CB6" w:themeColor="accent4"/>
        <w:left w:val="single" w:sz="8" w:space="0" w:color="5F5CB6" w:themeColor="accent4"/>
        <w:bottom w:val="single" w:sz="8" w:space="0" w:color="5F5CB6" w:themeColor="accent4"/>
        <w:right w:val="single" w:sz="8" w:space="0" w:color="5F5CB6" w:themeColor="accent4"/>
        <w:insideH w:val="single" w:sz="8" w:space="0" w:color="5F5CB6" w:themeColor="accent4"/>
        <w:insideV w:val="single" w:sz="8" w:space="0" w:color="5F5CB6"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F5CB6" w:themeColor="accent4"/>
          <w:left w:val="single" w:sz="8" w:space="0" w:color="5F5CB6" w:themeColor="accent4"/>
          <w:bottom w:val="single" w:sz="18" w:space="0" w:color="5F5CB6" w:themeColor="accent4"/>
          <w:right w:val="single" w:sz="8" w:space="0" w:color="5F5CB6" w:themeColor="accent4"/>
          <w:insideH w:val="nil"/>
          <w:insideV w:val="single" w:sz="8" w:space="0" w:color="5F5CB6"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F5CB6" w:themeColor="accent4"/>
          <w:left w:val="single" w:sz="8" w:space="0" w:color="5F5CB6" w:themeColor="accent4"/>
          <w:bottom w:val="single" w:sz="8" w:space="0" w:color="5F5CB6" w:themeColor="accent4"/>
          <w:right w:val="single" w:sz="8" w:space="0" w:color="5F5CB6" w:themeColor="accent4"/>
          <w:insideH w:val="nil"/>
          <w:insideV w:val="single" w:sz="8" w:space="0" w:color="5F5CB6"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F5CB6" w:themeColor="accent4"/>
          <w:left w:val="single" w:sz="8" w:space="0" w:color="5F5CB6" w:themeColor="accent4"/>
          <w:bottom w:val="single" w:sz="8" w:space="0" w:color="5F5CB6" w:themeColor="accent4"/>
          <w:right w:val="single" w:sz="8" w:space="0" w:color="5F5CB6" w:themeColor="accent4"/>
        </w:tcBorders>
      </w:tcPr>
    </w:tblStylePr>
    <w:tblStylePr w:type="band1Vert">
      <w:tblPr/>
      <w:tcPr>
        <w:tcBorders>
          <w:top w:val="single" w:sz="8" w:space="0" w:color="5F5CB6" w:themeColor="accent4"/>
          <w:left w:val="single" w:sz="8" w:space="0" w:color="5F5CB6" w:themeColor="accent4"/>
          <w:bottom w:val="single" w:sz="8" w:space="0" w:color="5F5CB6" w:themeColor="accent4"/>
          <w:right w:val="single" w:sz="8" w:space="0" w:color="5F5CB6" w:themeColor="accent4"/>
        </w:tcBorders>
        <w:shd w:val="clear" w:color="auto" w:fill="D7D6ED" w:themeFill="accent4" w:themeFillTint="3F"/>
      </w:tcPr>
    </w:tblStylePr>
    <w:tblStylePr w:type="band1Horz">
      <w:tblPr/>
      <w:tcPr>
        <w:tcBorders>
          <w:top w:val="single" w:sz="8" w:space="0" w:color="5F5CB6" w:themeColor="accent4"/>
          <w:left w:val="single" w:sz="8" w:space="0" w:color="5F5CB6" w:themeColor="accent4"/>
          <w:bottom w:val="single" w:sz="8" w:space="0" w:color="5F5CB6" w:themeColor="accent4"/>
          <w:right w:val="single" w:sz="8" w:space="0" w:color="5F5CB6" w:themeColor="accent4"/>
          <w:insideV w:val="single" w:sz="8" w:space="0" w:color="5F5CB6" w:themeColor="accent4"/>
        </w:tcBorders>
        <w:shd w:val="clear" w:color="auto" w:fill="D7D6ED" w:themeFill="accent4" w:themeFillTint="3F"/>
      </w:tcPr>
    </w:tblStylePr>
    <w:tblStylePr w:type="band2Horz">
      <w:tblPr/>
      <w:tcPr>
        <w:tcBorders>
          <w:top w:val="single" w:sz="8" w:space="0" w:color="5F5CB6" w:themeColor="accent4"/>
          <w:left w:val="single" w:sz="8" w:space="0" w:color="5F5CB6" w:themeColor="accent4"/>
          <w:bottom w:val="single" w:sz="8" w:space="0" w:color="5F5CB6" w:themeColor="accent4"/>
          <w:right w:val="single" w:sz="8" w:space="0" w:color="5F5CB6" w:themeColor="accent4"/>
          <w:insideV w:val="single" w:sz="8" w:space="0" w:color="5F5CB6" w:themeColor="accent4"/>
        </w:tcBorders>
      </w:tcPr>
    </w:tblStylePr>
  </w:style>
  <w:style w:type="table" w:styleId="LightGrid-Accent5">
    <w:name w:val="Light Grid Accent 5"/>
    <w:basedOn w:val="TableNormal"/>
    <w:uiPriority w:val="62"/>
    <w:semiHidden/>
    <w:unhideWhenUsed/>
    <w:rsid w:val="00A37AEB"/>
    <w:pPr>
      <w:spacing w:after="0"/>
    </w:pPr>
    <w:tblPr>
      <w:tblStyleRowBandSize w:val="1"/>
      <w:tblStyleColBandSize w:val="1"/>
      <w:tblBorders>
        <w:top w:val="single" w:sz="8" w:space="0" w:color="97ABB6" w:themeColor="accent5"/>
        <w:left w:val="single" w:sz="8" w:space="0" w:color="97ABB6" w:themeColor="accent5"/>
        <w:bottom w:val="single" w:sz="8" w:space="0" w:color="97ABB6" w:themeColor="accent5"/>
        <w:right w:val="single" w:sz="8" w:space="0" w:color="97ABB6" w:themeColor="accent5"/>
        <w:insideH w:val="single" w:sz="8" w:space="0" w:color="97ABB6" w:themeColor="accent5"/>
        <w:insideV w:val="single" w:sz="8" w:space="0" w:color="97ABB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7ABB6" w:themeColor="accent5"/>
          <w:left w:val="single" w:sz="8" w:space="0" w:color="97ABB6" w:themeColor="accent5"/>
          <w:bottom w:val="single" w:sz="18" w:space="0" w:color="97ABB6" w:themeColor="accent5"/>
          <w:right w:val="single" w:sz="8" w:space="0" w:color="97ABB6" w:themeColor="accent5"/>
          <w:insideH w:val="nil"/>
          <w:insideV w:val="single" w:sz="8" w:space="0" w:color="97ABB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7ABB6" w:themeColor="accent5"/>
          <w:left w:val="single" w:sz="8" w:space="0" w:color="97ABB6" w:themeColor="accent5"/>
          <w:bottom w:val="single" w:sz="8" w:space="0" w:color="97ABB6" w:themeColor="accent5"/>
          <w:right w:val="single" w:sz="8" w:space="0" w:color="97ABB6" w:themeColor="accent5"/>
          <w:insideH w:val="nil"/>
          <w:insideV w:val="single" w:sz="8" w:space="0" w:color="97ABB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7ABB6" w:themeColor="accent5"/>
          <w:left w:val="single" w:sz="8" w:space="0" w:color="97ABB6" w:themeColor="accent5"/>
          <w:bottom w:val="single" w:sz="8" w:space="0" w:color="97ABB6" w:themeColor="accent5"/>
          <w:right w:val="single" w:sz="8" w:space="0" w:color="97ABB6" w:themeColor="accent5"/>
        </w:tcBorders>
      </w:tcPr>
    </w:tblStylePr>
    <w:tblStylePr w:type="band1Vert">
      <w:tblPr/>
      <w:tcPr>
        <w:tcBorders>
          <w:top w:val="single" w:sz="8" w:space="0" w:color="97ABB6" w:themeColor="accent5"/>
          <w:left w:val="single" w:sz="8" w:space="0" w:color="97ABB6" w:themeColor="accent5"/>
          <w:bottom w:val="single" w:sz="8" w:space="0" w:color="97ABB6" w:themeColor="accent5"/>
          <w:right w:val="single" w:sz="8" w:space="0" w:color="97ABB6" w:themeColor="accent5"/>
        </w:tcBorders>
        <w:shd w:val="clear" w:color="auto" w:fill="E5EAED" w:themeFill="accent5" w:themeFillTint="3F"/>
      </w:tcPr>
    </w:tblStylePr>
    <w:tblStylePr w:type="band1Horz">
      <w:tblPr/>
      <w:tcPr>
        <w:tcBorders>
          <w:top w:val="single" w:sz="8" w:space="0" w:color="97ABB6" w:themeColor="accent5"/>
          <w:left w:val="single" w:sz="8" w:space="0" w:color="97ABB6" w:themeColor="accent5"/>
          <w:bottom w:val="single" w:sz="8" w:space="0" w:color="97ABB6" w:themeColor="accent5"/>
          <w:right w:val="single" w:sz="8" w:space="0" w:color="97ABB6" w:themeColor="accent5"/>
          <w:insideV w:val="single" w:sz="8" w:space="0" w:color="97ABB6" w:themeColor="accent5"/>
        </w:tcBorders>
        <w:shd w:val="clear" w:color="auto" w:fill="E5EAED" w:themeFill="accent5" w:themeFillTint="3F"/>
      </w:tcPr>
    </w:tblStylePr>
    <w:tblStylePr w:type="band2Horz">
      <w:tblPr/>
      <w:tcPr>
        <w:tcBorders>
          <w:top w:val="single" w:sz="8" w:space="0" w:color="97ABB6" w:themeColor="accent5"/>
          <w:left w:val="single" w:sz="8" w:space="0" w:color="97ABB6" w:themeColor="accent5"/>
          <w:bottom w:val="single" w:sz="8" w:space="0" w:color="97ABB6" w:themeColor="accent5"/>
          <w:right w:val="single" w:sz="8" w:space="0" w:color="97ABB6" w:themeColor="accent5"/>
          <w:insideV w:val="single" w:sz="8" w:space="0" w:color="97ABB6" w:themeColor="accent5"/>
        </w:tcBorders>
      </w:tcPr>
    </w:tblStylePr>
  </w:style>
  <w:style w:type="table" w:styleId="LightGrid-Accent6">
    <w:name w:val="Light Grid Accent 6"/>
    <w:basedOn w:val="TableNormal"/>
    <w:uiPriority w:val="62"/>
    <w:semiHidden/>
    <w:unhideWhenUsed/>
    <w:rsid w:val="00A37AEB"/>
    <w:pPr>
      <w:spacing w:after="0"/>
    </w:pPr>
    <w:tblPr>
      <w:tblStyleRowBandSize w:val="1"/>
      <w:tblStyleColBandSize w:val="1"/>
      <w:tblBorders>
        <w:top w:val="single" w:sz="8" w:space="0" w:color="97ABB6" w:themeColor="accent6"/>
        <w:left w:val="single" w:sz="8" w:space="0" w:color="97ABB6" w:themeColor="accent6"/>
        <w:bottom w:val="single" w:sz="8" w:space="0" w:color="97ABB6" w:themeColor="accent6"/>
        <w:right w:val="single" w:sz="8" w:space="0" w:color="97ABB6" w:themeColor="accent6"/>
        <w:insideH w:val="single" w:sz="8" w:space="0" w:color="97ABB6" w:themeColor="accent6"/>
        <w:insideV w:val="single" w:sz="8" w:space="0" w:color="97ABB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7ABB6" w:themeColor="accent6"/>
          <w:left w:val="single" w:sz="8" w:space="0" w:color="97ABB6" w:themeColor="accent6"/>
          <w:bottom w:val="single" w:sz="18" w:space="0" w:color="97ABB6" w:themeColor="accent6"/>
          <w:right w:val="single" w:sz="8" w:space="0" w:color="97ABB6" w:themeColor="accent6"/>
          <w:insideH w:val="nil"/>
          <w:insideV w:val="single" w:sz="8" w:space="0" w:color="97ABB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7ABB6" w:themeColor="accent6"/>
          <w:left w:val="single" w:sz="8" w:space="0" w:color="97ABB6" w:themeColor="accent6"/>
          <w:bottom w:val="single" w:sz="8" w:space="0" w:color="97ABB6" w:themeColor="accent6"/>
          <w:right w:val="single" w:sz="8" w:space="0" w:color="97ABB6" w:themeColor="accent6"/>
          <w:insideH w:val="nil"/>
          <w:insideV w:val="single" w:sz="8" w:space="0" w:color="97ABB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7ABB6" w:themeColor="accent6"/>
          <w:left w:val="single" w:sz="8" w:space="0" w:color="97ABB6" w:themeColor="accent6"/>
          <w:bottom w:val="single" w:sz="8" w:space="0" w:color="97ABB6" w:themeColor="accent6"/>
          <w:right w:val="single" w:sz="8" w:space="0" w:color="97ABB6" w:themeColor="accent6"/>
        </w:tcBorders>
      </w:tcPr>
    </w:tblStylePr>
    <w:tblStylePr w:type="band1Vert">
      <w:tblPr/>
      <w:tcPr>
        <w:tcBorders>
          <w:top w:val="single" w:sz="8" w:space="0" w:color="97ABB6" w:themeColor="accent6"/>
          <w:left w:val="single" w:sz="8" w:space="0" w:color="97ABB6" w:themeColor="accent6"/>
          <w:bottom w:val="single" w:sz="8" w:space="0" w:color="97ABB6" w:themeColor="accent6"/>
          <w:right w:val="single" w:sz="8" w:space="0" w:color="97ABB6" w:themeColor="accent6"/>
        </w:tcBorders>
        <w:shd w:val="clear" w:color="auto" w:fill="E5EAED" w:themeFill="accent6" w:themeFillTint="3F"/>
      </w:tcPr>
    </w:tblStylePr>
    <w:tblStylePr w:type="band1Horz">
      <w:tblPr/>
      <w:tcPr>
        <w:tcBorders>
          <w:top w:val="single" w:sz="8" w:space="0" w:color="97ABB6" w:themeColor="accent6"/>
          <w:left w:val="single" w:sz="8" w:space="0" w:color="97ABB6" w:themeColor="accent6"/>
          <w:bottom w:val="single" w:sz="8" w:space="0" w:color="97ABB6" w:themeColor="accent6"/>
          <w:right w:val="single" w:sz="8" w:space="0" w:color="97ABB6" w:themeColor="accent6"/>
          <w:insideV w:val="single" w:sz="8" w:space="0" w:color="97ABB6" w:themeColor="accent6"/>
        </w:tcBorders>
        <w:shd w:val="clear" w:color="auto" w:fill="E5EAED" w:themeFill="accent6" w:themeFillTint="3F"/>
      </w:tcPr>
    </w:tblStylePr>
    <w:tblStylePr w:type="band2Horz">
      <w:tblPr/>
      <w:tcPr>
        <w:tcBorders>
          <w:top w:val="single" w:sz="8" w:space="0" w:color="97ABB6" w:themeColor="accent6"/>
          <w:left w:val="single" w:sz="8" w:space="0" w:color="97ABB6" w:themeColor="accent6"/>
          <w:bottom w:val="single" w:sz="8" w:space="0" w:color="97ABB6" w:themeColor="accent6"/>
          <w:right w:val="single" w:sz="8" w:space="0" w:color="97ABB6" w:themeColor="accent6"/>
          <w:insideV w:val="single" w:sz="8" w:space="0" w:color="97ABB6" w:themeColor="accent6"/>
        </w:tcBorders>
      </w:tcPr>
    </w:tblStylePr>
  </w:style>
  <w:style w:type="table" w:styleId="LightList-Accent1">
    <w:name w:val="Light List Accent 1"/>
    <w:basedOn w:val="TableNormal"/>
    <w:uiPriority w:val="61"/>
    <w:semiHidden/>
    <w:unhideWhenUsed/>
    <w:rsid w:val="00A37AEB"/>
    <w:pPr>
      <w:spacing w:after="0"/>
    </w:pPr>
    <w:tblPr>
      <w:tblStyleRowBandSize w:val="1"/>
      <w:tblStyleColBandSize w:val="1"/>
      <w:tblBorders>
        <w:top w:val="single" w:sz="8" w:space="0" w:color="97ABB6" w:themeColor="accent1"/>
        <w:left w:val="single" w:sz="8" w:space="0" w:color="97ABB6" w:themeColor="accent1"/>
        <w:bottom w:val="single" w:sz="8" w:space="0" w:color="97ABB6" w:themeColor="accent1"/>
        <w:right w:val="single" w:sz="8" w:space="0" w:color="97ABB6" w:themeColor="accent1"/>
      </w:tblBorders>
    </w:tblPr>
    <w:tblStylePr w:type="firstRow">
      <w:pPr>
        <w:spacing w:before="0" w:after="0" w:line="240" w:lineRule="auto"/>
      </w:pPr>
      <w:rPr>
        <w:b/>
        <w:bCs/>
        <w:color w:val="FFFFFF" w:themeColor="background1"/>
      </w:rPr>
      <w:tblPr/>
      <w:tcPr>
        <w:shd w:val="clear" w:color="auto" w:fill="97ABB6" w:themeFill="accent1"/>
      </w:tcPr>
    </w:tblStylePr>
    <w:tblStylePr w:type="lastRow">
      <w:pPr>
        <w:spacing w:before="0" w:after="0" w:line="240" w:lineRule="auto"/>
      </w:pPr>
      <w:rPr>
        <w:b/>
        <w:bCs/>
      </w:rPr>
      <w:tblPr/>
      <w:tcPr>
        <w:tcBorders>
          <w:top w:val="double" w:sz="6" w:space="0" w:color="97ABB6" w:themeColor="accent1"/>
          <w:left w:val="single" w:sz="8" w:space="0" w:color="97ABB6" w:themeColor="accent1"/>
          <w:bottom w:val="single" w:sz="8" w:space="0" w:color="97ABB6" w:themeColor="accent1"/>
          <w:right w:val="single" w:sz="8" w:space="0" w:color="97ABB6" w:themeColor="accent1"/>
        </w:tcBorders>
      </w:tcPr>
    </w:tblStylePr>
    <w:tblStylePr w:type="firstCol">
      <w:rPr>
        <w:b/>
        <w:bCs/>
      </w:rPr>
    </w:tblStylePr>
    <w:tblStylePr w:type="lastCol">
      <w:rPr>
        <w:b/>
        <w:bCs/>
      </w:rPr>
    </w:tblStylePr>
    <w:tblStylePr w:type="band1Vert">
      <w:tblPr/>
      <w:tcPr>
        <w:tcBorders>
          <w:top w:val="single" w:sz="8" w:space="0" w:color="97ABB6" w:themeColor="accent1"/>
          <w:left w:val="single" w:sz="8" w:space="0" w:color="97ABB6" w:themeColor="accent1"/>
          <w:bottom w:val="single" w:sz="8" w:space="0" w:color="97ABB6" w:themeColor="accent1"/>
          <w:right w:val="single" w:sz="8" w:space="0" w:color="97ABB6" w:themeColor="accent1"/>
        </w:tcBorders>
      </w:tcPr>
    </w:tblStylePr>
    <w:tblStylePr w:type="band1Horz">
      <w:tblPr/>
      <w:tcPr>
        <w:tcBorders>
          <w:top w:val="single" w:sz="8" w:space="0" w:color="97ABB6" w:themeColor="accent1"/>
          <w:left w:val="single" w:sz="8" w:space="0" w:color="97ABB6" w:themeColor="accent1"/>
          <w:bottom w:val="single" w:sz="8" w:space="0" w:color="97ABB6" w:themeColor="accent1"/>
          <w:right w:val="single" w:sz="8" w:space="0" w:color="97ABB6" w:themeColor="accent1"/>
        </w:tcBorders>
      </w:tcPr>
    </w:tblStylePr>
  </w:style>
  <w:style w:type="table" w:styleId="LightList-Accent2">
    <w:name w:val="Light List Accent 2"/>
    <w:basedOn w:val="TableNormal"/>
    <w:uiPriority w:val="61"/>
    <w:semiHidden/>
    <w:unhideWhenUsed/>
    <w:rsid w:val="00A37AEB"/>
    <w:pPr>
      <w:spacing w:after="0"/>
    </w:pPr>
    <w:tblPr>
      <w:tblStyleRowBandSize w:val="1"/>
      <w:tblStyleColBandSize w:val="1"/>
      <w:tblBorders>
        <w:top w:val="single" w:sz="8" w:space="0" w:color="4FAA5F" w:themeColor="accent2"/>
        <w:left w:val="single" w:sz="8" w:space="0" w:color="4FAA5F" w:themeColor="accent2"/>
        <w:bottom w:val="single" w:sz="8" w:space="0" w:color="4FAA5F" w:themeColor="accent2"/>
        <w:right w:val="single" w:sz="8" w:space="0" w:color="4FAA5F" w:themeColor="accent2"/>
      </w:tblBorders>
    </w:tblPr>
    <w:tblStylePr w:type="firstRow">
      <w:pPr>
        <w:spacing w:before="0" w:after="0" w:line="240" w:lineRule="auto"/>
      </w:pPr>
      <w:rPr>
        <w:b/>
        <w:bCs/>
        <w:color w:val="FFFFFF" w:themeColor="background1"/>
      </w:rPr>
      <w:tblPr/>
      <w:tcPr>
        <w:shd w:val="clear" w:color="auto" w:fill="4FAA5F" w:themeFill="accent2"/>
      </w:tcPr>
    </w:tblStylePr>
    <w:tblStylePr w:type="lastRow">
      <w:pPr>
        <w:spacing w:before="0" w:after="0" w:line="240" w:lineRule="auto"/>
      </w:pPr>
      <w:rPr>
        <w:b/>
        <w:bCs/>
      </w:rPr>
      <w:tblPr/>
      <w:tcPr>
        <w:tcBorders>
          <w:top w:val="double" w:sz="6" w:space="0" w:color="4FAA5F" w:themeColor="accent2"/>
          <w:left w:val="single" w:sz="8" w:space="0" w:color="4FAA5F" w:themeColor="accent2"/>
          <w:bottom w:val="single" w:sz="8" w:space="0" w:color="4FAA5F" w:themeColor="accent2"/>
          <w:right w:val="single" w:sz="8" w:space="0" w:color="4FAA5F" w:themeColor="accent2"/>
        </w:tcBorders>
      </w:tcPr>
    </w:tblStylePr>
    <w:tblStylePr w:type="firstCol">
      <w:rPr>
        <w:b/>
        <w:bCs/>
      </w:rPr>
    </w:tblStylePr>
    <w:tblStylePr w:type="lastCol">
      <w:rPr>
        <w:b/>
        <w:bCs/>
      </w:rPr>
    </w:tblStylePr>
    <w:tblStylePr w:type="band1Vert">
      <w:tblPr/>
      <w:tcPr>
        <w:tcBorders>
          <w:top w:val="single" w:sz="8" w:space="0" w:color="4FAA5F" w:themeColor="accent2"/>
          <w:left w:val="single" w:sz="8" w:space="0" w:color="4FAA5F" w:themeColor="accent2"/>
          <w:bottom w:val="single" w:sz="8" w:space="0" w:color="4FAA5F" w:themeColor="accent2"/>
          <w:right w:val="single" w:sz="8" w:space="0" w:color="4FAA5F" w:themeColor="accent2"/>
        </w:tcBorders>
      </w:tcPr>
    </w:tblStylePr>
    <w:tblStylePr w:type="band1Horz">
      <w:tblPr/>
      <w:tcPr>
        <w:tcBorders>
          <w:top w:val="single" w:sz="8" w:space="0" w:color="4FAA5F" w:themeColor="accent2"/>
          <w:left w:val="single" w:sz="8" w:space="0" w:color="4FAA5F" w:themeColor="accent2"/>
          <w:bottom w:val="single" w:sz="8" w:space="0" w:color="4FAA5F" w:themeColor="accent2"/>
          <w:right w:val="single" w:sz="8" w:space="0" w:color="4FAA5F" w:themeColor="accent2"/>
        </w:tcBorders>
      </w:tcPr>
    </w:tblStylePr>
  </w:style>
  <w:style w:type="table" w:styleId="LightList-Accent3">
    <w:name w:val="Light List Accent 3"/>
    <w:basedOn w:val="TableNormal"/>
    <w:uiPriority w:val="61"/>
    <w:semiHidden/>
    <w:unhideWhenUsed/>
    <w:rsid w:val="00A37AEB"/>
    <w:pPr>
      <w:spacing w:after="0"/>
    </w:pPr>
    <w:tblPr>
      <w:tblStyleRowBandSize w:val="1"/>
      <w:tblStyleColBandSize w:val="1"/>
      <w:tblBorders>
        <w:top w:val="single" w:sz="8" w:space="0" w:color="049CD5" w:themeColor="accent3"/>
        <w:left w:val="single" w:sz="8" w:space="0" w:color="049CD5" w:themeColor="accent3"/>
        <w:bottom w:val="single" w:sz="8" w:space="0" w:color="049CD5" w:themeColor="accent3"/>
        <w:right w:val="single" w:sz="8" w:space="0" w:color="049CD5" w:themeColor="accent3"/>
      </w:tblBorders>
    </w:tblPr>
    <w:tblStylePr w:type="firstRow">
      <w:pPr>
        <w:spacing w:before="0" w:after="0" w:line="240" w:lineRule="auto"/>
      </w:pPr>
      <w:rPr>
        <w:b/>
        <w:bCs/>
        <w:color w:val="FFFFFF" w:themeColor="background1"/>
      </w:rPr>
      <w:tblPr/>
      <w:tcPr>
        <w:shd w:val="clear" w:color="auto" w:fill="049CD5" w:themeFill="accent3"/>
      </w:tcPr>
    </w:tblStylePr>
    <w:tblStylePr w:type="lastRow">
      <w:pPr>
        <w:spacing w:before="0" w:after="0" w:line="240" w:lineRule="auto"/>
      </w:pPr>
      <w:rPr>
        <w:b/>
        <w:bCs/>
      </w:rPr>
      <w:tblPr/>
      <w:tcPr>
        <w:tcBorders>
          <w:top w:val="double" w:sz="6" w:space="0" w:color="049CD5" w:themeColor="accent3"/>
          <w:left w:val="single" w:sz="8" w:space="0" w:color="049CD5" w:themeColor="accent3"/>
          <w:bottom w:val="single" w:sz="8" w:space="0" w:color="049CD5" w:themeColor="accent3"/>
          <w:right w:val="single" w:sz="8" w:space="0" w:color="049CD5" w:themeColor="accent3"/>
        </w:tcBorders>
      </w:tcPr>
    </w:tblStylePr>
    <w:tblStylePr w:type="firstCol">
      <w:rPr>
        <w:b/>
        <w:bCs/>
      </w:rPr>
    </w:tblStylePr>
    <w:tblStylePr w:type="lastCol">
      <w:rPr>
        <w:b/>
        <w:bCs/>
      </w:rPr>
    </w:tblStylePr>
    <w:tblStylePr w:type="band1Vert">
      <w:tblPr/>
      <w:tcPr>
        <w:tcBorders>
          <w:top w:val="single" w:sz="8" w:space="0" w:color="049CD5" w:themeColor="accent3"/>
          <w:left w:val="single" w:sz="8" w:space="0" w:color="049CD5" w:themeColor="accent3"/>
          <w:bottom w:val="single" w:sz="8" w:space="0" w:color="049CD5" w:themeColor="accent3"/>
          <w:right w:val="single" w:sz="8" w:space="0" w:color="049CD5" w:themeColor="accent3"/>
        </w:tcBorders>
      </w:tcPr>
    </w:tblStylePr>
    <w:tblStylePr w:type="band1Horz">
      <w:tblPr/>
      <w:tcPr>
        <w:tcBorders>
          <w:top w:val="single" w:sz="8" w:space="0" w:color="049CD5" w:themeColor="accent3"/>
          <w:left w:val="single" w:sz="8" w:space="0" w:color="049CD5" w:themeColor="accent3"/>
          <w:bottom w:val="single" w:sz="8" w:space="0" w:color="049CD5" w:themeColor="accent3"/>
          <w:right w:val="single" w:sz="8" w:space="0" w:color="049CD5" w:themeColor="accent3"/>
        </w:tcBorders>
      </w:tcPr>
    </w:tblStylePr>
  </w:style>
  <w:style w:type="table" w:styleId="LightList-Accent4">
    <w:name w:val="Light List Accent 4"/>
    <w:basedOn w:val="TableNormal"/>
    <w:uiPriority w:val="61"/>
    <w:semiHidden/>
    <w:unhideWhenUsed/>
    <w:rsid w:val="00A37AEB"/>
    <w:pPr>
      <w:spacing w:after="0"/>
    </w:pPr>
    <w:tblPr>
      <w:tblStyleRowBandSize w:val="1"/>
      <w:tblStyleColBandSize w:val="1"/>
      <w:tblBorders>
        <w:top w:val="single" w:sz="8" w:space="0" w:color="5F5CB6" w:themeColor="accent4"/>
        <w:left w:val="single" w:sz="8" w:space="0" w:color="5F5CB6" w:themeColor="accent4"/>
        <w:bottom w:val="single" w:sz="8" w:space="0" w:color="5F5CB6" w:themeColor="accent4"/>
        <w:right w:val="single" w:sz="8" w:space="0" w:color="5F5CB6" w:themeColor="accent4"/>
      </w:tblBorders>
    </w:tblPr>
    <w:tblStylePr w:type="firstRow">
      <w:pPr>
        <w:spacing w:before="0" w:after="0" w:line="240" w:lineRule="auto"/>
      </w:pPr>
      <w:rPr>
        <w:b/>
        <w:bCs/>
        <w:color w:val="FFFFFF" w:themeColor="background1"/>
      </w:rPr>
      <w:tblPr/>
      <w:tcPr>
        <w:shd w:val="clear" w:color="auto" w:fill="5F5CB6" w:themeFill="accent4"/>
      </w:tcPr>
    </w:tblStylePr>
    <w:tblStylePr w:type="lastRow">
      <w:pPr>
        <w:spacing w:before="0" w:after="0" w:line="240" w:lineRule="auto"/>
      </w:pPr>
      <w:rPr>
        <w:b/>
        <w:bCs/>
      </w:rPr>
      <w:tblPr/>
      <w:tcPr>
        <w:tcBorders>
          <w:top w:val="double" w:sz="6" w:space="0" w:color="5F5CB6" w:themeColor="accent4"/>
          <w:left w:val="single" w:sz="8" w:space="0" w:color="5F5CB6" w:themeColor="accent4"/>
          <w:bottom w:val="single" w:sz="8" w:space="0" w:color="5F5CB6" w:themeColor="accent4"/>
          <w:right w:val="single" w:sz="8" w:space="0" w:color="5F5CB6" w:themeColor="accent4"/>
        </w:tcBorders>
      </w:tcPr>
    </w:tblStylePr>
    <w:tblStylePr w:type="firstCol">
      <w:rPr>
        <w:b/>
        <w:bCs/>
      </w:rPr>
    </w:tblStylePr>
    <w:tblStylePr w:type="lastCol">
      <w:rPr>
        <w:b/>
        <w:bCs/>
      </w:rPr>
    </w:tblStylePr>
    <w:tblStylePr w:type="band1Vert">
      <w:tblPr/>
      <w:tcPr>
        <w:tcBorders>
          <w:top w:val="single" w:sz="8" w:space="0" w:color="5F5CB6" w:themeColor="accent4"/>
          <w:left w:val="single" w:sz="8" w:space="0" w:color="5F5CB6" w:themeColor="accent4"/>
          <w:bottom w:val="single" w:sz="8" w:space="0" w:color="5F5CB6" w:themeColor="accent4"/>
          <w:right w:val="single" w:sz="8" w:space="0" w:color="5F5CB6" w:themeColor="accent4"/>
        </w:tcBorders>
      </w:tcPr>
    </w:tblStylePr>
    <w:tblStylePr w:type="band1Horz">
      <w:tblPr/>
      <w:tcPr>
        <w:tcBorders>
          <w:top w:val="single" w:sz="8" w:space="0" w:color="5F5CB6" w:themeColor="accent4"/>
          <w:left w:val="single" w:sz="8" w:space="0" w:color="5F5CB6" w:themeColor="accent4"/>
          <w:bottom w:val="single" w:sz="8" w:space="0" w:color="5F5CB6" w:themeColor="accent4"/>
          <w:right w:val="single" w:sz="8" w:space="0" w:color="5F5CB6" w:themeColor="accent4"/>
        </w:tcBorders>
      </w:tcPr>
    </w:tblStylePr>
  </w:style>
  <w:style w:type="table" w:styleId="LightList-Accent5">
    <w:name w:val="Light List Accent 5"/>
    <w:basedOn w:val="TableNormal"/>
    <w:uiPriority w:val="61"/>
    <w:semiHidden/>
    <w:unhideWhenUsed/>
    <w:rsid w:val="00A37AEB"/>
    <w:pPr>
      <w:spacing w:after="0"/>
    </w:pPr>
    <w:tblPr>
      <w:tblStyleRowBandSize w:val="1"/>
      <w:tblStyleColBandSize w:val="1"/>
      <w:tblBorders>
        <w:top w:val="single" w:sz="8" w:space="0" w:color="97ABB6" w:themeColor="accent5"/>
        <w:left w:val="single" w:sz="8" w:space="0" w:color="97ABB6" w:themeColor="accent5"/>
        <w:bottom w:val="single" w:sz="8" w:space="0" w:color="97ABB6" w:themeColor="accent5"/>
        <w:right w:val="single" w:sz="8" w:space="0" w:color="97ABB6" w:themeColor="accent5"/>
      </w:tblBorders>
    </w:tblPr>
    <w:tblStylePr w:type="firstRow">
      <w:pPr>
        <w:spacing w:before="0" w:after="0" w:line="240" w:lineRule="auto"/>
      </w:pPr>
      <w:rPr>
        <w:b/>
        <w:bCs/>
        <w:color w:val="FFFFFF" w:themeColor="background1"/>
      </w:rPr>
      <w:tblPr/>
      <w:tcPr>
        <w:shd w:val="clear" w:color="auto" w:fill="97ABB6" w:themeFill="accent5"/>
      </w:tcPr>
    </w:tblStylePr>
    <w:tblStylePr w:type="lastRow">
      <w:pPr>
        <w:spacing w:before="0" w:after="0" w:line="240" w:lineRule="auto"/>
      </w:pPr>
      <w:rPr>
        <w:b/>
        <w:bCs/>
      </w:rPr>
      <w:tblPr/>
      <w:tcPr>
        <w:tcBorders>
          <w:top w:val="double" w:sz="6" w:space="0" w:color="97ABB6" w:themeColor="accent5"/>
          <w:left w:val="single" w:sz="8" w:space="0" w:color="97ABB6" w:themeColor="accent5"/>
          <w:bottom w:val="single" w:sz="8" w:space="0" w:color="97ABB6" w:themeColor="accent5"/>
          <w:right w:val="single" w:sz="8" w:space="0" w:color="97ABB6" w:themeColor="accent5"/>
        </w:tcBorders>
      </w:tcPr>
    </w:tblStylePr>
    <w:tblStylePr w:type="firstCol">
      <w:rPr>
        <w:b/>
        <w:bCs/>
      </w:rPr>
    </w:tblStylePr>
    <w:tblStylePr w:type="lastCol">
      <w:rPr>
        <w:b/>
        <w:bCs/>
      </w:rPr>
    </w:tblStylePr>
    <w:tblStylePr w:type="band1Vert">
      <w:tblPr/>
      <w:tcPr>
        <w:tcBorders>
          <w:top w:val="single" w:sz="8" w:space="0" w:color="97ABB6" w:themeColor="accent5"/>
          <w:left w:val="single" w:sz="8" w:space="0" w:color="97ABB6" w:themeColor="accent5"/>
          <w:bottom w:val="single" w:sz="8" w:space="0" w:color="97ABB6" w:themeColor="accent5"/>
          <w:right w:val="single" w:sz="8" w:space="0" w:color="97ABB6" w:themeColor="accent5"/>
        </w:tcBorders>
      </w:tcPr>
    </w:tblStylePr>
    <w:tblStylePr w:type="band1Horz">
      <w:tblPr/>
      <w:tcPr>
        <w:tcBorders>
          <w:top w:val="single" w:sz="8" w:space="0" w:color="97ABB6" w:themeColor="accent5"/>
          <w:left w:val="single" w:sz="8" w:space="0" w:color="97ABB6" w:themeColor="accent5"/>
          <w:bottom w:val="single" w:sz="8" w:space="0" w:color="97ABB6" w:themeColor="accent5"/>
          <w:right w:val="single" w:sz="8" w:space="0" w:color="97ABB6" w:themeColor="accent5"/>
        </w:tcBorders>
      </w:tcPr>
    </w:tblStylePr>
  </w:style>
  <w:style w:type="table" w:styleId="LightList-Accent6">
    <w:name w:val="Light List Accent 6"/>
    <w:basedOn w:val="TableNormal"/>
    <w:uiPriority w:val="61"/>
    <w:semiHidden/>
    <w:unhideWhenUsed/>
    <w:rsid w:val="00A37AEB"/>
    <w:pPr>
      <w:spacing w:after="0"/>
    </w:pPr>
    <w:tblPr>
      <w:tblStyleRowBandSize w:val="1"/>
      <w:tblStyleColBandSize w:val="1"/>
      <w:tblBorders>
        <w:top w:val="single" w:sz="8" w:space="0" w:color="97ABB6" w:themeColor="accent6"/>
        <w:left w:val="single" w:sz="8" w:space="0" w:color="97ABB6" w:themeColor="accent6"/>
        <w:bottom w:val="single" w:sz="8" w:space="0" w:color="97ABB6" w:themeColor="accent6"/>
        <w:right w:val="single" w:sz="8" w:space="0" w:color="97ABB6" w:themeColor="accent6"/>
      </w:tblBorders>
    </w:tblPr>
    <w:tblStylePr w:type="firstRow">
      <w:pPr>
        <w:spacing w:before="0" w:after="0" w:line="240" w:lineRule="auto"/>
      </w:pPr>
      <w:rPr>
        <w:b/>
        <w:bCs/>
        <w:color w:val="FFFFFF" w:themeColor="background1"/>
      </w:rPr>
      <w:tblPr/>
      <w:tcPr>
        <w:shd w:val="clear" w:color="auto" w:fill="97ABB6" w:themeFill="accent6"/>
      </w:tcPr>
    </w:tblStylePr>
    <w:tblStylePr w:type="lastRow">
      <w:pPr>
        <w:spacing w:before="0" w:after="0" w:line="240" w:lineRule="auto"/>
      </w:pPr>
      <w:rPr>
        <w:b/>
        <w:bCs/>
      </w:rPr>
      <w:tblPr/>
      <w:tcPr>
        <w:tcBorders>
          <w:top w:val="double" w:sz="6" w:space="0" w:color="97ABB6" w:themeColor="accent6"/>
          <w:left w:val="single" w:sz="8" w:space="0" w:color="97ABB6" w:themeColor="accent6"/>
          <w:bottom w:val="single" w:sz="8" w:space="0" w:color="97ABB6" w:themeColor="accent6"/>
          <w:right w:val="single" w:sz="8" w:space="0" w:color="97ABB6" w:themeColor="accent6"/>
        </w:tcBorders>
      </w:tcPr>
    </w:tblStylePr>
    <w:tblStylePr w:type="firstCol">
      <w:rPr>
        <w:b/>
        <w:bCs/>
      </w:rPr>
    </w:tblStylePr>
    <w:tblStylePr w:type="lastCol">
      <w:rPr>
        <w:b/>
        <w:bCs/>
      </w:rPr>
    </w:tblStylePr>
    <w:tblStylePr w:type="band1Vert">
      <w:tblPr/>
      <w:tcPr>
        <w:tcBorders>
          <w:top w:val="single" w:sz="8" w:space="0" w:color="97ABB6" w:themeColor="accent6"/>
          <w:left w:val="single" w:sz="8" w:space="0" w:color="97ABB6" w:themeColor="accent6"/>
          <w:bottom w:val="single" w:sz="8" w:space="0" w:color="97ABB6" w:themeColor="accent6"/>
          <w:right w:val="single" w:sz="8" w:space="0" w:color="97ABB6" w:themeColor="accent6"/>
        </w:tcBorders>
      </w:tcPr>
    </w:tblStylePr>
    <w:tblStylePr w:type="band1Horz">
      <w:tblPr/>
      <w:tcPr>
        <w:tcBorders>
          <w:top w:val="single" w:sz="8" w:space="0" w:color="97ABB6" w:themeColor="accent6"/>
          <w:left w:val="single" w:sz="8" w:space="0" w:color="97ABB6" w:themeColor="accent6"/>
          <w:bottom w:val="single" w:sz="8" w:space="0" w:color="97ABB6" w:themeColor="accent6"/>
          <w:right w:val="single" w:sz="8" w:space="0" w:color="97ABB6" w:themeColor="accent6"/>
        </w:tcBorders>
      </w:tcPr>
    </w:tblStylePr>
  </w:style>
  <w:style w:type="table" w:styleId="LightShading-Accent1">
    <w:name w:val="Light Shading Accent 1"/>
    <w:basedOn w:val="TableNormal"/>
    <w:uiPriority w:val="60"/>
    <w:semiHidden/>
    <w:unhideWhenUsed/>
    <w:rsid w:val="00A37AEB"/>
    <w:pPr>
      <w:spacing w:after="0"/>
    </w:pPr>
    <w:rPr>
      <w:color w:val="678292" w:themeColor="accent1" w:themeShade="BF"/>
    </w:rPr>
    <w:tblPr>
      <w:tblStyleRowBandSize w:val="1"/>
      <w:tblStyleColBandSize w:val="1"/>
      <w:tblBorders>
        <w:top w:val="single" w:sz="8" w:space="0" w:color="97ABB6" w:themeColor="accent1"/>
        <w:bottom w:val="single" w:sz="8" w:space="0" w:color="97ABB6" w:themeColor="accent1"/>
      </w:tblBorders>
    </w:tblPr>
    <w:tblStylePr w:type="firstRow">
      <w:pPr>
        <w:spacing w:before="0" w:after="0" w:line="240" w:lineRule="auto"/>
      </w:pPr>
      <w:rPr>
        <w:b/>
        <w:bCs/>
      </w:rPr>
      <w:tblPr/>
      <w:tcPr>
        <w:tcBorders>
          <w:top w:val="single" w:sz="8" w:space="0" w:color="97ABB6" w:themeColor="accent1"/>
          <w:left w:val="nil"/>
          <w:bottom w:val="single" w:sz="8" w:space="0" w:color="97ABB6" w:themeColor="accent1"/>
          <w:right w:val="nil"/>
          <w:insideH w:val="nil"/>
          <w:insideV w:val="nil"/>
        </w:tcBorders>
      </w:tcPr>
    </w:tblStylePr>
    <w:tblStylePr w:type="lastRow">
      <w:pPr>
        <w:spacing w:before="0" w:after="0" w:line="240" w:lineRule="auto"/>
      </w:pPr>
      <w:rPr>
        <w:b/>
        <w:bCs/>
      </w:rPr>
      <w:tblPr/>
      <w:tcPr>
        <w:tcBorders>
          <w:top w:val="single" w:sz="8" w:space="0" w:color="97ABB6" w:themeColor="accent1"/>
          <w:left w:val="nil"/>
          <w:bottom w:val="single" w:sz="8" w:space="0" w:color="97ABB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AED" w:themeFill="accent1" w:themeFillTint="3F"/>
      </w:tcPr>
    </w:tblStylePr>
    <w:tblStylePr w:type="band1Horz">
      <w:tblPr/>
      <w:tcPr>
        <w:tcBorders>
          <w:left w:val="nil"/>
          <w:right w:val="nil"/>
          <w:insideH w:val="nil"/>
          <w:insideV w:val="nil"/>
        </w:tcBorders>
        <w:shd w:val="clear" w:color="auto" w:fill="E5EAED" w:themeFill="accent1" w:themeFillTint="3F"/>
      </w:tcPr>
    </w:tblStylePr>
  </w:style>
  <w:style w:type="table" w:styleId="LightShading-Accent2">
    <w:name w:val="Light Shading Accent 2"/>
    <w:basedOn w:val="TableNormal"/>
    <w:uiPriority w:val="60"/>
    <w:semiHidden/>
    <w:unhideWhenUsed/>
    <w:rsid w:val="00A37AEB"/>
    <w:pPr>
      <w:spacing w:after="0"/>
    </w:pPr>
    <w:rPr>
      <w:color w:val="3B7F46" w:themeColor="accent2" w:themeShade="BF"/>
    </w:rPr>
    <w:tblPr>
      <w:tblStyleRowBandSize w:val="1"/>
      <w:tblStyleColBandSize w:val="1"/>
      <w:tblBorders>
        <w:top w:val="single" w:sz="8" w:space="0" w:color="4FAA5F" w:themeColor="accent2"/>
        <w:bottom w:val="single" w:sz="8" w:space="0" w:color="4FAA5F" w:themeColor="accent2"/>
      </w:tblBorders>
    </w:tblPr>
    <w:tblStylePr w:type="firstRow">
      <w:pPr>
        <w:spacing w:before="0" w:after="0" w:line="240" w:lineRule="auto"/>
      </w:pPr>
      <w:rPr>
        <w:b/>
        <w:bCs/>
      </w:rPr>
      <w:tblPr/>
      <w:tcPr>
        <w:tcBorders>
          <w:top w:val="single" w:sz="8" w:space="0" w:color="4FAA5F" w:themeColor="accent2"/>
          <w:left w:val="nil"/>
          <w:bottom w:val="single" w:sz="8" w:space="0" w:color="4FAA5F" w:themeColor="accent2"/>
          <w:right w:val="nil"/>
          <w:insideH w:val="nil"/>
          <w:insideV w:val="nil"/>
        </w:tcBorders>
      </w:tcPr>
    </w:tblStylePr>
    <w:tblStylePr w:type="lastRow">
      <w:pPr>
        <w:spacing w:before="0" w:after="0" w:line="240" w:lineRule="auto"/>
      </w:pPr>
      <w:rPr>
        <w:b/>
        <w:bCs/>
      </w:rPr>
      <w:tblPr/>
      <w:tcPr>
        <w:tcBorders>
          <w:top w:val="single" w:sz="8" w:space="0" w:color="4FAA5F" w:themeColor="accent2"/>
          <w:left w:val="nil"/>
          <w:bottom w:val="single" w:sz="8" w:space="0" w:color="4FAA5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D6" w:themeFill="accent2" w:themeFillTint="3F"/>
      </w:tcPr>
    </w:tblStylePr>
    <w:tblStylePr w:type="band1Horz">
      <w:tblPr/>
      <w:tcPr>
        <w:tcBorders>
          <w:left w:val="nil"/>
          <w:right w:val="nil"/>
          <w:insideH w:val="nil"/>
          <w:insideV w:val="nil"/>
        </w:tcBorders>
        <w:shd w:val="clear" w:color="auto" w:fill="D2EAD6" w:themeFill="accent2" w:themeFillTint="3F"/>
      </w:tcPr>
    </w:tblStylePr>
  </w:style>
  <w:style w:type="table" w:styleId="LightShading-Accent3">
    <w:name w:val="Light Shading Accent 3"/>
    <w:basedOn w:val="TableNormal"/>
    <w:uiPriority w:val="60"/>
    <w:semiHidden/>
    <w:unhideWhenUsed/>
    <w:rsid w:val="00A37AEB"/>
    <w:pPr>
      <w:spacing w:after="0"/>
    </w:pPr>
    <w:rPr>
      <w:color w:val="03749F" w:themeColor="accent3" w:themeShade="BF"/>
    </w:rPr>
    <w:tblPr>
      <w:tblStyleRowBandSize w:val="1"/>
      <w:tblStyleColBandSize w:val="1"/>
      <w:tblBorders>
        <w:top w:val="single" w:sz="8" w:space="0" w:color="049CD5" w:themeColor="accent3"/>
        <w:bottom w:val="single" w:sz="8" w:space="0" w:color="049CD5" w:themeColor="accent3"/>
      </w:tblBorders>
    </w:tblPr>
    <w:tblStylePr w:type="firstRow">
      <w:pPr>
        <w:spacing w:before="0" w:after="0" w:line="240" w:lineRule="auto"/>
      </w:pPr>
      <w:rPr>
        <w:b/>
        <w:bCs/>
      </w:rPr>
      <w:tblPr/>
      <w:tcPr>
        <w:tcBorders>
          <w:top w:val="single" w:sz="8" w:space="0" w:color="049CD5" w:themeColor="accent3"/>
          <w:left w:val="nil"/>
          <w:bottom w:val="single" w:sz="8" w:space="0" w:color="049CD5" w:themeColor="accent3"/>
          <w:right w:val="nil"/>
          <w:insideH w:val="nil"/>
          <w:insideV w:val="nil"/>
        </w:tcBorders>
      </w:tcPr>
    </w:tblStylePr>
    <w:tblStylePr w:type="lastRow">
      <w:pPr>
        <w:spacing w:before="0" w:after="0" w:line="240" w:lineRule="auto"/>
      </w:pPr>
      <w:rPr>
        <w:b/>
        <w:bCs/>
      </w:rPr>
      <w:tblPr/>
      <w:tcPr>
        <w:tcBorders>
          <w:top w:val="single" w:sz="8" w:space="0" w:color="049CD5" w:themeColor="accent3"/>
          <w:left w:val="nil"/>
          <w:bottom w:val="single" w:sz="8" w:space="0" w:color="049CD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7EAFD" w:themeFill="accent3" w:themeFillTint="3F"/>
      </w:tcPr>
    </w:tblStylePr>
    <w:tblStylePr w:type="band1Horz">
      <w:tblPr/>
      <w:tcPr>
        <w:tcBorders>
          <w:left w:val="nil"/>
          <w:right w:val="nil"/>
          <w:insideH w:val="nil"/>
          <w:insideV w:val="nil"/>
        </w:tcBorders>
        <w:shd w:val="clear" w:color="auto" w:fill="B7EAFD" w:themeFill="accent3" w:themeFillTint="3F"/>
      </w:tcPr>
    </w:tblStylePr>
  </w:style>
  <w:style w:type="table" w:styleId="LightShading-Accent4">
    <w:name w:val="Light Shading Accent 4"/>
    <w:basedOn w:val="TableNormal"/>
    <w:uiPriority w:val="60"/>
    <w:semiHidden/>
    <w:unhideWhenUsed/>
    <w:rsid w:val="00A37AEB"/>
    <w:pPr>
      <w:spacing w:after="0"/>
    </w:pPr>
    <w:rPr>
      <w:color w:val="413F8D" w:themeColor="accent4" w:themeShade="BF"/>
    </w:rPr>
    <w:tblPr>
      <w:tblStyleRowBandSize w:val="1"/>
      <w:tblStyleColBandSize w:val="1"/>
      <w:tblBorders>
        <w:top w:val="single" w:sz="8" w:space="0" w:color="5F5CB6" w:themeColor="accent4"/>
        <w:bottom w:val="single" w:sz="8" w:space="0" w:color="5F5CB6" w:themeColor="accent4"/>
      </w:tblBorders>
    </w:tblPr>
    <w:tblStylePr w:type="firstRow">
      <w:pPr>
        <w:spacing w:before="0" w:after="0" w:line="240" w:lineRule="auto"/>
      </w:pPr>
      <w:rPr>
        <w:b/>
        <w:bCs/>
      </w:rPr>
      <w:tblPr/>
      <w:tcPr>
        <w:tcBorders>
          <w:top w:val="single" w:sz="8" w:space="0" w:color="5F5CB6" w:themeColor="accent4"/>
          <w:left w:val="nil"/>
          <w:bottom w:val="single" w:sz="8" w:space="0" w:color="5F5CB6" w:themeColor="accent4"/>
          <w:right w:val="nil"/>
          <w:insideH w:val="nil"/>
          <w:insideV w:val="nil"/>
        </w:tcBorders>
      </w:tcPr>
    </w:tblStylePr>
    <w:tblStylePr w:type="lastRow">
      <w:pPr>
        <w:spacing w:before="0" w:after="0" w:line="240" w:lineRule="auto"/>
      </w:pPr>
      <w:rPr>
        <w:b/>
        <w:bCs/>
      </w:rPr>
      <w:tblPr/>
      <w:tcPr>
        <w:tcBorders>
          <w:top w:val="single" w:sz="8" w:space="0" w:color="5F5CB6" w:themeColor="accent4"/>
          <w:left w:val="nil"/>
          <w:bottom w:val="single" w:sz="8" w:space="0" w:color="5F5CB6"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6ED" w:themeFill="accent4" w:themeFillTint="3F"/>
      </w:tcPr>
    </w:tblStylePr>
    <w:tblStylePr w:type="band1Horz">
      <w:tblPr/>
      <w:tcPr>
        <w:tcBorders>
          <w:left w:val="nil"/>
          <w:right w:val="nil"/>
          <w:insideH w:val="nil"/>
          <w:insideV w:val="nil"/>
        </w:tcBorders>
        <w:shd w:val="clear" w:color="auto" w:fill="D7D6ED" w:themeFill="accent4" w:themeFillTint="3F"/>
      </w:tcPr>
    </w:tblStylePr>
  </w:style>
  <w:style w:type="table" w:styleId="LightShading-Accent5">
    <w:name w:val="Light Shading Accent 5"/>
    <w:basedOn w:val="TableNormal"/>
    <w:uiPriority w:val="60"/>
    <w:semiHidden/>
    <w:unhideWhenUsed/>
    <w:rsid w:val="00A37AEB"/>
    <w:pPr>
      <w:spacing w:after="0"/>
    </w:pPr>
    <w:rPr>
      <w:color w:val="678292" w:themeColor="accent5" w:themeShade="BF"/>
    </w:rPr>
    <w:tblPr>
      <w:tblStyleRowBandSize w:val="1"/>
      <w:tblStyleColBandSize w:val="1"/>
      <w:tblBorders>
        <w:top w:val="single" w:sz="8" w:space="0" w:color="97ABB6" w:themeColor="accent5"/>
        <w:bottom w:val="single" w:sz="8" w:space="0" w:color="97ABB6" w:themeColor="accent5"/>
      </w:tblBorders>
    </w:tblPr>
    <w:tblStylePr w:type="firstRow">
      <w:pPr>
        <w:spacing w:before="0" w:after="0" w:line="240" w:lineRule="auto"/>
      </w:pPr>
      <w:rPr>
        <w:b/>
        <w:bCs/>
      </w:rPr>
      <w:tblPr/>
      <w:tcPr>
        <w:tcBorders>
          <w:top w:val="single" w:sz="8" w:space="0" w:color="97ABB6" w:themeColor="accent5"/>
          <w:left w:val="nil"/>
          <w:bottom w:val="single" w:sz="8" w:space="0" w:color="97ABB6" w:themeColor="accent5"/>
          <w:right w:val="nil"/>
          <w:insideH w:val="nil"/>
          <w:insideV w:val="nil"/>
        </w:tcBorders>
      </w:tcPr>
    </w:tblStylePr>
    <w:tblStylePr w:type="lastRow">
      <w:pPr>
        <w:spacing w:before="0" w:after="0" w:line="240" w:lineRule="auto"/>
      </w:pPr>
      <w:rPr>
        <w:b/>
        <w:bCs/>
      </w:rPr>
      <w:tblPr/>
      <w:tcPr>
        <w:tcBorders>
          <w:top w:val="single" w:sz="8" w:space="0" w:color="97ABB6" w:themeColor="accent5"/>
          <w:left w:val="nil"/>
          <w:bottom w:val="single" w:sz="8" w:space="0" w:color="97ABB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AED" w:themeFill="accent5" w:themeFillTint="3F"/>
      </w:tcPr>
    </w:tblStylePr>
    <w:tblStylePr w:type="band1Horz">
      <w:tblPr/>
      <w:tcPr>
        <w:tcBorders>
          <w:left w:val="nil"/>
          <w:right w:val="nil"/>
          <w:insideH w:val="nil"/>
          <w:insideV w:val="nil"/>
        </w:tcBorders>
        <w:shd w:val="clear" w:color="auto" w:fill="E5EAED" w:themeFill="accent5" w:themeFillTint="3F"/>
      </w:tcPr>
    </w:tblStylePr>
  </w:style>
  <w:style w:type="table" w:styleId="LightShading-Accent6">
    <w:name w:val="Light Shading Accent 6"/>
    <w:basedOn w:val="TableNormal"/>
    <w:uiPriority w:val="60"/>
    <w:semiHidden/>
    <w:unhideWhenUsed/>
    <w:rsid w:val="00A37AEB"/>
    <w:pPr>
      <w:spacing w:after="0"/>
    </w:pPr>
    <w:rPr>
      <w:color w:val="678292" w:themeColor="accent6" w:themeShade="BF"/>
    </w:rPr>
    <w:tblPr>
      <w:tblStyleRowBandSize w:val="1"/>
      <w:tblStyleColBandSize w:val="1"/>
      <w:tblBorders>
        <w:top w:val="single" w:sz="8" w:space="0" w:color="97ABB6" w:themeColor="accent6"/>
        <w:bottom w:val="single" w:sz="8" w:space="0" w:color="97ABB6" w:themeColor="accent6"/>
      </w:tblBorders>
    </w:tblPr>
    <w:tblStylePr w:type="firstRow">
      <w:pPr>
        <w:spacing w:before="0" w:after="0" w:line="240" w:lineRule="auto"/>
      </w:pPr>
      <w:rPr>
        <w:b/>
        <w:bCs/>
      </w:rPr>
      <w:tblPr/>
      <w:tcPr>
        <w:tcBorders>
          <w:top w:val="single" w:sz="8" w:space="0" w:color="97ABB6" w:themeColor="accent6"/>
          <w:left w:val="nil"/>
          <w:bottom w:val="single" w:sz="8" w:space="0" w:color="97ABB6" w:themeColor="accent6"/>
          <w:right w:val="nil"/>
          <w:insideH w:val="nil"/>
          <w:insideV w:val="nil"/>
        </w:tcBorders>
      </w:tcPr>
    </w:tblStylePr>
    <w:tblStylePr w:type="lastRow">
      <w:pPr>
        <w:spacing w:before="0" w:after="0" w:line="240" w:lineRule="auto"/>
      </w:pPr>
      <w:rPr>
        <w:b/>
        <w:bCs/>
      </w:rPr>
      <w:tblPr/>
      <w:tcPr>
        <w:tcBorders>
          <w:top w:val="single" w:sz="8" w:space="0" w:color="97ABB6" w:themeColor="accent6"/>
          <w:left w:val="nil"/>
          <w:bottom w:val="single" w:sz="8" w:space="0" w:color="97ABB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AED" w:themeFill="accent6" w:themeFillTint="3F"/>
      </w:tcPr>
    </w:tblStylePr>
    <w:tblStylePr w:type="band1Horz">
      <w:tblPr/>
      <w:tcPr>
        <w:tcBorders>
          <w:left w:val="nil"/>
          <w:right w:val="nil"/>
          <w:insideH w:val="nil"/>
          <w:insideV w:val="nil"/>
        </w:tcBorders>
        <w:shd w:val="clear" w:color="auto" w:fill="E5EAED" w:themeFill="accent6" w:themeFillTint="3F"/>
      </w:tcPr>
    </w:tblStylePr>
  </w:style>
  <w:style w:type="character" w:styleId="LineNumber">
    <w:name w:val="line number"/>
    <w:basedOn w:val="DefaultParagraphFont"/>
    <w:semiHidden/>
    <w:unhideWhenUsed/>
    <w:rsid w:val="00A37AEB"/>
  </w:style>
  <w:style w:type="paragraph" w:styleId="List">
    <w:name w:val="List"/>
    <w:basedOn w:val="Normal"/>
    <w:semiHidden/>
    <w:unhideWhenUsed/>
    <w:rsid w:val="00A37AEB"/>
    <w:pPr>
      <w:ind w:left="283" w:hanging="283"/>
      <w:contextualSpacing/>
    </w:pPr>
  </w:style>
  <w:style w:type="paragraph" w:styleId="List2">
    <w:name w:val="List 2"/>
    <w:basedOn w:val="Normal"/>
    <w:semiHidden/>
    <w:unhideWhenUsed/>
    <w:rsid w:val="00A37AEB"/>
    <w:pPr>
      <w:ind w:left="566" w:hanging="283"/>
      <w:contextualSpacing/>
    </w:pPr>
  </w:style>
  <w:style w:type="paragraph" w:styleId="List3">
    <w:name w:val="List 3"/>
    <w:basedOn w:val="Normal"/>
    <w:semiHidden/>
    <w:unhideWhenUsed/>
    <w:rsid w:val="00A37AEB"/>
    <w:pPr>
      <w:ind w:left="849" w:hanging="283"/>
      <w:contextualSpacing/>
    </w:pPr>
  </w:style>
  <w:style w:type="paragraph" w:styleId="List4">
    <w:name w:val="List 4"/>
    <w:basedOn w:val="Normal"/>
    <w:semiHidden/>
    <w:rsid w:val="00A37AEB"/>
    <w:pPr>
      <w:ind w:left="1132" w:hanging="283"/>
      <w:contextualSpacing/>
    </w:pPr>
  </w:style>
  <w:style w:type="paragraph" w:styleId="List5">
    <w:name w:val="List 5"/>
    <w:basedOn w:val="Normal"/>
    <w:semiHidden/>
    <w:rsid w:val="00A37AEB"/>
    <w:pPr>
      <w:ind w:left="1415" w:hanging="283"/>
      <w:contextualSpacing/>
    </w:pPr>
  </w:style>
  <w:style w:type="paragraph" w:styleId="ListBullet4">
    <w:name w:val="List Bullet 4"/>
    <w:basedOn w:val="Normal"/>
    <w:semiHidden/>
    <w:unhideWhenUsed/>
    <w:rsid w:val="00A37AEB"/>
    <w:pPr>
      <w:numPr>
        <w:numId w:val="14"/>
      </w:numPr>
      <w:contextualSpacing/>
    </w:pPr>
  </w:style>
  <w:style w:type="paragraph" w:styleId="ListBullet5">
    <w:name w:val="List Bullet 5"/>
    <w:basedOn w:val="Normal"/>
    <w:semiHidden/>
    <w:unhideWhenUsed/>
    <w:rsid w:val="00A37AEB"/>
    <w:pPr>
      <w:numPr>
        <w:numId w:val="15"/>
      </w:numPr>
      <w:contextualSpacing/>
    </w:pPr>
  </w:style>
  <w:style w:type="paragraph" w:styleId="ListContinue">
    <w:name w:val="List Continue"/>
    <w:basedOn w:val="Normal"/>
    <w:semiHidden/>
    <w:unhideWhenUsed/>
    <w:rsid w:val="00A37AEB"/>
    <w:pPr>
      <w:spacing w:after="120"/>
      <w:ind w:left="283"/>
      <w:contextualSpacing/>
    </w:pPr>
  </w:style>
  <w:style w:type="paragraph" w:styleId="ListContinue2">
    <w:name w:val="List Continue 2"/>
    <w:basedOn w:val="Normal"/>
    <w:semiHidden/>
    <w:unhideWhenUsed/>
    <w:rsid w:val="00A37AEB"/>
    <w:pPr>
      <w:spacing w:after="120"/>
      <w:ind w:left="566"/>
      <w:contextualSpacing/>
    </w:pPr>
  </w:style>
  <w:style w:type="paragraph" w:styleId="ListContinue3">
    <w:name w:val="List Continue 3"/>
    <w:basedOn w:val="Normal"/>
    <w:semiHidden/>
    <w:unhideWhenUsed/>
    <w:rsid w:val="00A37AEB"/>
    <w:pPr>
      <w:spacing w:after="120"/>
      <w:ind w:left="849"/>
      <w:contextualSpacing/>
    </w:pPr>
  </w:style>
  <w:style w:type="paragraph" w:styleId="ListContinue4">
    <w:name w:val="List Continue 4"/>
    <w:basedOn w:val="Normal"/>
    <w:semiHidden/>
    <w:unhideWhenUsed/>
    <w:rsid w:val="00A37AEB"/>
    <w:pPr>
      <w:spacing w:after="120"/>
      <w:ind w:left="1132"/>
      <w:contextualSpacing/>
    </w:pPr>
  </w:style>
  <w:style w:type="paragraph" w:styleId="ListContinue5">
    <w:name w:val="List Continue 5"/>
    <w:basedOn w:val="Normal"/>
    <w:semiHidden/>
    <w:unhideWhenUsed/>
    <w:rsid w:val="00A37AEB"/>
    <w:pPr>
      <w:spacing w:after="120"/>
      <w:ind w:left="1415"/>
      <w:contextualSpacing/>
    </w:pPr>
  </w:style>
  <w:style w:type="paragraph" w:styleId="ListNumber4">
    <w:name w:val="List Number 4"/>
    <w:basedOn w:val="Normal"/>
    <w:semiHidden/>
    <w:unhideWhenUsed/>
    <w:rsid w:val="00A37AEB"/>
    <w:pPr>
      <w:numPr>
        <w:numId w:val="16"/>
      </w:numPr>
      <w:contextualSpacing/>
    </w:pPr>
  </w:style>
  <w:style w:type="paragraph" w:styleId="ListNumber5">
    <w:name w:val="List Number 5"/>
    <w:basedOn w:val="Normal"/>
    <w:semiHidden/>
    <w:unhideWhenUsed/>
    <w:rsid w:val="00A37AEB"/>
    <w:pPr>
      <w:numPr>
        <w:numId w:val="17"/>
      </w:numPr>
      <w:contextualSpacing/>
    </w:pPr>
  </w:style>
  <w:style w:type="table" w:styleId="ListTable1Light">
    <w:name w:val="List Table 1 Light"/>
    <w:basedOn w:val="TableNormal"/>
    <w:uiPriority w:val="46"/>
    <w:rsid w:val="00A37AEB"/>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A37AEB"/>
    <w:pPr>
      <w:spacing w:after="0"/>
    </w:pPr>
    <w:tblPr>
      <w:tblStyleRowBandSize w:val="1"/>
      <w:tblStyleColBandSize w:val="1"/>
    </w:tblPr>
    <w:tblStylePr w:type="firstRow">
      <w:rPr>
        <w:b/>
        <w:bCs/>
      </w:rPr>
      <w:tblPr/>
      <w:tcPr>
        <w:tcBorders>
          <w:bottom w:val="single" w:sz="4" w:space="0" w:color="C0CCD3" w:themeColor="accent1" w:themeTint="99"/>
        </w:tcBorders>
      </w:tcPr>
    </w:tblStylePr>
    <w:tblStylePr w:type="lastRow">
      <w:rPr>
        <w:b/>
        <w:bCs/>
      </w:rPr>
      <w:tblPr/>
      <w:tcPr>
        <w:tcBorders>
          <w:top w:val="single" w:sz="4" w:space="0" w:color="C0CCD3" w:themeColor="accent1" w:themeTint="99"/>
        </w:tcBorders>
      </w:tcPr>
    </w:tblStylePr>
    <w:tblStylePr w:type="firstCol">
      <w:rPr>
        <w:b/>
        <w:bCs/>
      </w:rPr>
    </w:tblStylePr>
    <w:tblStylePr w:type="lastCol">
      <w:rPr>
        <w:b/>
        <w:bCs/>
      </w:rPr>
    </w:tblStylePr>
    <w:tblStylePr w:type="band1Vert">
      <w:tblPr/>
      <w:tcPr>
        <w:shd w:val="clear" w:color="auto" w:fill="EAEEF0" w:themeFill="accent1" w:themeFillTint="33"/>
      </w:tcPr>
    </w:tblStylePr>
    <w:tblStylePr w:type="band1Horz">
      <w:tblPr/>
      <w:tcPr>
        <w:shd w:val="clear" w:color="auto" w:fill="EAEEF0" w:themeFill="accent1" w:themeFillTint="33"/>
      </w:tcPr>
    </w:tblStylePr>
  </w:style>
  <w:style w:type="table" w:styleId="ListTable1Light-Accent2">
    <w:name w:val="List Table 1 Light Accent 2"/>
    <w:basedOn w:val="TableNormal"/>
    <w:uiPriority w:val="46"/>
    <w:rsid w:val="00A37AEB"/>
    <w:pPr>
      <w:spacing w:after="0"/>
    </w:pPr>
    <w:tblPr>
      <w:tblStyleRowBandSize w:val="1"/>
      <w:tblStyleColBandSize w:val="1"/>
    </w:tblPr>
    <w:tblStylePr w:type="firstRow">
      <w:rPr>
        <w:b/>
        <w:bCs/>
      </w:rPr>
      <w:tblPr/>
      <w:tcPr>
        <w:tcBorders>
          <w:bottom w:val="single" w:sz="4" w:space="0" w:color="94CD9D" w:themeColor="accent2" w:themeTint="99"/>
        </w:tcBorders>
      </w:tcPr>
    </w:tblStylePr>
    <w:tblStylePr w:type="lastRow">
      <w:rPr>
        <w:b/>
        <w:bCs/>
      </w:rPr>
      <w:tblPr/>
      <w:tcPr>
        <w:tcBorders>
          <w:top w:val="single" w:sz="4" w:space="0" w:color="94CD9D" w:themeColor="accent2" w:themeTint="99"/>
        </w:tcBorders>
      </w:tcPr>
    </w:tblStylePr>
    <w:tblStylePr w:type="firstCol">
      <w:rPr>
        <w:b/>
        <w:bCs/>
      </w:rPr>
    </w:tblStylePr>
    <w:tblStylePr w:type="lastCol">
      <w:rPr>
        <w:b/>
        <w:bCs/>
      </w:rPr>
    </w:tblStylePr>
    <w:tblStylePr w:type="band1Vert">
      <w:tblPr/>
      <w:tcPr>
        <w:shd w:val="clear" w:color="auto" w:fill="DBEEDE" w:themeFill="accent2" w:themeFillTint="33"/>
      </w:tcPr>
    </w:tblStylePr>
    <w:tblStylePr w:type="band1Horz">
      <w:tblPr/>
      <w:tcPr>
        <w:shd w:val="clear" w:color="auto" w:fill="DBEEDE" w:themeFill="accent2" w:themeFillTint="33"/>
      </w:tcPr>
    </w:tblStylePr>
  </w:style>
  <w:style w:type="table" w:styleId="ListTable1Light-Accent3">
    <w:name w:val="List Table 1 Light Accent 3"/>
    <w:basedOn w:val="TableNormal"/>
    <w:uiPriority w:val="46"/>
    <w:rsid w:val="00A37AEB"/>
    <w:pPr>
      <w:spacing w:after="0"/>
    </w:pPr>
    <w:tblPr>
      <w:tblStyleRowBandSize w:val="1"/>
      <w:tblStyleColBandSize w:val="1"/>
    </w:tblPr>
    <w:tblStylePr w:type="firstRow">
      <w:rPr>
        <w:b/>
        <w:bCs/>
      </w:rPr>
      <w:tblPr/>
      <w:tcPr>
        <w:tcBorders>
          <w:bottom w:val="single" w:sz="4" w:space="0" w:color="52CDFB" w:themeColor="accent3" w:themeTint="99"/>
        </w:tcBorders>
      </w:tcPr>
    </w:tblStylePr>
    <w:tblStylePr w:type="lastRow">
      <w:rPr>
        <w:b/>
        <w:bCs/>
      </w:rPr>
      <w:tblPr/>
      <w:tcPr>
        <w:tcBorders>
          <w:top w:val="single" w:sz="4" w:space="0" w:color="52CDFB" w:themeColor="accent3" w:themeTint="99"/>
        </w:tcBorders>
      </w:tcPr>
    </w:tblStylePr>
    <w:tblStylePr w:type="firstCol">
      <w:rPr>
        <w:b/>
        <w:bCs/>
      </w:rPr>
    </w:tblStylePr>
    <w:tblStylePr w:type="lastCol">
      <w:rPr>
        <w:b/>
        <w:bCs/>
      </w:rPr>
    </w:tblStylePr>
    <w:tblStylePr w:type="band1Vert">
      <w:tblPr/>
      <w:tcPr>
        <w:shd w:val="clear" w:color="auto" w:fill="C5EEFE" w:themeFill="accent3" w:themeFillTint="33"/>
      </w:tcPr>
    </w:tblStylePr>
    <w:tblStylePr w:type="band1Horz">
      <w:tblPr/>
      <w:tcPr>
        <w:shd w:val="clear" w:color="auto" w:fill="C5EEFE" w:themeFill="accent3" w:themeFillTint="33"/>
      </w:tcPr>
    </w:tblStylePr>
  </w:style>
  <w:style w:type="table" w:styleId="ListTable1Light-Accent4">
    <w:name w:val="List Table 1 Light Accent 4"/>
    <w:basedOn w:val="TableNormal"/>
    <w:uiPriority w:val="46"/>
    <w:rsid w:val="00A37AEB"/>
    <w:pPr>
      <w:spacing w:after="0"/>
    </w:pPr>
    <w:tblPr>
      <w:tblStyleRowBandSize w:val="1"/>
      <w:tblStyleColBandSize w:val="1"/>
    </w:tblPr>
    <w:tblStylePr w:type="firstRow">
      <w:rPr>
        <w:b/>
        <w:bCs/>
      </w:rPr>
      <w:tblPr/>
      <w:tcPr>
        <w:tcBorders>
          <w:bottom w:val="single" w:sz="4" w:space="0" w:color="9E9DD3" w:themeColor="accent4" w:themeTint="99"/>
        </w:tcBorders>
      </w:tcPr>
    </w:tblStylePr>
    <w:tblStylePr w:type="lastRow">
      <w:rPr>
        <w:b/>
        <w:bCs/>
      </w:rPr>
      <w:tblPr/>
      <w:tcPr>
        <w:tcBorders>
          <w:top w:val="single" w:sz="4" w:space="0" w:color="9E9DD3" w:themeColor="accent4" w:themeTint="99"/>
        </w:tcBorders>
      </w:tcPr>
    </w:tblStylePr>
    <w:tblStylePr w:type="firstCol">
      <w:rPr>
        <w:b/>
        <w:bCs/>
      </w:rPr>
    </w:tblStylePr>
    <w:tblStylePr w:type="lastCol">
      <w:rPr>
        <w:b/>
        <w:bCs/>
      </w:rPr>
    </w:tblStylePr>
    <w:tblStylePr w:type="band1Vert">
      <w:tblPr/>
      <w:tcPr>
        <w:shd w:val="clear" w:color="auto" w:fill="DEDEF0" w:themeFill="accent4" w:themeFillTint="33"/>
      </w:tcPr>
    </w:tblStylePr>
    <w:tblStylePr w:type="band1Horz">
      <w:tblPr/>
      <w:tcPr>
        <w:shd w:val="clear" w:color="auto" w:fill="DEDEF0" w:themeFill="accent4" w:themeFillTint="33"/>
      </w:tcPr>
    </w:tblStylePr>
  </w:style>
  <w:style w:type="table" w:styleId="ListTable1Light-Accent5">
    <w:name w:val="List Table 1 Light Accent 5"/>
    <w:basedOn w:val="TableNormal"/>
    <w:uiPriority w:val="46"/>
    <w:rsid w:val="00A37AEB"/>
    <w:pPr>
      <w:spacing w:after="0"/>
    </w:pPr>
    <w:tblPr>
      <w:tblStyleRowBandSize w:val="1"/>
      <w:tblStyleColBandSize w:val="1"/>
    </w:tblPr>
    <w:tblStylePr w:type="firstRow">
      <w:rPr>
        <w:b/>
        <w:bCs/>
      </w:rPr>
      <w:tblPr/>
      <w:tcPr>
        <w:tcBorders>
          <w:bottom w:val="single" w:sz="4" w:space="0" w:color="C0CCD3" w:themeColor="accent5" w:themeTint="99"/>
        </w:tcBorders>
      </w:tcPr>
    </w:tblStylePr>
    <w:tblStylePr w:type="lastRow">
      <w:rPr>
        <w:b/>
        <w:bCs/>
      </w:rPr>
      <w:tblPr/>
      <w:tcPr>
        <w:tcBorders>
          <w:top w:val="single" w:sz="4" w:space="0" w:color="C0CCD3" w:themeColor="accent5" w:themeTint="99"/>
        </w:tcBorders>
      </w:tcPr>
    </w:tblStylePr>
    <w:tblStylePr w:type="firstCol">
      <w:rPr>
        <w:b/>
        <w:bCs/>
      </w:rPr>
    </w:tblStylePr>
    <w:tblStylePr w:type="lastCol">
      <w:rPr>
        <w:b/>
        <w:bCs/>
      </w:rPr>
    </w:tblStylePr>
    <w:tblStylePr w:type="band1Vert">
      <w:tblPr/>
      <w:tcPr>
        <w:shd w:val="clear" w:color="auto" w:fill="EAEEF0" w:themeFill="accent5" w:themeFillTint="33"/>
      </w:tcPr>
    </w:tblStylePr>
    <w:tblStylePr w:type="band1Horz">
      <w:tblPr/>
      <w:tcPr>
        <w:shd w:val="clear" w:color="auto" w:fill="EAEEF0" w:themeFill="accent5" w:themeFillTint="33"/>
      </w:tcPr>
    </w:tblStylePr>
  </w:style>
  <w:style w:type="table" w:styleId="ListTable1Light-Accent6">
    <w:name w:val="List Table 1 Light Accent 6"/>
    <w:basedOn w:val="TableNormal"/>
    <w:uiPriority w:val="46"/>
    <w:rsid w:val="00A37AEB"/>
    <w:pPr>
      <w:spacing w:after="0"/>
    </w:pPr>
    <w:tblPr>
      <w:tblStyleRowBandSize w:val="1"/>
      <w:tblStyleColBandSize w:val="1"/>
    </w:tblPr>
    <w:tblStylePr w:type="firstRow">
      <w:rPr>
        <w:b/>
        <w:bCs/>
      </w:rPr>
      <w:tblPr/>
      <w:tcPr>
        <w:tcBorders>
          <w:bottom w:val="single" w:sz="4" w:space="0" w:color="C0CCD3" w:themeColor="accent6" w:themeTint="99"/>
        </w:tcBorders>
      </w:tcPr>
    </w:tblStylePr>
    <w:tblStylePr w:type="lastRow">
      <w:rPr>
        <w:b/>
        <w:bCs/>
      </w:rPr>
      <w:tblPr/>
      <w:tcPr>
        <w:tcBorders>
          <w:top w:val="single" w:sz="4" w:space="0" w:color="C0CCD3" w:themeColor="accent6" w:themeTint="99"/>
        </w:tcBorders>
      </w:tcPr>
    </w:tblStylePr>
    <w:tblStylePr w:type="firstCol">
      <w:rPr>
        <w:b/>
        <w:bCs/>
      </w:rPr>
    </w:tblStylePr>
    <w:tblStylePr w:type="lastCol">
      <w:rPr>
        <w:b/>
        <w:bCs/>
      </w:rPr>
    </w:tblStylePr>
    <w:tblStylePr w:type="band1Vert">
      <w:tblPr/>
      <w:tcPr>
        <w:shd w:val="clear" w:color="auto" w:fill="EAEEF0" w:themeFill="accent6" w:themeFillTint="33"/>
      </w:tcPr>
    </w:tblStylePr>
    <w:tblStylePr w:type="band1Horz">
      <w:tblPr/>
      <w:tcPr>
        <w:shd w:val="clear" w:color="auto" w:fill="EAEEF0" w:themeFill="accent6" w:themeFillTint="33"/>
      </w:tcPr>
    </w:tblStylePr>
  </w:style>
  <w:style w:type="table" w:styleId="ListTable2">
    <w:name w:val="List Table 2"/>
    <w:basedOn w:val="TableNormal"/>
    <w:uiPriority w:val="47"/>
    <w:rsid w:val="00A37AEB"/>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A37AEB"/>
    <w:pPr>
      <w:spacing w:after="0"/>
    </w:pPr>
    <w:tblPr>
      <w:tblStyleRowBandSize w:val="1"/>
      <w:tblStyleColBandSize w:val="1"/>
      <w:tblBorders>
        <w:top w:val="single" w:sz="4" w:space="0" w:color="C0CCD3" w:themeColor="accent1" w:themeTint="99"/>
        <w:bottom w:val="single" w:sz="4" w:space="0" w:color="C0CCD3" w:themeColor="accent1" w:themeTint="99"/>
        <w:insideH w:val="single" w:sz="4" w:space="0" w:color="C0CCD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EF0" w:themeFill="accent1" w:themeFillTint="33"/>
      </w:tcPr>
    </w:tblStylePr>
    <w:tblStylePr w:type="band1Horz">
      <w:tblPr/>
      <w:tcPr>
        <w:shd w:val="clear" w:color="auto" w:fill="EAEEF0" w:themeFill="accent1" w:themeFillTint="33"/>
      </w:tcPr>
    </w:tblStylePr>
  </w:style>
  <w:style w:type="table" w:styleId="ListTable2-Accent2">
    <w:name w:val="List Table 2 Accent 2"/>
    <w:basedOn w:val="TableNormal"/>
    <w:uiPriority w:val="47"/>
    <w:rsid w:val="00A37AEB"/>
    <w:pPr>
      <w:spacing w:after="0"/>
    </w:pPr>
    <w:tblPr>
      <w:tblStyleRowBandSize w:val="1"/>
      <w:tblStyleColBandSize w:val="1"/>
      <w:tblBorders>
        <w:top w:val="single" w:sz="4" w:space="0" w:color="94CD9D" w:themeColor="accent2" w:themeTint="99"/>
        <w:bottom w:val="single" w:sz="4" w:space="0" w:color="94CD9D" w:themeColor="accent2" w:themeTint="99"/>
        <w:insideH w:val="single" w:sz="4" w:space="0" w:color="94CD9D"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EDE" w:themeFill="accent2" w:themeFillTint="33"/>
      </w:tcPr>
    </w:tblStylePr>
    <w:tblStylePr w:type="band1Horz">
      <w:tblPr/>
      <w:tcPr>
        <w:shd w:val="clear" w:color="auto" w:fill="DBEEDE" w:themeFill="accent2" w:themeFillTint="33"/>
      </w:tcPr>
    </w:tblStylePr>
  </w:style>
  <w:style w:type="table" w:styleId="ListTable2-Accent3">
    <w:name w:val="List Table 2 Accent 3"/>
    <w:basedOn w:val="TableNormal"/>
    <w:uiPriority w:val="47"/>
    <w:rsid w:val="00A37AEB"/>
    <w:pPr>
      <w:spacing w:after="0"/>
    </w:pPr>
    <w:tblPr>
      <w:tblStyleRowBandSize w:val="1"/>
      <w:tblStyleColBandSize w:val="1"/>
      <w:tblBorders>
        <w:top w:val="single" w:sz="4" w:space="0" w:color="52CDFB" w:themeColor="accent3" w:themeTint="99"/>
        <w:bottom w:val="single" w:sz="4" w:space="0" w:color="52CDFB" w:themeColor="accent3" w:themeTint="99"/>
        <w:insideH w:val="single" w:sz="4" w:space="0" w:color="52CDF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5EEFE" w:themeFill="accent3" w:themeFillTint="33"/>
      </w:tcPr>
    </w:tblStylePr>
    <w:tblStylePr w:type="band1Horz">
      <w:tblPr/>
      <w:tcPr>
        <w:shd w:val="clear" w:color="auto" w:fill="C5EEFE" w:themeFill="accent3" w:themeFillTint="33"/>
      </w:tcPr>
    </w:tblStylePr>
  </w:style>
  <w:style w:type="table" w:styleId="ListTable2-Accent4">
    <w:name w:val="List Table 2 Accent 4"/>
    <w:basedOn w:val="TableNormal"/>
    <w:uiPriority w:val="47"/>
    <w:rsid w:val="00A37AEB"/>
    <w:pPr>
      <w:spacing w:after="0"/>
    </w:pPr>
    <w:tblPr>
      <w:tblStyleRowBandSize w:val="1"/>
      <w:tblStyleColBandSize w:val="1"/>
      <w:tblBorders>
        <w:top w:val="single" w:sz="4" w:space="0" w:color="9E9DD3" w:themeColor="accent4" w:themeTint="99"/>
        <w:bottom w:val="single" w:sz="4" w:space="0" w:color="9E9DD3" w:themeColor="accent4" w:themeTint="99"/>
        <w:insideH w:val="single" w:sz="4" w:space="0" w:color="9E9DD3"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DEF0" w:themeFill="accent4" w:themeFillTint="33"/>
      </w:tcPr>
    </w:tblStylePr>
    <w:tblStylePr w:type="band1Horz">
      <w:tblPr/>
      <w:tcPr>
        <w:shd w:val="clear" w:color="auto" w:fill="DEDEF0" w:themeFill="accent4" w:themeFillTint="33"/>
      </w:tcPr>
    </w:tblStylePr>
  </w:style>
  <w:style w:type="table" w:styleId="ListTable2-Accent5">
    <w:name w:val="List Table 2 Accent 5"/>
    <w:basedOn w:val="TableNormal"/>
    <w:uiPriority w:val="47"/>
    <w:rsid w:val="00A37AEB"/>
    <w:pPr>
      <w:spacing w:after="0"/>
    </w:pPr>
    <w:tblPr>
      <w:tblStyleRowBandSize w:val="1"/>
      <w:tblStyleColBandSize w:val="1"/>
      <w:tblBorders>
        <w:top w:val="single" w:sz="4" w:space="0" w:color="C0CCD3" w:themeColor="accent5" w:themeTint="99"/>
        <w:bottom w:val="single" w:sz="4" w:space="0" w:color="C0CCD3" w:themeColor="accent5" w:themeTint="99"/>
        <w:insideH w:val="single" w:sz="4" w:space="0" w:color="C0CCD3"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EF0" w:themeFill="accent5" w:themeFillTint="33"/>
      </w:tcPr>
    </w:tblStylePr>
    <w:tblStylePr w:type="band1Horz">
      <w:tblPr/>
      <w:tcPr>
        <w:shd w:val="clear" w:color="auto" w:fill="EAEEF0" w:themeFill="accent5" w:themeFillTint="33"/>
      </w:tcPr>
    </w:tblStylePr>
  </w:style>
  <w:style w:type="table" w:styleId="ListTable2-Accent6">
    <w:name w:val="List Table 2 Accent 6"/>
    <w:basedOn w:val="TableNormal"/>
    <w:uiPriority w:val="47"/>
    <w:rsid w:val="00A37AEB"/>
    <w:pPr>
      <w:spacing w:after="0"/>
    </w:pPr>
    <w:tblPr>
      <w:tblStyleRowBandSize w:val="1"/>
      <w:tblStyleColBandSize w:val="1"/>
      <w:tblBorders>
        <w:top w:val="single" w:sz="4" w:space="0" w:color="C0CCD3" w:themeColor="accent6" w:themeTint="99"/>
        <w:bottom w:val="single" w:sz="4" w:space="0" w:color="C0CCD3" w:themeColor="accent6" w:themeTint="99"/>
        <w:insideH w:val="single" w:sz="4" w:space="0" w:color="C0CCD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EF0" w:themeFill="accent6" w:themeFillTint="33"/>
      </w:tcPr>
    </w:tblStylePr>
    <w:tblStylePr w:type="band1Horz">
      <w:tblPr/>
      <w:tcPr>
        <w:shd w:val="clear" w:color="auto" w:fill="EAEEF0" w:themeFill="accent6" w:themeFillTint="33"/>
      </w:tcPr>
    </w:tblStylePr>
  </w:style>
  <w:style w:type="table" w:styleId="ListTable3">
    <w:name w:val="List Table 3"/>
    <w:basedOn w:val="TableNormal"/>
    <w:uiPriority w:val="48"/>
    <w:rsid w:val="00A37AEB"/>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A37AEB"/>
    <w:pPr>
      <w:spacing w:after="0"/>
    </w:pPr>
    <w:tblPr>
      <w:tblStyleRowBandSize w:val="1"/>
      <w:tblStyleColBandSize w:val="1"/>
      <w:tblBorders>
        <w:top w:val="single" w:sz="4" w:space="0" w:color="97ABB6" w:themeColor="accent1"/>
        <w:left w:val="single" w:sz="4" w:space="0" w:color="97ABB6" w:themeColor="accent1"/>
        <w:bottom w:val="single" w:sz="4" w:space="0" w:color="97ABB6" w:themeColor="accent1"/>
        <w:right w:val="single" w:sz="4" w:space="0" w:color="97ABB6" w:themeColor="accent1"/>
      </w:tblBorders>
    </w:tblPr>
    <w:tblStylePr w:type="firstRow">
      <w:rPr>
        <w:b/>
        <w:bCs/>
        <w:color w:val="FFFFFF" w:themeColor="background1"/>
      </w:rPr>
      <w:tblPr/>
      <w:tcPr>
        <w:shd w:val="clear" w:color="auto" w:fill="97ABB6" w:themeFill="accent1"/>
      </w:tcPr>
    </w:tblStylePr>
    <w:tblStylePr w:type="lastRow">
      <w:rPr>
        <w:b/>
        <w:bCs/>
      </w:rPr>
      <w:tblPr/>
      <w:tcPr>
        <w:tcBorders>
          <w:top w:val="double" w:sz="4" w:space="0" w:color="97ABB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ABB6" w:themeColor="accent1"/>
          <w:right w:val="single" w:sz="4" w:space="0" w:color="97ABB6" w:themeColor="accent1"/>
        </w:tcBorders>
      </w:tcPr>
    </w:tblStylePr>
    <w:tblStylePr w:type="band1Horz">
      <w:tblPr/>
      <w:tcPr>
        <w:tcBorders>
          <w:top w:val="single" w:sz="4" w:space="0" w:color="97ABB6" w:themeColor="accent1"/>
          <w:bottom w:val="single" w:sz="4" w:space="0" w:color="97ABB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ABB6" w:themeColor="accent1"/>
          <w:left w:val="nil"/>
        </w:tcBorders>
      </w:tcPr>
    </w:tblStylePr>
    <w:tblStylePr w:type="swCell">
      <w:tblPr/>
      <w:tcPr>
        <w:tcBorders>
          <w:top w:val="double" w:sz="4" w:space="0" w:color="97ABB6" w:themeColor="accent1"/>
          <w:right w:val="nil"/>
        </w:tcBorders>
      </w:tcPr>
    </w:tblStylePr>
  </w:style>
  <w:style w:type="table" w:styleId="ListTable3-Accent2">
    <w:name w:val="List Table 3 Accent 2"/>
    <w:basedOn w:val="TableNormal"/>
    <w:uiPriority w:val="48"/>
    <w:rsid w:val="00A37AEB"/>
    <w:pPr>
      <w:spacing w:after="0"/>
    </w:pPr>
    <w:tblPr>
      <w:tblStyleRowBandSize w:val="1"/>
      <w:tblStyleColBandSize w:val="1"/>
      <w:tblBorders>
        <w:top w:val="single" w:sz="4" w:space="0" w:color="4FAA5F" w:themeColor="accent2"/>
        <w:left w:val="single" w:sz="4" w:space="0" w:color="4FAA5F" w:themeColor="accent2"/>
        <w:bottom w:val="single" w:sz="4" w:space="0" w:color="4FAA5F" w:themeColor="accent2"/>
        <w:right w:val="single" w:sz="4" w:space="0" w:color="4FAA5F" w:themeColor="accent2"/>
      </w:tblBorders>
    </w:tblPr>
    <w:tblStylePr w:type="firstRow">
      <w:rPr>
        <w:b/>
        <w:bCs/>
        <w:color w:val="FFFFFF" w:themeColor="background1"/>
      </w:rPr>
      <w:tblPr/>
      <w:tcPr>
        <w:shd w:val="clear" w:color="auto" w:fill="4FAA5F" w:themeFill="accent2"/>
      </w:tcPr>
    </w:tblStylePr>
    <w:tblStylePr w:type="lastRow">
      <w:rPr>
        <w:b/>
        <w:bCs/>
      </w:rPr>
      <w:tblPr/>
      <w:tcPr>
        <w:tcBorders>
          <w:top w:val="double" w:sz="4" w:space="0" w:color="4FAA5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AA5F" w:themeColor="accent2"/>
          <w:right w:val="single" w:sz="4" w:space="0" w:color="4FAA5F" w:themeColor="accent2"/>
        </w:tcBorders>
      </w:tcPr>
    </w:tblStylePr>
    <w:tblStylePr w:type="band1Horz">
      <w:tblPr/>
      <w:tcPr>
        <w:tcBorders>
          <w:top w:val="single" w:sz="4" w:space="0" w:color="4FAA5F" w:themeColor="accent2"/>
          <w:bottom w:val="single" w:sz="4" w:space="0" w:color="4FAA5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AA5F" w:themeColor="accent2"/>
          <w:left w:val="nil"/>
        </w:tcBorders>
      </w:tcPr>
    </w:tblStylePr>
    <w:tblStylePr w:type="swCell">
      <w:tblPr/>
      <w:tcPr>
        <w:tcBorders>
          <w:top w:val="double" w:sz="4" w:space="0" w:color="4FAA5F" w:themeColor="accent2"/>
          <w:right w:val="nil"/>
        </w:tcBorders>
      </w:tcPr>
    </w:tblStylePr>
  </w:style>
  <w:style w:type="table" w:styleId="ListTable3-Accent3">
    <w:name w:val="List Table 3 Accent 3"/>
    <w:basedOn w:val="TableNormal"/>
    <w:uiPriority w:val="48"/>
    <w:rsid w:val="00A37AEB"/>
    <w:pPr>
      <w:spacing w:after="0"/>
    </w:pPr>
    <w:tblPr>
      <w:tblStyleRowBandSize w:val="1"/>
      <w:tblStyleColBandSize w:val="1"/>
      <w:tblBorders>
        <w:top w:val="single" w:sz="4" w:space="0" w:color="049CD5" w:themeColor="accent3"/>
        <w:left w:val="single" w:sz="4" w:space="0" w:color="049CD5" w:themeColor="accent3"/>
        <w:bottom w:val="single" w:sz="4" w:space="0" w:color="049CD5" w:themeColor="accent3"/>
        <w:right w:val="single" w:sz="4" w:space="0" w:color="049CD5" w:themeColor="accent3"/>
      </w:tblBorders>
    </w:tblPr>
    <w:tblStylePr w:type="firstRow">
      <w:rPr>
        <w:b/>
        <w:bCs/>
        <w:color w:val="FFFFFF" w:themeColor="background1"/>
      </w:rPr>
      <w:tblPr/>
      <w:tcPr>
        <w:shd w:val="clear" w:color="auto" w:fill="049CD5" w:themeFill="accent3"/>
      </w:tcPr>
    </w:tblStylePr>
    <w:tblStylePr w:type="lastRow">
      <w:rPr>
        <w:b/>
        <w:bCs/>
      </w:rPr>
      <w:tblPr/>
      <w:tcPr>
        <w:tcBorders>
          <w:top w:val="double" w:sz="4" w:space="0" w:color="049CD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49CD5" w:themeColor="accent3"/>
          <w:right w:val="single" w:sz="4" w:space="0" w:color="049CD5" w:themeColor="accent3"/>
        </w:tcBorders>
      </w:tcPr>
    </w:tblStylePr>
    <w:tblStylePr w:type="band1Horz">
      <w:tblPr/>
      <w:tcPr>
        <w:tcBorders>
          <w:top w:val="single" w:sz="4" w:space="0" w:color="049CD5" w:themeColor="accent3"/>
          <w:bottom w:val="single" w:sz="4" w:space="0" w:color="049CD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49CD5" w:themeColor="accent3"/>
          <w:left w:val="nil"/>
        </w:tcBorders>
      </w:tcPr>
    </w:tblStylePr>
    <w:tblStylePr w:type="swCell">
      <w:tblPr/>
      <w:tcPr>
        <w:tcBorders>
          <w:top w:val="double" w:sz="4" w:space="0" w:color="049CD5" w:themeColor="accent3"/>
          <w:right w:val="nil"/>
        </w:tcBorders>
      </w:tcPr>
    </w:tblStylePr>
  </w:style>
  <w:style w:type="table" w:styleId="ListTable3-Accent4">
    <w:name w:val="List Table 3 Accent 4"/>
    <w:basedOn w:val="TableNormal"/>
    <w:uiPriority w:val="48"/>
    <w:rsid w:val="00A37AEB"/>
    <w:pPr>
      <w:spacing w:after="0"/>
    </w:pPr>
    <w:tblPr>
      <w:tblStyleRowBandSize w:val="1"/>
      <w:tblStyleColBandSize w:val="1"/>
      <w:tblBorders>
        <w:top w:val="single" w:sz="4" w:space="0" w:color="5F5CB6" w:themeColor="accent4"/>
        <w:left w:val="single" w:sz="4" w:space="0" w:color="5F5CB6" w:themeColor="accent4"/>
        <w:bottom w:val="single" w:sz="4" w:space="0" w:color="5F5CB6" w:themeColor="accent4"/>
        <w:right w:val="single" w:sz="4" w:space="0" w:color="5F5CB6" w:themeColor="accent4"/>
      </w:tblBorders>
    </w:tblPr>
    <w:tblStylePr w:type="firstRow">
      <w:rPr>
        <w:b/>
        <w:bCs/>
        <w:color w:val="FFFFFF" w:themeColor="background1"/>
      </w:rPr>
      <w:tblPr/>
      <w:tcPr>
        <w:shd w:val="clear" w:color="auto" w:fill="5F5CB6" w:themeFill="accent4"/>
      </w:tcPr>
    </w:tblStylePr>
    <w:tblStylePr w:type="lastRow">
      <w:rPr>
        <w:b/>
        <w:bCs/>
      </w:rPr>
      <w:tblPr/>
      <w:tcPr>
        <w:tcBorders>
          <w:top w:val="double" w:sz="4" w:space="0" w:color="5F5CB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5CB6" w:themeColor="accent4"/>
          <w:right w:val="single" w:sz="4" w:space="0" w:color="5F5CB6" w:themeColor="accent4"/>
        </w:tcBorders>
      </w:tcPr>
    </w:tblStylePr>
    <w:tblStylePr w:type="band1Horz">
      <w:tblPr/>
      <w:tcPr>
        <w:tcBorders>
          <w:top w:val="single" w:sz="4" w:space="0" w:color="5F5CB6" w:themeColor="accent4"/>
          <w:bottom w:val="single" w:sz="4" w:space="0" w:color="5F5CB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5CB6" w:themeColor="accent4"/>
          <w:left w:val="nil"/>
        </w:tcBorders>
      </w:tcPr>
    </w:tblStylePr>
    <w:tblStylePr w:type="swCell">
      <w:tblPr/>
      <w:tcPr>
        <w:tcBorders>
          <w:top w:val="double" w:sz="4" w:space="0" w:color="5F5CB6" w:themeColor="accent4"/>
          <w:right w:val="nil"/>
        </w:tcBorders>
      </w:tcPr>
    </w:tblStylePr>
  </w:style>
  <w:style w:type="table" w:styleId="ListTable3-Accent5">
    <w:name w:val="List Table 3 Accent 5"/>
    <w:basedOn w:val="TableNormal"/>
    <w:uiPriority w:val="48"/>
    <w:rsid w:val="00A37AEB"/>
    <w:pPr>
      <w:spacing w:after="0"/>
    </w:pPr>
    <w:tblPr>
      <w:tblStyleRowBandSize w:val="1"/>
      <w:tblStyleColBandSize w:val="1"/>
      <w:tblBorders>
        <w:top w:val="single" w:sz="4" w:space="0" w:color="97ABB6" w:themeColor="accent5"/>
        <w:left w:val="single" w:sz="4" w:space="0" w:color="97ABB6" w:themeColor="accent5"/>
        <w:bottom w:val="single" w:sz="4" w:space="0" w:color="97ABB6" w:themeColor="accent5"/>
        <w:right w:val="single" w:sz="4" w:space="0" w:color="97ABB6" w:themeColor="accent5"/>
      </w:tblBorders>
    </w:tblPr>
    <w:tblStylePr w:type="firstRow">
      <w:rPr>
        <w:b/>
        <w:bCs/>
        <w:color w:val="FFFFFF" w:themeColor="background1"/>
      </w:rPr>
      <w:tblPr/>
      <w:tcPr>
        <w:shd w:val="clear" w:color="auto" w:fill="97ABB6" w:themeFill="accent5"/>
      </w:tcPr>
    </w:tblStylePr>
    <w:tblStylePr w:type="lastRow">
      <w:rPr>
        <w:b/>
        <w:bCs/>
      </w:rPr>
      <w:tblPr/>
      <w:tcPr>
        <w:tcBorders>
          <w:top w:val="double" w:sz="4" w:space="0" w:color="97ABB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ABB6" w:themeColor="accent5"/>
          <w:right w:val="single" w:sz="4" w:space="0" w:color="97ABB6" w:themeColor="accent5"/>
        </w:tcBorders>
      </w:tcPr>
    </w:tblStylePr>
    <w:tblStylePr w:type="band1Horz">
      <w:tblPr/>
      <w:tcPr>
        <w:tcBorders>
          <w:top w:val="single" w:sz="4" w:space="0" w:color="97ABB6" w:themeColor="accent5"/>
          <w:bottom w:val="single" w:sz="4" w:space="0" w:color="97ABB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ABB6" w:themeColor="accent5"/>
          <w:left w:val="nil"/>
        </w:tcBorders>
      </w:tcPr>
    </w:tblStylePr>
    <w:tblStylePr w:type="swCell">
      <w:tblPr/>
      <w:tcPr>
        <w:tcBorders>
          <w:top w:val="double" w:sz="4" w:space="0" w:color="97ABB6" w:themeColor="accent5"/>
          <w:right w:val="nil"/>
        </w:tcBorders>
      </w:tcPr>
    </w:tblStylePr>
  </w:style>
  <w:style w:type="table" w:styleId="ListTable3-Accent6">
    <w:name w:val="List Table 3 Accent 6"/>
    <w:basedOn w:val="TableNormal"/>
    <w:uiPriority w:val="48"/>
    <w:rsid w:val="00A37AEB"/>
    <w:pPr>
      <w:spacing w:after="0"/>
    </w:pPr>
    <w:tblPr>
      <w:tblStyleRowBandSize w:val="1"/>
      <w:tblStyleColBandSize w:val="1"/>
      <w:tblBorders>
        <w:top w:val="single" w:sz="4" w:space="0" w:color="97ABB6" w:themeColor="accent6"/>
        <w:left w:val="single" w:sz="4" w:space="0" w:color="97ABB6" w:themeColor="accent6"/>
        <w:bottom w:val="single" w:sz="4" w:space="0" w:color="97ABB6" w:themeColor="accent6"/>
        <w:right w:val="single" w:sz="4" w:space="0" w:color="97ABB6" w:themeColor="accent6"/>
      </w:tblBorders>
    </w:tblPr>
    <w:tblStylePr w:type="firstRow">
      <w:rPr>
        <w:b/>
        <w:bCs/>
        <w:color w:val="FFFFFF" w:themeColor="background1"/>
      </w:rPr>
      <w:tblPr/>
      <w:tcPr>
        <w:shd w:val="clear" w:color="auto" w:fill="97ABB6" w:themeFill="accent6"/>
      </w:tcPr>
    </w:tblStylePr>
    <w:tblStylePr w:type="lastRow">
      <w:rPr>
        <w:b/>
        <w:bCs/>
      </w:rPr>
      <w:tblPr/>
      <w:tcPr>
        <w:tcBorders>
          <w:top w:val="double" w:sz="4" w:space="0" w:color="97ABB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ABB6" w:themeColor="accent6"/>
          <w:right w:val="single" w:sz="4" w:space="0" w:color="97ABB6" w:themeColor="accent6"/>
        </w:tcBorders>
      </w:tcPr>
    </w:tblStylePr>
    <w:tblStylePr w:type="band1Horz">
      <w:tblPr/>
      <w:tcPr>
        <w:tcBorders>
          <w:top w:val="single" w:sz="4" w:space="0" w:color="97ABB6" w:themeColor="accent6"/>
          <w:bottom w:val="single" w:sz="4" w:space="0" w:color="97ABB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ABB6" w:themeColor="accent6"/>
          <w:left w:val="nil"/>
        </w:tcBorders>
      </w:tcPr>
    </w:tblStylePr>
    <w:tblStylePr w:type="swCell">
      <w:tblPr/>
      <w:tcPr>
        <w:tcBorders>
          <w:top w:val="double" w:sz="4" w:space="0" w:color="97ABB6" w:themeColor="accent6"/>
          <w:right w:val="nil"/>
        </w:tcBorders>
      </w:tcPr>
    </w:tblStylePr>
  </w:style>
  <w:style w:type="table" w:styleId="ListTable4">
    <w:name w:val="List Table 4"/>
    <w:basedOn w:val="TableNormal"/>
    <w:uiPriority w:val="49"/>
    <w:rsid w:val="00A37AEB"/>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A37AEB"/>
    <w:pPr>
      <w:spacing w:after="0"/>
    </w:pPr>
    <w:tblPr>
      <w:tblStyleRowBandSize w:val="1"/>
      <w:tblStyleColBandSize w:val="1"/>
      <w:tblBorders>
        <w:top w:val="single" w:sz="4" w:space="0" w:color="C0CCD3" w:themeColor="accent1" w:themeTint="99"/>
        <w:left w:val="single" w:sz="4" w:space="0" w:color="C0CCD3" w:themeColor="accent1" w:themeTint="99"/>
        <w:bottom w:val="single" w:sz="4" w:space="0" w:color="C0CCD3" w:themeColor="accent1" w:themeTint="99"/>
        <w:right w:val="single" w:sz="4" w:space="0" w:color="C0CCD3" w:themeColor="accent1" w:themeTint="99"/>
        <w:insideH w:val="single" w:sz="4" w:space="0" w:color="C0CCD3" w:themeColor="accent1" w:themeTint="99"/>
      </w:tblBorders>
    </w:tblPr>
    <w:tblStylePr w:type="firstRow">
      <w:rPr>
        <w:b/>
        <w:bCs/>
        <w:color w:val="FFFFFF" w:themeColor="background1"/>
      </w:rPr>
      <w:tblPr/>
      <w:tcPr>
        <w:tcBorders>
          <w:top w:val="single" w:sz="4" w:space="0" w:color="97ABB6" w:themeColor="accent1"/>
          <w:left w:val="single" w:sz="4" w:space="0" w:color="97ABB6" w:themeColor="accent1"/>
          <w:bottom w:val="single" w:sz="4" w:space="0" w:color="97ABB6" w:themeColor="accent1"/>
          <w:right w:val="single" w:sz="4" w:space="0" w:color="97ABB6" w:themeColor="accent1"/>
          <w:insideH w:val="nil"/>
        </w:tcBorders>
        <w:shd w:val="clear" w:color="auto" w:fill="97ABB6" w:themeFill="accent1"/>
      </w:tcPr>
    </w:tblStylePr>
    <w:tblStylePr w:type="lastRow">
      <w:rPr>
        <w:b/>
        <w:bCs/>
      </w:rPr>
      <w:tblPr/>
      <w:tcPr>
        <w:tcBorders>
          <w:top w:val="double" w:sz="4" w:space="0" w:color="C0CCD3" w:themeColor="accent1" w:themeTint="99"/>
        </w:tcBorders>
      </w:tcPr>
    </w:tblStylePr>
    <w:tblStylePr w:type="firstCol">
      <w:rPr>
        <w:b/>
        <w:bCs/>
      </w:rPr>
    </w:tblStylePr>
    <w:tblStylePr w:type="lastCol">
      <w:rPr>
        <w:b/>
        <w:bCs/>
      </w:rPr>
    </w:tblStylePr>
    <w:tblStylePr w:type="band1Vert">
      <w:tblPr/>
      <w:tcPr>
        <w:shd w:val="clear" w:color="auto" w:fill="EAEEF0" w:themeFill="accent1" w:themeFillTint="33"/>
      </w:tcPr>
    </w:tblStylePr>
    <w:tblStylePr w:type="band1Horz">
      <w:tblPr/>
      <w:tcPr>
        <w:shd w:val="clear" w:color="auto" w:fill="EAEEF0" w:themeFill="accent1" w:themeFillTint="33"/>
      </w:tcPr>
    </w:tblStylePr>
  </w:style>
  <w:style w:type="table" w:styleId="ListTable4-Accent2">
    <w:name w:val="List Table 4 Accent 2"/>
    <w:basedOn w:val="TableNormal"/>
    <w:uiPriority w:val="49"/>
    <w:rsid w:val="00A37AEB"/>
    <w:pPr>
      <w:spacing w:after="0"/>
    </w:pPr>
    <w:tblPr>
      <w:tblStyleRowBandSize w:val="1"/>
      <w:tblStyleColBandSize w:val="1"/>
      <w:tblBorders>
        <w:top w:val="single" w:sz="4" w:space="0" w:color="94CD9D" w:themeColor="accent2" w:themeTint="99"/>
        <w:left w:val="single" w:sz="4" w:space="0" w:color="94CD9D" w:themeColor="accent2" w:themeTint="99"/>
        <w:bottom w:val="single" w:sz="4" w:space="0" w:color="94CD9D" w:themeColor="accent2" w:themeTint="99"/>
        <w:right w:val="single" w:sz="4" w:space="0" w:color="94CD9D" w:themeColor="accent2" w:themeTint="99"/>
        <w:insideH w:val="single" w:sz="4" w:space="0" w:color="94CD9D" w:themeColor="accent2" w:themeTint="99"/>
      </w:tblBorders>
    </w:tblPr>
    <w:tblStylePr w:type="firstRow">
      <w:rPr>
        <w:b/>
        <w:bCs/>
        <w:color w:val="FFFFFF" w:themeColor="background1"/>
      </w:rPr>
      <w:tblPr/>
      <w:tcPr>
        <w:tcBorders>
          <w:top w:val="single" w:sz="4" w:space="0" w:color="4FAA5F" w:themeColor="accent2"/>
          <w:left w:val="single" w:sz="4" w:space="0" w:color="4FAA5F" w:themeColor="accent2"/>
          <w:bottom w:val="single" w:sz="4" w:space="0" w:color="4FAA5F" w:themeColor="accent2"/>
          <w:right w:val="single" w:sz="4" w:space="0" w:color="4FAA5F" w:themeColor="accent2"/>
          <w:insideH w:val="nil"/>
        </w:tcBorders>
        <w:shd w:val="clear" w:color="auto" w:fill="4FAA5F" w:themeFill="accent2"/>
      </w:tcPr>
    </w:tblStylePr>
    <w:tblStylePr w:type="lastRow">
      <w:rPr>
        <w:b/>
        <w:bCs/>
      </w:rPr>
      <w:tblPr/>
      <w:tcPr>
        <w:tcBorders>
          <w:top w:val="double" w:sz="4" w:space="0" w:color="94CD9D" w:themeColor="accent2" w:themeTint="99"/>
        </w:tcBorders>
      </w:tcPr>
    </w:tblStylePr>
    <w:tblStylePr w:type="firstCol">
      <w:rPr>
        <w:b/>
        <w:bCs/>
      </w:rPr>
    </w:tblStylePr>
    <w:tblStylePr w:type="lastCol">
      <w:rPr>
        <w:b/>
        <w:bCs/>
      </w:rPr>
    </w:tblStylePr>
    <w:tblStylePr w:type="band1Vert">
      <w:tblPr/>
      <w:tcPr>
        <w:shd w:val="clear" w:color="auto" w:fill="DBEEDE" w:themeFill="accent2" w:themeFillTint="33"/>
      </w:tcPr>
    </w:tblStylePr>
    <w:tblStylePr w:type="band1Horz">
      <w:tblPr/>
      <w:tcPr>
        <w:shd w:val="clear" w:color="auto" w:fill="DBEEDE" w:themeFill="accent2" w:themeFillTint="33"/>
      </w:tcPr>
    </w:tblStylePr>
  </w:style>
  <w:style w:type="table" w:styleId="ListTable4-Accent3">
    <w:name w:val="List Table 4 Accent 3"/>
    <w:basedOn w:val="TableNormal"/>
    <w:uiPriority w:val="49"/>
    <w:rsid w:val="00A37AEB"/>
    <w:pPr>
      <w:spacing w:after="0"/>
    </w:pPr>
    <w:tblPr>
      <w:tblStyleRowBandSize w:val="1"/>
      <w:tblStyleColBandSize w:val="1"/>
      <w:tblBorders>
        <w:top w:val="single" w:sz="4" w:space="0" w:color="52CDFB" w:themeColor="accent3" w:themeTint="99"/>
        <w:left w:val="single" w:sz="4" w:space="0" w:color="52CDFB" w:themeColor="accent3" w:themeTint="99"/>
        <w:bottom w:val="single" w:sz="4" w:space="0" w:color="52CDFB" w:themeColor="accent3" w:themeTint="99"/>
        <w:right w:val="single" w:sz="4" w:space="0" w:color="52CDFB" w:themeColor="accent3" w:themeTint="99"/>
        <w:insideH w:val="single" w:sz="4" w:space="0" w:color="52CDFB" w:themeColor="accent3" w:themeTint="99"/>
      </w:tblBorders>
    </w:tblPr>
    <w:tblStylePr w:type="firstRow">
      <w:rPr>
        <w:b/>
        <w:bCs/>
        <w:color w:val="FFFFFF" w:themeColor="background1"/>
      </w:rPr>
      <w:tblPr/>
      <w:tcPr>
        <w:tcBorders>
          <w:top w:val="single" w:sz="4" w:space="0" w:color="049CD5" w:themeColor="accent3"/>
          <w:left w:val="single" w:sz="4" w:space="0" w:color="049CD5" w:themeColor="accent3"/>
          <w:bottom w:val="single" w:sz="4" w:space="0" w:color="049CD5" w:themeColor="accent3"/>
          <w:right w:val="single" w:sz="4" w:space="0" w:color="049CD5" w:themeColor="accent3"/>
          <w:insideH w:val="nil"/>
        </w:tcBorders>
        <w:shd w:val="clear" w:color="auto" w:fill="049CD5" w:themeFill="accent3"/>
      </w:tcPr>
    </w:tblStylePr>
    <w:tblStylePr w:type="lastRow">
      <w:rPr>
        <w:b/>
        <w:bCs/>
      </w:rPr>
      <w:tblPr/>
      <w:tcPr>
        <w:tcBorders>
          <w:top w:val="double" w:sz="4" w:space="0" w:color="52CDFB" w:themeColor="accent3" w:themeTint="99"/>
        </w:tcBorders>
      </w:tcPr>
    </w:tblStylePr>
    <w:tblStylePr w:type="firstCol">
      <w:rPr>
        <w:b/>
        <w:bCs/>
      </w:rPr>
    </w:tblStylePr>
    <w:tblStylePr w:type="lastCol">
      <w:rPr>
        <w:b/>
        <w:bCs/>
      </w:rPr>
    </w:tblStylePr>
    <w:tblStylePr w:type="band1Vert">
      <w:tblPr/>
      <w:tcPr>
        <w:shd w:val="clear" w:color="auto" w:fill="C5EEFE" w:themeFill="accent3" w:themeFillTint="33"/>
      </w:tcPr>
    </w:tblStylePr>
    <w:tblStylePr w:type="band1Horz">
      <w:tblPr/>
      <w:tcPr>
        <w:shd w:val="clear" w:color="auto" w:fill="C5EEFE" w:themeFill="accent3" w:themeFillTint="33"/>
      </w:tcPr>
    </w:tblStylePr>
  </w:style>
  <w:style w:type="table" w:styleId="ListTable4-Accent4">
    <w:name w:val="List Table 4 Accent 4"/>
    <w:basedOn w:val="TableNormal"/>
    <w:uiPriority w:val="49"/>
    <w:rsid w:val="00A37AEB"/>
    <w:pPr>
      <w:spacing w:after="0"/>
    </w:pPr>
    <w:tblPr>
      <w:tblStyleRowBandSize w:val="1"/>
      <w:tblStyleColBandSize w:val="1"/>
      <w:tblBorders>
        <w:top w:val="single" w:sz="4" w:space="0" w:color="9E9DD3" w:themeColor="accent4" w:themeTint="99"/>
        <w:left w:val="single" w:sz="4" w:space="0" w:color="9E9DD3" w:themeColor="accent4" w:themeTint="99"/>
        <w:bottom w:val="single" w:sz="4" w:space="0" w:color="9E9DD3" w:themeColor="accent4" w:themeTint="99"/>
        <w:right w:val="single" w:sz="4" w:space="0" w:color="9E9DD3" w:themeColor="accent4" w:themeTint="99"/>
        <w:insideH w:val="single" w:sz="4" w:space="0" w:color="9E9DD3" w:themeColor="accent4" w:themeTint="99"/>
      </w:tblBorders>
    </w:tblPr>
    <w:tblStylePr w:type="firstRow">
      <w:rPr>
        <w:b/>
        <w:bCs/>
        <w:color w:val="FFFFFF" w:themeColor="background1"/>
      </w:rPr>
      <w:tblPr/>
      <w:tcPr>
        <w:tcBorders>
          <w:top w:val="single" w:sz="4" w:space="0" w:color="5F5CB6" w:themeColor="accent4"/>
          <w:left w:val="single" w:sz="4" w:space="0" w:color="5F5CB6" w:themeColor="accent4"/>
          <w:bottom w:val="single" w:sz="4" w:space="0" w:color="5F5CB6" w:themeColor="accent4"/>
          <w:right w:val="single" w:sz="4" w:space="0" w:color="5F5CB6" w:themeColor="accent4"/>
          <w:insideH w:val="nil"/>
        </w:tcBorders>
        <w:shd w:val="clear" w:color="auto" w:fill="5F5CB6" w:themeFill="accent4"/>
      </w:tcPr>
    </w:tblStylePr>
    <w:tblStylePr w:type="lastRow">
      <w:rPr>
        <w:b/>
        <w:bCs/>
      </w:rPr>
      <w:tblPr/>
      <w:tcPr>
        <w:tcBorders>
          <w:top w:val="double" w:sz="4" w:space="0" w:color="9E9DD3" w:themeColor="accent4" w:themeTint="99"/>
        </w:tcBorders>
      </w:tcPr>
    </w:tblStylePr>
    <w:tblStylePr w:type="firstCol">
      <w:rPr>
        <w:b/>
        <w:bCs/>
      </w:rPr>
    </w:tblStylePr>
    <w:tblStylePr w:type="lastCol">
      <w:rPr>
        <w:b/>
        <w:bCs/>
      </w:rPr>
    </w:tblStylePr>
    <w:tblStylePr w:type="band1Vert">
      <w:tblPr/>
      <w:tcPr>
        <w:shd w:val="clear" w:color="auto" w:fill="DEDEF0" w:themeFill="accent4" w:themeFillTint="33"/>
      </w:tcPr>
    </w:tblStylePr>
    <w:tblStylePr w:type="band1Horz">
      <w:tblPr/>
      <w:tcPr>
        <w:shd w:val="clear" w:color="auto" w:fill="DEDEF0" w:themeFill="accent4" w:themeFillTint="33"/>
      </w:tcPr>
    </w:tblStylePr>
  </w:style>
  <w:style w:type="table" w:styleId="ListTable4-Accent5">
    <w:name w:val="List Table 4 Accent 5"/>
    <w:basedOn w:val="TableNormal"/>
    <w:uiPriority w:val="49"/>
    <w:rsid w:val="00A37AEB"/>
    <w:pPr>
      <w:spacing w:after="0"/>
    </w:pPr>
    <w:tblPr>
      <w:tblStyleRowBandSize w:val="1"/>
      <w:tblStyleColBandSize w:val="1"/>
      <w:tblBorders>
        <w:top w:val="single" w:sz="4" w:space="0" w:color="C0CCD3" w:themeColor="accent5" w:themeTint="99"/>
        <w:left w:val="single" w:sz="4" w:space="0" w:color="C0CCD3" w:themeColor="accent5" w:themeTint="99"/>
        <w:bottom w:val="single" w:sz="4" w:space="0" w:color="C0CCD3" w:themeColor="accent5" w:themeTint="99"/>
        <w:right w:val="single" w:sz="4" w:space="0" w:color="C0CCD3" w:themeColor="accent5" w:themeTint="99"/>
        <w:insideH w:val="single" w:sz="4" w:space="0" w:color="C0CCD3" w:themeColor="accent5" w:themeTint="99"/>
      </w:tblBorders>
    </w:tblPr>
    <w:tblStylePr w:type="firstRow">
      <w:rPr>
        <w:b/>
        <w:bCs/>
        <w:color w:val="FFFFFF" w:themeColor="background1"/>
      </w:rPr>
      <w:tblPr/>
      <w:tcPr>
        <w:tcBorders>
          <w:top w:val="single" w:sz="4" w:space="0" w:color="97ABB6" w:themeColor="accent5"/>
          <w:left w:val="single" w:sz="4" w:space="0" w:color="97ABB6" w:themeColor="accent5"/>
          <w:bottom w:val="single" w:sz="4" w:space="0" w:color="97ABB6" w:themeColor="accent5"/>
          <w:right w:val="single" w:sz="4" w:space="0" w:color="97ABB6" w:themeColor="accent5"/>
          <w:insideH w:val="nil"/>
        </w:tcBorders>
        <w:shd w:val="clear" w:color="auto" w:fill="97ABB6" w:themeFill="accent5"/>
      </w:tcPr>
    </w:tblStylePr>
    <w:tblStylePr w:type="lastRow">
      <w:rPr>
        <w:b/>
        <w:bCs/>
      </w:rPr>
      <w:tblPr/>
      <w:tcPr>
        <w:tcBorders>
          <w:top w:val="double" w:sz="4" w:space="0" w:color="C0CCD3" w:themeColor="accent5" w:themeTint="99"/>
        </w:tcBorders>
      </w:tcPr>
    </w:tblStylePr>
    <w:tblStylePr w:type="firstCol">
      <w:rPr>
        <w:b/>
        <w:bCs/>
      </w:rPr>
    </w:tblStylePr>
    <w:tblStylePr w:type="lastCol">
      <w:rPr>
        <w:b/>
        <w:bCs/>
      </w:rPr>
    </w:tblStylePr>
    <w:tblStylePr w:type="band1Vert">
      <w:tblPr/>
      <w:tcPr>
        <w:shd w:val="clear" w:color="auto" w:fill="EAEEF0" w:themeFill="accent5" w:themeFillTint="33"/>
      </w:tcPr>
    </w:tblStylePr>
    <w:tblStylePr w:type="band1Horz">
      <w:tblPr/>
      <w:tcPr>
        <w:shd w:val="clear" w:color="auto" w:fill="EAEEF0" w:themeFill="accent5" w:themeFillTint="33"/>
      </w:tcPr>
    </w:tblStylePr>
  </w:style>
  <w:style w:type="table" w:styleId="ListTable4-Accent6">
    <w:name w:val="List Table 4 Accent 6"/>
    <w:basedOn w:val="TableNormal"/>
    <w:uiPriority w:val="49"/>
    <w:rsid w:val="00A37AEB"/>
    <w:pPr>
      <w:spacing w:after="0"/>
    </w:pPr>
    <w:tblPr>
      <w:tblStyleRowBandSize w:val="1"/>
      <w:tblStyleColBandSize w:val="1"/>
      <w:tblBorders>
        <w:top w:val="single" w:sz="4" w:space="0" w:color="C0CCD3" w:themeColor="accent6" w:themeTint="99"/>
        <w:left w:val="single" w:sz="4" w:space="0" w:color="C0CCD3" w:themeColor="accent6" w:themeTint="99"/>
        <w:bottom w:val="single" w:sz="4" w:space="0" w:color="C0CCD3" w:themeColor="accent6" w:themeTint="99"/>
        <w:right w:val="single" w:sz="4" w:space="0" w:color="C0CCD3" w:themeColor="accent6" w:themeTint="99"/>
        <w:insideH w:val="single" w:sz="4" w:space="0" w:color="C0CCD3" w:themeColor="accent6" w:themeTint="99"/>
      </w:tblBorders>
    </w:tblPr>
    <w:tblStylePr w:type="firstRow">
      <w:rPr>
        <w:b/>
        <w:bCs/>
        <w:color w:val="FFFFFF" w:themeColor="background1"/>
      </w:rPr>
      <w:tblPr/>
      <w:tcPr>
        <w:tcBorders>
          <w:top w:val="single" w:sz="4" w:space="0" w:color="97ABB6" w:themeColor="accent6"/>
          <w:left w:val="single" w:sz="4" w:space="0" w:color="97ABB6" w:themeColor="accent6"/>
          <w:bottom w:val="single" w:sz="4" w:space="0" w:color="97ABB6" w:themeColor="accent6"/>
          <w:right w:val="single" w:sz="4" w:space="0" w:color="97ABB6" w:themeColor="accent6"/>
          <w:insideH w:val="nil"/>
        </w:tcBorders>
        <w:shd w:val="clear" w:color="auto" w:fill="97ABB6" w:themeFill="accent6"/>
      </w:tcPr>
    </w:tblStylePr>
    <w:tblStylePr w:type="lastRow">
      <w:rPr>
        <w:b/>
        <w:bCs/>
      </w:rPr>
      <w:tblPr/>
      <w:tcPr>
        <w:tcBorders>
          <w:top w:val="double" w:sz="4" w:space="0" w:color="C0CCD3" w:themeColor="accent6" w:themeTint="99"/>
        </w:tcBorders>
      </w:tcPr>
    </w:tblStylePr>
    <w:tblStylePr w:type="firstCol">
      <w:rPr>
        <w:b/>
        <w:bCs/>
      </w:rPr>
    </w:tblStylePr>
    <w:tblStylePr w:type="lastCol">
      <w:rPr>
        <w:b/>
        <w:bCs/>
      </w:rPr>
    </w:tblStylePr>
    <w:tblStylePr w:type="band1Vert">
      <w:tblPr/>
      <w:tcPr>
        <w:shd w:val="clear" w:color="auto" w:fill="EAEEF0" w:themeFill="accent6" w:themeFillTint="33"/>
      </w:tcPr>
    </w:tblStylePr>
    <w:tblStylePr w:type="band1Horz">
      <w:tblPr/>
      <w:tcPr>
        <w:shd w:val="clear" w:color="auto" w:fill="EAEEF0" w:themeFill="accent6" w:themeFillTint="33"/>
      </w:tcPr>
    </w:tblStylePr>
  </w:style>
  <w:style w:type="table" w:styleId="ListTable5Dark">
    <w:name w:val="List Table 5 Dark"/>
    <w:basedOn w:val="TableNormal"/>
    <w:uiPriority w:val="50"/>
    <w:rsid w:val="00A37AEB"/>
    <w:pPr>
      <w:spacing w:after="0"/>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37AEB"/>
    <w:pPr>
      <w:spacing w:after="0"/>
    </w:pPr>
    <w:rPr>
      <w:color w:val="FFFFFF" w:themeColor="background1"/>
    </w:rPr>
    <w:tblPr>
      <w:tblStyleRowBandSize w:val="1"/>
      <w:tblStyleColBandSize w:val="1"/>
      <w:tblBorders>
        <w:top w:val="single" w:sz="24" w:space="0" w:color="97ABB6" w:themeColor="accent1"/>
        <w:left w:val="single" w:sz="24" w:space="0" w:color="97ABB6" w:themeColor="accent1"/>
        <w:bottom w:val="single" w:sz="24" w:space="0" w:color="97ABB6" w:themeColor="accent1"/>
        <w:right w:val="single" w:sz="24" w:space="0" w:color="97ABB6" w:themeColor="accent1"/>
      </w:tblBorders>
    </w:tblPr>
    <w:tcPr>
      <w:shd w:val="clear" w:color="auto" w:fill="97ABB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37AEB"/>
    <w:pPr>
      <w:spacing w:after="0"/>
    </w:pPr>
    <w:rPr>
      <w:color w:val="FFFFFF" w:themeColor="background1"/>
    </w:rPr>
    <w:tblPr>
      <w:tblStyleRowBandSize w:val="1"/>
      <w:tblStyleColBandSize w:val="1"/>
      <w:tblBorders>
        <w:top w:val="single" w:sz="24" w:space="0" w:color="4FAA5F" w:themeColor="accent2"/>
        <w:left w:val="single" w:sz="24" w:space="0" w:color="4FAA5F" w:themeColor="accent2"/>
        <w:bottom w:val="single" w:sz="24" w:space="0" w:color="4FAA5F" w:themeColor="accent2"/>
        <w:right w:val="single" w:sz="24" w:space="0" w:color="4FAA5F" w:themeColor="accent2"/>
      </w:tblBorders>
    </w:tblPr>
    <w:tcPr>
      <w:shd w:val="clear" w:color="auto" w:fill="4FAA5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37AEB"/>
    <w:pPr>
      <w:spacing w:after="0"/>
    </w:pPr>
    <w:rPr>
      <w:color w:val="FFFFFF" w:themeColor="background1"/>
    </w:rPr>
    <w:tblPr>
      <w:tblStyleRowBandSize w:val="1"/>
      <w:tblStyleColBandSize w:val="1"/>
      <w:tblBorders>
        <w:top w:val="single" w:sz="24" w:space="0" w:color="049CD5" w:themeColor="accent3"/>
        <w:left w:val="single" w:sz="24" w:space="0" w:color="049CD5" w:themeColor="accent3"/>
        <w:bottom w:val="single" w:sz="24" w:space="0" w:color="049CD5" w:themeColor="accent3"/>
        <w:right w:val="single" w:sz="24" w:space="0" w:color="049CD5" w:themeColor="accent3"/>
      </w:tblBorders>
    </w:tblPr>
    <w:tcPr>
      <w:shd w:val="clear" w:color="auto" w:fill="049CD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37AEB"/>
    <w:pPr>
      <w:spacing w:after="0"/>
    </w:pPr>
    <w:rPr>
      <w:color w:val="FFFFFF" w:themeColor="background1"/>
    </w:rPr>
    <w:tblPr>
      <w:tblStyleRowBandSize w:val="1"/>
      <w:tblStyleColBandSize w:val="1"/>
      <w:tblBorders>
        <w:top w:val="single" w:sz="24" w:space="0" w:color="5F5CB6" w:themeColor="accent4"/>
        <w:left w:val="single" w:sz="24" w:space="0" w:color="5F5CB6" w:themeColor="accent4"/>
        <w:bottom w:val="single" w:sz="24" w:space="0" w:color="5F5CB6" w:themeColor="accent4"/>
        <w:right w:val="single" w:sz="24" w:space="0" w:color="5F5CB6" w:themeColor="accent4"/>
      </w:tblBorders>
    </w:tblPr>
    <w:tcPr>
      <w:shd w:val="clear" w:color="auto" w:fill="5F5CB6"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37AEB"/>
    <w:pPr>
      <w:spacing w:after="0"/>
    </w:pPr>
    <w:rPr>
      <w:color w:val="FFFFFF" w:themeColor="background1"/>
    </w:rPr>
    <w:tblPr>
      <w:tblStyleRowBandSize w:val="1"/>
      <w:tblStyleColBandSize w:val="1"/>
      <w:tblBorders>
        <w:top w:val="single" w:sz="24" w:space="0" w:color="97ABB6" w:themeColor="accent5"/>
        <w:left w:val="single" w:sz="24" w:space="0" w:color="97ABB6" w:themeColor="accent5"/>
        <w:bottom w:val="single" w:sz="24" w:space="0" w:color="97ABB6" w:themeColor="accent5"/>
        <w:right w:val="single" w:sz="24" w:space="0" w:color="97ABB6" w:themeColor="accent5"/>
      </w:tblBorders>
    </w:tblPr>
    <w:tcPr>
      <w:shd w:val="clear" w:color="auto" w:fill="97ABB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37AEB"/>
    <w:pPr>
      <w:spacing w:after="0"/>
    </w:pPr>
    <w:rPr>
      <w:color w:val="FFFFFF" w:themeColor="background1"/>
    </w:rPr>
    <w:tblPr>
      <w:tblStyleRowBandSize w:val="1"/>
      <w:tblStyleColBandSize w:val="1"/>
      <w:tblBorders>
        <w:top w:val="single" w:sz="24" w:space="0" w:color="97ABB6" w:themeColor="accent6"/>
        <w:left w:val="single" w:sz="24" w:space="0" w:color="97ABB6" w:themeColor="accent6"/>
        <w:bottom w:val="single" w:sz="24" w:space="0" w:color="97ABB6" w:themeColor="accent6"/>
        <w:right w:val="single" w:sz="24" w:space="0" w:color="97ABB6" w:themeColor="accent6"/>
      </w:tblBorders>
    </w:tblPr>
    <w:tcPr>
      <w:shd w:val="clear" w:color="auto" w:fill="97ABB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37AEB"/>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A37AEB"/>
    <w:pPr>
      <w:spacing w:after="0"/>
    </w:pPr>
    <w:rPr>
      <w:color w:val="678292" w:themeColor="accent1" w:themeShade="BF"/>
    </w:rPr>
    <w:tblPr>
      <w:tblStyleRowBandSize w:val="1"/>
      <w:tblStyleColBandSize w:val="1"/>
      <w:tblBorders>
        <w:top w:val="single" w:sz="4" w:space="0" w:color="97ABB6" w:themeColor="accent1"/>
        <w:bottom w:val="single" w:sz="4" w:space="0" w:color="97ABB6" w:themeColor="accent1"/>
      </w:tblBorders>
    </w:tblPr>
    <w:tblStylePr w:type="firstRow">
      <w:rPr>
        <w:b/>
        <w:bCs/>
      </w:rPr>
      <w:tblPr/>
      <w:tcPr>
        <w:tcBorders>
          <w:bottom w:val="single" w:sz="4" w:space="0" w:color="97ABB6" w:themeColor="accent1"/>
        </w:tcBorders>
      </w:tcPr>
    </w:tblStylePr>
    <w:tblStylePr w:type="lastRow">
      <w:rPr>
        <w:b/>
        <w:bCs/>
      </w:rPr>
      <w:tblPr/>
      <w:tcPr>
        <w:tcBorders>
          <w:top w:val="double" w:sz="4" w:space="0" w:color="97ABB6" w:themeColor="accent1"/>
        </w:tcBorders>
      </w:tcPr>
    </w:tblStylePr>
    <w:tblStylePr w:type="firstCol">
      <w:rPr>
        <w:b/>
        <w:bCs/>
      </w:rPr>
    </w:tblStylePr>
    <w:tblStylePr w:type="lastCol">
      <w:rPr>
        <w:b/>
        <w:bCs/>
      </w:rPr>
    </w:tblStylePr>
    <w:tblStylePr w:type="band1Vert">
      <w:tblPr/>
      <w:tcPr>
        <w:shd w:val="clear" w:color="auto" w:fill="EAEEF0" w:themeFill="accent1" w:themeFillTint="33"/>
      </w:tcPr>
    </w:tblStylePr>
    <w:tblStylePr w:type="band1Horz">
      <w:tblPr/>
      <w:tcPr>
        <w:shd w:val="clear" w:color="auto" w:fill="EAEEF0" w:themeFill="accent1" w:themeFillTint="33"/>
      </w:tcPr>
    </w:tblStylePr>
  </w:style>
  <w:style w:type="table" w:styleId="ListTable6Colorful-Accent2">
    <w:name w:val="List Table 6 Colorful Accent 2"/>
    <w:basedOn w:val="TableNormal"/>
    <w:uiPriority w:val="51"/>
    <w:rsid w:val="00A37AEB"/>
    <w:pPr>
      <w:spacing w:after="0"/>
    </w:pPr>
    <w:rPr>
      <w:color w:val="3B7F46" w:themeColor="accent2" w:themeShade="BF"/>
    </w:rPr>
    <w:tblPr>
      <w:tblStyleRowBandSize w:val="1"/>
      <w:tblStyleColBandSize w:val="1"/>
      <w:tblBorders>
        <w:top w:val="single" w:sz="4" w:space="0" w:color="4FAA5F" w:themeColor="accent2"/>
        <w:bottom w:val="single" w:sz="4" w:space="0" w:color="4FAA5F" w:themeColor="accent2"/>
      </w:tblBorders>
    </w:tblPr>
    <w:tblStylePr w:type="firstRow">
      <w:rPr>
        <w:b/>
        <w:bCs/>
      </w:rPr>
      <w:tblPr/>
      <w:tcPr>
        <w:tcBorders>
          <w:bottom w:val="single" w:sz="4" w:space="0" w:color="4FAA5F" w:themeColor="accent2"/>
        </w:tcBorders>
      </w:tcPr>
    </w:tblStylePr>
    <w:tblStylePr w:type="lastRow">
      <w:rPr>
        <w:b/>
        <w:bCs/>
      </w:rPr>
      <w:tblPr/>
      <w:tcPr>
        <w:tcBorders>
          <w:top w:val="double" w:sz="4" w:space="0" w:color="4FAA5F" w:themeColor="accent2"/>
        </w:tcBorders>
      </w:tcPr>
    </w:tblStylePr>
    <w:tblStylePr w:type="firstCol">
      <w:rPr>
        <w:b/>
        <w:bCs/>
      </w:rPr>
    </w:tblStylePr>
    <w:tblStylePr w:type="lastCol">
      <w:rPr>
        <w:b/>
        <w:bCs/>
      </w:rPr>
    </w:tblStylePr>
    <w:tblStylePr w:type="band1Vert">
      <w:tblPr/>
      <w:tcPr>
        <w:shd w:val="clear" w:color="auto" w:fill="DBEEDE" w:themeFill="accent2" w:themeFillTint="33"/>
      </w:tcPr>
    </w:tblStylePr>
    <w:tblStylePr w:type="band1Horz">
      <w:tblPr/>
      <w:tcPr>
        <w:shd w:val="clear" w:color="auto" w:fill="DBEEDE" w:themeFill="accent2" w:themeFillTint="33"/>
      </w:tcPr>
    </w:tblStylePr>
  </w:style>
  <w:style w:type="table" w:styleId="ListTable6Colorful-Accent3">
    <w:name w:val="List Table 6 Colorful Accent 3"/>
    <w:basedOn w:val="TableNormal"/>
    <w:uiPriority w:val="51"/>
    <w:rsid w:val="00A37AEB"/>
    <w:pPr>
      <w:spacing w:after="0"/>
    </w:pPr>
    <w:rPr>
      <w:color w:val="03749F" w:themeColor="accent3" w:themeShade="BF"/>
    </w:rPr>
    <w:tblPr>
      <w:tblStyleRowBandSize w:val="1"/>
      <w:tblStyleColBandSize w:val="1"/>
      <w:tblBorders>
        <w:top w:val="single" w:sz="4" w:space="0" w:color="049CD5" w:themeColor="accent3"/>
        <w:bottom w:val="single" w:sz="4" w:space="0" w:color="049CD5" w:themeColor="accent3"/>
      </w:tblBorders>
    </w:tblPr>
    <w:tblStylePr w:type="firstRow">
      <w:rPr>
        <w:b/>
        <w:bCs/>
      </w:rPr>
      <w:tblPr/>
      <w:tcPr>
        <w:tcBorders>
          <w:bottom w:val="single" w:sz="4" w:space="0" w:color="049CD5" w:themeColor="accent3"/>
        </w:tcBorders>
      </w:tcPr>
    </w:tblStylePr>
    <w:tblStylePr w:type="lastRow">
      <w:rPr>
        <w:b/>
        <w:bCs/>
      </w:rPr>
      <w:tblPr/>
      <w:tcPr>
        <w:tcBorders>
          <w:top w:val="double" w:sz="4" w:space="0" w:color="049CD5" w:themeColor="accent3"/>
        </w:tcBorders>
      </w:tcPr>
    </w:tblStylePr>
    <w:tblStylePr w:type="firstCol">
      <w:rPr>
        <w:b/>
        <w:bCs/>
      </w:rPr>
    </w:tblStylePr>
    <w:tblStylePr w:type="lastCol">
      <w:rPr>
        <w:b/>
        <w:bCs/>
      </w:rPr>
    </w:tblStylePr>
    <w:tblStylePr w:type="band1Vert">
      <w:tblPr/>
      <w:tcPr>
        <w:shd w:val="clear" w:color="auto" w:fill="C5EEFE" w:themeFill="accent3" w:themeFillTint="33"/>
      </w:tcPr>
    </w:tblStylePr>
    <w:tblStylePr w:type="band1Horz">
      <w:tblPr/>
      <w:tcPr>
        <w:shd w:val="clear" w:color="auto" w:fill="C5EEFE" w:themeFill="accent3" w:themeFillTint="33"/>
      </w:tcPr>
    </w:tblStylePr>
  </w:style>
  <w:style w:type="table" w:styleId="ListTable6Colorful-Accent4">
    <w:name w:val="List Table 6 Colorful Accent 4"/>
    <w:basedOn w:val="TableNormal"/>
    <w:uiPriority w:val="51"/>
    <w:rsid w:val="00A37AEB"/>
    <w:pPr>
      <w:spacing w:after="0"/>
    </w:pPr>
    <w:rPr>
      <w:color w:val="413F8D" w:themeColor="accent4" w:themeShade="BF"/>
    </w:rPr>
    <w:tblPr>
      <w:tblStyleRowBandSize w:val="1"/>
      <w:tblStyleColBandSize w:val="1"/>
      <w:tblBorders>
        <w:top w:val="single" w:sz="4" w:space="0" w:color="5F5CB6" w:themeColor="accent4"/>
        <w:bottom w:val="single" w:sz="4" w:space="0" w:color="5F5CB6" w:themeColor="accent4"/>
      </w:tblBorders>
    </w:tblPr>
    <w:tblStylePr w:type="firstRow">
      <w:rPr>
        <w:b/>
        <w:bCs/>
      </w:rPr>
      <w:tblPr/>
      <w:tcPr>
        <w:tcBorders>
          <w:bottom w:val="single" w:sz="4" w:space="0" w:color="5F5CB6" w:themeColor="accent4"/>
        </w:tcBorders>
      </w:tcPr>
    </w:tblStylePr>
    <w:tblStylePr w:type="lastRow">
      <w:rPr>
        <w:b/>
        <w:bCs/>
      </w:rPr>
      <w:tblPr/>
      <w:tcPr>
        <w:tcBorders>
          <w:top w:val="double" w:sz="4" w:space="0" w:color="5F5CB6" w:themeColor="accent4"/>
        </w:tcBorders>
      </w:tcPr>
    </w:tblStylePr>
    <w:tblStylePr w:type="firstCol">
      <w:rPr>
        <w:b/>
        <w:bCs/>
      </w:rPr>
    </w:tblStylePr>
    <w:tblStylePr w:type="lastCol">
      <w:rPr>
        <w:b/>
        <w:bCs/>
      </w:rPr>
    </w:tblStylePr>
    <w:tblStylePr w:type="band1Vert">
      <w:tblPr/>
      <w:tcPr>
        <w:shd w:val="clear" w:color="auto" w:fill="DEDEF0" w:themeFill="accent4" w:themeFillTint="33"/>
      </w:tcPr>
    </w:tblStylePr>
    <w:tblStylePr w:type="band1Horz">
      <w:tblPr/>
      <w:tcPr>
        <w:shd w:val="clear" w:color="auto" w:fill="DEDEF0" w:themeFill="accent4" w:themeFillTint="33"/>
      </w:tcPr>
    </w:tblStylePr>
  </w:style>
  <w:style w:type="table" w:styleId="ListTable6Colorful-Accent5">
    <w:name w:val="List Table 6 Colorful Accent 5"/>
    <w:basedOn w:val="TableNormal"/>
    <w:uiPriority w:val="51"/>
    <w:rsid w:val="00A37AEB"/>
    <w:pPr>
      <w:spacing w:after="0"/>
    </w:pPr>
    <w:rPr>
      <w:color w:val="678292" w:themeColor="accent5" w:themeShade="BF"/>
    </w:rPr>
    <w:tblPr>
      <w:tblStyleRowBandSize w:val="1"/>
      <w:tblStyleColBandSize w:val="1"/>
      <w:tblBorders>
        <w:top w:val="single" w:sz="4" w:space="0" w:color="97ABB6" w:themeColor="accent5"/>
        <w:bottom w:val="single" w:sz="4" w:space="0" w:color="97ABB6" w:themeColor="accent5"/>
      </w:tblBorders>
    </w:tblPr>
    <w:tblStylePr w:type="firstRow">
      <w:rPr>
        <w:b/>
        <w:bCs/>
      </w:rPr>
      <w:tblPr/>
      <w:tcPr>
        <w:tcBorders>
          <w:bottom w:val="single" w:sz="4" w:space="0" w:color="97ABB6" w:themeColor="accent5"/>
        </w:tcBorders>
      </w:tcPr>
    </w:tblStylePr>
    <w:tblStylePr w:type="lastRow">
      <w:rPr>
        <w:b/>
        <w:bCs/>
      </w:rPr>
      <w:tblPr/>
      <w:tcPr>
        <w:tcBorders>
          <w:top w:val="double" w:sz="4" w:space="0" w:color="97ABB6" w:themeColor="accent5"/>
        </w:tcBorders>
      </w:tcPr>
    </w:tblStylePr>
    <w:tblStylePr w:type="firstCol">
      <w:rPr>
        <w:b/>
        <w:bCs/>
      </w:rPr>
    </w:tblStylePr>
    <w:tblStylePr w:type="lastCol">
      <w:rPr>
        <w:b/>
        <w:bCs/>
      </w:rPr>
    </w:tblStylePr>
    <w:tblStylePr w:type="band1Vert">
      <w:tblPr/>
      <w:tcPr>
        <w:shd w:val="clear" w:color="auto" w:fill="EAEEF0" w:themeFill="accent5" w:themeFillTint="33"/>
      </w:tcPr>
    </w:tblStylePr>
    <w:tblStylePr w:type="band1Horz">
      <w:tblPr/>
      <w:tcPr>
        <w:shd w:val="clear" w:color="auto" w:fill="EAEEF0" w:themeFill="accent5" w:themeFillTint="33"/>
      </w:tcPr>
    </w:tblStylePr>
  </w:style>
  <w:style w:type="table" w:styleId="ListTable6Colorful-Accent6">
    <w:name w:val="List Table 6 Colorful Accent 6"/>
    <w:basedOn w:val="TableNormal"/>
    <w:uiPriority w:val="51"/>
    <w:rsid w:val="00A37AEB"/>
    <w:pPr>
      <w:spacing w:after="0"/>
    </w:pPr>
    <w:rPr>
      <w:color w:val="678292" w:themeColor="accent6" w:themeShade="BF"/>
    </w:rPr>
    <w:tblPr>
      <w:tblStyleRowBandSize w:val="1"/>
      <w:tblStyleColBandSize w:val="1"/>
      <w:tblBorders>
        <w:top w:val="single" w:sz="4" w:space="0" w:color="97ABB6" w:themeColor="accent6"/>
        <w:bottom w:val="single" w:sz="4" w:space="0" w:color="97ABB6" w:themeColor="accent6"/>
      </w:tblBorders>
    </w:tblPr>
    <w:tblStylePr w:type="firstRow">
      <w:rPr>
        <w:b/>
        <w:bCs/>
      </w:rPr>
      <w:tblPr/>
      <w:tcPr>
        <w:tcBorders>
          <w:bottom w:val="single" w:sz="4" w:space="0" w:color="97ABB6" w:themeColor="accent6"/>
        </w:tcBorders>
      </w:tcPr>
    </w:tblStylePr>
    <w:tblStylePr w:type="lastRow">
      <w:rPr>
        <w:b/>
        <w:bCs/>
      </w:rPr>
      <w:tblPr/>
      <w:tcPr>
        <w:tcBorders>
          <w:top w:val="double" w:sz="4" w:space="0" w:color="97ABB6" w:themeColor="accent6"/>
        </w:tcBorders>
      </w:tcPr>
    </w:tblStylePr>
    <w:tblStylePr w:type="firstCol">
      <w:rPr>
        <w:b/>
        <w:bCs/>
      </w:rPr>
    </w:tblStylePr>
    <w:tblStylePr w:type="lastCol">
      <w:rPr>
        <w:b/>
        <w:bCs/>
      </w:rPr>
    </w:tblStylePr>
    <w:tblStylePr w:type="band1Vert">
      <w:tblPr/>
      <w:tcPr>
        <w:shd w:val="clear" w:color="auto" w:fill="EAEEF0" w:themeFill="accent6" w:themeFillTint="33"/>
      </w:tcPr>
    </w:tblStylePr>
    <w:tblStylePr w:type="band1Horz">
      <w:tblPr/>
      <w:tcPr>
        <w:shd w:val="clear" w:color="auto" w:fill="EAEEF0" w:themeFill="accent6" w:themeFillTint="33"/>
      </w:tcPr>
    </w:tblStylePr>
  </w:style>
  <w:style w:type="table" w:styleId="ListTable7Colorful">
    <w:name w:val="List Table 7 Colorful"/>
    <w:basedOn w:val="TableNormal"/>
    <w:uiPriority w:val="52"/>
    <w:rsid w:val="00A37AEB"/>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37AEB"/>
    <w:pPr>
      <w:spacing w:after="0"/>
    </w:pPr>
    <w:rPr>
      <w:color w:val="67829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7ABB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7ABB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7ABB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7ABB6" w:themeColor="accent1"/>
        </w:tcBorders>
        <w:shd w:val="clear" w:color="auto" w:fill="FFFFFF" w:themeFill="background1"/>
      </w:tcPr>
    </w:tblStylePr>
    <w:tblStylePr w:type="band1Vert">
      <w:tblPr/>
      <w:tcPr>
        <w:shd w:val="clear" w:color="auto" w:fill="EAEEF0" w:themeFill="accent1" w:themeFillTint="33"/>
      </w:tcPr>
    </w:tblStylePr>
    <w:tblStylePr w:type="band1Horz">
      <w:tblPr/>
      <w:tcPr>
        <w:shd w:val="clear" w:color="auto" w:fill="EAEEF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37AEB"/>
    <w:pPr>
      <w:spacing w:after="0"/>
    </w:pPr>
    <w:rPr>
      <w:color w:val="3B7F46"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AA5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AA5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AA5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AA5F" w:themeColor="accent2"/>
        </w:tcBorders>
        <w:shd w:val="clear" w:color="auto" w:fill="FFFFFF" w:themeFill="background1"/>
      </w:tcPr>
    </w:tblStylePr>
    <w:tblStylePr w:type="band1Vert">
      <w:tblPr/>
      <w:tcPr>
        <w:shd w:val="clear" w:color="auto" w:fill="DBEEDE" w:themeFill="accent2" w:themeFillTint="33"/>
      </w:tcPr>
    </w:tblStylePr>
    <w:tblStylePr w:type="band1Horz">
      <w:tblPr/>
      <w:tcPr>
        <w:shd w:val="clear" w:color="auto" w:fill="DBEED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37AEB"/>
    <w:pPr>
      <w:spacing w:after="0"/>
    </w:pPr>
    <w:rPr>
      <w:color w:val="03749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49CD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49CD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49CD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49CD5" w:themeColor="accent3"/>
        </w:tcBorders>
        <w:shd w:val="clear" w:color="auto" w:fill="FFFFFF" w:themeFill="background1"/>
      </w:tcPr>
    </w:tblStylePr>
    <w:tblStylePr w:type="band1Vert">
      <w:tblPr/>
      <w:tcPr>
        <w:shd w:val="clear" w:color="auto" w:fill="C5EEFE" w:themeFill="accent3" w:themeFillTint="33"/>
      </w:tcPr>
    </w:tblStylePr>
    <w:tblStylePr w:type="band1Horz">
      <w:tblPr/>
      <w:tcPr>
        <w:shd w:val="clear" w:color="auto" w:fill="C5EEFE"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37AEB"/>
    <w:pPr>
      <w:spacing w:after="0"/>
    </w:pPr>
    <w:rPr>
      <w:color w:val="413F8D"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F5CB6"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F5CB6"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F5CB6"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F5CB6" w:themeColor="accent4"/>
        </w:tcBorders>
        <w:shd w:val="clear" w:color="auto" w:fill="FFFFFF" w:themeFill="background1"/>
      </w:tcPr>
    </w:tblStylePr>
    <w:tblStylePr w:type="band1Vert">
      <w:tblPr/>
      <w:tcPr>
        <w:shd w:val="clear" w:color="auto" w:fill="DEDEF0" w:themeFill="accent4" w:themeFillTint="33"/>
      </w:tcPr>
    </w:tblStylePr>
    <w:tblStylePr w:type="band1Horz">
      <w:tblPr/>
      <w:tcPr>
        <w:shd w:val="clear" w:color="auto" w:fill="DEDEF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37AEB"/>
    <w:pPr>
      <w:spacing w:after="0"/>
    </w:pPr>
    <w:rPr>
      <w:color w:val="678292"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7ABB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7ABB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7ABB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7ABB6" w:themeColor="accent5"/>
        </w:tcBorders>
        <w:shd w:val="clear" w:color="auto" w:fill="FFFFFF" w:themeFill="background1"/>
      </w:tcPr>
    </w:tblStylePr>
    <w:tblStylePr w:type="band1Vert">
      <w:tblPr/>
      <w:tcPr>
        <w:shd w:val="clear" w:color="auto" w:fill="EAEEF0" w:themeFill="accent5" w:themeFillTint="33"/>
      </w:tcPr>
    </w:tblStylePr>
    <w:tblStylePr w:type="band1Horz">
      <w:tblPr/>
      <w:tcPr>
        <w:shd w:val="clear" w:color="auto" w:fill="EAEEF0"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37AEB"/>
    <w:pPr>
      <w:spacing w:after="0"/>
    </w:pPr>
    <w:rPr>
      <w:color w:val="67829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7ABB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7ABB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7ABB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7ABB6" w:themeColor="accent6"/>
        </w:tcBorders>
        <w:shd w:val="clear" w:color="auto" w:fill="FFFFFF" w:themeFill="background1"/>
      </w:tcPr>
    </w:tblStylePr>
    <w:tblStylePr w:type="band1Vert">
      <w:tblPr/>
      <w:tcPr>
        <w:shd w:val="clear" w:color="auto" w:fill="EAEEF0" w:themeFill="accent6" w:themeFillTint="33"/>
      </w:tcPr>
    </w:tblStylePr>
    <w:tblStylePr w:type="band1Horz">
      <w:tblPr/>
      <w:tcPr>
        <w:shd w:val="clear" w:color="auto" w:fill="EAEE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semiHidden/>
    <w:unhideWhenUsed/>
    <w:rsid w:val="00A37AE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MacroTextChar">
    <w:name w:val="Macro Text Char"/>
    <w:basedOn w:val="DefaultParagraphFont"/>
    <w:link w:val="MacroText"/>
    <w:semiHidden/>
    <w:rsid w:val="00A37AEB"/>
    <w:rPr>
      <w:rFonts w:ascii="Consolas" w:hAnsi="Consolas"/>
    </w:rPr>
  </w:style>
  <w:style w:type="table" w:styleId="MediumGrid1">
    <w:name w:val="Medium Grid 1"/>
    <w:basedOn w:val="TableNormal"/>
    <w:uiPriority w:val="67"/>
    <w:semiHidden/>
    <w:unhideWhenUsed/>
    <w:rsid w:val="00A37AEB"/>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37AEB"/>
    <w:pPr>
      <w:spacing w:after="0"/>
    </w:pPr>
    <w:tblPr>
      <w:tblStyleRowBandSize w:val="1"/>
      <w:tblStyleColBandSize w:val="1"/>
      <w:tblBorders>
        <w:top w:val="single" w:sz="8" w:space="0" w:color="B1C0C8" w:themeColor="accent1" w:themeTint="BF"/>
        <w:left w:val="single" w:sz="8" w:space="0" w:color="B1C0C8" w:themeColor="accent1" w:themeTint="BF"/>
        <w:bottom w:val="single" w:sz="8" w:space="0" w:color="B1C0C8" w:themeColor="accent1" w:themeTint="BF"/>
        <w:right w:val="single" w:sz="8" w:space="0" w:color="B1C0C8" w:themeColor="accent1" w:themeTint="BF"/>
        <w:insideH w:val="single" w:sz="8" w:space="0" w:color="B1C0C8" w:themeColor="accent1" w:themeTint="BF"/>
        <w:insideV w:val="single" w:sz="8" w:space="0" w:color="B1C0C8" w:themeColor="accent1" w:themeTint="BF"/>
      </w:tblBorders>
    </w:tblPr>
    <w:tcPr>
      <w:shd w:val="clear" w:color="auto" w:fill="E5EAED" w:themeFill="accent1" w:themeFillTint="3F"/>
    </w:tcPr>
    <w:tblStylePr w:type="firstRow">
      <w:rPr>
        <w:b/>
        <w:bCs/>
      </w:rPr>
    </w:tblStylePr>
    <w:tblStylePr w:type="lastRow">
      <w:rPr>
        <w:b/>
        <w:bCs/>
      </w:rPr>
      <w:tblPr/>
      <w:tcPr>
        <w:tcBorders>
          <w:top w:val="single" w:sz="18" w:space="0" w:color="B1C0C8" w:themeColor="accent1" w:themeTint="BF"/>
        </w:tcBorders>
      </w:tcPr>
    </w:tblStylePr>
    <w:tblStylePr w:type="firstCol">
      <w:rPr>
        <w:b/>
        <w:bCs/>
      </w:rPr>
    </w:tblStylePr>
    <w:tblStylePr w:type="lastCol">
      <w:rPr>
        <w:b/>
        <w:bCs/>
      </w:rPr>
    </w:tblStylePr>
    <w:tblStylePr w:type="band1Vert">
      <w:tblPr/>
      <w:tcPr>
        <w:shd w:val="clear" w:color="auto" w:fill="CBD5DA" w:themeFill="accent1" w:themeFillTint="7F"/>
      </w:tcPr>
    </w:tblStylePr>
    <w:tblStylePr w:type="band1Horz">
      <w:tblPr/>
      <w:tcPr>
        <w:shd w:val="clear" w:color="auto" w:fill="CBD5DA" w:themeFill="accent1" w:themeFillTint="7F"/>
      </w:tcPr>
    </w:tblStylePr>
  </w:style>
  <w:style w:type="table" w:styleId="MediumGrid1-Accent2">
    <w:name w:val="Medium Grid 1 Accent 2"/>
    <w:basedOn w:val="TableNormal"/>
    <w:uiPriority w:val="67"/>
    <w:semiHidden/>
    <w:unhideWhenUsed/>
    <w:rsid w:val="00A37AEB"/>
    <w:pPr>
      <w:spacing w:after="0"/>
    </w:pPr>
    <w:tblPr>
      <w:tblStyleRowBandSize w:val="1"/>
      <w:tblStyleColBandSize w:val="1"/>
      <w:tblBorders>
        <w:top w:val="single" w:sz="8" w:space="0" w:color="79C185" w:themeColor="accent2" w:themeTint="BF"/>
        <w:left w:val="single" w:sz="8" w:space="0" w:color="79C185" w:themeColor="accent2" w:themeTint="BF"/>
        <w:bottom w:val="single" w:sz="8" w:space="0" w:color="79C185" w:themeColor="accent2" w:themeTint="BF"/>
        <w:right w:val="single" w:sz="8" w:space="0" w:color="79C185" w:themeColor="accent2" w:themeTint="BF"/>
        <w:insideH w:val="single" w:sz="8" w:space="0" w:color="79C185" w:themeColor="accent2" w:themeTint="BF"/>
        <w:insideV w:val="single" w:sz="8" w:space="0" w:color="79C185" w:themeColor="accent2" w:themeTint="BF"/>
      </w:tblBorders>
    </w:tblPr>
    <w:tcPr>
      <w:shd w:val="clear" w:color="auto" w:fill="D2EAD6" w:themeFill="accent2" w:themeFillTint="3F"/>
    </w:tcPr>
    <w:tblStylePr w:type="firstRow">
      <w:rPr>
        <w:b/>
        <w:bCs/>
      </w:rPr>
    </w:tblStylePr>
    <w:tblStylePr w:type="lastRow">
      <w:rPr>
        <w:b/>
        <w:bCs/>
      </w:rPr>
      <w:tblPr/>
      <w:tcPr>
        <w:tcBorders>
          <w:top w:val="single" w:sz="18" w:space="0" w:color="79C185" w:themeColor="accent2" w:themeTint="BF"/>
        </w:tcBorders>
      </w:tcPr>
    </w:tblStylePr>
    <w:tblStylePr w:type="firstCol">
      <w:rPr>
        <w:b/>
        <w:bCs/>
      </w:rPr>
    </w:tblStylePr>
    <w:tblStylePr w:type="lastCol">
      <w:rPr>
        <w:b/>
        <w:bCs/>
      </w:rPr>
    </w:tblStylePr>
    <w:tblStylePr w:type="band1Vert">
      <w:tblPr/>
      <w:tcPr>
        <w:shd w:val="clear" w:color="auto" w:fill="A6D5AE" w:themeFill="accent2" w:themeFillTint="7F"/>
      </w:tcPr>
    </w:tblStylePr>
    <w:tblStylePr w:type="band1Horz">
      <w:tblPr/>
      <w:tcPr>
        <w:shd w:val="clear" w:color="auto" w:fill="A6D5AE" w:themeFill="accent2" w:themeFillTint="7F"/>
      </w:tcPr>
    </w:tblStylePr>
  </w:style>
  <w:style w:type="table" w:styleId="MediumGrid1-Accent3">
    <w:name w:val="Medium Grid 1 Accent 3"/>
    <w:basedOn w:val="TableNormal"/>
    <w:uiPriority w:val="67"/>
    <w:semiHidden/>
    <w:unhideWhenUsed/>
    <w:rsid w:val="00A37AEB"/>
    <w:pPr>
      <w:spacing w:after="0"/>
    </w:pPr>
    <w:tblPr>
      <w:tblStyleRowBandSize w:val="1"/>
      <w:tblStyleColBandSize w:val="1"/>
      <w:tblBorders>
        <w:top w:val="single" w:sz="8" w:space="0" w:color="27C0FB" w:themeColor="accent3" w:themeTint="BF"/>
        <w:left w:val="single" w:sz="8" w:space="0" w:color="27C0FB" w:themeColor="accent3" w:themeTint="BF"/>
        <w:bottom w:val="single" w:sz="8" w:space="0" w:color="27C0FB" w:themeColor="accent3" w:themeTint="BF"/>
        <w:right w:val="single" w:sz="8" w:space="0" w:color="27C0FB" w:themeColor="accent3" w:themeTint="BF"/>
        <w:insideH w:val="single" w:sz="8" w:space="0" w:color="27C0FB" w:themeColor="accent3" w:themeTint="BF"/>
        <w:insideV w:val="single" w:sz="8" w:space="0" w:color="27C0FB" w:themeColor="accent3" w:themeTint="BF"/>
      </w:tblBorders>
    </w:tblPr>
    <w:tcPr>
      <w:shd w:val="clear" w:color="auto" w:fill="B7EAFD" w:themeFill="accent3" w:themeFillTint="3F"/>
    </w:tcPr>
    <w:tblStylePr w:type="firstRow">
      <w:rPr>
        <w:b/>
        <w:bCs/>
      </w:rPr>
    </w:tblStylePr>
    <w:tblStylePr w:type="lastRow">
      <w:rPr>
        <w:b/>
        <w:bCs/>
      </w:rPr>
      <w:tblPr/>
      <w:tcPr>
        <w:tcBorders>
          <w:top w:val="single" w:sz="18" w:space="0" w:color="27C0FB" w:themeColor="accent3" w:themeTint="BF"/>
        </w:tcBorders>
      </w:tcPr>
    </w:tblStylePr>
    <w:tblStylePr w:type="firstCol">
      <w:rPr>
        <w:b/>
        <w:bCs/>
      </w:rPr>
    </w:tblStylePr>
    <w:tblStylePr w:type="lastCol">
      <w:rPr>
        <w:b/>
        <w:bCs/>
      </w:rPr>
    </w:tblStylePr>
    <w:tblStylePr w:type="band1Vert">
      <w:tblPr/>
      <w:tcPr>
        <w:shd w:val="clear" w:color="auto" w:fill="6FD5FC" w:themeFill="accent3" w:themeFillTint="7F"/>
      </w:tcPr>
    </w:tblStylePr>
    <w:tblStylePr w:type="band1Horz">
      <w:tblPr/>
      <w:tcPr>
        <w:shd w:val="clear" w:color="auto" w:fill="6FD5FC" w:themeFill="accent3" w:themeFillTint="7F"/>
      </w:tcPr>
    </w:tblStylePr>
  </w:style>
  <w:style w:type="table" w:styleId="MediumGrid1-Accent4">
    <w:name w:val="Medium Grid 1 Accent 4"/>
    <w:basedOn w:val="TableNormal"/>
    <w:uiPriority w:val="67"/>
    <w:semiHidden/>
    <w:unhideWhenUsed/>
    <w:rsid w:val="00A37AEB"/>
    <w:pPr>
      <w:spacing w:after="0"/>
    </w:pPr>
    <w:tblPr>
      <w:tblStyleRowBandSize w:val="1"/>
      <w:tblStyleColBandSize w:val="1"/>
      <w:tblBorders>
        <w:top w:val="single" w:sz="8" w:space="0" w:color="8684C8" w:themeColor="accent4" w:themeTint="BF"/>
        <w:left w:val="single" w:sz="8" w:space="0" w:color="8684C8" w:themeColor="accent4" w:themeTint="BF"/>
        <w:bottom w:val="single" w:sz="8" w:space="0" w:color="8684C8" w:themeColor="accent4" w:themeTint="BF"/>
        <w:right w:val="single" w:sz="8" w:space="0" w:color="8684C8" w:themeColor="accent4" w:themeTint="BF"/>
        <w:insideH w:val="single" w:sz="8" w:space="0" w:color="8684C8" w:themeColor="accent4" w:themeTint="BF"/>
        <w:insideV w:val="single" w:sz="8" w:space="0" w:color="8684C8" w:themeColor="accent4" w:themeTint="BF"/>
      </w:tblBorders>
    </w:tblPr>
    <w:tcPr>
      <w:shd w:val="clear" w:color="auto" w:fill="D7D6ED" w:themeFill="accent4" w:themeFillTint="3F"/>
    </w:tcPr>
    <w:tblStylePr w:type="firstRow">
      <w:rPr>
        <w:b/>
        <w:bCs/>
      </w:rPr>
    </w:tblStylePr>
    <w:tblStylePr w:type="lastRow">
      <w:rPr>
        <w:b/>
        <w:bCs/>
      </w:rPr>
      <w:tblPr/>
      <w:tcPr>
        <w:tcBorders>
          <w:top w:val="single" w:sz="18" w:space="0" w:color="8684C8" w:themeColor="accent4" w:themeTint="BF"/>
        </w:tcBorders>
      </w:tcPr>
    </w:tblStylePr>
    <w:tblStylePr w:type="firstCol">
      <w:rPr>
        <w:b/>
        <w:bCs/>
      </w:rPr>
    </w:tblStylePr>
    <w:tblStylePr w:type="lastCol">
      <w:rPr>
        <w:b/>
        <w:bCs/>
      </w:rPr>
    </w:tblStylePr>
    <w:tblStylePr w:type="band1Vert">
      <w:tblPr/>
      <w:tcPr>
        <w:shd w:val="clear" w:color="auto" w:fill="AFADDA" w:themeFill="accent4" w:themeFillTint="7F"/>
      </w:tcPr>
    </w:tblStylePr>
    <w:tblStylePr w:type="band1Horz">
      <w:tblPr/>
      <w:tcPr>
        <w:shd w:val="clear" w:color="auto" w:fill="AFADDA" w:themeFill="accent4" w:themeFillTint="7F"/>
      </w:tcPr>
    </w:tblStylePr>
  </w:style>
  <w:style w:type="table" w:styleId="MediumGrid1-Accent5">
    <w:name w:val="Medium Grid 1 Accent 5"/>
    <w:basedOn w:val="TableNormal"/>
    <w:uiPriority w:val="67"/>
    <w:semiHidden/>
    <w:unhideWhenUsed/>
    <w:rsid w:val="00A37AEB"/>
    <w:pPr>
      <w:spacing w:after="0"/>
    </w:pPr>
    <w:tblPr>
      <w:tblStyleRowBandSize w:val="1"/>
      <w:tblStyleColBandSize w:val="1"/>
      <w:tblBorders>
        <w:top w:val="single" w:sz="8" w:space="0" w:color="B1C0C8" w:themeColor="accent5" w:themeTint="BF"/>
        <w:left w:val="single" w:sz="8" w:space="0" w:color="B1C0C8" w:themeColor="accent5" w:themeTint="BF"/>
        <w:bottom w:val="single" w:sz="8" w:space="0" w:color="B1C0C8" w:themeColor="accent5" w:themeTint="BF"/>
        <w:right w:val="single" w:sz="8" w:space="0" w:color="B1C0C8" w:themeColor="accent5" w:themeTint="BF"/>
        <w:insideH w:val="single" w:sz="8" w:space="0" w:color="B1C0C8" w:themeColor="accent5" w:themeTint="BF"/>
        <w:insideV w:val="single" w:sz="8" w:space="0" w:color="B1C0C8" w:themeColor="accent5" w:themeTint="BF"/>
      </w:tblBorders>
    </w:tblPr>
    <w:tcPr>
      <w:shd w:val="clear" w:color="auto" w:fill="E5EAED" w:themeFill="accent5" w:themeFillTint="3F"/>
    </w:tcPr>
    <w:tblStylePr w:type="firstRow">
      <w:rPr>
        <w:b/>
        <w:bCs/>
      </w:rPr>
    </w:tblStylePr>
    <w:tblStylePr w:type="lastRow">
      <w:rPr>
        <w:b/>
        <w:bCs/>
      </w:rPr>
      <w:tblPr/>
      <w:tcPr>
        <w:tcBorders>
          <w:top w:val="single" w:sz="18" w:space="0" w:color="B1C0C8" w:themeColor="accent5" w:themeTint="BF"/>
        </w:tcBorders>
      </w:tcPr>
    </w:tblStylePr>
    <w:tblStylePr w:type="firstCol">
      <w:rPr>
        <w:b/>
        <w:bCs/>
      </w:rPr>
    </w:tblStylePr>
    <w:tblStylePr w:type="lastCol">
      <w:rPr>
        <w:b/>
        <w:bCs/>
      </w:rPr>
    </w:tblStylePr>
    <w:tblStylePr w:type="band1Vert">
      <w:tblPr/>
      <w:tcPr>
        <w:shd w:val="clear" w:color="auto" w:fill="CBD5DA" w:themeFill="accent5" w:themeFillTint="7F"/>
      </w:tcPr>
    </w:tblStylePr>
    <w:tblStylePr w:type="band1Horz">
      <w:tblPr/>
      <w:tcPr>
        <w:shd w:val="clear" w:color="auto" w:fill="CBD5DA" w:themeFill="accent5" w:themeFillTint="7F"/>
      </w:tcPr>
    </w:tblStylePr>
  </w:style>
  <w:style w:type="table" w:styleId="MediumGrid1-Accent6">
    <w:name w:val="Medium Grid 1 Accent 6"/>
    <w:basedOn w:val="TableNormal"/>
    <w:uiPriority w:val="67"/>
    <w:semiHidden/>
    <w:unhideWhenUsed/>
    <w:rsid w:val="00A37AEB"/>
    <w:pPr>
      <w:spacing w:after="0"/>
    </w:pPr>
    <w:tblPr>
      <w:tblStyleRowBandSize w:val="1"/>
      <w:tblStyleColBandSize w:val="1"/>
      <w:tblBorders>
        <w:top w:val="single" w:sz="8" w:space="0" w:color="B1C0C8" w:themeColor="accent6" w:themeTint="BF"/>
        <w:left w:val="single" w:sz="8" w:space="0" w:color="B1C0C8" w:themeColor="accent6" w:themeTint="BF"/>
        <w:bottom w:val="single" w:sz="8" w:space="0" w:color="B1C0C8" w:themeColor="accent6" w:themeTint="BF"/>
        <w:right w:val="single" w:sz="8" w:space="0" w:color="B1C0C8" w:themeColor="accent6" w:themeTint="BF"/>
        <w:insideH w:val="single" w:sz="8" w:space="0" w:color="B1C0C8" w:themeColor="accent6" w:themeTint="BF"/>
        <w:insideV w:val="single" w:sz="8" w:space="0" w:color="B1C0C8" w:themeColor="accent6" w:themeTint="BF"/>
      </w:tblBorders>
    </w:tblPr>
    <w:tcPr>
      <w:shd w:val="clear" w:color="auto" w:fill="E5EAED" w:themeFill="accent6" w:themeFillTint="3F"/>
    </w:tcPr>
    <w:tblStylePr w:type="firstRow">
      <w:rPr>
        <w:b/>
        <w:bCs/>
      </w:rPr>
    </w:tblStylePr>
    <w:tblStylePr w:type="lastRow">
      <w:rPr>
        <w:b/>
        <w:bCs/>
      </w:rPr>
      <w:tblPr/>
      <w:tcPr>
        <w:tcBorders>
          <w:top w:val="single" w:sz="18" w:space="0" w:color="B1C0C8" w:themeColor="accent6" w:themeTint="BF"/>
        </w:tcBorders>
      </w:tcPr>
    </w:tblStylePr>
    <w:tblStylePr w:type="firstCol">
      <w:rPr>
        <w:b/>
        <w:bCs/>
      </w:rPr>
    </w:tblStylePr>
    <w:tblStylePr w:type="lastCol">
      <w:rPr>
        <w:b/>
        <w:bCs/>
      </w:rPr>
    </w:tblStylePr>
    <w:tblStylePr w:type="band1Vert">
      <w:tblPr/>
      <w:tcPr>
        <w:shd w:val="clear" w:color="auto" w:fill="CBD5DA" w:themeFill="accent6" w:themeFillTint="7F"/>
      </w:tcPr>
    </w:tblStylePr>
    <w:tblStylePr w:type="band1Horz">
      <w:tblPr/>
      <w:tcPr>
        <w:shd w:val="clear" w:color="auto" w:fill="CBD5DA" w:themeFill="accent6" w:themeFillTint="7F"/>
      </w:tcPr>
    </w:tblStylePr>
  </w:style>
  <w:style w:type="table" w:styleId="MediumGrid2">
    <w:name w:val="Medium Grid 2"/>
    <w:basedOn w:val="TableNormal"/>
    <w:uiPriority w:val="68"/>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7ABB6" w:themeColor="accent1"/>
        <w:left w:val="single" w:sz="8" w:space="0" w:color="97ABB6" w:themeColor="accent1"/>
        <w:bottom w:val="single" w:sz="8" w:space="0" w:color="97ABB6" w:themeColor="accent1"/>
        <w:right w:val="single" w:sz="8" w:space="0" w:color="97ABB6" w:themeColor="accent1"/>
        <w:insideH w:val="single" w:sz="8" w:space="0" w:color="97ABB6" w:themeColor="accent1"/>
        <w:insideV w:val="single" w:sz="8" w:space="0" w:color="97ABB6" w:themeColor="accent1"/>
      </w:tblBorders>
    </w:tblPr>
    <w:tcPr>
      <w:shd w:val="clear" w:color="auto" w:fill="E5EAED" w:themeFill="accent1" w:themeFillTint="3F"/>
    </w:tcPr>
    <w:tblStylePr w:type="firstRow">
      <w:rPr>
        <w:b/>
        <w:bCs/>
        <w:color w:val="000000" w:themeColor="text1"/>
      </w:rPr>
      <w:tblPr/>
      <w:tcPr>
        <w:shd w:val="clear" w:color="auto" w:fill="F4F6F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EF0" w:themeFill="accent1" w:themeFillTint="33"/>
      </w:tcPr>
    </w:tblStylePr>
    <w:tblStylePr w:type="band1Vert">
      <w:tblPr/>
      <w:tcPr>
        <w:shd w:val="clear" w:color="auto" w:fill="CBD5DA" w:themeFill="accent1" w:themeFillTint="7F"/>
      </w:tcPr>
    </w:tblStylePr>
    <w:tblStylePr w:type="band1Horz">
      <w:tblPr/>
      <w:tcPr>
        <w:tcBorders>
          <w:insideH w:val="single" w:sz="6" w:space="0" w:color="97ABB6" w:themeColor="accent1"/>
          <w:insideV w:val="single" w:sz="6" w:space="0" w:color="97ABB6" w:themeColor="accent1"/>
        </w:tcBorders>
        <w:shd w:val="clear" w:color="auto" w:fill="CBD5D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FAA5F" w:themeColor="accent2"/>
        <w:left w:val="single" w:sz="8" w:space="0" w:color="4FAA5F" w:themeColor="accent2"/>
        <w:bottom w:val="single" w:sz="8" w:space="0" w:color="4FAA5F" w:themeColor="accent2"/>
        <w:right w:val="single" w:sz="8" w:space="0" w:color="4FAA5F" w:themeColor="accent2"/>
        <w:insideH w:val="single" w:sz="8" w:space="0" w:color="4FAA5F" w:themeColor="accent2"/>
        <w:insideV w:val="single" w:sz="8" w:space="0" w:color="4FAA5F" w:themeColor="accent2"/>
      </w:tblBorders>
    </w:tblPr>
    <w:tcPr>
      <w:shd w:val="clear" w:color="auto" w:fill="D2EAD6" w:themeFill="accent2" w:themeFillTint="3F"/>
    </w:tcPr>
    <w:tblStylePr w:type="firstRow">
      <w:rPr>
        <w:b/>
        <w:bCs/>
        <w:color w:val="000000" w:themeColor="text1"/>
      </w:rPr>
      <w:tblPr/>
      <w:tcPr>
        <w:shd w:val="clear" w:color="auto" w:fill="EDF7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EDE" w:themeFill="accent2" w:themeFillTint="33"/>
      </w:tcPr>
    </w:tblStylePr>
    <w:tblStylePr w:type="band1Vert">
      <w:tblPr/>
      <w:tcPr>
        <w:shd w:val="clear" w:color="auto" w:fill="A6D5AE" w:themeFill="accent2" w:themeFillTint="7F"/>
      </w:tcPr>
    </w:tblStylePr>
    <w:tblStylePr w:type="band1Horz">
      <w:tblPr/>
      <w:tcPr>
        <w:tcBorders>
          <w:insideH w:val="single" w:sz="6" w:space="0" w:color="4FAA5F" w:themeColor="accent2"/>
          <w:insideV w:val="single" w:sz="6" w:space="0" w:color="4FAA5F" w:themeColor="accent2"/>
        </w:tcBorders>
        <w:shd w:val="clear" w:color="auto" w:fill="A6D5AE"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49CD5" w:themeColor="accent3"/>
        <w:left w:val="single" w:sz="8" w:space="0" w:color="049CD5" w:themeColor="accent3"/>
        <w:bottom w:val="single" w:sz="8" w:space="0" w:color="049CD5" w:themeColor="accent3"/>
        <w:right w:val="single" w:sz="8" w:space="0" w:color="049CD5" w:themeColor="accent3"/>
        <w:insideH w:val="single" w:sz="8" w:space="0" w:color="049CD5" w:themeColor="accent3"/>
        <w:insideV w:val="single" w:sz="8" w:space="0" w:color="049CD5" w:themeColor="accent3"/>
      </w:tblBorders>
    </w:tblPr>
    <w:tcPr>
      <w:shd w:val="clear" w:color="auto" w:fill="B7EAFD" w:themeFill="accent3" w:themeFillTint="3F"/>
    </w:tcPr>
    <w:tblStylePr w:type="firstRow">
      <w:rPr>
        <w:b/>
        <w:bCs/>
        <w:color w:val="000000" w:themeColor="text1"/>
      </w:rPr>
      <w:tblPr/>
      <w:tcPr>
        <w:shd w:val="clear" w:color="auto" w:fill="E2F6F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5EEFE" w:themeFill="accent3" w:themeFillTint="33"/>
      </w:tcPr>
    </w:tblStylePr>
    <w:tblStylePr w:type="band1Vert">
      <w:tblPr/>
      <w:tcPr>
        <w:shd w:val="clear" w:color="auto" w:fill="6FD5FC" w:themeFill="accent3" w:themeFillTint="7F"/>
      </w:tcPr>
    </w:tblStylePr>
    <w:tblStylePr w:type="band1Horz">
      <w:tblPr/>
      <w:tcPr>
        <w:tcBorders>
          <w:insideH w:val="single" w:sz="6" w:space="0" w:color="049CD5" w:themeColor="accent3"/>
          <w:insideV w:val="single" w:sz="6" w:space="0" w:color="049CD5" w:themeColor="accent3"/>
        </w:tcBorders>
        <w:shd w:val="clear" w:color="auto" w:fill="6FD5F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5F5CB6" w:themeColor="accent4"/>
        <w:left w:val="single" w:sz="8" w:space="0" w:color="5F5CB6" w:themeColor="accent4"/>
        <w:bottom w:val="single" w:sz="8" w:space="0" w:color="5F5CB6" w:themeColor="accent4"/>
        <w:right w:val="single" w:sz="8" w:space="0" w:color="5F5CB6" w:themeColor="accent4"/>
        <w:insideH w:val="single" w:sz="8" w:space="0" w:color="5F5CB6" w:themeColor="accent4"/>
        <w:insideV w:val="single" w:sz="8" w:space="0" w:color="5F5CB6" w:themeColor="accent4"/>
      </w:tblBorders>
    </w:tblPr>
    <w:tcPr>
      <w:shd w:val="clear" w:color="auto" w:fill="D7D6ED" w:themeFill="accent4" w:themeFillTint="3F"/>
    </w:tcPr>
    <w:tblStylePr w:type="firstRow">
      <w:rPr>
        <w:b/>
        <w:bCs/>
        <w:color w:val="000000" w:themeColor="text1"/>
      </w:rPr>
      <w:tblPr/>
      <w:tcPr>
        <w:shd w:val="clear" w:color="auto" w:fill="EFEE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DEF0" w:themeFill="accent4" w:themeFillTint="33"/>
      </w:tcPr>
    </w:tblStylePr>
    <w:tblStylePr w:type="band1Vert">
      <w:tblPr/>
      <w:tcPr>
        <w:shd w:val="clear" w:color="auto" w:fill="AFADDA" w:themeFill="accent4" w:themeFillTint="7F"/>
      </w:tcPr>
    </w:tblStylePr>
    <w:tblStylePr w:type="band1Horz">
      <w:tblPr/>
      <w:tcPr>
        <w:tcBorders>
          <w:insideH w:val="single" w:sz="6" w:space="0" w:color="5F5CB6" w:themeColor="accent4"/>
          <w:insideV w:val="single" w:sz="6" w:space="0" w:color="5F5CB6" w:themeColor="accent4"/>
        </w:tcBorders>
        <w:shd w:val="clear" w:color="auto" w:fill="AFADDA"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7ABB6" w:themeColor="accent5"/>
        <w:left w:val="single" w:sz="8" w:space="0" w:color="97ABB6" w:themeColor="accent5"/>
        <w:bottom w:val="single" w:sz="8" w:space="0" w:color="97ABB6" w:themeColor="accent5"/>
        <w:right w:val="single" w:sz="8" w:space="0" w:color="97ABB6" w:themeColor="accent5"/>
        <w:insideH w:val="single" w:sz="8" w:space="0" w:color="97ABB6" w:themeColor="accent5"/>
        <w:insideV w:val="single" w:sz="8" w:space="0" w:color="97ABB6" w:themeColor="accent5"/>
      </w:tblBorders>
    </w:tblPr>
    <w:tcPr>
      <w:shd w:val="clear" w:color="auto" w:fill="E5EAED" w:themeFill="accent5" w:themeFillTint="3F"/>
    </w:tcPr>
    <w:tblStylePr w:type="firstRow">
      <w:rPr>
        <w:b/>
        <w:bCs/>
        <w:color w:val="000000" w:themeColor="text1"/>
      </w:rPr>
      <w:tblPr/>
      <w:tcPr>
        <w:shd w:val="clear" w:color="auto" w:fill="F4F6F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EF0" w:themeFill="accent5" w:themeFillTint="33"/>
      </w:tcPr>
    </w:tblStylePr>
    <w:tblStylePr w:type="band1Vert">
      <w:tblPr/>
      <w:tcPr>
        <w:shd w:val="clear" w:color="auto" w:fill="CBD5DA" w:themeFill="accent5" w:themeFillTint="7F"/>
      </w:tcPr>
    </w:tblStylePr>
    <w:tblStylePr w:type="band1Horz">
      <w:tblPr/>
      <w:tcPr>
        <w:tcBorders>
          <w:insideH w:val="single" w:sz="6" w:space="0" w:color="97ABB6" w:themeColor="accent5"/>
          <w:insideV w:val="single" w:sz="6" w:space="0" w:color="97ABB6" w:themeColor="accent5"/>
        </w:tcBorders>
        <w:shd w:val="clear" w:color="auto" w:fill="CBD5D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7ABB6" w:themeColor="accent6"/>
        <w:left w:val="single" w:sz="8" w:space="0" w:color="97ABB6" w:themeColor="accent6"/>
        <w:bottom w:val="single" w:sz="8" w:space="0" w:color="97ABB6" w:themeColor="accent6"/>
        <w:right w:val="single" w:sz="8" w:space="0" w:color="97ABB6" w:themeColor="accent6"/>
        <w:insideH w:val="single" w:sz="8" w:space="0" w:color="97ABB6" w:themeColor="accent6"/>
        <w:insideV w:val="single" w:sz="8" w:space="0" w:color="97ABB6" w:themeColor="accent6"/>
      </w:tblBorders>
    </w:tblPr>
    <w:tcPr>
      <w:shd w:val="clear" w:color="auto" w:fill="E5EAED" w:themeFill="accent6" w:themeFillTint="3F"/>
    </w:tcPr>
    <w:tblStylePr w:type="firstRow">
      <w:rPr>
        <w:b/>
        <w:bCs/>
        <w:color w:val="000000" w:themeColor="text1"/>
      </w:rPr>
      <w:tblPr/>
      <w:tcPr>
        <w:shd w:val="clear" w:color="auto" w:fill="F4F6F7"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EF0" w:themeFill="accent6" w:themeFillTint="33"/>
      </w:tcPr>
    </w:tblStylePr>
    <w:tblStylePr w:type="band1Vert">
      <w:tblPr/>
      <w:tcPr>
        <w:shd w:val="clear" w:color="auto" w:fill="CBD5DA" w:themeFill="accent6" w:themeFillTint="7F"/>
      </w:tcPr>
    </w:tblStylePr>
    <w:tblStylePr w:type="band1Horz">
      <w:tblPr/>
      <w:tcPr>
        <w:tcBorders>
          <w:insideH w:val="single" w:sz="6" w:space="0" w:color="97ABB6" w:themeColor="accent6"/>
          <w:insideV w:val="single" w:sz="6" w:space="0" w:color="97ABB6" w:themeColor="accent6"/>
        </w:tcBorders>
        <w:shd w:val="clear" w:color="auto" w:fill="CBD5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37AEB"/>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37AEB"/>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AE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ABB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ABB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ABB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ABB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BD5D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BD5DA" w:themeFill="accent1" w:themeFillTint="7F"/>
      </w:tcPr>
    </w:tblStylePr>
  </w:style>
  <w:style w:type="table" w:styleId="MediumGrid3-Accent2">
    <w:name w:val="Medium Grid 3 Accent 2"/>
    <w:basedOn w:val="TableNormal"/>
    <w:uiPriority w:val="69"/>
    <w:semiHidden/>
    <w:unhideWhenUsed/>
    <w:rsid w:val="00A37AEB"/>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D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AA5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AA5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AA5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AA5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D5A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D5AE" w:themeFill="accent2" w:themeFillTint="7F"/>
      </w:tcPr>
    </w:tblStylePr>
  </w:style>
  <w:style w:type="table" w:styleId="MediumGrid3-Accent3">
    <w:name w:val="Medium Grid 3 Accent 3"/>
    <w:basedOn w:val="TableNormal"/>
    <w:uiPriority w:val="69"/>
    <w:semiHidden/>
    <w:unhideWhenUsed/>
    <w:rsid w:val="00A37AEB"/>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7EAF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49CD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49CD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49CD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49CD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FD5F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FD5FC" w:themeFill="accent3" w:themeFillTint="7F"/>
      </w:tcPr>
    </w:tblStylePr>
  </w:style>
  <w:style w:type="table" w:styleId="MediumGrid3-Accent4">
    <w:name w:val="Medium Grid 3 Accent 4"/>
    <w:basedOn w:val="TableNormal"/>
    <w:uiPriority w:val="69"/>
    <w:semiHidden/>
    <w:unhideWhenUsed/>
    <w:rsid w:val="00A37AEB"/>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7D6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F5CB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F5CB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F5CB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F5CB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FADDA"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FADDA" w:themeFill="accent4" w:themeFillTint="7F"/>
      </w:tcPr>
    </w:tblStylePr>
  </w:style>
  <w:style w:type="table" w:styleId="MediumGrid3-Accent5">
    <w:name w:val="Medium Grid 3 Accent 5"/>
    <w:basedOn w:val="TableNormal"/>
    <w:uiPriority w:val="69"/>
    <w:semiHidden/>
    <w:unhideWhenUsed/>
    <w:rsid w:val="00A37AEB"/>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AE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ABB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ABB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ABB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ABB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BD5D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BD5DA" w:themeFill="accent5" w:themeFillTint="7F"/>
      </w:tcPr>
    </w:tblStylePr>
  </w:style>
  <w:style w:type="table" w:styleId="MediumGrid3-Accent6">
    <w:name w:val="Medium Grid 3 Accent 6"/>
    <w:basedOn w:val="TableNormal"/>
    <w:uiPriority w:val="69"/>
    <w:semiHidden/>
    <w:unhideWhenUsed/>
    <w:rsid w:val="00A37AEB"/>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AE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ABB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ABB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ABB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ABB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BD5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BD5DA" w:themeFill="accent6" w:themeFillTint="7F"/>
      </w:tcPr>
    </w:tblStylePr>
  </w:style>
  <w:style w:type="table" w:styleId="MediumList1">
    <w:name w:val="Medium List 1"/>
    <w:basedOn w:val="TableNormal"/>
    <w:uiPriority w:val="65"/>
    <w:semiHidden/>
    <w:unhideWhenUsed/>
    <w:rsid w:val="00A37AEB"/>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37AEB"/>
    <w:pPr>
      <w:spacing w:after="0"/>
    </w:pPr>
    <w:rPr>
      <w:color w:val="000000" w:themeColor="text1"/>
    </w:rPr>
    <w:tblPr>
      <w:tblStyleRowBandSize w:val="1"/>
      <w:tblStyleColBandSize w:val="1"/>
      <w:tblBorders>
        <w:top w:val="single" w:sz="8" w:space="0" w:color="97ABB6" w:themeColor="accent1"/>
        <w:bottom w:val="single" w:sz="8" w:space="0" w:color="97ABB6" w:themeColor="accent1"/>
      </w:tblBorders>
    </w:tblPr>
    <w:tblStylePr w:type="firstRow">
      <w:rPr>
        <w:rFonts w:asciiTheme="majorHAnsi" w:eastAsiaTheme="majorEastAsia" w:hAnsiTheme="majorHAnsi" w:cstheme="majorBidi"/>
      </w:rPr>
      <w:tblPr/>
      <w:tcPr>
        <w:tcBorders>
          <w:top w:val="nil"/>
          <w:bottom w:val="single" w:sz="8" w:space="0" w:color="97ABB6" w:themeColor="accent1"/>
        </w:tcBorders>
      </w:tcPr>
    </w:tblStylePr>
    <w:tblStylePr w:type="lastRow">
      <w:rPr>
        <w:b/>
        <w:bCs/>
        <w:color w:val="1F497D" w:themeColor="text2"/>
      </w:rPr>
      <w:tblPr/>
      <w:tcPr>
        <w:tcBorders>
          <w:top w:val="single" w:sz="8" w:space="0" w:color="97ABB6" w:themeColor="accent1"/>
          <w:bottom w:val="single" w:sz="8" w:space="0" w:color="97ABB6" w:themeColor="accent1"/>
        </w:tcBorders>
      </w:tcPr>
    </w:tblStylePr>
    <w:tblStylePr w:type="firstCol">
      <w:rPr>
        <w:b/>
        <w:bCs/>
      </w:rPr>
    </w:tblStylePr>
    <w:tblStylePr w:type="lastCol">
      <w:rPr>
        <w:b/>
        <w:bCs/>
      </w:rPr>
      <w:tblPr/>
      <w:tcPr>
        <w:tcBorders>
          <w:top w:val="single" w:sz="8" w:space="0" w:color="97ABB6" w:themeColor="accent1"/>
          <w:bottom w:val="single" w:sz="8" w:space="0" w:color="97ABB6" w:themeColor="accent1"/>
        </w:tcBorders>
      </w:tcPr>
    </w:tblStylePr>
    <w:tblStylePr w:type="band1Vert">
      <w:tblPr/>
      <w:tcPr>
        <w:shd w:val="clear" w:color="auto" w:fill="E5EAED" w:themeFill="accent1" w:themeFillTint="3F"/>
      </w:tcPr>
    </w:tblStylePr>
    <w:tblStylePr w:type="band1Horz">
      <w:tblPr/>
      <w:tcPr>
        <w:shd w:val="clear" w:color="auto" w:fill="E5EAED" w:themeFill="accent1" w:themeFillTint="3F"/>
      </w:tcPr>
    </w:tblStylePr>
  </w:style>
  <w:style w:type="table" w:styleId="MediumList1-Accent2">
    <w:name w:val="Medium List 1 Accent 2"/>
    <w:basedOn w:val="TableNormal"/>
    <w:uiPriority w:val="65"/>
    <w:semiHidden/>
    <w:unhideWhenUsed/>
    <w:rsid w:val="00A37AEB"/>
    <w:pPr>
      <w:spacing w:after="0"/>
    </w:pPr>
    <w:rPr>
      <w:color w:val="000000" w:themeColor="text1"/>
    </w:rPr>
    <w:tblPr>
      <w:tblStyleRowBandSize w:val="1"/>
      <w:tblStyleColBandSize w:val="1"/>
      <w:tblBorders>
        <w:top w:val="single" w:sz="8" w:space="0" w:color="4FAA5F" w:themeColor="accent2"/>
        <w:bottom w:val="single" w:sz="8" w:space="0" w:color="4FAA5F" w:themeColor="accent2"/>
      </w:tblBorders>
    </w:tblPr>
    <w:tblStylePr w:type="firstRow">
      <w:rPr>
        <w:rFonts w:asciiTheme="majorHAnsi" w:eastAsiaTheme="majorEastAsia" w:hAnsiTheme="majorHAnsi" w:cstheme="majorBidi"/>
      </w:rPr>
      <w:tblPr/>
      <w:tcPr>
        <w:tcBorders>
          <w:top w:val="nil"/>
          <w:bottom w:val="single" w:sz="8" w:space="0" w:color="4FAA5F" w:themeColor="accent2"/>
        </w:tcBorders>
      </w:tcPr>
    </w:tblStylePr>
    <w:tblStylePr w:type="lastRow">
      <w:rPr>
        <w:b/>
        <w:bCs/>
        <w:color w:val="1F497D" w:themeColor="text2"/>
      </w:rPr>
      <w:tblPr/>
      <w:tcPr>
        <w:tcBorders>
          <w:top w:val="single" w:sz="8" w:space="0" w:color="4FAA5F" w:themeColor="accent2"/>
          <w:bottom w:val="single" w:sz="8" w:space="0" w:color="4FAA5F" w:themeColor="accent2"/>
        </w:tcBorders>
      </w:tcPr>
    </w:tblStylePr>
    <w:tblStylePr w:type="firstCol">
      <w:rPr>
        <w:b/>
        <w:bCs/>
      </w:rPr>
    </w:tblStylePr>
    <w:tblStylePr w:type="lastCol">
      <w:rPr>
        <w:b/>
        <w:bCs/>
      </w:rPr>
      <w:tblPr/>
      <w:tcPr>
        <w:tcBorders>
          <w:top w:val="single" w:sz="8" w:space="0" w:color="4FAA5F" w:themeColor="accent2"/>
          <w:bottom w:val="single" w:sz="8" w:space="0" w:color="4FAA5F" w:themeColor="accent2"/>
        </w:tcBorders>
      </w:tcPr>
    </w:tblStylePr>
    <w:tblStylePr w:type="band1Vert">
      <w:tblPr/>
      <w:tcPr>
        <w:shd w:val="clear" w:color="auto" w:fill="D2EAD6" w:themeFill="accent2" w:themeFillTint="3F"/>
      </w:tcPr>
    </w:tblStylePr>
    <w:tblStylePr w:type="band1Horz">
      <w:tblPr/>
      <w:tcPr>
        <w:shd w:val="clear" w:color="auto" w:fill="D2EAD6" w:themeFill="accent2" w:themeFillTint="3F"/>
      </w:tcPr>
    </w:tblStylePr>
  </w:style>
  <w:style w:type="table" w:styleId="MediumList1-Accent3">
    <w:name w:val="Medium List 1 Accent 3"/>
    <w:basedOn w:val="TableNormal"/>
    <w:uiPriority w:val="65"/>
    <w:semiHidden/>
    <w:unhideWhenUsed/>
    <w:rsid w:val="00A37AEB"/>
    <w:pPr>
      <w:spacing w:after="0"/>
    </w:pPr>
    <w:rPr>
      <w:color w:val="000000" w:themeColor="text1"/>
    </w:rPr>
    <w:tblPr>
      <w:tblStyleRowBandSize w:val="1"/>
      <w:tblStyleColBandSize w:val="1"/>
      <w:tblBorders>
        <w:top w:val="single" w:sz="8" w:space="0" w:color="049CD5" w:themeColor="accent3"/>
        <w:bottom w:val="single" w:sz="8" w:space="0" w:color="049CD5" w:themeColor="accent3"/>
      </w:tblBorders>
    </w:tblPr>
    <w:tblStylePr w:type="firstRow">
      <w:rPr>
        <w:rFonts w:asciiTheme="majorHAnsi" w:eastAsiaTheme="majorEastAsia" w:hAnsiTheme="majorHAnsi" w:cstheme="majorBidi"/>
      </w:rPr>
      <w:tblPr/>
      <w:tcPr>
        <w:tcBorders>
          <w:top w:val="nil"/>
          <w:bottom w:val="single" w:sz="8" w:space="0" w:color="049CD5" w:themeColor="accent3"/>
        </w:tcBorders>
      </w:tcPr>
    </w:tblStylePr>
    <w:tblStylePr w:type="lastRow">
      <w:rPr>
        <w:b/>
        <w:bCs/>
        <w:color w:val="1F497D" w:themeColor="text2"/>
      </w:rPr>
      <w:tblPr/>
      <w:tcPr>
        <w:tcBorders>
          <w:top w:val="single" w:sz="8" w:space="0" w:color="049CD5" w:themeColor="accent3"/>
          <w:bottom w:val="single" w:sz="8" w:space="0" w:color="049CD5" w:themeColor="accent3"/>
        </w:tcBorders>
      </w:tcPr>
    </w:tblStylePr>
    <w:tblStylePr w:type="firstCol">
      <w:rPr>
        <w:b/>
        <w:bCs/>
      </w:rPr>
    </w:tblStylePr>
    <w:tblStylePr w:type="lastCol">
      <w:rPr>
        <w:b/>
        <w:bCs/>
      </w:rPr>
      <w:tblPr/>
      <w:tcPr>
        <w:tcBorders>
          <w:top w:val="single" w:sz="8" w:space="0" w:color="049CD5" w:themeColor="accent3"/>
          <w:bottom w:val="single" w:sz="8" w:space="0" w:color="049CD5" w:themeColor="accent3"/>
        </w:tcBorders>
      </w:tcPr>
    </w:tblStylePr>
    <w:tblStylePr w:type="band1Vert">
      <w:tblPr/>
      <w:tcPr>
        <w:shd w:val="clear" w:color="auto" w:fill="B7EAFD" w:themeFill="accent3" w:themeFillTint="3F"/>
      </w:tcPr>
    </w:tblStylePr>
    <w:tblStylePr w:type="band1Horz">
      <w:tblPr/>
      <w:tcPr>
        <w:shd w:val="clear" w:color="auto" w:fill="B7EAFD" w:themeFill="accent3" w:themeFillTint="3F"/>
      </w:tcPr>
    </w:tblStylePr>
  </w:style>
  <w:style w:type="table" w:styleId="MediumList1-Accent4">
    <w:name w:val="Medium List 1 Accent 4"/>
    <w:basedOn w:val="TableNormal"/>
    <w:uiPriority w:val="65"/>
    <w:semiHidden/>
    <w:unhideWhenUsed/>
    <w:rsid w:val="00A37AEB"/>
    <w:pPr>
      <w:spacing w:after="0"/>
    </w:pPr>
    <w:rPr>
      <w:color w:val="000000" w:themeColor="text1"/>
    </w:rPr>
    <w:tblPr>
      <w:tblStyleRowBandSize w:val="1"/>
      <w:tblStyleColBandSize w:val="1"/>
      <w:tblBorders>
        <w:top w:val="single" w:sz="8" w:space="0" w:color="5F5CB6" w:themeColor="accent4"/>
        <w:bottom w:val="single" w:sz="8" w:space="0" w:color="5F5CB6" w:themeColor="accent4"/>
      </w:tblBorders>
    </w:tblPr>
    <w:tblStylePr w:type="firstRow">
      <w:rPr>
        <w:rFonts w:asciiTheme="majorHAnsi" w:eastAsiaTheme="majorEastAsia" w:hAnsiTheme="majorHAnsi" w:cstheme="majorBidi"/>
      </w:rPr>
      <w:tblPr/>
      <w:tcPr>
        <w:tcBorders>
          <w:top w:val="nil"/>
          <w:bottom w:val="single" w:sz="8" w:space="0" w:color="5F5CB6" w:themeColor="accent4"/>
        </w:tcBorders>
      </w:tcPr>
    </w:tblStylePr>
    <w:tblStylePr w:type="lastRow">
      <w:rPr>
        <w:b/>
        <w:bCs/>
        <w:color w:val="1F497D" w:themeColor="text2"/>
      </w:rPr>
      <w:tblPr/>
      <w:tcPr>
        <w:tcBorders>
          <w:top w:val="single" w:sz="8" w:space="0" w:color="5F5CB6" w:themeColor="accent4"/>
          <w:bottom w:val="single" w:sz="8" w:space="0" w:color="5F5CB6" w:themeColor="accent4"/>
        </w:tcBorders>
      </w:tcPr>
    </w:tblStylePr>
    <w:tblStylePr w:type="firstCol">
      <w:rPr>
        <w:b/>
        <w:bCs/>
      </w:rPr>
    </w:tblStylePr>
    <w:tblStylePr w:type="lastCol">
      <w:rPr>
        <w:b/>
        <w:bCs/>
      </w:rPr>
      <w:tblPr/>
      <w:tcPr>
        <w:tcBorders>
          <w:top w:val="single" w:sz="8" w:space="0" w:color="5F5CB6" w:themeColor="accent4"/>
          <w:bottom w:val="single" w:sz="8" w:space="0" w:color="5F5CB6" w:themeColor="accent4"/>
        </w:tcBorders>
      </w:tcPr>
    </w:tblStylePr>
    <w:tblStylePr w:type="band1Vert">
      <w:tblPr/>
      <w:tcPr>
        <w:shd w:val="clear" w:color="auto" w:fill="D7D6ED" w:themeFill="accent4" w:themeFillTint="3F"/>
      </w:tcPr>
    </w:tblStylePr>
    <w:tblStylePr w:type="band1Horz">
      <w:tblPr/>
      <w:tcPr>
        <w:shd w:val="clear" w:color="auto" w:fill="D7D6ED" w:themeFill="accent4" w:themeFillTint="3F"/>
      </w:tcPr>
    </w:tblStylePr>
  </w:style>
  <w:style w:type="table" w:styleId="MediumList1-Accent5">
    <w:name w:val="Medium List 1 Accent 5"/>
    <w:basedOn w:val="TableNormal"/>
    <w:uiPriority w:val="65"/>
    <w:semiHidden/>
    <w:unhideWhenUsed/>
    <w:rsid w:val="00A37AEB"/>
    <w:pPr>
      <w:spacing w:after="0"/>
    </w:pPr>
    <w:rPr>
      <w:color w:val="000000" w:themeColor="text1"/>
    </w:rPr>
    <w:tblPr>
      <w:tblStyleRowBandSize w:val="1"/>
      <w:tblStyleColBandSize w:val="1"/>
      <w:tblBorders>
        <w:top w:val="single" w:sz="8" w:space="0" w:color="97ABB6" w:themeColor="accent5"/>
        <w:bottom w:val="single" w:sz="8" w:space="0" w:color="97ABB6" w:themeColor="accent5"/>
      </w:tblBorders>
    </w:tblPr>
    <w:tblStylePr w:type="firstRow">
      <w:rPr>
        <w:rFonts w:asciiTheme="majorHAnsi" w:eastAsiaTheme="majorEastAsia" w:hAnsiTheme="majorHAnsi" w:cstheme="majorBidi"/>
      </w:rPr>
      <w:tblPr/>
      <w:tcPr>
        <w:tcBorders>
          <w:top w:val="nil"/>
          <w:bottom w:val="single" w:sz="8" w:space="0" w:color="97ABB6" w:themeColor="accent5"/>
        </w:tcBorders>
      </w:tcPr>
    </w:tblStylePr>
    <w:tblStylePr w:type="lastRow">
      <w:rPr>
        <w:b/>
        <w:bCs/>
        <w:color w:val="1F497D" w:themeColor="text2"/>
      </w:rPr>
      <w:tblPr/>
      <w:tcPr>
        <w:tcBorders>
          <w:top w:val="single" w:sz="8" w:space="0" w:color="97ABB6" w:themeColor="accent5"/>
          <w:bottom w:val="single" w:sz="8" w:space="0" w:color="97ABB6" w:themeColor="accent5"/>
        </w:tcBorders>
      </w:tcPr>
    </w:tblStylePr>
    <w:tblStylePr w:type="firstCol">
      <w:rPr>
        <w:b/>
        <w:bCs/>
      </w:rPr>
    </w:tblStylePr>
    <w:tblStylePr w:type="lastCol">
      <w:rPr>
        <w:b/>
        <w:bCs/>
      </w:rPr>
      <w:tblPr/>
      <w:tcPr>
        <w:tcBorders>
          <w:top w:val="single" w:sz="8" w:space="0" w:color="97ABB6" w:themeColor="accent5"/>
          <w:bottom w:val="single" w:sz="8" w:space="0" w:color="97ABB6" w:themeColor="accent5"/>
        </w:tcBorders>
      </w:tcPr>
    </w:tblStylePr>
    <w:tblStylePr w:type="band1Vert">
      <w:tblPr/>
      <w:tcPr>
        <w:shd w:val="clear" w:color="auto" w:fill="E5EAED" w:themeFill="accent5" w:themeFillTint="3F"/>
      </w:tcPr>
    </w:tblStylePr>
    <w:tblStylePr w:type="band1Horz">
      <w:tblPr/>
      <w:tcPr>
        <w:shd w:val="clear" w:color="auto" w:fill="E5EAED" w:themeFill="accent5" w:themeFillTint="3F"/>
      </w:tcPr>
    </w:tblStylePr>
  </w:style>
  <w:style w:type="table" w:styleId="MediumList1-Accent6">
    <w:name w:val="Medium List 1 Accent 6"/>
    <w:basedOn w:val="TableNormal"/>
    <w:uiPriority w:val="65"/>
    <w:semiHidden/>
    <w:unhideWhenUsed/>
    <w:rsid w:val="00A37AEB"/>
    <w:pPr>
      <w:spacing w:after="0"/>
    </w:pPr>
    <w:rPr>
      <w:color w:val="000000" w:themeColor="text1"/>
    </w:rPr>
    <w:tblPr>
      <w:tblStyleRowBandSize w:val="1"/>
      <w:tblStyleColBandSize w:val="1"/>
      <w:tblBorders>
        <w:top w:val="single" w:sz="8" w:space="0" w:color="97ABB6" w:themeColor="accent6"/>
        <w:bottom w:val="single" w:sz="8" w:space="0" w:color="97ABB6" w:themeColor="accent6"/>
      </w:tblBorders>
    </w:tblPr>
    <w:tblStylePr w:type="firstRow">
      <w:rPr>
        <w:rFonts w:asciiTheme="majorHAnsi" w:eastAsiaTheme="majorEastAsia" w:hAnsiTheme="majorHAnsi" w:cstheme="majorBidi"/>
      </w:rPr>
      <w:tblPr/>
      <w:tcPr>
        <w:tcBorders>
          <w:top w:val="nil"/>
          <w:bottom w:val="single" w:sz="8" w:space="0" w:color="97ABB6" w:themeColor="accent6"/>
        </w:tcBorders>
      </w:tcPr>
    </w:tblStylePr>
    <w:tblStylePr w:type="lastRow">
      <w:rPr>
        <w:b/>
        <w:bCs/>
        <w:color w:val="1F497D" w:themeColor="text2"/>
      </w:rPr>
      <w:tblPr/>
      <w:tcPr>
        <w:tcBorders>
          <w:top w:val="single" w:sz="8" w:space="0" w:color="97ABB6" w:themeColor="accent6"/>
          <w:bottom w:val="single" w:sz="8" w:space="0" w:color="97ABB6" w:themeColor="accent6"/>
        </w:tcBorders>
      </w:tcPr>
    </w:tblStylePr>
    <w:tblStylePr w:type="firstCol">
      <w:rPr>
        <w:b/>
        <w:bCs/>
      </w:rPr>
    </w:tblStylePr>
    <w:tblStylePr w:type="lastCol">
      <w:rPr>
        <w:b/>
        <w:bCs/>
      </w:rPr>
      <w:tblPr/>
      <w:tcPr>
        <w:tcBorders>
          <w:top w:val="single" w:sz="8" w:space="0" w:color="97ABB6" w:themeColor="accent6"/>
          <w:bottom w:val="single" w:sz="8" w:space="0" w:color="97ABB6" w:themeColor="accent6"/>
        </w:tcBorders>
      </w:tcPr>
    </w:tblStylePr>
    <w:tblStylePr w:type="band1Vert">
      <w:tblPr/>
      <w:tcPr>
        <w:shd w:val="clear" w:color="auto" w:fill="E5EAED" w:themeFill="accent6" w:themeFillTint="3F"/>
      </w:tcPr>
    </w:tblStylePr>
    <w:tblStylePr w:type="band1Horz">
      <w:tblPr/>
      <w:tcPr>
        <w:shd w:val="clear" w:color="auto" w:fill="E5EAED" w:themeFill="accent6" w:themeFillTint="3F"/>
      </w:tcPr>
    </w:tblStylePr>
  </w:style>
  <w:style w:type="table" w:styleId="MediumList2">
    <w:name w:val="Medium List 2"/>
    <w:basedOn w:val="TableNormal"/>
    <w:uiPriority w:val="66"/>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7ABB6" w:themeColor="accent1"/>
        <w:left w:val="single" w:sz="8" w:space="0" w:color="97ABB6" w:themeColor="accent1"/>
        <w:bottom w:val="single" w:sz="8" w:space="0" w:color="97ABB6" w:themeColor="accent1"/>
        <w:right w:val="single" w:sz="8" w:space="0" w:color="97ABB6" w:themeColor="accent1"/>
      </w:tblBorders>
    </w:tblPr>
    <w:tblStylePr w:type="firstRow">
      <w:rPr>
        <w:sz w:val="24"/>
        <w:szCs w:val="24"/>
      </w:rPr>
      <w:tblPr/>
      <w:tcPr>
        <w:tcBorders>
          <w:top w:val="nil"/>
          <w:left w:val="nil"/>
          <w:bottom w:val="single" w:sz="24" w:space="0" w:color="97ABB6"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7ABB6" w:themeColor="accent1"/>
          <w:insideH w:val="nil"/>
          <w:insideV w:val="nil"/>
        </w:tcBorders>
        <w:shd w:val="clear" w:color="auto" w:fill="FFFFFF" w:themeFill="background1"/>
      </w:tcPr>
    </w:tblStylePr>
    <w:tblStylePr w:type="lastCol">
      <w:tblPr/>
      <w:tcPr>
        <w:tcBorders>
          <w:top w:val="nil"/>
          <w:left w:val="single" w:sz="8" w:space="0" w:color="97ABB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AED" w:themeFill="accent1" w:themeFillTint="3F"/>
      </w:tcPr>
    </w:tblStylePr>
    <w:tblStylePr w:type="band1Horz">
      <w:tblPr/>
      <w:tcPr>
        <w:tcBorders>
          <w:top w:val="nil"/>
          <w:bottom w:val="nil"/>
          <w:insideH w:val="nil"/>
          <w:insideV w:val="nil"/>
        </w:tcBorders>
        <w:shd w:val="clear" w:color="auto" w:fill="E5EAE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FAA5F" w:themeColor="accent2"/>
        <w:left w:val="single" w:sz="8" w:space="0" w:color="4FAA5F" w:themeColor="accent2"/>
        <w:bottom w:val="single" w:sz="8" w:space="0" w:color="4FAA5F" w:themeColor="accent2"/>
        <w:right w:val="single" w:sz="8" w:space="0" w:color="4FAA5F" w:themeColor="accent2"/>
      </w:tblBorders>
    </w:tblPr>
    <w:tblStylePr w:type="firstRow">
      <w:rPr>
        <w:sz w:val="24"/>
        <w:szCs w:val="24"/>
      </w:rPr>
      <w:tblPr/>
      <w:tcPr>
        <w:tcBorders>
          <w:top w:val="nil"/>
          <w:left w:val="nil"/>
          <w:bottom w:val="single" w:sz="24" w:space="0" w:color="4FAA5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AA5F" w:themeColor="accent2"/>
          <w:insideH w:val="nil"/>
          <w:insideV w:val="nil"/>
        </w:tcBorders>
        <w:shd w:val="clear" w:color="auto" w:fill="FFFFFF" w:themeFill="background1"/>
      </w:tcPr>
    </w:tblStylePr>
    <w:tblStylePr w:type="lastCol">
      <w:tblPr/>
      <w:tcPr>
        <w:tcBorders>
          <w:top w:val="nil"/>
          <w:left w:val="single" w:sz="8" w:space="0" w:color="4FAA5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D6" w:themeFill="accent2" w:themeFillTint="3F"/>
      </w:tcPr>
    </w:tblStylePr>
    <w:tblStylePr w:type="band1Horz">
      <w:tblPr/>
      <w:tcPr>
        <w:tcBorders>
          <w:top w:val="nil"/>
          <w:bottom w:val="nil"/>
          <w:insideH w:val="nil"/>
          <w:insideV w:val="nil"/>
        </w:tcBorders>
        <w:shd w:val="clear" w:color="auto" w:fill="D2EAD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49CD5" w:themeColor="accent3"/>
        <w:left w:val="single" w:sz="8" w:space="0" w:color="049CD5" w:themeColor="accent3"/>
        <w:bottom w:val="single" w:sz="8" w:space="0" w:color="049CD5" w:themeColor="accent3"/>
        <w:right w:val="single" w:sz="8" w:space="0" w:color="049CD5" w:themeColor="accent3"/>
      </w:tblBorders>
    </w:tblPr>
    <w:tblStylePr w:type="firstRow">
      <w:rPr>
        <w:sz w:val="24"/>
        <w:szCs w:val="24"/>
      </w:rPr>
      <w:tblPr/>
      <w:tcPr>
        <w:tcBorders>
          <w:top w:val="nil"/>
          <w:left w:val="nil"/>
          <w:bottom w:val="single" w:sz="24" w:space="0" w:color="049CD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49CD5" w:themeColor="accent3"/>
          <w:insideH w:val="nil"/>
          <w:insideV w:val="nil"/>
        </w:tcBorders>
        <w:shd w:val="clear" w:color="auto" w:fill="FFFFFF" w:themeFill="background1"/>
      </w:tcPr>
    </w:tblStylePr>
    <w:tblStylePr w:type="lastCol">
      <w:tblPr/>
      <w:tcPr>
        <w:tcBorders>
          <w:top w:val="nil"/>
          <w:left w:val="single" w:sz="8" w:space="0" w:color="049CD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7EAFD" w:themeFill="accent3" w:themeFillTint="3F"/>
      </w:tcPr>
    </w:tblStylePr>
    <w:tblStylePr w:type="band1Horz">
      <w:tblPr/>
      <w:tcPr>
        <w:tcBorders>
          <w:top w:val="nil"/>
          <w:bottom w:val="nil"/>
          <w:insideH w:val="nil"/>
          <w:insideV w:val="nil"/>
        </w:tcBorders>
        <w:shd w:val="clear" w:color="auto" w:fill="B7EAFD"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5F5CB6" w:themeColor="accent4"/>
        <w:left w:val="single" w:sz="8" w:space="0" w:color="5F5CB6" w:themeColor="accent4"/>
        <w:bottom w:val="single" w:sz="8" w:space="0" w:color="5F5CB6" w:themeColor="accent4"/>
        <w:right w:val="single" w:sz="8" w:space="0" w:color="5F5CB6" w:themeColor="accent4"/>
      </w:tblBorders>
    </w:tblPr>
    <w:tblStylePr w:type="firstRow">
      <w:rPr>
        <w:sz w:val="24"/>
        <w:szCs w:val="24"/>
      </w:rPr>
      <w:tblPr/>
      <w:tcPr>
        <w:tcBorders>
          <w:top w:val="nil"/>
          <w:left w:val="nil"/>
          <w:bottom w:val="single" w:sz="24" w:space="0" w:color="5F5CB6"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5CB6" w:themeColor="accent4"/>
          <w:insideH w:val="nil"/>
          <w:insideV w:val="nil"/>
        </w:tcBorders>
        <w:shd w:val="clear" w:color="auto" w:fill="FFFFFF" w:themeFill="background1"/>
      </w:tcPr>
    </w:tblStylePr>
    <w:tblStylePr w:type="lastCol">
      <w:tblPr/>
      <w:tcPr>
        <w:tcBorders>
          <w:top w:val="nil"/>
          <w:left w:val="single" w:sz="8" w:space="0" w:color="5F5CB6"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D6ED" w:themeFill="accent4" w:themeFillTint="3F"/>
      </w:tcPr>
    </w:tblStylePr>
    <w:tblStylePr w:type="band1Horz">
      <w:tblPr/>
      <w:tcPr>
        <w:tcBorders>
          <w:top w:val="nil"/>
          <w:bottom w:val="nil"/>
          <w:insideH w:val="nil"/>
          <w:insideV w:val="nil"/>
        </w:tcBorders>
        <w:shd w:val="clear" w:color="auto" w:fill="D7D6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7ABB6" w:themeColor="accent5"/>
        <w:left w:val="single" w:sz="8" w:space="0" w:color="97ABB6" w:themeColor="accent5"/>
        <w:bottom w:val="single" w:sz="8" w:space="0" w:color="97ABB6" w:themeColor="accent5"/>
        <w:right w:val="single" w:sz="8" w:space="0" w:color="97ABB6" w:themeColor="accent5"/>
      </w:tblBorders>
    </w:tblPr>
    <w:tblStylePr w:type="firstRow">
      <w:rPr>
        <w:sz w:val="24"/>
        <w:szCs w:val="24"/>
      </w:rPr>
      <w:tblPr/>
      <w:tcPr>
        <w:tcBorders>
          <w:top w:val="nil"/>
          <w:left w:val="nil"/>
          <w:bottom w:val="single" w:sz="24" w:space="0" w:color="97ABB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7ABB6" w:themeColor="accent5"/>
          <w:insideH w:val="nil"/>
          <w:insideV w:val="nil"/>
        </w:tcBorders>
        <w:shd w:val="clear" w:color="auto" w:fill="FFFFFF" w:themeFill="background1"/>
      </w:tcPr>
    </w:tblStylePr>
    <w:tblStylePr w:type="lastCol">
      <w:tblPr/>
      <w:tcPr>
        <w:tcBorders>
          <w:top w:val="nil"/>
          <w:left w:val="single" w:sz="8" w:space="0" w:color="97ABB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AED" w:themeFill="accent5" w:themeFillTint="3F"/>
      </w:tcPr>
    </w:tblStylePr>
    <w:tblStylePr w:type="band1Horz">
      <w:tblPr/>
      <w:tcPr>
        <w:tcBorders>
          <w:top w:val="nil"/>
          <w:bottom w:val="nil"/>
          <w:insideH w:val="nil"/>
          <w:insideV w:val="nil"/>
        </w:tcBorders>
        <w:shd w:val="clear" w:color="auto" w:fill="E5EAE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37AEB"/>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7ABB6" w:themeColor="accent6"/>
        <w:left w:val="single" w:sz="8" w:space="0" w:color="97ABB6" w:themeColor="accent6"/>
        <w:bottom w:val="single" w:sz="8" w:space="0" w:color="97ABB6" w:themeColor="accent6"/>
        <w:right w:val="single" w:sz="8" w:space="0" w:color="97ABB6" w:themeColor="accent6"/>
      </w:tblBorders>
    </w:tblPr>
    <w:tblStylePr w:type="firstRow">
      <w:rPr>
        <w:sz w:val="24"/>
        <w:szCs w:val="24"/>
      </w:rPr>
      <w:tblPr/>
      <w:tcPr>
        <w:tcBorders>
          <w:top w:val="nil"/>
          <w:left w:val="nil"/>
          <w:bottom w:val="single" w:sz="24" w:space="0" w:color="97ABB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7ABB6" w:themeColor="accent6"/>
          <w:insideH w:val="nil"/>
          <w:insideV w:val="nil"/>
        </w:tcBorders>
        <w:shd w:val="clear" w:color="auto" w:fill="FFFFFF" w:themeFill="background1"/>
      </w:tcPr>
    </w:tblStylePr>
    <w:tblStylePr w:type="lastCol">
      <w:tblPr/>
      <w:tcPr>
        <w:tcBorders>
          <w:top w:val="nil"/>
          <w:left w:val="single" w:sz="8" w:space="0" w:color="97ABB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AED" w:themeFill="accent6" w:themeFillTint="3F"/>
      </w:tcPr>
    </w:tblStylePr>
    <w:tblStylePr w:type="band1Horz">
      <w:tblPr/>
      <w:tcPr>
        <w:tcBorders>
          <w:top w:val="nil"/>
          <w:bottom w:val="nil"/>
          <w:insideH w:val="nil"/>
          <w:insideV w:val="nil"/>
        </w:tcBorders>
        <w:shd w:val="clear" w:color="auto" w:fill="E5EAE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Accent1">
    <w:name w:val="Medium Shading 1 Accent 1"/>
    <w:basedOn w:val="TableNormal"/>
    <w:uiPriority w:val="63"/>
    <w:semiHidden/>
    <w:unhideWhenUsed/>
    <w:rsid w:val="00A37AEB"/>
    <w:pPr>
      <w:spacing w:after="0"/>
    </w:pPr>
    <w:tblPr>
      <w:tblStyleRowBandSize w:val="1"/>
      <w:tblStyleColBandSize w:val="1"/>
      <w:tblBorders>
        <w:top w:val="single" w:sz="8" w:space="0" w:color="B1C0C8" w:themeColor="accent1" w:themeTint="BF"/>
        <w:left w:val="single" w:sz="8" w:space="0" w:color="B1C0C8" w:themeColor="accent1" w:themeTint="BF"/>
        <w:bottom w:val="single" w:sz="8" w:space="0" w:color="B1C0C8" w:themeColor="accent1" w:themeTint="BF"/>
        <w:right w:val="single" w:sz="8" w:space="0" w:color="B1C0C8" w:themeColor="accent1" w:themeTint="BF"/>
        <w:insideH w:val="single" w:sz="8" w:space="0" w:color="B1C0C8" w:themeColor="accent1" w:themeTint="BF"/>
      </w:tblBorders>
    </w:tblPr>
    <w:tblStylePr w:type="firstRow">
      <w:pPr>
        <w:spacing w:before="0" w:after="0" w:line="240" w:lineRule="auto"/>
      </w:pPr>
      <w:rPr>
        <w:b/>
        <w:bCs/>
        <w:color w:val="FFFFFF" w:themeColor="background1"/>
      </w:rPr>
      <w:tblPr/>
      <w:tcPr>
        <w:tcBorders>
          <w:top w:val="single" w:sz="8" w:space="0" w:color="B1C0C8" w:themeColor="accent1" w:themeTint="BF"/>
          <w:left w:val="single" w:sz="8" w:space="0" w:color="B1C0C8" w:themeColor="accent1" w:themeTint="BF"/>
          <w:bottom w:val="single" w:sz="8" w:space="0" w:color="B1C0C8" w:themeColor="accent1" w:themeTint="BF"/>
          <w:right w:val="single" w:sz="8" w:space="0" w:color="B1C0C8" w:themeColor="accent1" w:themeTint="BF"/>
          <w:insideH w:val="nil"/>
          <w:insideV w:val="nil"/>
        </w:tcBorders>
        <w:shd w:val="clear" w:color="auto" w:fill="97ABB6" w:themeFill="accent1"/>
      </w:tcPr>
    </w:tblStylePr>
    <w:tblStylePr w:type="lastRow">
      <w:pPr>
        <w:spacing w:before="0" w:after="0" w:line="240" w:lineRule="auto"/>
      </w:pPr>
      <w:rPr>
        <w:b/>
        <w:bCs/>
      </w:rPr>
      <w:tblPr/>
      <w:tcPr>
        <w:tcBorders>
          <w:top w:val="double" w:sz="6" w:space="0" w:color="B1C0C8" w:themeColor="accent1" w:themeTint="BF"/>
          <w:left w:val="single" w:sz="8" w:space="0" w:color="B1C0C8" w:themeColor="accent1" w:themeTint="BF"/>
          <w:bottom w:val="single" w:sz="8" w:space="0" w:color="B1C0C8" w:themeColor="accent1" w:themeTint="BF"/>
          <w:right w:val="single" w:sz="8" w:space="0" w:color="B1C0C8" w:themeColor="accent1" w:themeTint="BF"/>
          <w:insideH w:val="nil"/>
          <w:insideV w:val="nil"/>
        </w:tcBorders>
      </w:tcPr>
    </w:tblStylePr>
    <w:tblStylePr w:type="firstCol">
      <w:rPr>
        <w:b/>
        <w:bCs/>
      </w:rPr>
    </w:tblStylePr>
    <w:tblStylePr w:type="lastCol">
      <w:rPr>
        <w:b/>
        <w:bCs/>
      </w:rPr>
    </w:tblStylePr>
    <w:tblStylePr w:type="band1Vert">
      <w:tblPr/>
      <w:tcPr>
        <w:shd w:val="clear" w:color="auto" w:fill="E5EAED" w:themeFill="accent1" w:themeFillTint="3F"/>
      </w:tcPr>
    </w:tblStylePr>
    <w:tblStylePr w:type="band1Horz">
      <w:tblPr/>
      <w:tcPr>
        <w:tcBorders>
          <w:insideH w:val="nil"/>
          <w:insideV w:val="nil"/>
        </w:tcBorders>
        <w:shd w:val="clear" w:color="auto" w:fill="E5EAE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37AEB"/>
    <w:pPr>
      <w:spacing w:after="0"/>
    </w:pPr>
    <w:tblPr>
      <w:tblStyleRowBandSize w:val="1"/>
      <w:tblStyleColBandSize w:val="1"/>
      <w:tblBorders>
        <w:top w:val="single" w:sz="8" w:space="0" w:color="79C185" w:themeColor="accent2" w:themeTint="BF"/>
        <w:left w:val="single" w:sz="8" w:space="0" w:color="79C185" w:themeColor="accent2" w:themeTint="BF"/>
        <w:bottom w:val="single" w:sz="8" w:space="0" w:color="79C185" w:themeColor="accent2" w:themeTint="BF"/>
        <w:right w:val="single" w:sz="8" w:space="0" w:color="79C185" w:themeColor="accent2" w:themeTint="BF"/>
        <w:insideH w:val="single" w:sz="8" w:space="0" w:color="79C185" w:themeColor="accent2" w:themeTint="BF"/>
      </w:tblBorders>
    </w:tblPr>
    <w:tblStylePr w:type="firstRow">
      <w:pPr>
        <w:spacing w:before="0" w:after="0" w:line="240" w:lineRule="auto"/>
      </w:pPr>
      <w:rPr>
        <w:b/>
        <w:bCs/>
        <w:color w:val="FFFFFF" w:themeColor="background1"/>
      </w:rPr>
      <w:tblPr/>
      <w:tcPr>
        <w:tcBorders>
          <w:top w:val="single" w:sz="8" w:space="0" w:color="79C185" w:themeColor="accent2" w:themeTint="BF"/>
          <w:left w:val="single" w:sz="8" w:space="0" w:color="79C185" w:themeColor="accent2" w:themeTint="BF"/>
          <w:bottom w:val="single" w:sz="8" w:space="0" w:color="79C185" w:themeColor="accent2" w:themeTint="BF"/>
          <w:right w:val="single" w:sz="8" w:space="0" w:color="79C185" w:themeColor="accent2" w:themeTint="BF"/>
          <w:insideH w:val="nil"/>
          <w:insideV w:val="nil"/>
        </w:tcBorders>
        <w:shd w:val="clear" w:color="auto" w:fill="4FAA5F" w:themeFill="accent2"/>
      </w:tcPr>
    </w:tblStylePr>
    <w:tblStylePr w:type="lastRow">
      <w:pPr>
        <w:spacing w:before="0" w:after="0" w:line="240" w:lineRule="auto"/>
      </w:pPr>
      <w:rPr>
        <w:b/>
        <w:bCs/>
      </w:rPr>
      <w:tblPr/>
      <w:tcPr>
        <w:tcBorders>
          <w:top w:val="double" w:sz="6" w:space="0" w:color="79C185" w:themeColor="accent2" w:themeTint="BF"/>
          <w:left w:val="single" w:sz="8" w:space="0" w:color="79C185" w:themeColor="accent2" w:themeTint="BF"/>
          <w:bottom w:val="single" w:sz="8" w:space="0" w:color="79C185" w:themeColor="accent2" w:themeTint="BF"/>
          <w:right w:val="single" w:sz="8" w:space="0" w:color="79C185" w:themeColor="accent2" w:themeTint="BF"/>
          <w:insideH w:val="nil"/>
          <w:insideV w:val="nil"/>
        </w:tcBorders>
      </w:tcPr>
    </w:tblStylePr>
    <w:tblStylePr w:type="firstCol">
      <w:rPr>
        <w:b/>
        <w:bCs/>
      </w:rPr>
    </w:tblStylePr>
    <w:tblStylePr w:type="lastCol">
      <w:rPr>
        <w:b/>
        <w:bCs/>
      </w:rPr>
    </w:tblStylePr>
    <w:tblStylePr w:type="band1Vert">
      <w:tblPr/>
      <w:tcPr>
        <w:shd w:val="clear" w:color="auto" w:fill="D2EAD6" w:themeFill="accent2" w:themeFillTint="3F"/>
      </w:tcPr>
    </w:tblStylePr>
    <w:tblStylePr w:type="band1Horz">
      <w:tblPr/>
      <w:tcPr>
        <w:tcBorders>
          <w:insideH w:val="nil"/>
          <w:insideV w:val="nil"/>
        </w:tcBorders>
        <w:shd w:val="clear" w:color="auto" w:fill="D2EAD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37AEB"/>
    <w:pPr>
      <w:spacing w:after="0"/>
    </w:pPr>
    <w:tblPr>
      <w:tblStyleRowBandSize w:val="1"/>
      <w:tblStyleColBandSize w:val="1"/>
      <w:tblBorders>
        <w:top w:val="single" w:sz="8" w:space="0" w:color="27C0FB" w:themeColor="accent3" w:themeTint="BF"/>
        <w:left w:val="single" w:sz="8" w:space="0" w:color="27C0FB" w:themeColor="accent3" w:themeTint="BF"/>
        <w:bottom w:val="single" w:sz="8" w:space="0" w:color="27C0FB" w:themeColor="accent3" w:themeTint="BF"/>
        <w:right w:val="single" w:sz="8" w:space="0" w:color="27C0FB" w:themeColor="accent3" w:themeTint="BF"/>
        <w:insideH w:val="single" w:sz="8" w:space="0" w:color="27C0FB" w:themeColor="accent3" w:themeTint="BF"/>
      </w:tblBorders>
    </w:tblPr>
    <w:tblStylePr w:type="firstRow">
      <w:pPr>
        <w:spacing w:before="0" w:after="0" w:line="240" w:lineRule="auto"/>
      </w:pPr>
      <w:rPr>
        <w:b/>
        <w:bCs/>
        <w:color w:val="FFFFFF" w:themeColor="background1"/>
      </w:rPr>
      <w:tblPr/>
      <w:tcPr>
        <w:tcBorders>
          <w:top w:val="single" w:sz="8" w:space="0" w:color="27C0FB" w:themeColor="accent3" w:themeTint="BF"/>
          <w:left w:val="single" w:sz="8" w:space="0" w:color="27C0FB" w:themeColor="accent3" w:themeTint="BF"/>
          <w:bottom w:val="single" w:sz="8" w:space="0" w:color="27C0FB" w:themeColor="accent3" w:themeTint="BF"/>
          <w:right w:val="single" w:sz="8" w:space="0" w:color="27C0FB" w:themeColor="accent3" w:themeTint="BF"/>
          <w:insideH w:val="nil"/>
          <w:insideV w:val="nil"/>
        </w:tcBorders>
        <w:shd w:val="clear" w:color="auto" w:fill="049CD5" w:themeFill="accent3"/>
      </w:tcPr>
    </w:tblStylePr>
    <w:tblStylePr w:type="lastRow">
      <w:pPr>
        <w:spacing w:before="0" w:after="0" w:line="240" w:lineRule="auto"/>
      </w:pPr>
      <w:rPr>
        <w:b/>
        <w:bCs/>
      </w:rPr>
      <w:tblPr/>
      <w:tcPr>
        <w:tcBorders>
          <w:top w:val="double" w:sz="6" w:space="0" w:color="27C0FB" w:themeColor="accent3" w:themeTint="BF"/>
          <w:left w:val="single" w:sz="8" w:space="0" w:color="27C0FB" w:themeColor="accent3" w:themeTint="BF"/>
          <w:bottom w:val="single" w:sz="8" w:space="0" w:color="27C0FB" w:themeColor="accent3" w:themeTint="BF"/>
          <w:right w:val="single" w:sz="8" w:space="0" w:color="27C0FB" w:themeColor="accent3" w:themeTint="BF"/>
          <w:insideH w:val="nil"/>
          <w:insideV w:val="nil"/>
        </w:tcBorders>
      </w:tcPr>
    </w:tblStylePr>
    <w:tblStylePr w:type="firstCol">
      <w:rPr>
        <w:b/>
        <w:bCs/>
      </w:rPr>
    </w:tblStylePr>
    <w:tblStylePr w:type="lastCol">
      <w:rPr>
        <w:b/>
        <w:bCs/>
      </w:rPr>
    </w:tblStylePr>
    <w:tblStylePr w:type="band1Vert">
      <w:tblPr/>
      <w:tcPr>
        <w:shd w:val="clear" w:color="auto" w:fill="B7EAFD" w:themeFill="accent3" w:themeFillTint="3F"/>
      </w:tcPr>
    </w:tblStylePr>
    <w:tblStylePr w:type="band1Horz">
      <w:tblPr/>
      <w:tcPr>
        <w:tcBorders>
          <w:insideH w:val="nil"/>
          <w:insideV w:val="nil"/>
        </w:tcBorders>
        <w:shd w:val="clear" w:color="auto" w:fill="B7EAFD"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37AEB"/>
    <w:pPr>
      <w:spacing w:after="0"/>
    </w:pPr>
    <w:tblPr>
      <w:tblStyleRowBandSize w:val="1"/>
      <w:tblStyleColBandSize w:val="1"/>
      <w:tblBorders>
        <w:top w:val="single" w:sz="8" w:space="0" w:color="8684C8" w:themeColor="accent4" w:themeTint="BF"/>
        <w:left w:val="single" w:sz="8" w:space="0" w:color="8684C8" w:themeColor="accent4" w:themeTint="BF"/>
        <w:bottom w:val="single" w:sz="8" w:space="0" w:color="8684C8" w:themeColor="accent4" w:themeTint="BF"/>
        <w:right w:val="single" w:sz="8" w:space="0" w:color="8684C8" w:themeColor="accent4" w:themeTint="BF"/>
        <w:insideH w:val="single" w:sz="8" w:space="0" w:color="8684C8" w:themeColor="accent4" w:themeTint="BF"/>
      </w:tblBorders>
    </w:tblPr>
    <w:tblStylePr w:type="firstRow">
      <w:pPr>
        <w:spacing w:before="0" w:after="0" w:line="240" w:lineRule="auto"/>
      </w:pPr>
      <w:rPr>
        <w:b/>
        <w:bCs/>
        <w:color w:val="FFFFFF" w:themeColor="background1"/>
      </w:rPr>
      <w:tblPr/>
      <w:tcPr>
        <w:tcBorders>
          <w:top w:val="single" w:sz="8" w:space="0" w:color="8684C8" w:themeColor="accent4" w:themeTint="BF"/>
          <w:left w:val="single" w:sz="8" w:space="0" w:color="8684C8" w:themeColor="accent4" w:themeTint="BF"/>
          <w:bottom w:val="single" w:sz="8" w:space="0" w:color="8684C8" w:themeColor="accent4" w:themeTint="BF"/>
          <w:right w:val="single" w:sz="8" w:space="0" w:color="8684C8" w:themeColor="accent4" w:themeTint="BF"/>
          <w:insideH w:val="nil"/>
          <w:insideV w:val="nil"/>
        </w:tcBorders>
        <w:shd w:val="clear" w:color="auto" w:fill="5F5CB6" w:themeFill="accent4"/>
      </w:tcPr>
    </w:tblStylePr>
    <w:tblStylePr w:type="lastRow">
      <w:pPr>
        <w:spacing w:before="0" w:after="0" w:line="240" w:lineRule="auto"/>
      </w:pPr>
      <w:rPr>
        <w:b/>
        <w:bCs/>
      </w:rPr>
      <w:tblPr/>
      <w:tcPr>
        <w:tcBorders>
          <w:top w:val="double" w:sz="6" w:space="0" w:color="8684C8" w:themeColor="accent4" w:themeTint="BF"/>
          <w:left w:val="single" w:sz="8" w:space="0" w:color="8684C8" w:themeColor="accent4" w:themeTint="BF"/>
          <w:bottom w:val="single" w:sz="8" w:space="0" w:color="8684C8" w:themeColor="accent4" w:themeTint="BF"/>
          <w:right w:val="single" w:sz="8" w:space="0" w:color="8684C8" w:themeColor="accent4" w:themeTint="BF"/>
          <w:insideH w:val="nil"/>
          <w:insideV w:val="nil"/>
        </w:tcBorders>
      </w:tcPr>
    </w:tblStylePr>
    <w:tblStylePr w:type="firstCol">
      <w:rPr>
        <w:b/>
        <w:bCs/>
      </w:rPr>
    </w:tblStylePr>
    <w:tblStylePr w:type="lastCol">
      <w:rPr>
        <w:b/>
        <w:bCs/>
      </w:rPr>
    </w:tblStylePr>
    <w:tblStylePr w:type="band1Vert">
      <w:tblPr/>
      <w:tcPr>
        <w:shd w:val="clear" w:color="auto" w:fill="D7D6ED" w:themeFill="accent4" w:themeFillTint="3F"/>
      </w:tcPr>
    </w:tblStylePr>
    <w:tblStylePr w:type="band1Horz">
      <w:tblPr/>
      <w:tcPr>
        <w:tcBorders>
          <w:insideH w:val="nil"/>
          <w:insideV w:val="nil"/>
        </w:tcBorders>
        <w:shd w:val="clear" w:color="auto" w:fill="D7D6ED"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37AEB"/>
    <w:pPr>
      <w:spacing w:after="0"/>
    </w:pPr>
    <w:tblPr>
      <w:tblStyleRowBandSize w:val="1"/>
      <w:tblStyleColBandSize w:val="1"/>
      <w:tblBorders>
        <w:top w:val="single" w:sz="8" w:space="0" w:color="B1C0C8" w:themeColor="accent5" w:themeTint="BF"/>
        <w:left w:val="single" w:sz="8" w:space="0" w:color="B1C0C8" w:themeColor="accent5" w:themeTint="BF"/>
        <w:bottom w:val="single" w:sz="8" w:space="0" w:color="B1C0C8" w:themeColor="accent5" w:themeTint="BF"/>
        <w:right w:val="single" w:sz="8" w:space="0" w:color="B1C0C8" w:themeColor="accent5" w:themeTint="BF"/>
        <w:insideH w:val="single" w:sz="8" w:space="0" w:color="B1C0C8" w:themeColor="accent5" w:themeTint="BF"/>
      </w:tblBorders>
    </w:tblPr>
    <w:tblStylePr w:type="firstRow">
      <w:pPr>
        <w:spacing w:before="0" w:after="0" w:line="240" w:lineRule="auto"/>
      </w:pPr>
      <w:rPr>
        <w:b/>
        <w:bCs/>
        <w:color w:val="FFFFFF" w:themeColor="background1"/>
      </w:rPr>
      <w:tblPr/>
      <w:tcPr>
        <w:tcBorders>
          <w:top w:val="single" w:sz="8" w:space="0" w:color="B1C0C8" w:themeColor="accent5" w:themeTint="BF"/>
          <w:left w:val="single" w:sz="8" w:space="0" w:color="B1C0C8" w:themeColor="accent5" w:themeTint="BF"/>
          <w:bottom w:val="single" w:sz="8" w:space="0" w:color="B1C0C8" w:themeColor="accent5" w:themeTint="BF"/>
          <w:right w:val="single" w:sz="8" w:space="0" w:color="B1C0C8" w:themeColor="accent5" w:themeTint="BF"/>
          <w:insideH w:val="nil"/>
          <w:insideV w:val="nil"/>
        </w:tcBorders>
        <w:shd w:val="clear" w:color="auto" w:fill="97ABB6" w:themeFill="accent5"/>
      </w:tcPr>
    </w:tblStylePr>
    <w:tblStylePr w:type="lastRow">
      <w:pPr>
        <w:spacing w:before="0" w:after="0" w:line="240" w:lineRule="auto"/>
      </w:pPr>
      <w:rPr>
        <w:b/>
        <w:bCs/>
      </w:rPr>
      <w:tblPr/>
      <w:tcPr>
        <w:tcBorders>
          <w:top w:val="double" w:sz="6" w:space="0" w:color="B1C0C8" w:themeColor="accent5" w:themeTint="BF"/>
          <w:left w:val="single" w:sz="8" w:space="0" w:color="B1C0C8" w:themeColor="accent5" w:themeTint="BF"/>
          <w:bottom w:val="single" w:sz="8" w:space="0" w:color="B1C0C8" w:themeColor="accent5" w:themeTint="BF"/>
          <w:right w:val="single" w:sz="8" w:space="0" w:color="B1C0C8" w:themeColor="accent5" w:themeTint="BF"/>
          <w:insideH w:val="nil"/>
          <w:insideV w:val="nil"/>
        </w:tcBorders>
      </w:tcPr>
    </w:tblStylePr>
    <w:tblStylePr w:type="firstCol">
      <w:rPr>
        <w:b/>
        <w:bCs/>
      </w:rPr>
    </w:tblStylePr>
    <w:tblStylePr w:type="lastCol">
      <w:rPr>
        <w:b/>
        <w:bCs/>
      </w:rPr>
    </w:tblStylePr>
    <w:tblStylePr w:type="band1Vert">
      <w:tblPr/>
      <w:tcPr>
        <w:shd w:val="clear" w:color="auto" w:fill="E5EAED" w:themeFill="accent5" w:themeFillTint="3F"/>
      </w:tcPr>
    </w:tblStylePr>
    <w:tblStylePr w:type="band1Horz">
      <w:tblPr/>
      <w:tcPr>
        <w:tcBorders>
          <w:insideH w:val="nil"/>
          <w:insideV w:val="nil"/>
        </w:tcBorders>
        <w:shd w:val="clear" w:color="auto" w:fill="E5EAED"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37AEB"/>
    <w:pPr>
      <w:spacing w:after="0"/>
    </w:pPr>
    <w:tblPr>
      <w:tblStyleRowBandSize w:val="1"/>
      <w:tblStyleColBandSize w:val="1"/>
      <w:tblBorders>
        <w:top w:val="single" w:sz="8" w:space="0" w:color="B1C0C8" w:themeColor="accent6" w:themeTint="BF"/>
        <w:left w:val="single" w:sz="8" w:space="0" w:color="B1C0C8" w:themeColor="accent6" w:themeTint="BF"/>
        <w:bottom w:val="single" w:sz="8" w:space="0" w:color="B1C0C8" w:themeColor="accent6" w:themeTint="BF"/>
        <w:right w:val="single" w:sz="8" w:space="0" w:color="B1C0C8" w:themeColor="accent6" w:themeTint="BF"/>
        <w:insideH w:val="single" w:sz="8" w:space="0" w:color="B1C0C8" w:themeColor="accent6" w:themeTint="BF"/>
      </w:tblBorders>
    </w:tblPr>
    <w:tblStylePr w:type="firstRow">
      <w:pPr>
        <w:spacing w:before="0" w:after="0" w:line="240" w:lineRule="auto"/>
      </w:pPr>
      <w:rPr>
        <w:b/>
        <w:bCs/>
        <w:color w:val="FFFFFF" w:themeColor="background1"/>
      </w:rPr>
      <w:tblPr/>
      <w:tcPr>
        <w:tcBorders>
          <w:top w:val="single" w:sz="8" w:space="0" w:color="B1C0C8" w:themeColor="accent6" w:themeTint="BF"/>
          <w:left w:val="single" w:sz="8" w:space="0" w:color="B1C0C8" w:themeColor="accent6" w:themeTint="BF"/>
          <w:bottom w:val="single" w:sz="8" w:space="0" w:color="B1C0C8" w:themeColor="accent6" w:themeTint="BF"/>
          <w:right w:val="single" w:sz="8" w:space="0" w:color="B1C0C8" w:themeColor="accent6" w:themeTint="BF"/>
          <w:insideH w:val="nil"/>
          <w:insideV w:val="nil"/>
        </w:tcBorders>
        <w:shd w:val="clear" w:color="auto" w:fill="97ABB6" w:themeFill="accent6"/>
      </w:tcPr>
    </w:tblStylePr>
    <w:tblStylePr w:type="lastRow">
      <w:pPr>
        <w:spacing w:before="0" w:after="0" w:line="240" w:lineRule="auto"/>
      </w:pPr>
      <w:rPr>
        <w:b/>
        <w:bCs/>
      </w:rPr>
      <w:tblPr/>
      <w:tcPr>
        <w:tcBorders>
          <w:top w:val="double" w:sz="6" w:space="0" w:color="B1C0C8" w:themeColor="accent6" w:themeTint="BF"/>
          <w:left w:val="single" w:sz="8" w:space="0" w:color="B1C0C8" w:themeColor="accent6" w:themeTint="BF"/>
          <w:bottom w:val="single" w:sz="8" w:space="0" w:color="B1C0C8" w:themeColor="accent6" w:themeTint="BF"/>
          <w:right w:val="single" w:sz="8" w:space="0" w:color="B1C0C8" w:themeColor="accent6" w:themeTint="BF"/>
          <w:insideH w:val="nil"/>
          <w:insideV w:val="nil"/>
        </w:tcBorders>
      </w:tcPr>
    </w:tblStylePr>
    <w:tblStylePr w:type="firstCol">
      <w:rPr>
        <w:b/>
        <w:bCs/>
      </w:rPr>
    </w:tblStylePr>
    <w:tblStylePr w:type="lastCol">
      <w:rPr>
        <w:b/>
        <w:bCs/>
      </w:rPr>
    </w:tblStylePr>
    <w:tblStylePr w:type="band1Vert">
      <w:tblPr/>
      <w:tcPr>
        <w:shd w:val="clear" w:color="auto" w:fill="E5EAED" w:themeFill="accent6" w:themeFillTint="3F"/>
      </w:tcPr>
    </w:tblStylePr>
    <w:tblStylePr w:type="band1Horz">
      <w:tblPr/>
      <w:tcPr>
        <w:tcBorders>
          <w:insideH w:val="nil"/>
          <w:insideV w:val="nil"/>
        </w:tcBorders>
        <w:shd w:val="clear" w:color="auto" w:fill="E5EAE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37AEB"/>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37AEB"/>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7ABB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7ABB6" w:themeFill="accent1"/>
      </w:tcPr>
    </w:tblStylePr>
    <w:tblStylePr w:type="lastCol">
      <w:rPr>
        <w:b/>
        <w:bCs/>
        <w:color w:val="FFFFFF" w:themeColor="background1"/>
      </w:rPr>
      <w:tblPr/>
      <w:tcPr>
        <w:tcBorders>
          <w:left w:val="nil"/>
          <w:right w:val="nil"/>
          <w:insideH w:val="nil"/>
          <w:insideV w:val="nil"/>
        </w:tcBorders>
        <w:shd w:val="clear" w:color="auto" w:fill="97ABB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37AEB"/>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AA5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AA5F" w:themeFill="accent2"/>
      </w:tcPr>
    </w:tblStylePr>
    <w:tblStylePr w:type="lastCol">
      <w:rPr>
        <w:b/>
        <w:bCs/>
        <w:color w:val="FFFFFF" w:themeColor="background1"/>
      </w:rPr>
      <w:tblPr/>
      <w:tcPr>
        <w:tcBorders>
          <w:left w:val="nil"/>
          <w:right w:val="nil"/>
          <w:insideH w:val="nil"/>
          <w:insideV w:val="nil"/>
        </w:tcBorders>
        <w:shd w:val="clear" w:color="auto" w:fill="4FAA5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37AEB"/>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49CD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49CD5" w:themeFill="accent3"/>
      </w:tcPr>
    </w:tblStylePr>
    <w:tblStylePr w:type="lastCol">
      <w:rPr>
        <w:b/>
        <w:bCs/>
        <w:color w:val="FFFFFF" w:themeColor="background1"/>
      </w:rPr>
      <w:tblPr/>
      <w:tcPr>
        <w:tcBorders>
          <w:left w:val="nil"/>
          <w:right w:val="nil"/>
          <w:insideH w:val="nil"/>
          <w:insideV w:val="nil"/>
        </w:tcBorders>
        <w:shd w:val="clear" w:color="auto" w:fill="049CD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37AEB"/>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F5CB6"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F5CB6" w:themeFill="accent4"/>
      </w:tcPr>
    </w:tblStylePr>
    <w:tblStylePr w:type="lastCol">
      <w:rPr>
        <w:b/>
        <w:bCs/>
        <w:color w:val="FFFFFF" w:themeColor="background1"/>
      </w:rPr>
      <w:tblPr/>
      <w:tcPr>
        <w:tcBorders>
          <w:left w:val="nil"/>
          <w:right w:val="nil"/>
          <w:insideH w:val="nil"/>
          <w:insideV w:val="nil"/>
        </w:tcBorders>
        <w:shd w:val="clear" w:color="auto" w:fill="5F5CB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37AEB"/>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7ABB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7ABB6" w:themeFill="accent5"/>
      </w:tcPr>
    </w:tblStylePr>
    <w:tblStylePr w:type="lastCol">
      <w:rPr>
        <w:b/>
        <w:bCs/>
        <w:color w:val="FFFFFF" w:themeColor="background1"/>
      </w:rPr>
      <w:tblPr/>
      <w:tcPr>
        <w:tcBorders>
          <w:left w:val="nil"/>
          <w:right w:val="nil"/>
          <w:insideH w:val="nil"/>
          <w:insideV w:val="nil"/>
        </w:tcBorders>
        <w:shd w:val="clear" w:color="auto" w:fill="97ABB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37AEB"/>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7ABB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7ABB6" w:themeFill="accent6"/>
      </w:tcPr>
    </w:tblStylePr>
    <w:tblStylePr w:type="lastCol">
      <w:rPr>
        <w:b/>
        <w:bCs/>
        <w:color w:val="FFFFFF" w:themeColor="background1"/>
      </w:rPr>
      <w:tblPr/>
      <w:tcPr>
        <w:tcBorders>
          <w:left w:val="nil"/>
          <w:right w:val="nil"/>
          <w:insideH w:val="nil"/>
          <w:insideV w:val="nil"/>
        </w:tcBorders>
        <w:shd w:val="clear" w:color="auto" w:fill="97ABB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DefaultParagraphFont"/>
    <w:uiPriority w:val="99"/>
    <w:semiHidden/>
    <w:unhideWhenUsed/>
    <w:rsid w:val="00A37AEB"/>
    <w:rPr>
      <w:color w:val="2B579A"/>
      <w:shd w:val="clear" w:color="auto" w:fill="E1DFDD"/>
    </w:rPr>
  </w:style>
  <w:style w:type="paragraph" w:styleId="MessageHeader">
    <w:name w:val="Message Header"/>
    <w:basedOn w:val="Normal"/>
    <w:link w:val="MessageHeaderChar"/>
    <w:semiHidden/>
    <w:unhideWhenUsed/>
    <w:rsid w:val="00A37AEB"/>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A37AEB"/>
    <w:rPr>
      <w:rFonts w:asciiTheme="majorHAnsi" w:eastAsiaTheme="majorEastAsia" w:hAnsiTheme="majorHAnsi" w:cstheme="majorBidi"/>
      <w:sz w:val="24"/>
      <w:szCs w:val="24"/>
      <w:shd w:val="pct20" w:color="auto" w:fill="auto"/>
    </w:rPr>
  </w:style>
  <w:style w:type="paragraph" w:styleId="NormalWeb">
    <w:name w:val="Normal (Web)"/>
    <w:basedOn w:val="Normal"/>
    <w:semiHidden/>
    <w:unhideWhenUsed/>
    <w:rsid w:val="00A37AEB"/>
    <w:rPr>
      <w:rFonts w:ascii="Times New Roman" w:hAnsi="Times New Roman" w:cs="Times New Roman"/>
      <w:sz w:val="24"/>
      <w:szCs w:val="24"/>
    </w:rPr>
  </w:style>
  <w:style w:type="paragraph" w:styleId="NormalIndent">
    <w:name w:val="Normal Indent"/>
    <w:basedOn w:val="Normal"/>
    <w:semiHidden/>
    <w:unhideWhenUsed/>
    <w:rsid w:val="00A37AEB"/>
    <w:pPr>
      <w:ind w:left="720"/>
    </w:pPr>
  </w:style>
  <w:style w:type="paragraph" w:styleId="NoteHeading">
    <w:name w:val="Note Heading"/>
    <w:basedOn w:val="Normal"/>
    <w:next w:val="Normal"/>
    <w:link w:val="NoteHeadingChar"/>
    <w:semiHidden/>
    <w:unhideWhenUsed/>
    <w:rsid w:val="00A37AEB"/>
    <w:pPr>
      <w:spacing w:after="0"/>
    </w:pPr>
  </w:style>
  <w:style w:type="character" w:customStyle="1" w:styleId="NoteHeadingChar">
    <w:name w:val="Note Heading Char"/>
    <w:basedOn w:val="DefaultParagraphFont"/>
    <w:link w:val="NoteHeading"/>
    <w:semiHidden/>
    <w:rsid w:val="00A37AEB"/>
  </w:style>
  <w:style w:type="table" w:styleId="PlainTable1">
    <w:name w:val="Plain Table 1"/>
    <w:basedOn w:val="TableNormal"/>
    <w:uiPriority w:val="41"/>
    <w:rsid w:val="00A37AEB"/>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37AEB"/>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37AEB"/>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37AEB"/>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37AEB"/>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semiHidden/>
    <w:unhideWhenUsed/>
    <w:rsid w:val="00A37AEB"/>
    <w:pPr>
      <w:spacing w:after="0"/>
    </w:pPr>
    <w:rPr>
      <w:rFonts w:ascii="Consolas" w:hAnsi="Consolas"/>
      <w:sz w:val="21"/>
      <w:szCs w:val="21"/>
    </w:rPr>
  </w:style>
  <w:style w:type="character" w:customStyle="1" w:styleId="PlainTextChar">
    <w:name w:val="Plain Text Char"/>
    <w:basedOn w:val="DefaultParagraphFont"/>
    <w:link w:val="PlainText"/>
    <w:semiHidden/>
    <w:rsid w:val="00A37AEB"/>
    <w:rPr>
      <w:rFonts w:ascii="Consolas" w:hAnsi="Consolas"/>
      <w:sz w:val="21"/>
      <w:szCs w:val="21"/>
    </w:rPr>
  </w:style>
  <w:style w:type="paragraph" w:styleId="Salutation">
    <w:name w:val="Salutation"/>
    <w:basedOn w:val="Normal"/>
    <w:next w:val="Normal"/>
    <w:link w:val="SalutationChar"/>
    <w:semiHidden/>
    <w:rsid w:val="00A37AEB"/>
  </w:style>
  <w:style w:type="character" w:customStyle="1" w:styleId="SalutationChar">
    <w:name w:val="Salutation Char"/>
    <w:basedOn w:val="DefaultParagraphFont"/>
    <w:link w:val="Salutation"/>
    <w:semiHidden/>
    <w:rsid w:val="00A37AEB"/>
  </w:style>
  <w:style w:type="paragraph" w:styleId="Signature">
    <w:name w:val="Signature"/>
    <w:basedOn w:val="Normal"/>
    <w:link w:val="SignatureChar"/>
    <w:semiHidden/>
    <w:unhideWhenUsed/>
    <w:rsid w:val="00A37AEB"/>
    <w:pPr>
      <w:spacing w:after="0"/>
      <w:ind w:left="4252"/>
    </w:pPr>
  </w:style>
  <w:style w:type="character" w:customStyle="1" w:styleId="SignatureChar">
    <w:name w:val="Signature Char"/>
    <w:basedOn w:val="DefaultParagraphFont"/>
    <w:link w:val="Signature"/>
    <w:semiHidden/>
    <w:rsid w:val="00A37AEB"/>
  </w:style>
  <w:style w:type="character" w:styleId="SmartHyperlink">
    <w:name w:val="Smart Hyperlink"/>
    <w:basedOn w:val="DefaultParagraphFont"/>
    <w:uiPriority w:val="99"/>
    <w:semiHidden/>
    <w:unhideWhenUsed/>
    <w:rsid w:val="00A37AEB"/>
    <w:rPr>
      <w:u w:val="dotted"/>
    </w:rPr>
  </w:style>
  <w:style w:type="table" w:styleId="Table3Deffects3">
    <w:name w:val="Table 3D effects 3"/>
    <w:basedOn w:val="TableNormal"/>
    <w:semiHidden/>
    <w:unhideWhenUsed/>
    <w:rsid w:val="00A37AE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A37AE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A37AE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A37AE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A37AE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A37AE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A37AE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A37AE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A37AE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A37AE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A37AE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A37AE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A37AE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A37AE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A37AE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unhideWhenUsed/>
    <w:rsid w:val="00A37AE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A37AE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A37AE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A37AE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A37AE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A37AE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A37AE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A37AE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37AEB"/>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semiHidden/>
    <w:unhideWhenUsed/>
    <w:rsid w:val="00A37AE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A37AE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A37AE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A37AE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A37AE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A37AE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A37AE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A37AE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unhideWhenUsed/>
    <w:rsid w:val="00A37AE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A37AE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A37AE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A37AE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A37AE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A37AE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A37A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A37AE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A37AE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A37AE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semiHidden/>
    <w:unhideWhenUsed/>
    <w:rsid w:val="00A37AEB"/>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semiHidden/>
    <w:unhideWhenUsed/>
    <w:rsid w:val="00A37AEB"/>
    <w:pPr>
      <w:spacing w:after="100"/>
      <w:ind w:left="800"/>
    </w:pPr>
  </w:style>
  <w:style w:type="paragraph" w:styleId="TOC6">
    <w:name w:val="toc 6"/>
    <w:basedOn w:val="Normal"/>
    <w:next w:val="Normal"/>
    <w:autoRedefine/>
    <w:semiHidden/>
    <w:unhideWhenUsed/>
    <w:rsid w:val="00A37AEB"/>
    <w:pPr>
      <w:spacing w:after="100"/>
      <w:ind w:left="1000"/>
    </w:pPr>
  </w:style>
  <w:style w:type="paragraph" w:styleId="TOC8">
    <w:name w:val="toc 8"/>
    <w:basedOn w:val="Normal"/>
    <w:next w:val="Normal"/>
    <w:autoRedefine/>
    <w:semiHidden/>
    <w:unhideWhenUsed/>
    <w:rsid w:val="00A37AEB"/>
    <w:pPr>
      <w:spacing w:after="100"/>
      <w:ind w:left="1400"/>
    </w:pPr>
  </w:style>
  <w:style w:type="paragraph" w:styleId="TOC9">
    <w:name w:val="toc 9"/>
    <w:basedOn w:val="Normal"/>
    <w:next w:val="Normal"/>
    <w:autoRedefine/>
    <w:semiHidden/>
    <w:unhideWhenUsed/>
    <w:rsid w:val="00A37AEB"/>
    <w:pPr>
      <w:spacing w:after="100"/>
      <w:ind w:left="1600"/>
    </w:pPr>
  </w:style>
  <w:style w:type="character" w:styleId="UnresolvedMention">
    <w:name w:val="Unresolved Mention"/>
    <w:basedOn w:val="DefaultParagraphFont"/>
    <w:uiPriority w:val="99"/>
    <w:semiHidden/>
    <w:unhideWhenUsed/>
    <w:rsid w:val="00A37AEB"/>
    <w:rPr>
      <w:color w:val="605E5C"/>
      <w:shd w:val="clear" w:color="auto" w:fill="E1DFDD"/>
    </w:rPr>
  </w:style>
  <w:style w:type="table" w:customStyle="1" w:styleId="CoffeyColour4Purple-Greyborders">
    <w:name w:val="Coffey Colour 4 (Purple) - Grey borders"/>
    <w:basedOn w:val="CoffeyColour4Purple-Blackborders"/>
    <w:uiPriority w:val="99"/>
    <w:rsid w:val="00EA2658"/>
    <w:pPr>
      <w:spacing w:after="0"/>
    </w:pPr>
    <w:tblPr>
      <w:tblBorders>
        <w:top w:val="single" w:sz="4" w:space="0" w:color="D5DDE1" w:themeColor="accent1" w:themeTint="66"/>
        <w:left w:val="single" w:sz="4" w:space="0" w:color="D5DDE1" w:themeColor="accent1" w:themeTint="66"/>
        <w:bottom w:val="single" w:sz="4" w:space="0" w:color="D5DDE1" w:themeColor="accent1" w:themeTint="66"/>
        <w:right w:val="single" w:sz="4" w:space="0" w:color="D5DDE1" w:themeColor="accent1" w:themeTint="66"/>
        <w:insideH w:val="single" w:sz="4" w:space="0" w:color="D5DDE1" w:themeColor="accent1" w:themeTint="66"/>
        <w:insideV w:val="single" w:sz="4" w:space="0" w:color="D5DDE1" w:themeColor="accent1" w:themeTint="66"/>
      </w:tblBorders>
    </w:tblPr>
    <w:tcPr>
      <w:shd w:val="clear" w:color="auto" w:fill="auto"/>
    </w:tcPr>
    <w:tblStylePr w:type="firstRow">
      <w:pPr>
        <w:wordWrap/>
      </w:pPr>
      <w:rPr>
        <w:b/>
        <w:color w:val="FFFFFF" w:themeColor="background1"/>
      </w:rPr>
      <w:tblPr/>
      <w:tcPr>
        <w:shd w:val="clear" w:color="auto" w:fill="5F5CB6"/>
      </w:tcPr>
    </w:tblStylePr>
    <w:tblStylePr w:type="lastRow">
      <w:tblPr/>
      <w:tcPr>
        <w:tcBorders>
          <w:top w:val="double" w:sz="4" w:space="0" w:color="auto"/>
          <w:left w:val="double" w:sz="4" w:space="0" w:color="auto"/>
          <w:bottom w:val="double" w:sz="4" w:space="0" w:color="auto"/>
          <w:right w:val="double" w:sz="4" w:space="0" w:color="auto"/>
          <w:insideH w:val="double" w:sz="4" w:space="0" w:color="auto"/>
          <w:insideV w:val="double" w:sz="4" w:space="0" w:color="auto"/>
          <w:tl2br w:val="nil"/>
          <w:tr2bl w:val="nil"/>
        </w:tcBorders>
        <w:shd w:val="clear" w:color="auto" w:fill="auto"/>
      </w:tcPr>
    </w:tblStylePr>
    <w:tblStylePr w:type="firstCol">
      <w:rPr>
        <w:b/>
        <w:i w:val="0"/>
        <w:color w:val="FFFFFF" w:themeColor="background1"/>
      </w:rPr>
      <w:tblPr/>
      <w:tcPr>
        <w:shd w:val="clear" w:color="auto" w:fill="5F5CB6"/>
      </w:tcPr>
    </w:tblStylePr>
    <w:tblStylePr w:type="lastCol">
      <w:tblPr/>
      <w:tcPr>
        <w:tcBorders>
          <w:top w:val="double" w:sz="4" w:space="0" w:color="D5DDE1" w:themeColor="accent1" w:themeTint="66"/>
          <w:left w:val="double" w:sz="4" w:space="0" w:color="D5DDE1" w:themeColor="accent1" w:themeTint="66"/>
          <w:bottom w:val="double" w:sz="4" w:space="0" w:color="D5DDE1" w:themeColor="accent1" w:themeTint="66"/>
          <w:right w:val="double" w:sz="4" w:space="0" w:color="D5DDE1" w:themeColor="accent1" w:themeTint="66"/>
          <w:insideH w:val="nil"/>
          <w:insideV w:val="nil"/>
          <w:tl2br w:val="nil"/>
          <w:tr2bl w:val="nil"/>
        </w:tcBorders>
        <w:shd w:val="clear" w:color="auto" w:fill="auto"/>
      </w:tcPr>
    </w:tblStylePr>
    <w:tblStylePr w:type="band1Vert">
      <w:tblPr/>
      <w:tcPr>
        <w:shd w:val="clear" w:color="auto" w:fill="DEDEF0"/>
      </w:tcPr>
    </w:tblStylePr>
    <w:tblStylePr w:type="band1Horz">
      <w:tblPr/>
      <w:tcPr>
        <w:shd w:val="clear" w:color="auto" w:fill="DEDEF0"/>
      </w:tcPr>
    </w:tblStylePr>
    <w:tblStylePr w:type="neCell">
      <w:tblPr/>
      <w:tcPr>
        <w:shd w:val="clear" w:color="auto" w:fill="5F5CB6" w:themeFill="accent4"/>
      </w:tcPr>
    </w:tblStylePr>
    <w:tblStylePr w:type="swCell">
      <w:tblPr/>
      <w:tcPr>
        <w:shd w:val="clear" w:color="auto" w:fill="5F5CB6" w:themeFill="accent4"/>
      </w:tcPr>
    </w:tblStylePr>
  </w:style>
  <w:style w:type="table" w:customStyle="1" w:styleId="Greyplaintable">
    <w:name w:val="Grey plain table"/>
    <w:basedOn w:val="Coffey"/>
    <w:uiPriority w:val="99"/>
    <w:rsid w:val="001E69AE"/>
    <w:tblPr>
      <w:tblStyleRowBandSize w:val="0"/>
      <w:tblStyleColBandSize w:val="0"/>
    </w:tblPr>
    <w:tcPr>
      <w:shd w:val="clear" w:color="auto" w:fill="auto"/>
    </w:tcPr>
    <w:tblStylePr w:type="firstRow">
      <w:pPr>
        <w:wordWrap/>
      </w:pPr>
      <w:rPr>
        <w:rFonts w:ascii="Arial" w:hAnsi="Arial"/>
        <w:b/>
        <w:color w:val="FFFFFF" w:themeColor="background1"/>
        <w:sz w:val="18"/>
      </w:rPr>
      <w:tblPr/>
      <w:tcPr>
        <w:shd w:val="clear" w:color="auto" w:fill="97ABB6"/>
      </w:tcPr>
    </w:tblStylePr>
    <w:tblStylePr w:type="lastRow">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double" w:sz="4" w:space="0" w:color="C0CCD3" w:themeColor="accent1" w:themeTint="99"/>
          <w:insideV w:val="double" w:sz="4" w:space="0" w:color="C0CCD3" w:themeColor="accent1" w:themeTint="99"/>
          <w:tl2br w:val="nil"/>
          <w:tr2bl w:val="nil"/>
        </w:tcBorders>
        <w:shd w:val="clear" w:color="auto" w:fill="auto"/>
      </w:tcPr>
    </w:tblStylePr>
    <w:tblStylePr w:type="firstCol">
      <w:rPr>
        <w:rFonts w:ascii="Arial" w:hAnsi="Arial"/>
        <w:b w:val="0"/>
        <w:i w:val="0"/>
        <w:color w:val="auto"/>
        <w:sz w:val="18"/>
      </w:rPr>
      <w:tblPr/>
      <w:tcPr>
        <w:shd w:val="clear" w:color="auto" w:fill="FFFFFF" w:themeFill="background1"/>
      </w:tcPr>
    </w:tblStylePr>
    <w:tblStylePr w:type="lastCo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auto"/>
      </w:tcPr>
    </w:tblStylePr>
    <w:tblStylePr w:type="band1Vert">
      <w:tblPr/>
      <w:tcPr>
        <w:shd w:val="clear" w:color="auto" w:fill="EAEEF0"/>
      </w:tcPr>
    </w:tblStylePr>
    <w:tblStylePr w:type="band2Vert">
      <w:tblPr/>
      <w:tcPr>
        <w:shd w:val="clear" w:color="auto" w:fill="EAEEF0"/>
      </w:tcPr>
    </w:tblStylePr>
    <w:tblStylePr w:type="band1Horz">
      <w:tblPr/>
      <w:tcPr>
        <w:shd w:val="clear" w:color="auto" w:fill="EAEEF0"/>
      </w:tcPr>
    </w:tblStylePr>
    <w:tblStylePr w:type="neCel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97ABB6" w:themeFill="accent1"/>
      </w:tcPr>
    </w:tblStylePr>
    <w:tblStylePr w:type="swCell">
      <w:tblPr/>
      <w:tcPr>
        <w:tcBorders>
          <w:top w:val="double" w:sz="4" w:space="0" w:color="97ABB6" w:themeColor="accent1"/>
          <w:left w:val="double" w:sz="4" w:space="0" w:color="97ABB6" w:themeColor="accent1"/>
          <w:bottom w:val="double" w:sz="4" w:space="0" w:color="97ABB6" w:themeColor="accent1"/>
          <w:right w:val="double" w:sz="4" w:space="0" w:color="97ABB6" w:themeColor="accent1"/>
          <w:insideH w:val="nil"/>
          <w:insideV w:val="nil"/>
          <w:tl2br w:val="nil"/>
          <w:tr2bl w:val="nil"/>
        </w:tcBorders>
        <w:shd w:val="clear" w:color="auto" w:fill="FFFFFF" w:themeFill="background1"/>
      </w:tcPr>
    </w:tblStylePr>
  </w:style>
  <w:style w:type="table" w:customStyle="1" w:styleId="Plainblue">
    <w:name w:val="Plain blue"/>
    <w:basedOn w:val="Greyplaintable"/>
    <w:uiPriority w:val="99"/>
    <w:rsid w:val="001E69AE"/>
    <w:pPr>
      <w:spacing w:after="0"/>
    </w:pPr>
    <w:tblPr/>
    <w:tcPr>
      <w:shd w:val="clear" w:color="auto" w:fill="auto"/>
    </w:tcPr>
    <w:tblStylePr w:type="firstRow">
      <w:pPr>
        <w:wordWrap/>
      </w:pPr>
      <w:rPr>
        <w:rFonts w:ascii="Arial" w:hAnsi="Arial"/>
        <w:b/>
        <w:color w:val="FFFFFF" w:themeColor="background1"/>
        <w:sz w:val="18"/>
      </w:rPr>
      <w:tblPr/>
      <w:tcPr>
        <w:tcBorders>
          <w:top w:val="single" w:sz="4" w:space="0" w:color="D5DDE1" w:themeColor="accent1" w:themeTint="66"/>
          <w:left w:val="single" w:sz="4" w:space="0" w:color="D5DDE1" w:themeColor="accent1" w:themeTint="66"/>
          <w:bottom w:val="single" w:sz="4" w:space="0" w:color="D5DDE1" w:themeColor="accent1" w:themeTint="66"/>
          <w:right w:val="single" w:sz="4" w:space="0" w:color="D5DDE1" w:themeColor="accent1" w:themeTint="66"/>
          <w:insideH w:val="single" w:sz="4" w:space="0" w:color="D5DDE1" w:themeColor="accent1" w:themeTint="66"/>
          <w:insideV w:val="single" w:sz="4" w:space="0" w:color="D5DDE1" w:themeColor="accent1" w:themeTint="66"/>
          <w:tl2br w:val="nil"/>
          <w:tr2bl w:val="nil"/>
        </w:tcBorders>
        <w:shd w:val="clear" w:color="auto" w:fill="049CD5" w:themeFill="accent3"/>
      </w:tcPr>
    </w:tblStylePr>
    <w:tblStylePr w:type="lastRow">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double" w:sz="4" w:space="0" w:color="C0CCD3" w:themeColor="accent1" w:themeTint="99"/>
          <w:insideV w:val="double" w:sz="4" w:space="0" w:color="C0CCD3" w:themeColor="accent1" w:themeTint="99"/>
          <w:tl2br w:val="nil"/>
          <w:tr2bl w:val="nil"/>
        </w:tcBorders>
        <w:shd w:val="clear" w:color="auto" w:fill="auto"/>
      </w:tcPr>
    </w:tblStylePr>
    <w:tblStylePr w:type="firstCol">
      <w:rPr>
        <w:rFonts w:ascii="Arial" w:hAnsi="Arial"/>
        <w:b w:val="0"/>
        <w:i w:val="0"/>
        <w:color w:val="auto"/>
        <w:sz w:val="18"/>
      </w:rPr>
      <w:tblPr/>
      <w:tcPr>
        <w:shd w:val="clear" w:color="auto" w:fill="FFFFFF" w:themeFill="background1"/>
      </w:tcPr>
    </w:tblStylePr>
    <w:tblStylePr w:type="lastCo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FFFFFF" w:themeFill="background1"/>
      </w:tcPr>
    </w:tblStylePr>
    <w:tblStylePr w:type="band1Vert">
      <w:tblPr/>
      <w:tcPr>
        <w:shd w:val="clear" w:color="auto" w:fill="EAEEF0"/>
      </w:tcPr>
    </w:tblStylePr>
    <w:tblStylePr w:type="band2Vert">
      <w:tblPr/>
      <w:tcPr>
        <w:shd w:val="clear" w:color="auto" w:fill="EAEEF0"/>
      </w:tcPr>
    </w:tblStylePr>
    <w:tblStylePr w:type="band1Horz">
      <w:tblPr/>
      <w:tcPr>
        <w:shd w:val="clear" w:color="auto" w:fill="EAEEF0"/>
      </w:tcPr>
    </w:tblStylePr>
    <w:tblStylePr w:type="neCel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049CD5" w:themeFill="accent3"/>
      </w:tcPr>
    </w:tblStylePr>
    <w:tblStylePr w:type="swCell">
      <w:tblPr/>
      <w:tcPr>
        <w:tcBorders>
          <w:top w:val="double" w:sz="4" w:space="0" w:color="97ABB6" w:themeColor="accent1"/>
          <w:left w:val="double" w:sz="4" w:space="0" w:color="97ABB6" w:themeColor="accent1"/>
          <w:bottom w:val="double" w:sz="4" w:space="0" w:color="97ABB6" w:themeColor="accent1"/>
          <w:right w:val="double" w:sz="4" w:space="0" w:color="97ABB6" w:themeColor="accent1"/>
          <w:insideH w:val="nil"/>
          <w:insideV w:val="nil"/>
          <w:tl2br w:val="nil"/>
          <w:tr2bl w:val="nil"/>
        </w:tcBorders>
        <w:shd w:val="clear" w:color="auto" w:fill="FFFFFF" w:themeFill="background1"/>
      </w:tcPr>
    </w:tblStylePr>
  </w:style>
  <w:style w:type="table" w:customStyle="1" w:styleId="Plaingreen">
    <w:name w:val="Plain green"/>
    <w:basedOn w:val="Plainblue"/>
    <w:uiPriority w:val="99"/>
    <w:rsid w:val="001E69AE"/>
    <w:tblPr/>
    <w:tcPr>
      <w:shd w:val="clear" w:color="auto" w:fill="auto"/>
    </w:tcPr>
    <w:tblStylePr w:type="firstRow">
      <w:pPr>
        <w:wordWrap/>
      </w:pPr>
      <w:rPr>
        <w:rFonts w:ascii="Arial" w:hAnsi="Arial"/>
        <w:b/>
        <w:color w:val="FFFFFF" w:themeColor="background1"/>
        <w:sz w:val="18"/>
      </w:rPr>
      <w:tblPr/>
      <w:tcPr>
        <w:tcBorders>
          <w:top w:val="single" w:sz="4" w:space="0" w:color="D5DDE1" w:themeColor="accent1" w:themeTint="66"/>
          <w:left w:val="single" w:sz="4" w:space="0" w:color="D5DDE1" w:themeColor="accent1" w:themeTint="66"/>
          <w:bottom w:val="single" w:sz="4" w:space="0" w:color="D5DDE1" w:themeColor="accent1" w:themeTint="66"/>
          <w:right w:val="single" w:sz="4" w:space="0" w:color="D5DDE1" w:themeColor="accent1" w:themeTint="66"/>
          <w:insideH w:val="single" w:sz="4" w:space="0" w:color="D5DDE1" w:themeColor="accent1" w:themeTint="66"/>
          <w:insideV w:val="single" w:sz="4" w:space="0" w:color="D5DDE1" w:themeColor="accent1" w:themeTint="66"/>
          <w:tl2br w:val="nil"/>
          <w:tr2bl w:val="nil"/>
        </w:tcBorders>
        <w:shd w:val="clear" w:color="auto" w:fill="4FAA5F" w:themeFill="accent2"/>
      </w:tcPr>
    </w:tblStylePr>
    <w:tblStylePr w:type="lastRow">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double" w:sz="4" w:space="0" w:color="C0CCD3" w:themeColor="accent1" w:themeTint="99"/>
          <w:insideV w:val="double" w:sz="4" w:space="0" w:color="C0CCD3" w:themeColor="accent1" w:themeTint="99"/>
          <w:tl2br w:val="nil"/>
          <w:tr2bl w:val="nil"/>
        </w:tcBorders>
        <w:shd w:val="clear" w:color="auto" w:fill="auto"/>
      </w:tcPr>
    </w:tblStylePr>
    <w:tblStylePr w:type="firstCol">
      <w:rPr>
        <w:rFonts w:ascii="Arial" w:hAnsi="Arial"/>
        <w:b w:val="0"/>
        <w:i w:val="0"/>
        <w:color w:val="auto"/>
        <w:sz w:val="18"/>
      </w:rPr>
      <w:tblPr/>
      <w:tcPr>
        <w:shd w:val="clear" w:color="auto" w:fill="FFFFFF" w:themeFill="background1"/>
      </w:tcPr>
    </w:tblStylePr>
    <w:tblStylePr w:type="lastCo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FFFFFF" w:themeFill="background1"/>
      </w:tcPr>
    </w:tblStylePr>
    <w:tblStylePr w:type="band1Vert">
      <w:tblPr/>
      <w:tcPr>
        <w:shd w:val="clear" w:color="auto" w:fill="EAEEF0"/>
      </w:tcPr>
    </w:tblStylePr>
    <w:tblStylePr w:type="band2Vert">
      <w:tblPr/>
      <w:tcPr>
        <w:shd w:val="clear" w:color="auto" w:fill="EAEEF0"/>
      </w:tcPr>
    </w:tblStylePr>
    <w:tblStylePr w:type="band1Horz">
      <w:tblPr/>
      <w:tcPr>
        <w:shd w:val="clear" w:color="auto" w:fill="EAEEF0"/>
      </w:tcPr>
    </w:tblStylePr>
    <w:tblStylePr w:type="neCel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4FAA5F" w:themeFill="accent2"/>
      </w:tcPr>
    </w:tblStylePr>
    <w:tblStylePr w:type="swCell">
      <w:tblPr/>
      <w:tcPr>
        <w:tcBorders>
          <w:top w:val="double" w:sz="4" w:space="0" w:color="97ABB6" w:themeColor="accent1"/>
          <w:left w:val="double" w:sz="4" w:space="0" w:color="97ABB6" w:themeColor="accent1"/>
          <w:bottom w:val="double" w:sz="4" w:space="0" w:color="97ABB6" w:themeColor="accent1"/>
          <w:right w:val="double" w:sz="4" w:space="0" w:color="97ABB6" w:themeColor="accent1"/>
          <w:insideH w:val="nil"/>
          <w:insideV w:val="nil"/>
          <w:tl2br w:val="nil"/>
          <w:tr2bl w:val="nil"/>
        </w:tcBorders>
        <w:shd w:val="clear" w:color="auto" w:fill="FFFFFF" w:themeFill="background1"/>
      </w:tcPr>
    </w:tblStylePr>
  </w:style>
  <w:style w:type="table" w:customStyle="1" w:styleId="Plainpurple">
    <w:name w:val="Plain purple"/>
    <w:basedOn w:val="Plainblue"/>
    <w:uiPriority w:val="99"/>
    <w:rsid w:val="001E69AE"/>
    <w:tblPr/>
    <w:tcPr>
      <w:shd w:val="clear" w:color="auto" w:fill="auto"/>
    </w:tcPr>
    <w:tblStylePr w:type="firstRow">
      <w:pPr>
        <w:wordWrap/>
      </w:pPr>
      <w:rPr>
        <w:rFonts w:ascii="Arial" w:hAnsi="Arial"/>
        <w:b/>
        <w:color w:val="FFFFFF" w:themeColor="background1"/>
        <w:sz w:val="18"/>
      </w:rPr>
      <w:tblPr/>
      <w:tcPr>
        <w:tcBorders>
          <w:top w:val="single" w:sz="4" w:space="0" w:color="D5DDE1" w:themeColor="accent1" w:themeTint="66"/>
          <w:left w:val="single" w:sz="4" w:space="0" w:color="D5DDE1" w:themeColor="accent1" w:themeTint="66"/>
          <w:bottom w:val="single" w:sz="4" w:space="0" w:color="D5DDE1" w:themeColor="accent1" w:themeTint="66"/>
          <w:right w:val="single" w:sz="4" w:space="0" w:color="D5DDE1" w:themeColor="accent1" w:themeTint="66"/>
          <w:insideH w:val="single" w:sz="4" w:space="0" w:color="D5DDE1" w:themeColor="accent1" w:themeTint="66"/>
          <w:insideV w:val="single" w:sz="4" w:space="0" w:color="D5DDE1" w:themeColor="accent1" w:themeTint="66"/>
          <w:tl2br w:val="nil"/>
          <w:tr2bl w:val="nil"/>
        </w:tcBorders>
        <w:shd w:val="clear" w:color="auto" w:fill="5F5CB6" w:themeFill="accent4"/>
      </w:tcPr>
    </w:tblStylePr>
    <w:tblStylePr w:type="lastRow">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double" w:sz="4" w:space="0" w:color="C0CCD3" w:themeColor="accent1" w:themeTint="99"/>
          <w:insideV w:val="double" w:sz="4" w:space="0" w:color="C0CCD3" w:themeColor="accent1" w:themeTint="99"/>
          <w:tl2br w:val="nil"/>
          <w:tr2bl w:val="nil"/>
        </w:tcBorders>
        <w:shd w:val="clear" w:color="auto" w:fill="auto"/>
      </w:tcPr>
    </w:tblStylePr>
    <w:tblStylePr w:type="firstCol">
      <w:rPr>
        <w:rFonts w:ascii="Arial" w:hAnsi="Arial"/>
        <w:b w:val="0"/>
        <w:i w:val="0"/>
        <w:color w:val="auto"/>
        <w:sz w:val="18"/>
      </w:rPr>
      <w:tblPr/>
      <w:tcPr>
        <w:shd w:val="clear" w:color="auto" w:fill="FFFFFF" w:themeFill="background1"/>
      </w:tcPr>
    </w:tblStylePr>
    <w:tblStylePr w:type="lastCo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FFFFFF" w:themeFill="background1"/>
      </w:tcPr>
    </w:tblStylePr>
    <w:tblStylePr w:type="band1Vert">
      <w:tblPr/>
      <w:tcPr>
        <w:shd w:val="clear" w:color="auto" w:fill="EAEEF0"/>
      </w:tcPr>
    </w:tblStylePr>
    <w:tblStylePr w:type="band2Vert">
      <w:tblPr/>
      <w:tcPr>
        <w:shd w:val="clear" w:color="auto" w:fill="EAEEF0"/>
      </w:tcPr>
    </w:tblStylePr>
    <w:tblStylePr w:type="band1Horz">
      <w:tblPr/>
      <w:tcPr>
        <w:shd w:val="clear" w:color="auto" w:fill="EAEEF0"/>
      </w:tcPr>
    </w:tblStylePr>
    <w:tblStylePr w:type="neCell">
      <w:tblPr/>
      <w:tcPr>
        <w:tcBorders>
          <w:top w:val="double" w:sz="4" w:space="0" w:color="C0CCD3" w:themeColor="accent1" w:themeTint="99"/>
          <w:left w:val="double" w:sz="4" w:space="0" w:color="C0CCD3" w:themeColor="accent1" w:themeTint="99"/>
          <w:bottom w:val="double" w:sz="4" w:space="0" w:color="C0CCD3" w:themeColor="accent1" w:themeTint="99"/>
          <w:right w:val="double" w:sz="4" w:space="0" w:color="C0CCD3" w:themeColor="accent1" w:themeTint="99"/>
          <w:insideH w:val="nil"/>
          <w:insideV w:val="nil"/>
          <w:tl2br w:val="nil"/>
          <w:tr2bl w:val="nil"/>
        </w:tcBorders>
        <w:shd w:val="clear" w:color="auto" w:fill="5F5CB6" w:themeFill="accent4"/>
      </w:tcPr>
    </w:tblStylePr>
    <w:tblStylePr w:type="swCell">
      <w:tblPr/>
      <w:tcPr>
        <w:tcBorders>
          <w:top w:val="double" w:sz="4" w:space="0" w:color="97ABB6" w:themeColor="accent1"/>
          <w:left w:val="double" w:sz="4" w:space="0" w:color="97ABB6" w:themeColor="accent1"/>
          <w:bottom w:val="double" w:sz="4" w:space="0" w:color="97ABB6" w:themeColor="accent1"/>
          <w:right w:val="double" w:sz="4" w:space="0" w:color="97ABB6" w:themeColor="accent1"/>
          <w:insideH w:val="nil"/>
          <w:insideV w:val="nil"/>
          <w:tl2br w:val="nil"/>
          <w:tr2bl w:val="nil"/>
        </w:tcBorders>
        <w:shd w:val="clear" w:color="auto" w:fill="FFFFFF" w:themeFill="background1"/>
      </w:tcPr>
    </w:tblStylePr>
  </w:style>
  <w:style w:type="paragraph" w:customStyle="1" w:styleId="Tablebodytext">
    <w:name w:val="Table body text"/>
    <w:basedOn w:val="Normal"/>
    <w:link w:val="TablebodytextChar"/>
    <w:uiPriority w:val="4"/>
    <w:qFormat/>
    <w:rsid w:val="00243681"/>
    <w:pPr>
      <w:spacing w:before="60" w:after="60"/>
    </w:pPr>
    <w:rPr>
      <w:rFonts w:ascii="Arial" w:hAnsi="Arial"/>
      <w:sz w:val="18"/>
    </w:rPr>
  </w:style>
  <w:style w:type="paragraph" w:customStyle="1" w:styleId="TablebulletsL1">
    <w:name w:val="Table bullets L1"/>
    <w:basedOn w:val="Tablebodytext"/>
    <w:link w:val="TablebulletsL1Char"/>
    <w:uiPriority w:val="4"/>
    <w:qFormat/>
    <w:rsid w:val="002872F2"/>
    <w:pPr>
      <w:numPr>
        <w:numId w:val="18"/>
      </w:numPr>
      <w:suppressAutoHyphens/>
      <w:ind w:left="357" w:hanging="357"/>
      <w:textboxTightWrap w:val="allLines"/>
    </w:pPr>
  </w:style>
  <w:style w:type="character" w:customStyle="1" w:styleId="TablebodytextChar">
    <w:name w:val="Table body text Char"/>
    <w:basedOn w:val="DefaultParagraphFont"/>
    <w:link w:val="Tablebodytext"/>
    <w:uiPriority w:val="4"/>
    <w:rsid w:val="00862006"/>
    <w:rPr>
      <w:rFonts w:ascii="Arial" w:hAnsi="Arial"/>
      <w:sz w:val="18"/>
    </w:rPr>
  </w:style>
  <w:style w:type="paragraph" w:customStyle="1" w:styleId="TablebulletsL2">
    <w:name w:val="Table bullets L2"/>
    <w:basedOn w:val="TablebulletsL1"/>
    <w:link w:val="TablebulletsL2Char"/>
    <w:uiPriority w:val="4"/>
    <w:qFormat/>
    <w:rsid w:val="002872F2"/>
    <w:pPr>
      <w:numPr>
        <w:numId w:val="19"/>
      </w:numPr>
      <w:ind w:left="641" w:hanging="357"/>
    </w:pPr>
  </w:style>
  <w:style w:type="character" w:customStyle="1" w:styleId="TablebulletsL1Char">
    <w:name w:val="Table bullets L1 Char"/>
    <w:basedOn w:val="TablebodytextChar"/>
    <w:link w:val="TablebulletsL1"/>
    <w:uiPriority w:val="4"/>
    <w:rsid w:val="00862006"/>
    <w:rPr>
      <w:rFonts w:ascii="Arial" w:hAnsi="Arial"/>
      <w:sz w:val="18"/>
    </w:rPr>
  </w:style>
  <w:style w:type="character" w:customStyle="1" w:styleId="TablebulletsL2Char">
    <w:name w:val="Table bullets L2 Char"/>
    <w:basedOn w:val="TablebulletsL1Char"/>
    <w:link w:val="TablebulletsL2"/>
    <w:uiPriority w:val="4"/>
    <w:rsid w:val="00862006"/>
    <w:rPr>
      <w:rFonts w:ascii="Arial" w:hAnsi="Arial"/>
      <w:sz w:val="18"/>
    </w:rPr>
  </w:style>
  <w:style w:type="table" w:customStyle="1" w:styleId="TableGrid20">
    <w:name w:val="Table Grid2"/>
    <w:basedOn w:val="TableNormal"/>
    <w:next w:val="TableGrid"/>
    <w:rsid w:val="009D4222"/>
    <w:pPr>
      <w:spacing w:before="77" w:after="113" w:line="25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rsid w:val="00AB2F1B"/>
    <w:pPr>
      <w:spacing w:before="77" w:after="113" w:line="25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rsid w:val="00AB2F1B"/>
    <w:pPr>
      <w:spacing w:before="77" w:after="113" w:line="25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53180"/>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083437">
      <w:bodyDiv w:val="1"/>
      <w:marLeft w:val="0"/>
      <w:marRight w:val="0"/>
      <w:marTop w:val="0"/>
      <w:marBottom w:val="0"/>
      <w:divBdr>
        <w:top w:val="none" w:sz="0" w:space="0" w:color="auto"/>
        <w:left w:val="none" w:sz="0" w:space="0" w:color="auto"/>
        <w:bottom w:val="none" w:sz="0" w:space="0" w:color="auto"/>
        <w:right w:val="none" w:sz="0" w:space="0" w:color="auto"/>
      </w:divBdr>
    </w:div>
    <w:div w:id="768893228">
      <w:bodyDiv w:val="1"/>
      <w:marLeft w:val="0"/>
      <w:marRight w:val="0"/>
      <w:marTop w:val="0"/>
      <w:marBottom w:val="0"/>
      <w:divBdr>
        <w:top w:val="none" w:sz="0" w:space="0" w:color="auto"/>
        <w:left w:val="none" w:sz="0" w:space="0" w:color="auto"/>
        <w:bottom w:val="none" w:sz="0" w:space="0" w:color="auto"/>
        <w:right w:val="none" w:sz="0" w:space="0" w:color="auto"/>
      </w:divBdr>
    </w:div>
    <w:div w:id="1053116492">
      <w:bodyDiv w:val="1"/>
      <w:marLeft w:val="0"/>
      <w:marRight w:val="0"/>
      <w:marTop w:val="0"/>
      <w:marBottom w:val="0"/>
      <w:divBdr>
        <w:top w:val="none" w:sz="0" w:space="0" w:color="auto"/>
        <w:left w:val="none" w:sz="0" w:space="0" w:color="auto"/>
        <w:bottom w:val="none" w:sz="0" w:space="0" w:color="auto"/>
        <w:right w:val="none" w:sz="0" w:space="0" w:color="auto"/>
      </w:divBdr>
    </w:div>
    <w:div w:id="1224297714">
      <w:bodyDiv w:val="1"/>
      <w:marLeft w:val="0"/>
      <w:marRight w:val="0"/>
      <w:marTop w:val="0"/>
      <w:marBottom w:val="0"/>
      <w:divBdr>
        <w:top w:val="none" w:sz="0" w:space="0" w:color="auto"/>
        <w:left w:val="none" w:sz="0" w:space="0" w:color="auto"/>
        <w:bottom w:val="none" w:sz="0" w:space="0" w:color="auto"/>
        <w:right w:val="none" w:sz="0" w:space="0" w:color="auto"/>
      </w:divBdr>
    </w:div>
    <w:div w:id="1392148030">
      <w:bodyDiv w:val="1"/>
      <w:marLeft w:val="0"/>
      <w:marRight w:val="0"/>
      <w:marTop w:val="0"/>
      <w:marBottom w:val="0"/>
      <w:divBdr>
        <w:top w:val="none" w:sz="0" w:space="0" w:color="auto"/>
        <w:left w:val="none" w:sz="0" w:space="0" w:color="auto"/>
        <w:bottom w:val="none" w:sz="0" w:space="0" w:color="auto"/>
        <w:right w:val="none" w:sz="0" w:space="0" w:color="auto"/>
      </w:divBdr>
    </w:div>
    <w:div w:id="1724717404">
      <w:bodyDiv w:val="1"/>
      <w:marLeft w:val="0"/>
      <w:marRight w:val="0"/>
      <w:marTop w:val="0"/>
      <w:marBottom w:val="0"/>
      <w:divBdr>
        <w:top w:val="none" w:sz="0" w:space="0" w:color="auto"/>
        <w:left w:val="none" w:sz="0" w:space="0" w:color="auto"/>
        <w:bottom w:val="none" w:sz="0" w:space="0" w:color="auto"/>
        <w:right w:val="none" w:sz="0" w:space="0" w:color="auto"/>
      </w:divBdr>
    </w:div>
    <w:div w:id="1793203701">
      <w:bodyDiv w:val="1"/>
      <w:marLeft w:val="0"/>
      <w:marRight w:val="0"/>
      <w:marTop w:val="0"/>
      <w:marBottom w:val="0"/>
      <w:divBdr>
        <w:top w:val="none" w:sz="0" w:space="0" w:color="auto"/>
        <w:left w:val="none" w:sz="0" w:space="0" w:color="auto"/>
        <w:bottom w:val="none" w:sz="0" w:space="0" w:color="auto"/>
        <w:right w:val="none" w:sz="0" w:space="0" w:color="auto"/>
      </w:divBdr>
    </w:div>
    <w:div w:id="1843085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4.jpeg"/><Relationship Id="rId21" Type="http://schemas.openxmlformats.org/officeDocument/2006/relationships/image" Target="media/image11.png"/><Relationship Id="rId34" Type="http://schemas.openxmlformats.org/officeDocument/2006/relationships/image" Target="media/image20.jpeg"/><Relationship Id="rId55" Type="http://schemas.openxmlformats.org/officeDocument/2006/relationships/hyperlink" Target="https://doi.org/10.1007/s10230-005-0084-0" TargetMode="External"/><Relationship Id="rId63" Type="http://schemas.openxmlformats.org/officeDocument/2006/relationships/customXml" Target="../customXml/item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footer" Target="footer5.xml"/><Relationship Id="rId11" Type="http://schemas.openxmlformats.org/officeDocument/2006/relationships/footer" Target="footer3.xml"/><Relationship Id="rId24" Type="http://schemas.openxmlformats.org/officeDocument/2006/relationships/footer" Target="footer4.xml"/><Relationship Id="rId32" Type="http://schemas.openxmlformats.org/officeDocument/2006/relationships/image" Target="media/image18.jpeg"/><Relationship Id="rId53" Type="http://schemas.openxmlformats.org/officeDocument/2006/relationships/image" Target="media/image23.jpe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header" Target="header2.xml"/><Relationship Id="rId36" Type="http://schemas.openxmlformats.org/officeDocument/2006/relationships/hyperlink" Target="https://iesc.environment.gov.au/publications/information-guidelines-independent-expert-scientific-committee-advice-coal-seam-gas" TargetMode="External"/><Relationship Id="rId57" Type="http://schemas.openxmlformats.org/officeDocument/2006/relationships/footer" Target="footer6.xml"/><Relationship Id="rId61" Type="http://schemas.openxmlformats.org/officeDocument/2006/relationships/customXml" Target="../customXml/item1.xml"/><Relationship Id="rId10" Type="http://schemas.openxmlformats.org/officeDocument/2006/relationships/footer" Target="footer2.xml"/><Relationship Id="rId19" Type="http://schemas.openxmlformats.org/officeDocument/2006/relationships/image" Target="media/image10.emf"/><Relationship Id="rId31" Type="http://schemas.openxmlformats.org/officeDocument/2006/relationships/image" Target="media/image17.jpeg"/><Relationship Id="rId52" Type="http://schemas.openxmlformats.org/officeDocument/2006/relationships/image" Target="media/image22.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hyperlink" Target="https://iesc.environment.gov.au/publications/information-guidelines-independent-expert-scientific-committee-advice-coal-seam-gas"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19.jpeg"/><Relationship Id="rId59" Type="http://schemas.openxmlformats.org/officeDocument/2006/relationships/glossaryDocument" Target="glossary/document.xml"/><Relationship Id="rId20" Type="http://schemas.openxmlformats.org/officeDocument/2006/relationships/oleObject" Target="embeddings/oleObject1.bin"/><Relationship Id="rId54" Type="http://schemas.openxmlformats.org/officeDocument/2006/relationships/hyperlink" Target="https://www.qrc.org.au/wp-content/uploads/2020/11/190320-Anglo-Dawson-Leading-Rehabiltiation-Case-Studies.pdf" TargetMode="External"/><Relationship Id="rId62"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004C15CB-EF95-4D87-8FF0-2EDEF7694DFF}"/>
      </w:docPartPr>
      <w:docPartBody>
        <w:p w:rsidR="00212B12" w:rsidRDefault="000467C0">
          <w:r w:rsidRPr="0022626F">
            <w:rPr>
              <w:rStyle w:val="PlaceholderText"/>
            </w:rPr>
            <w:t>Click or tap here to enter text.</w:t>
          </w:r>
        </w:p>
      </w:docPartBody>
    </w:docPart>
    <w:docPart>
      <w:docPartPr>
        <w:name w:val="8D5B564F7FAE480F839BE78949C8F377"/>
        <w:category>
          <w:name w:val="General"/>
          <w:gallery w:val="placeholder"/>
        </w:category>
        <w:types>
          <w:type w:val="bbPlcHdr"/>
        </w:types>
        <w:behaviors>
          <w:behavior w:val="content"/>
        </w:behaviors>
        <w:guid w:val="{B20CFD31-43A6-46C5-A351-2C097E1432C0}"/>
      </w:docPartPr>
      <w:docPartBody>
        <w:p w:rsidR="00212B12" w:rsidRDefault="000467C0" w:rsidP="000467C0">
          <w:pPr>
            <w:pStyle w:val="4CD6755EDB8546E8BDD274191148DD4D"/>
          </w:pPr>
          <w:r w:rsidRPr="00577EF2">
            <w:rPr>
              <w:rStyle w:val="PlaceholderText"/>
            </w:rPr>
            <w:t>Click or tap here to enter text.</w:t>
          </w:r>
        </w:p>
      </w:docPartBody>
    </w:docPart>
    <w:docPart>
      <w:docPartPr>
        <w:name w:val="4CD6755EDB8546E8BDD274191148DD4D"/>
        <w:category>
          <w:name w:val="General"/>
          <w:gallery w:val="placeholder"/>
        </w:category>
        <w:types>
          <w:type w:val="bbPlcHdr"/>
        </w:types>
        <w:behaviors>
          <w:behavior w:val="content"/>
        </w:behaviors>
        <w:guid w:val="{E2BB2B81-AA2D-450E-A7C1-42BBA3727391}"/>
      </w:docPartPr>
      <w:docPartBody>
        <w:p w:rsidR="00212B12" w:rsidRDefault="000467C0" w:rsidP="000467C0">
          <w:pPr>
            <w:pStyle w:val="1A7ED8B69F514A0A8D49A70B566F7FE0"/>
          </w:pPr>
          <w:r w:rsidRPr="00577EF2">
            <w:rPr>
              <w:rStyle w:val="PlaceholderText"/>
            </w:rPr>
            <w:t>Click or tap here to enter text.</w:t>
          </w:r>
        </w:p>
      </w:docPartBody>
    </w:docPart>
    <w:docPart>
      <w:docPartPr>
        <w:name w:val="39FF0D09EB6549C48972906FBB0E7EB5"/>
        <w:category>
          <w:name w:val="General"/>
          <w:gallery w:val="placeholder"/>
        </w:category>
        <w:types>
          <w:type w:val="bbPlcHdr"/>
        </w:types>
        <w:behaviors>
          <w:behavior w:val="content"/>
        </w:behaviors>
        <w:guid w:val="{E41962E6-8745-40A3-AE96-A50B62FC7FD8}"/>
      </w:docPartPr>
      <w:docPartBody>
        <w:p w:rsidR="00212B12" w:rsidRDefault="007F7FB3" w:rsidP="000467C0">
          <w:r>
            <w:t>Our ref</w:t>
          </w:r>
        </w:p>
      </w:docPartBody>
    </w:docPart>
    <w:docPart>
      <w:docPartPr>
        <w:name w:val="E4531DE34E4F421996043EF33BB205FA"/>
        <w:category>
          <w:name w:val="General"/>
          <w:gallery w:val="placeholder"/>
        </w:category>
        <w:types>
          <w:type w:val="bbPlcHdr"/>
        </w:types>
        <w:behaviors>
          <w:behavior w:val="content"/>
        </w:behaviors>
        <w:guid w:val="{E33E46C7-09BB-4500-9183-CB2BC50450F8}"/>
      </w:docPartPr>
      <w:docPartBody>
        <w:p w:rsidR="002124EC" w:rsidRDefault="00F5658D" w:rsidP="00F5658D">
          <w:r w:rsidRPr="00577EF2">
            <w:rPr>
              <w:rStyle w:val="PlaceholderText"/>
            </w:rPr>
            <w:t>Click or tap here to enter text.</w:t>
          </w:r>
        </w:p>
      </w:docPartBody>
    </w:docPart>
    <w:docPart>
      <w:docPartPr>
        <w:name w:val="BA6DEA013DD942889F836F955D6914B1"/>
        <w:category>
          <w:name w:val="General"/>
          <w:gallery w:val="placeholder"/>
        </w:category>
        <w:types>
          <w:type w:val="bbPlcHdr"/>
        </w:types>
        <w:behaviors>
          <w:behavior w:val="content"/>
        </w:behaviors>
        <w:guid w:val="{E00DD30A-C5F3-4DBC-BE5F-4A6D33FD91CF}"/>
      </w:docPartPr>
      <w:docPartBody>
        <w:p w:rsidR="00DE05E8" w:rsidRDefault="007F7FB3" w:rsidP="002124EC">
          <w:r w:rsidRPr="00F52022">
            <w:t>BussinesNumber</w:t>
          </w:r>
        </w:p>
      </w:docPartBody>
    </w:docPart>
    <w:docPart>
      <w:docPartPr>
        <w:name w:val="1A7ED8B69F514A0A8D49A70B566F7FE0"/>
        <w:category>
          <w:name w:val="General"/>
          <w:gallery w:val="placeholder"/>
        </w:category>
        <w:types>
          <w:type w:val="bbPlcHdr"/>
        </w:types>
        <w:behaviors>
          <w:behavior w:val="content"/>
        </w:behaviors>
        <w:guid w:val="{10B0FA74-57B5-4558-8123-DA9AD85F9409}"/>
      </w:docPartPr>
      <w:docPartBody>
        <w:p w:rsidR="0010239F" w:rsidRDefault="002D2E9D" w:rsidP="002D2E9D">
          <w:r w:rsidRPr="0022626F">
            <w:rPr>
              <w:rStyle w:val="PlaceholderText"/>
            </w:rPr>
            <w:t>Click or tap here to enter text.</w:t>
          </w:r>
        </w:p>
      </w:docPartBody>
    </w:docPart>
    <w:docPart>
      <w:docPartPr>
        <w:name w:val="44A2AE400DFC405AA18F79FE7919E7AE"/>
        <w:category>
          <w:name w:val="General"/>
          <w:gallery w:val="placeholder"/>
        </w:category>
        <w:types>
          <w:type w:val="bbPlcHdr"/>
        </w:types>
        <w:behaviors>
          <w:behavior w:val="content"/>
        </w:behaviors>
        <w:guid w:val="{4EA2F03C-6AD9-4C29-A0C7-BCFC68F4BCC6}"/>
      </w:docPartPr>
      <w:docPartBody>
        <w:p w:rsidR="00B9678C" w:rsidRDefault="00960C24" w:rsidP="00960C24">
          <w:r w:rsidRPr="00577EF2">
            <w:rPr>
              <w:rStyle w:val="PlaceholderText"/>
            </w:rPr>
            <w:t>Click or tap here to enter text.</w:t>
          </w:r>
        </w:p>
      </w:docPartBody>
    </w:docPart>
    <w:docPart>
      <w:docPartPr>
        <w:name w:val="191394EF0D524E6794B7BDEB3FAC2B7C"/>
        <w:category>
          <w:name w:val="General"/>
          <w:gallery w:val="placeholder"/>
        </w:category>
        <w:types>
          <w:type w:val="bbPlcHdr"/>
        </w:types>
        <w:behaviors>
          <w:behavior w:val="content"/>
        </w:behaviors>
        <w:guid w:val="{DB5EF0AC-064A-4968-8A21-2CF36E734388}"/>
      </w:docPartPr>
      <w:docPartBody>
        <w:p w:rsidR="00B9678C" w:rsidRDefault="00960C24" w:rsidP="00960C24">
          <w:r w:rsidRPr="00577EF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TT)">
    <w:altName w:val="Arial"/>
    <w:panose1 w:val="00000000000000000000"/>
    <w:charset w:val="00"/>
    <w:family w:val="auto"/>
    <w:notTrueType/>
    <w:pitch w:val="default"/>
    <w:sig w:usb0="00000003" w:usb1="00000000" w:usb2="00000000" w:usb3="00000000" w:csb0="00000001" w:csb1="00000000"/>
  </w:font>
  <w:font w:name="Tahoma">
    <w:altName w:val="?l?r ??u!??I"/>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MT">
    <w:altName w:val="MS Mincho"/>
    <w:panose1 w:val="00000000000000000000"/>
    <w:charset w:val="80"/>
    <w:family w:val="auto"/>
    <w:notTrueType/>
    <w:pitch w:val="default"/>
    <w:sig w:usb0="00000003" w:usb1="08070000" w:usb2="00000010" w:usb3="00000000" w:csb0="00020001" w:csb1="00000000"/>
  </w:font>
  <w:font w:name="PMingLiU">
    <w:altName w:val="新細明體"/>
    <w:panose1 w:val="02010601000101010101"/>
    <w:charset w:val="88"/>
    <w:family w:val="roman"/>
    <w:pitch w:val="variable"/>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67C0"/>
    <w:rsid w:val="000236B4"/>
    <w:rsid w:val="000252D9"/>
    <w:rsid w:val="000467C0"/>
    <w:rsid w:val="00070044"/>
    <w:rsid w:val="000A5596"/>
    <w:rsid w:val="000C350F"/>
    <w:rsid w:val="000E7997"/>
    <w:rsid w:val="0010239F"/>
    <w:rsid w:val="00117615"/>
    <w:rsid w:val="00122995"/>
    <w:rsid w:val="00123525"/>
    <w:rsid w:val="001347A5"/>
    <w:rsid w:val="001616EA"/>
    <w:rsid w:val="0016197F"/>
    <w:rsid w:val="00170318"/>
    <w:rsid w:val="00175A82"/>
    <w:rsid w:val="001A189A"/>
    <w:rsid w:val="001A381E"/>
    <w:rsid w:val="001D69E4"/>
    <w:rsid w:val="001E11B7"/>
    <w:rsid w:val="001E4A08"/>
    <w:rsid w:val="001F56E9"/>
    <w:rsid w:val="002034DE"/>
    <w:rsid w:val="002124EC"/>
    <w:rsid w:val="00212B12"/>
    <w:rsid w:val="00223384"/>
    <w:rsid w:val="00245B18"/>
    <w:rsid w:val="002A6F5D"/>
    <w:rsid w:val="002B2D6B"/>
    <w:rsid w:val="002D2E9D"/>
    <w:rsid w:val="00335596"/>
    <w:rsid w:val="00344730"/>
    <w:rsid w:val="00346B75"/>
    <w:rsid w:val="00356DB8"/>
    <w:rsid w:val="0036169A"/>
    <w:rsid w:val="00372B80"/>
    <w:rsid w:val="0038055C"/>
    <w:rsid w:val="00382AD2"/>
    <w:rsid w:val="0038764D"/>
    <w:rsid w:val="003B6E9B"/>
    <w:rsid w:val="003D21F4"/>
    <w:rsid w:val="003D6A89"/>
    <w:rsid w:val="00436489"/>
    <w:rsid w:val="005208C5"/>
    <w:rsid w:val="0055391B"/>
    <w:rsid w:val="005A6DEB"/>
    <w:rsid w:val="005B2831"/>
    <w:rsid w:val="005C0CE2"/>
    <w:rsid w:val="005C7636"/>
    <w:rsid w:val="005E790A"/>
    <w:rsid w:val="00635088"/>
    <w:rsid w:val="006A04E6"/>
    <w:rsid w:val="006D4257"/>
    <w:rsid w:val="006E6DA9"/>
    <w:rsid w:val="00702A22"/>
    <w:rsid w:val="007115F1"/>
    <w:rsid w:val="00727C32"/>
    <w:rsid w:val="007854F8"/>
    <w:rsid w:val="00785609"/>
    <w:rsid w:val="00792495"/>
    <w:rsid w:val="007D2DE2"/>
    <w:rsid w:val="007E414E"/>
    <w:rsid w:val="007F7FB3"/>
    <w:rsid w:val="00800FF5"/>
    <w:rsid w:val="00844D9E"/>
    <w:rsid w:val="00853507"/>
    <w:rsid w:val="008C583C"/>
    <w:rsid w:val="008D14D1"/>
    <w:rsid w:val="008D2696"/>
    <w:rsid w:val="00914089"/>
    <w:rsid w:val="00960C24"/>
    <w:rsid w:val="009A61A3"/>
    <w:rsid w:val="009D6625"/>
    <w:rsid w:val="009F193B"/>
    <w:rsid w:val="009F4529"/>
    <w:rsid w:val="00A270F4"/>
    <w:rsid w:val="00A55F9E"/>
    <w:rsid w:val="00A64F72"/>
    <w:rsid w:val="00A75905"/>
    <w:rsid w:val="00B103F5"/>
    <w:rsid w:val="00B523E9"/>
    <w:rsid w:val="00B90138"/>
    <w:rsid w:val="00B9678C"/>
    <w:rsid w:val="00BA22A5"/>
    <w:rsid w:val="00BA2489"/>
    <w:rsid w:val="00BA365F"/>
    <w:rsid w:val="00BF3AF3"/>
    <w:rsid w:val="00C00F8F"/>
    <w:rsid w:val="00C82EED"/>
    <w:rsid w:val="00CD402F"/>
    <w:rsid w:val="00CE7239"/>
    <w:rsid w:val="00CF10C7"/>
    <w:rsid w:val="00D12556"/>
    <w:rsid w:val="00D403C2"/>
    <w:rsid w:val="00D621C8"/>
    <w:rsid w:val="00D907A9"/>
    <w:rsid w:val="00DE05E8"/>
    <w:rsid w:val="00DF003F"/>
    <w:rsid w:val="00E34574"/>
    <w:rsid w:val="00E53184"/>
    <w:rsid w:val="00E6476E"/>
    <w:rsid w:val="00E65EF1"/>
    <w:rsid w:val="00E963B4"/>
    <w:rsid w:val="00ED6879"/>
    <w:rsid w:val="00F35C9A"/>
    <w:rsid w:val="00F45558"/>
    <w:rsid w:val="00F46524"/>
    <w:rsid w:val="00F5658D"/>
    <w:rsid w:val="00F751A4"/>
    <w:rsid w:val="00F8146A"/>
    <w:rsid w:val="00F93C2D"/>
    <w:rsid w:val="00F96E99"/>
    <w:rsid w:val="00FA7F10"/>
    <w:rsid w:val="00FB5F19"/>
    <w:rsid w:val="00FB6320"/>
    <w:rsid w:val="00FC1CF8"/>
    <w:rsid w:val="00FE754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A381E"/>
    <w:rPr>
      <w:color w:val="808080"/>
    </w:rPr>
  </w:style>
  <w:style w:type="paragraph" w:customStyle="1" w:styleId="4CD6755EDB8546E8BDD274191148DD4D">
    <w:name w:val="4CD6755EDB8546E8BDD274191148DD4D"/>
    <w:rsid w:val="000467C0"/>
  </w:style>
  <w:style w:type="paragraph" w:customStyle="1" w:styleId="1A7ED8B69F514A0A8D49A70B566F7FE0">
    <w:name w:val="1A7ED8B69F514A0A8D49A70B566F7FE0"/>
    <w:rsid w:val="002D2E9D"/>
    <w:rPr>
      <w:lang w:val="en-AU" w:eastAsia="en-AU"/>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Coffey Theme">
  <a:themeElements>
    <a:clrScheme name="Custom">
      <a:dk1>
        <a:sysClr val="windowText" lastClr="000000"/>
      </a:dk1>
      <a:lt1>
        <a:sysClr val="window" lastClr="FFFFFF"/>
      </a:lt1>
      <a:dk2>
        <a:srgbClr val="1F497D"/>
      </a:dk2>
      <a:lt2>
        <a:srgbClr val="FFFFFF"/>
      </a:lt2>
      <a:accent1>
        <a:srgbClr val="97ABB6"/>
      </a:accent1>
      <a:accent2>
        <a:srgbClr val="4FAA5F"/>
      </a:accent2>
      <a:accent3>
        <a:srgbClr val="049CD5"/>
      </a:accent3>
      <a:accent4>
        <a:srgbClr val="5F5CB6"/>
      </a:accent4>
      <a:accent5>
        <a:srgbClr val="97ABB6"/>
      </a:accent5>
      <a:accent6>
        <a:srgbClr val="97ABB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6055A2B6-207D-410D-B57F-2CE081000546}"/>
</file>

<file path=customXml/itemProps2.xml><?xml version="1.0" encoding="utf-8"?>
<ds:datastoreItem xmlns:ds="http://schemas.openxmlformats.org/officeDocument/2006/customXml" ds:itemID="{40DD3337-C47C-42D4-93AA-2433A011164D}"/>
</file>

<file path=customXml/itemProps3.xml><?xml version="1.0" encoding="utf-8"?>
<ds:datastoreItem xmlns:ds="http://schemas.openxmlformats.org/officeDocument/2006/customXml" ds:itemID="{DEABDC12-69BD-4E44-9FB4-9F69A769B411}"/>
</file>

<file path=docProps/app.xml><?xml version="1.0" encoding="utf-8"?>
<Properties xmlns="http://schemas.openxmlformats.org/officeDocument/2006/extended-properties" xmlns:vt="http://schemas.openxmlformats.org/officeDocument/2006/docPropsVTypes">
  <Template>Normal.dotm</Template>
  <TotalTime>2</TotalTime>
  <Pages>106</Pages>
  <Words>34971</Words>
  <Characters>199341</Characters>
  <Application>Microsoft Office Word</Application>
  <DocSecurity>4</DocSecurity>
  <Lines>1661</Lines>
  <Paragraphs>467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Scoping study - Coal mine voids, Queensland</dc:title>
  <dc:subject/>
  <dc:creator>Coffey Services Australia Pty Ltd</dc:creator>
  <cp:keywords/>
  <dc:description/>
  <cp:lastModifiedBy>Bec Durack</cp:lastModifiedBy>
  <cp:revision>2</cp:revision>
  <dcterms:created xsi:type="dcterms:W3CDTF">2021-11-16T00:32:00Z</dcterms:created>
  <dcterms:modified xsi:type="dcterms:W3CDTF">2021-11-16T00:32:00Z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