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4B" w:rsidRPr="003136E8" w:rsidRDefault="000A03E1" w:rsidP="00E05946">
      <w:pPr>
        <w:pStyle w:val="Heading1"/>
        <w:spacing w:before="1600"/>
        <w:rPr>
          <w:sz w:val="40"/>
          <w:szCs w:val="40"/>
        </w:rPr>
      </w:pPr>
      <w:bookmarkStart w:id="0" w:name="_Toc152649564"/>
      <w:bookmarkStart w:id="1" w:name="_Toc152653391"/>
      <w:bookmarkStart w:id="2" w:name="_Toc157852486"/>
      <w:bookmarkStart w:id="3" w:name="_Toc222293455"/>
      <w:bookmarkStart w:id="4" w:name="_Toc222730640"/>
      <w:bookmarkStart w:id="5" w:name="_Toc246411183"/>
      <w:bookmarkStart w:id="6" w:name="_Toc313281796"/>
      <w:bookmarkStart w:id="7" w:name="_Toc317095707"/>
      <w:r>
        <w:rPr>
          <w:sz w:val="40"/>
          <w:szCs w:val="40"/>
        </w:rPr>
        <w:t xml:space="preserve">Interim </w:t>
      </w:r>
      <w:r w:rsidR="007F344B" w:rsidRPr="003136E8">
        <w:rPr>
          <w:sz w:val="40"/>
          <w:szCs w:val="40"/>
        </w:rPr>
        <w:t>Independent Expert Scientific Committee</w:t>
      </w:r>
      <w:bookmarkStart w:id="8" w:name="_Toc152649565"/>
      <w:bookmarkStart w:id="9" w:name="_Toc152653392"/>
      <w:bookmarkStart w:id="10" w:name="_Toc157852487"/>
      <w:bookmarkStart w:id="11" w:name="_Toc222293456"/>
      <w:bookmarkStart w:id="12" w:name="_Toc222730641"/>
      <w:bookmarkStart w:id="13" w:name="_Toc246411184"/>
      <w:bookmarkEnd w:id="0"/>
      <w:bookmarkEnd w:id="1"/>
      <w:bookmarkEnd w:id="2"/>
      <w:bookmarkEnd w:id="3"/>
      <w:bookmarkEnd w:id="4"/>
      <w:bookmarkEnd w:id="5"/>
      <w:r w:rsidR="007F344B" w:rsidRPr="003136E8">
        <w:rPr>
          <w:sz w:val="40"/>
          <w:szCs w:val="40"/>
        </w:rPr>
        <w:br/>
      </w:r>
      <w:r w:rsidR="007F344B">
        <w:rPr>
          <w:sz w:val="40"/>
          <w:szCs w:val="40"/>
        </w:rPr>
        <w:t>for</w:t>
      </w:r>
      <w:r w:rsidR="007F344B" w:rsidRPr="003136E8">
        <w:rPr>
          <w:sz w:val="40"/>
          <w:szCs w:val="40"/>
        </w:rPr>
        <w:t xml:space="preserve"> Coal Seam Gas and Coal Mining</w:t>
      </w:r>
      <w:bookmarkEnd w:id="6"/>
      <w:bookmarkEnd w:id="7"/>
      <w:r w:rsidR="007F344B" w:rsidRPr="003136E8">
        <w:rPr>
          <w:sz w:val="40"/>
          <w:szCs w:val="40"/>
        </w:rPr>
        <w:t xml:space="preserve"> </w:t>
      </w:r>
    </w:p>
    <w:p w:rsidR="001B79B1" w:rsidRDefault="002E4BC3" w:rsidP="00E05946">
      <w:pPr>
        <w:pStyle w:val="Heading1"/>
        <w:spacing w:before="2400"/>
        <w:rPr>
          <w:sz w:val="40"/>
          <w:szCs w:val="40"/>
        </w:rPr>
      </w:pPr>
      <w:bookmarkStart w:id="14" w:name="OLE_LINK5"/>
      <w:bookmarkStart w:id="15" w:name="OLE_LINK6"/>
      <w:bookmarkEnd w:id="8"/>
      <w:bookmarkEnd w:id="9"/>
      <w:bookmarkEnd w:id="10"/>
      <w:bookmarkEnd w:id="11"/>
      <w:bookmarkEnd w:id="12"/>
      <w:bookmarkEnd w:id="13"/>
      <w:r>
        <w:rPr>
          <w:sz w:val="40"/>
          <w:szCs w:val="40"/>
        </w:rPr>
        <w:t xml:space="preserve">Knowledge Management Framework &amp; Prioritisation </w:t>
      </w:r>
      <w:r w:rsidR="00960A6C">
        <w:rPr>
          <w:sz w:val="40"/>
          <w:szCs w:val="40"/>
        </w:rPr>
        <w:t>Workshop</w:t>
      </w:r>
      <w:bookmarkEnd w:id="14"/>
      <w:bookmarkEnd w:id="15"/>
      <w:r w:rsidR="00960A6C">
        <w:rPr>
          <w:sz w:val="40"/>
          <w:szCs w:val="40"/>
        </w:rPr>
        <w:t xml:space="preserve"> </w:t>
      </w:r>
    </w:p>
    <w:p w:rsidR="001B79B1" w:rsidRDefault="001B79B1" w:rsidP="00E05946">
      <w:pPr>
        <w:pStyle w:val="Heading1"/>
        <w:spacing w:before="1200" w:after="1440"/>
        <w:rPr>
          <w:sz w:val="40"/>
          <w:szCs w:val="40"/>
        </w:rPr>
      </w:pPr>
      <w:r>
        <w:rPr>
          <w:sz w:val="40"/>
          <w:szCs w:val="40"/>
        </w:rPr>
        <w:t>Summary</w:t>
      </w:r>
      <w:r w:rsidR="0007724E">
        <w:rPr>
          <w:sz w:val="40"/>
          <w:szCs w:val="40"/>
        </w:rPr>
        <w:t xml:space="preserve"> of Proceedings</w:t>
      </w:r>
    </w:p>
    <w:p w:rsidR="001B79B1" w:rsidRDefault="00E96801" w:rsidP="00E05946">
      <w:pPr>
        <w:pStyle w:val="Heading1"/>
        <w:spacing w:before="600"/>
        <w:rPr>
          <w:sz w:val="40"/>
          <w:szCs w:val="40"/>
        </w:rPr>
      </w:pPr>
      <w:r w:rsidRPr="00E96801">
        <w:rPr>
          <w:sz w:val="40"/>
          <w:szCs w:val="40"/>
        </w:rPr>
        <w:lastRenderedPageBreak/>
        <w:t xml:space="preserve">6 and 7 February 2012 </w:t>
      </w:r>
    </w:p>
    <w:p w:rsidR="001B79B1" w:rsidRDefault="00E96801" w:rsidP="00E05946">
      <w:pPr>
        <w:pStyle w:val="Heading1"/>
        <w:spacing w:after="480"/>
        <w:rPr>
          <w:b w:val="0"/>
          <w:sz w:val="40"/>
          <w:szCs w:val="40"/>
        </w:rPr>
      </w:pPr>
      <w:r w:rsidRPr="00E96801">
        <w:rPr>
          <w:sz w:val="40"/>
          <w:szCs w:val="40"/>
        </w:rPr>
        <w:t>Brisbane</w:t>
      </w:r>
    </w:p>
    <w:p w:rsidR="00E05946" w:rsidRDefault="00E05946">
      <w:r>
        <w:br w:type="page"/>
      </w:r>
    </w:p>
    <w:p w:rsidR="00622583" w:rsidRDefault="00DD6995" w:rsidP="00E05946">
      <w:pPr>
        <w:spacing w:before="360"/>
      </w:pPr>
      <w:r>
        <w:lastRenderedPageBreak/>
        <w:t>At the first meeting of the</w:t>
      </w:r>
      <w:r w:rsidR="00622583">
        <w:t xml:space="preserve"> </w:t>
      </w:r>
      <w:r w:rsidR="005C1240">
        <w:t>Interim Independent Expert Scientific Commi</w:t>
      </w:r>
      <w:r>
        <w:t xml:space="preserve">ttee for Coal Seam Gas and </w:t>
      </w:r>
      <w:r w:rsidR="005C1240">
        <w:t>Coal Min</w:t>
      </w:r>
      <w:r>
        <w:t>ing</w:t>
      </w:r>
      <w:r w:rsidR="00622583">
        <w:t xml:space="preserve"> </w:t>
      </w:r>
      <w:r w:rsidR="00C32696">
        <w:t xml:space="preserve">(the Committee) </w:t>
      </w:r>
      <w:r w:rsidR="00211E7C">
        <w:t xml:space="preserve">it was </w:t>
      </w:r>
      <w:r>
        <w:t>decided to hold a workshop to gain a better understanding of the scope of existing research and significant knowledge and information gaps, and to develop a framework for research investment along with high priority research activities that could be commissioned in 2011-12. This workshop was held on the 6 and 7 February 2012</w:t>
      </w:r>
      <w:r w:rsidR="00906461">
        <w:t xml:space="preserve"> in Brisbane</w:t>
      </w:r>
      <w:r>
        <w:t>.</w:t>
      </w:r>
    </w:p>
    <w:p w:rsidR="008B1D31" w:rsidRDefault="008B1D31" w:rsidP="008B1D31">
      <w:r>
        <w:t xml:space="preserve">The Chair of the Interim Committee, Professor Craig Simmons, was joined by Emeritus Professor Peter Flood, </w:t>
      </w:r>
      <w:r w:rsidRPr="00C66FF2">
        <w:t>Professor John Langford</w:t>
      </w:r>
      <w:r>
        <w:t>, Associate Professor David Laurence and Professor Chris Moran</w:t>
      </w:r>
      <w:r w:rsidRPr="005B1211">
        <w:t xml:space="preserve">. </w:t>
      </w:r>
      <w:r>
        <w:t>Ms Jane Coram</w:t>
      </w:r>
      <w:r w:rsidRPr="00C66FF2">
        <w:t xml:space="preserve"> was unable to attend this </w:t>
      </w:r>
      <w:r>
        <w:t>workshop</w:t>
      </w:r>
      <w:r w:rsidRPr="00C66FF2">
        <w:t xml:space="preserve"> due to a prior commitment.</w:t>
      </w:r>
    </w:p>
    <w:p w:rsidR="00916C56" w:rsidRDefault="00DD6995">
      <w:r>
        <w:t xml:space="preserve">The first day consisted of speakers from Community Groups, Research organisations, States and Industry. </w:t>
      </w:r>
      <w:r w:rsidR="00916C56">
        <w:t>The following speakers spoke:</w:t>
      </w:r>
    </w:p>
    <w:p w:rsidR="003519D9" w:rsidRDefault="003519D9" w:rsidP="001E391B">
      <w:pPr>
        <w:spacing w:after="60" w:line="240" w:lineRule="auto"/>
        <w:ind w:left="720"/>
      </w:pPr>
      <w:r>
        <w:rPr>
          <w:b/>
        </w:rPr>
        <w:t xml:space="preserve">Ian </w:t>
      </w:r>
      <w:proofErr w:type="spellStart"/>
      <w:r>
        <w:rPr>
          <w:b/>
        </w:rPr>
        <w:t>Hayllor</w:t>
      </w:r>
      <w:proofErr w:type="spellEnd"/>
      <w:r>
        <w:rPr>
          <w:b/>
        </w:rPr>
        <w:t xml:space="preserve"> - </w:t>
      </w:r>
      <w:r>
        <w:t xml:space="preserve">Basin Sustainability Alliance 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r w:rsidRPr="00A738A3">
        <w:rPr>
          <w:rFonts w:cstheme="minorHAnsi"/>
          <w:b/>
        </w:rPr>
        <w:t xml:space="preserve">Francesca </w:t>
      </w:r>
      <w:proofErr w:type="spellStart"/>
      <w:r w:rsidRPr="00A738A3">
        <w:rPr>
          <w:rFonts w:cstheme="minorHAnsi"/>
          <w:b/>
        </w:rPr>
        <w:t>Adreoni</w:t>
      </w:r>
      <w:proofErr w:type="spellEnd"/>
      <w:r>
        <w:rPr>
          <w:rFonts w:cstheme="minorHAnsi"/>
          <w:b/>
        </w:rPr>
        <w:t xml:space="preserve"> - </w:t>
      </w:r>
      <w:r>
        <w:rPr>
          <w:rFonts w:cstheme="minorHAnsi"/>
        </w:rPr>
        <w:t>Namoi Catchment Management Area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r w:rsidRPr="00A738A3">
        <w:rPr>
          <w:rFonts w:cstheme="minorHAnsi"/>
          <w:b/>
        </w:rPr>
        <w:t xml:space="preserve">Dr Sue </w:t>
      </w:r>
      <w:proofErr w:type="spellStart"/>
      <w:r w:rsidRPr="00A738A3">
        <w:rPr>
          <w:rFonts w:cstheme="minorHAnsi"/>
          <w:b/>
        </w:rPr>
        <w:t>Vink</w:t>
      </w:r>
      <w:proofErr w:type="spellEnd"/>
      <w:r>
        <w:rPr>
          <w:rFonts w:cstheme="minorHAnsi"/>
          <w:b/>
        </w:rPr>
        <w:t xml:space="preserve"> - </w:t>
      </w:r>
      <w:r>
        <w:rPr>
          <w:rFonts w:cstheme="minorHAnsi"/>
        </w:rPr>
        <w:t>Principal Research Fellow, Sustainable Minerals Institute, University of Queensland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r w:rsidRPr="00A738A3">
        <w:rPr>
          <w:rFonts w:cstheme="minorHAnsi"/>
          <w:b/>
        </w:rPr>
        <w:t>Professor Ian Acworth</w:t>
      </w:r>
      <w:r>
        <w:rPr>
          <w:rFonts w:cstheme="minorHAnsi"/>
        </w:rPr>
        <w:t xml:space="preserve"> - Director, Connected Waters Initiative, University of New South Wales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r w:rsidRPr="00386059">
        <w:rPr>
          <w:rFonts w:cstheme="minorHAnsi"/>
          <w:b/>
        </w:rPr>
        <w:t xml:space="preserve">Adam </w:t>
      </w:r>
      <w:proofErr w:type="spellStart"/>
      <w:r w:rsidRPr="00386059">
        <w:rPr>
          <w:rFonts w:cstheme="minorHAnsi"/>
          <w:b/>
        </w:rPr>
        <w:t>Sincock</w:t>
      </w:r>
      <w:proofErr w:type="spellEnd"/>
      <w:r>
        <w:rPr>
          <w:rFonts w:cstheme="minorHAnsi"/>
          <w:b/>
        </w:rPr>
        <w:t xml:space="preserve"> - </w:t>
      </w:r>
      <w:r>
        <w:rPr>
          <w:rFonts w:cstheme="minorHAnsi"/>
        </w:rPr>
        <w:t>National Water Commission</w:t>
      </w:r>
    </w:p>
    <w:p w:rsidR="003519D9" w:rsidRPr="00386059" w:rsidRDefault="003519D9" w:rsidP="001E391B">
      <w:pPr>
        <w:spacing w:after="60" w:line="240" w:lineRule="auto"/>
        <w:ind w:left="720"/>
        <w:rPr>
          <w:rFonts w:cstheme="minorHAnsi"/>
          <w:b/>
        </w:rPr>
      </w:pPr>
      <w:r w:rsidRPr="00386059">
        <w:rPr>
          <w:rFonts w:cstheme="minorHAnsi"/>
          <w:b/>
        </w:rPr>
        <w:t>Dr Stuart Minchin</w:t>
      </w:r>
      <w:r>
        <w:rPr>
          <w:rFonts w:cstheme="minorHAnsi"/>
          <w:b/>
        </w:rPr>
        <w:t xml:space="preserve"> – </w:t>
      </w:r>
      <w:r>
        <w:rPr>
          <w:rFonts w:cstheme="minorHAnsi"/>
        </w:rPr>
        <w:t xml:space="preserve">Chief, </w:t>
      </w:r>
      <w:r w:rsidR="008D1770">
        <w:rPr>
          <w:rFonts w:cstheme="minorHAnsi"/>
        </w:rPr>
        <w:t xml:space="preserve">Environmental </w:t>
      </w:r>
      <w:proofErr w:type="spellStart"/>
      <w:r w:rsidR="008D1770">
        <w:rPr>
          <w:rFonts w:cstheme="minorHAnsi"/>
        </w:rPr>
        <w:t>Geoscience</w:t>
      </w:r>
      <w:proofErr w:type="spellEnd"/>
      <w:r>
        <w:rPr>
          <w:rFonts w:cstheme="minorHAnsi"/>
        </w:rPr>
        <w:t xml:space="preserve"> Division, </w:t>
      </w:r>
      <w:proofErr w:type="spellStart"/>
      <w:r>
        <w:rPr>
          <w:rFonts w:cstheme="minorHAnsi"/>
        </w:rPr>
        <w:t>Geoscience</w:t>
      </w:r>
      <w:proofErr w:type="spellEnd"/>
      <w:r>
        <w:rPr>
          <w:rFonts w:cstheme="minorHAnsi"/>
        </w:rPr>
        <w:t xml:space="preserve"> Australia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r w:rsidRPr="00003A17">
        <w:rPr>
          <w:rFonts w:cstheme="minorHAnsi"/>
          <w:b/>
        </w:rPr>
        <w:t>Bill Young</w:t>
      </w:r>
      <w:r>
        <w:rPr>
          <w:rFonts w:cstheme="minorHAnsi"/>
        </w:rPr>
        <w:t xml:space="preserve"> - Director, Water for a Healthy Country Flagship</w:t>
      </w:r>
    </w:p>
    <w:p w:rsidR="003519D9" w:rsidRPr="00003A17" w:rsidRDefault="003519D9" w:rsidP="001E391B">
      <w:pPr>
        <w:spacing w:after="60" w:line="240" w:lineRule="auto"/>
        <w:ind w:left="720"/>
        <w:rPr>
          <w:rFonts w:cstheme="minorHAnsi"/>
          <w:b/>
        </w:rPr>
      </w:pPr>
      <w:r w:rsidRPr="00003A17">
        <w:rPr>
          <w:rFonts w:cstheme="minorHAnsi"/>
          <w:b/>
        </w:rPr>
        <w:t>Martin Hoffman</w:t>
      </w:r>
      <w:r>
        <w:rPr>
          <w:rFonts w:cstheme="minorHAnsi"/>
          <w:b/>
        </w:rPr>
        <w:t xml:space="preserve"> - </w:t>
      </w:r>
      <w:r>
        <w:rPr>
          <w:rFonts w:cstheme="minorHAnsi"/>
        </w:rPr>
        <w:t>Deputy Secretary, DRET Standing Committee on Energy &amp; Resources Working Group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r w:rsidRPr="00003A17">
        <w:rPr>
          <w:rFonts w:cstheme="minorHAnsi"/>
          <w:b/>
        </w:rPr>
        <w:t>Ben Bruce</w:t>
      </w:r>
      <w:r>
        <w:rPr>
          <w:rFonts w:cstheme="minorHAnsi"/>
          <w:b/>
        </w:rPr>
        <w:t xml:space="preserve"> – </w:t>
      </w:r>
      <w:r>
        <w:rPr>
          <w:rFonts w:cstheme="minorHAnsi"/>
        </w:rPr>
        <w:t>South Australian Government</w:t>
      </w:r>
    </w:p>
    <w:p w:rsidR="006A424D" w:rsidRDefault="003519D9" w:rsidP="001E391B">
      <w:pPr>
        <w:spacing w:after="60" w:line="240" w:lineRule="auto"/>
        <w:ind w:left="720"/>
        <w:rPr>
          <w:rFonts w:cstheme="minorHAnsi"/>
        </w:rPr>
      </w:pPr>
      <w:r w:rsidRPr="00003A17">
        <w:rPr>
          <w:rFonts w:cstheme="minorHAnsi"/>
          <w:b/>
        </w:rPr>
        <w:t xml:space="preserve">Randall Cox and </w:t>
      </w:r>
      <w:proofErr w:type="spellStart"/>
      <w:r w:rsidRPr="00003A17">
        <w:rPr>
          <w:rFonts w:cstheme="minorHAnsi"/>
          <w:b/>
        </w:rPr>
        <w:t>Sanjeev</w:t>
      </w:r>
      <w:proofErr w:type="spellEnd"/>
      <w:r w:rsidRPr="00003A17">
        <w:rPr>
          <w:rFonts w:cstheme="minorHAnsi"/>
          <w:b/>
        </w:rPr>
        <w:t xml:space="preserve"> </w:t>
      </w:r>
      <w:proofErr w:type="spellStart"/>
      <w:r w:rsidRPr="00003A17">
        <w:rPr>
          <w:rFonts w:cstheme="minorHAnsi"/>
          <w:b/>
        </w:rPr>
        <w:t>Pandey</w:t>
      </w:r>
      <w:proofErr w:type="spellEnd"/>
      <w:r>
        <w:rPr>
          <w:rFonts w:cstheme="minorHAnsi"/>
          <w:b/>
        </w:rPr>
        <w:t xml:space="preserve"> - </w:t>
      </w:r>
      <w:r>
        <w:rPr>
          <w:rFonts w:cstheme="minorHAnsi"/>
        </w:rPr>
        <w:t xml:space="preserve">Queensland Water Commission </w:t>
      </w:r>
    </w:p>
    <w:p w:rsidR="003519D9" w:rsidRPr="00003A17" w:rsidRDefault="003519D9" w:rsidP="001E391B">
      <w:pPr>
        <w:spacing w:after="60" w:line="240" w:lineRule="auto"/>
        <w:ind w:left="720"/>
        <w:rPr>
          <w:rFonts w:cstheme="minorHAnsi"/>
          <w:b/>
        </w:rPr>
      </w:pPr>
      <w:r w:rsidRPr="00003A17">
        <w:rPr>
          <w:rFonts w:cstheme="minorHAnsi"/>
          <w:b/>
        </w:rPr>
        <w:t>George Gates</w:t>
      </w:r>
      <w:r>
        <w:rPr>
          <w:rFonts w:cstheme="minorHAnsi"/>
          <w:b/>
        </w:rPr>
        <w:t xml:space="preserve"> – </w:t>
      </w:r>
      <w:r>
        <w:rPr>
          <w:rFonts w:cstheme="minorHAnsi"/>
        </w:rPr>
        <w:t>New South Wales Water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r w:rsidRPr="00003A17">
        <w:rPr>
          <w:rFonts w:cstheme="minorHAnsi"/>
          <w:b/>
        </w:rPr>
        <w:t>Chris McCombe</w:t>
      </w:r>
      <w:r>
        <w:rPr>
          <w:rFonts w:cstheme="minorHAnsi"/>
        </w:rPr>
        <w:t xml:space="preserve"> - Minerals Council of Australia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proofErr w:type="spellStart"/>
      <w:r w:rsidRPr="00003A17">
        <w:rPr>
          <w:rFonts w:cstheme="minorHAnsi"/>
          <w:b/>
        </w:rPr>
        <w:t>Arti</w:t>
      </w:r>
      <w:proofErr w:type="spellEnd"/>
      <w:r w:rsidRPr="00003A17">
        <w:rPr>
          <w:rFonts w:cstheme="minorHAnsi"/>
          <w:b/>
        </w:rPr>
        <w:t xml:space="preserve"> Sharma and Andrew Barger</w:t>
      </w:r>
      <w:r>
        <w:rPr>
          <w:rFonts w:cstheme="minorHAnsi"/>
          <w:b/>
        </w:rPr>
        <w:t xml:space="preserve"> - </w:t>
      </w:r>
      <w:r>
        <w:rPr>
          <w:rFonts w:cstheme="minorHAnsi"/>
        </w:rPr>
        <w:t>Queensland Resources Council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r w:rsidRPr="00003A17">
        <w:rPr>
          <w:rFonts w:cstheme="minorHAnsi"/>
          <w:b/>
        </w:rPr>
        <w:t>Brian French and Stephen Downs</w:t>
      </w:r>
      <w:r>
        <w:rPr>
          <w:rFonts w:cstheme="minorHAnsi"/>
          <w:b/>
        </w:rPr>
        <w:t xml:space="preserve"> - </w:t>
      </w:r>
      <w:r>
        <w:rPr>
          <w:rFonts w:cstheme="minorHAnsi"/>
        </w:rPr>
        <w:t>Xstrata</w:t>
      </w:r>
    </w:p>
    <w:p w:rsidR="003519D9" w:rsidRDefault="003519D9" w:rsidP="001E391B">
      <w:pPr>
        <w:spacing w:after="60" w:line="240" w:lineRule="auto"/>
        <w:ind w:left="720"/>
        <w:rPr>
          <w:rFonts w:cstheme="minorHAnsi"/>
        </w:rPr>
      </w:pPr>
      <w:r w:rsidRPr="00003A17">
        <w:rPr>
          <w:rFonts w:cstheme="minorHAnsi"/>
          <w:b/>
        </w:rPr>
        <w:t xml:space="preserve">Roger </w:t>
      </w:r>
      <w:proofErr w:type="spellStart"/>
      <w:r w:rsidRPr="00003A17">
        <w:rPr>
          <w:rFonts w:cstheme="minorHAnsi"/>
          <w:b/>
        </w:rPr>
        <w:t>Wischusen</w:t>
      </w:r>
      <w:proofErr w:type="spellEnd"/>
      <w:r>
        <w:rPr>
          <w:rFonts w:cstheme="minorHAnsi"/>
          <w:b/>
        </w:rPr>
        <w:t xml:space="preserve"> - </w:t>
      </w:r>
      <w:r>
        <w:rPr>
          <w:rFonts w:cstheme="minorHAnsi"/>
        </w:rPr>
        <w:t>Australian Coal Associated Research Program</w:t>
      </w:r>
    </w:p>
    <w:p w:rsidR="00AB2142" w:rsidRPr="00AB2142" w:rsidRDefault="00AB2142" w:rsidP="001E391B">
      <w:pPr>
        <w:spacing w:after="60" w:line="240" w:lineRule="auto"/>
        <w:ind w:left="720"/>
        <w:rPr>
          <w:rFonts w:cstheme="minorHAnsi"/>
        </w:rPr>
      </w:pPr>
      <w:proofErr w:type="spellStart"/>
      <w:r>
        <w:rPr>
          <w:rFonts w:cstheme="minorHAnsi"/>
          <w:b/>
        </w:rPr>
        <w:t>Naaz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Kerin</w:t>
      </w:r>
      <w:proofErr w:type="spellEnd"/>
      <w:r>
        <w:rPr>
          <w:rFonts w:cstheme="minorHAnsi"/>
          <w:b/>
        </w:rPr>
        <w:t xml:space="preserve"> - </w:t>
      </w:r>
      <w:r>
        <w:rPr>
          <w:rFonts w:cstheme="minorHAnsi"/>
        </w:rPr>
        <w:t>Australian Petroleum Production and Exploration Association Ltd (APPEA)</w:t>
      </w:r>
    </w:p>
    <w:p w:rsidR="000B71CD" w:rsidRDefault="00916C56">
      <w:r>
        <w:t xml:space="preserve">The second day was used by the committee to workshop the information from day one </w:t>
      </w:r>
      <w:r w:rsidR="00065A93">
        <w:t>to inform recommendations</w:t>
      </w:r>
      <w:r>
        <w:t xml:space="preserve"> for research priorities.</w:t>
      </w:r>
      <w:r w:rsidR="00856FB3">
        <w:t xml:space="preserve"> </w:t>
      </w:r>
    </w:p>
    <w:p w:rsidR="003424A2" w:rsidRPr="00583FE8" w:rsidRDefault="003424A2" w:rsidP="003424A2">
      <w:pPr>
        <w:rPr>
          <w:b/>
        </w:rPr>
      </w:pPr>
      <w:r>
        <w:t xml:space="preserve">It was agreed </w:t>
      </w:r>
      <w:r w:rsidR="008D1770">
        <w:t>that broadly</w:t>
      </w:r>
      <w:r>
        <w:t xml:space="preserve"> </w:t>
      </w:r>
      <w:r w:rsidR="008D1770">
        <w:t>similar issues</w:t>
      </w:r>
      <w:r>
        <w:t xml:space="preserve"> and gaps were identified by many of the speakers. The k</w:t>
      </w:r>
      <w:r w:rsidRPr="00583FE8">
        <w:rPr>
          <w:b/>
        </w:rPr>
        <w:t>ey messages</w:t>
      </w:r>
      <w:r>
        <w:rPr>
          <w:b/>
        </w:rPr>
        <w:t xml:space="preserve"> from the presentations included</w:t>
      </w:r>
      <w:r w:rsidRPr="00583FE8">
        <w:rPr>
          <w:b/>
        </w:rPr>
        <w:t>:</w:t>
      </w:r>
    </w:p>
    <w:p w:rsidR="00CF2301" w:rsidRDefault="003424A2" w:rsidP="00CF2301">
      <w:pPr>
        <w:pStyle w:val="ListParagraph"/>
        <w:numPr>
          <w:ilvl w:val="0"/>
          <w:numId w:val="6"/>
        </w:numPr>
      </w:pPr>
      <w:r>
        <w:t>That a l</w:t>
      </w:r>
      <w:r w:rsidRPr="008B4BEB">
        <w:t xml:space="preserve">arge amount </w:t>
      </w:r>
      <w:r>
        <w:t>of research and knowledge acquisition is currently being conducted or being commissioned in the coal seam gas arena (“this is an already crowded paddock”).</w:t>
      </w:r>
      <w:r w:rsidRPr="0010749F">
        <w:t xml:space="preserve"> </w:t>
      </w:r>
      <w:r>
        <w:t xml:space="preserve">However, at this time is not clear if the breadth or depth of the current suite </w:t>
      </w:r>
      <w:r w:rsidR="008D1770">
        <w:t>of research</w:t>
      </w:r>
      <w:r>
        <w:t xml:space="preserve"> is sufficient to fully address the range of </w:t>
      </w:r>
      <w:r w:rsidR="008D1770">
        <w:t xml:space="preserve">issues that </w:t>
      </w:r>
      <w:r>
        <w:t>are being tackled by that research. Moreover,</w:t>
      </w:r>
      <w:r w:rsidR="008D1770">
        <w:t xml:space="preserve"> </w:t>
      </w:r>
      <w:r>
        <w:t xml:space="preserve">the “why” for doing the work that is being proposed was generally </w:t>
      </w:r>
      <w:proofErr w:type="gramStart"/>
      <w:r>
        <w:t>missing.</w:t>
      </w:r>
      <w:proofErr w:type="gramEnd"/>
      <w:r>
        <w:t xml:space="preserve">   </w:t>
      </w:r>
      <w:r w:rsidR="008E245B">
        <w:t>Coal mining was rarely discussed</w:t>
      </w:r>
      <w:r w:rsidR="00367F5E">
        <w:t>, even by the industry representatives</w:t>
      </w:r>
      <w:r w:rsidR="008D1770">
        <w:t>, although</w:t>
      </w:r>
      <w:r w:rsidR="008E245B">
        <w:t xml:space="preserve"> the scope </w:t>
      </w:r>
      <w:r>
        <w:t xml:space="preserve">for the workshop </w:t>
      </w:r>
      <w:r w:rsidR="00367F5E">
        <w:t xml:space="preserve">was for </w:t>
      </w:r>
      <w:r w:rsidR="008E245B">
        <w:t>both coal seam gas and coal mining.</w:t>
      </w:r>
      <w:r w:rsidR="00CF2301" w:rsidRPr="00CF2301">
        <w:t xml:space="preserve"> </w:t>
      </w:r>
    </w:p>
    <w:p w:rsidR="008E245B" w:rsidRDefault="008E245B" w:rsidP="008E245B">
      <w:pPr>
        <w:pStyle w:val="ListParagraph"/>
        <w:numPr>
          <w:ilvl w:val="0"/>
          <w:numId w:val="6"/>
        </w:numPr>
      </w:pPr>
      <w:r>
        <w:t>There is a need for:</w:t>
      </w:r>
    </w:p>
    <w:p w:rsidR="008E245B" w:rsidRDefault="008E245B" w:rsidP="008E245B">
      <w:pPr>
        <w:pStyle w:val="ListParagraph"/>
        <w:numPr>
          <w:ilvl w:val="1"/>
          <w:numId w:val="6"/>
        </w:numPr>
      </w:pPr>
      <w:r>
        <w:t>an intellectual framework to better define what questions we need to answer</w:t>
      </w:r>
    </w:p>
    <w:p w:rsidR="00F273CC" w:rsidRDefault="008D1770" w:rsidP="00F273CC">
      <w:pPr>
        <w:pStyle w:val="ListParagraph"/>
        <w:numPr>
          <w:ilvl w:val="1"/>
          <w:numId w:val="6"/>
        </w:numPr>
      </w:pPr>
      <w:proofErr w:type="gramStart"/>
      <w:r>
        <w:t>c</w:t>
      </w:r>
      <w:r w:rsidRPr="008D1770">
        <w:t>ollation</w:t>
      </w:r>
      <w:proofErr w:type="gramEnd"/>
      <w:r w:rsidR="008E245B" w:rsidRPr="008D1770">
        <w:t xml:space="preserve"> of current research projects, their scope and when they are due to be completed.</w:t>
      </w:r>
      <w:r w:rsidR="00F273CC" w:rsidRPr="008D1770">
        <w:t xml:space="preserve"> </w:t>
      </w:r>
      <w:r w:rsidR="00065A93" w:rsidRPr="008D1770">
        <w:t>(</w:t>
      </w:r>
      <w:r w:rsidR="00F273CC" w:rsidRPr="008D1770">
        <w:t>N</w:t>
      </w:r>
      <w:r w:rsidR="008E245B" w:rsidRPr="008D1770">
        <w:t>oting that one or two projects completed or in progress doesn’t mean that science question has been resolved for a particular topic the research</w:t>
      </w:r>
      <w:r w:rsidR="00065A93" w:rsidRPr="008D1770">
        <w:t>)</w:t>
      </w:r>
    </w:p>
    <w:p w:rsidR="00F273CC" w:rsidRDefault="00F273CC" w:rsidP="00F273CC">
      <w:pPr>
        <w:pStyle w:val="ListParagraph"/>
        <w:numPr>
          <w:ilvl w:val="1"/>
          <w:numId w:val="6"/>
        </w:numPr>
      </w:pPr>
      <w:r>
        <w:t xml:space="preserve">risk </w:t>
      </w:r>
      <w:r w:rsidR="00065A93">
        <w:t>based approach is required and this ultimately need to be q</w:t>
      </w:r>
      <w:r>
        <w:t>uantitative</w:t>
      </w:r>
      <w:r w:rsidR="00065A93">
        <w:t xml:space="preserve"> not qualitative</w:t>
      </w:r>
    </w:p>
    <w:p w:rsidR="00F273CC" w:rsidRPr="008D1770" w:rsidRDefault="00F273CC" w:rsidP="008E245B">
      <w:pPr>
        <w:pStyle w:val="ListParagraph"/>
        <w:numPr>
          <w:ilvl w:val="1"/>
          <w:numId w:val="6"/>
        </w:numPr>
      </w:pPr>
      <w:r>
        <w:t>better integration of the geochemistry and isotope data with modelling</w:t>
      </w:r>
      <w:r w:rsidRPr="00F273CC">
        <w:t xml:space="preserve"> </w:t>
      </w:r>
    </w:p>
    <w:p w:rsidR="0010749F" w:rsidRPr="008D1770" w:rsidRDefault="00065A93" w:rsidP="008E245B">
      <w:pPr>
        <w:pStyle w:val="ListParagraph"/>
        <w:numPr>
          <w:ilvl w:val="1"/>
          <w:numId w:val="6"/>
        </w:numPr>
      </w:pPr>
      <w:r>
        <w:t>b</w:t>
      </w:r>
      <w:r w:rsidR="00F273CC">
        <w:t>asin scale assessment/analysis of both surface water and groundwater</w:t>
      </w:r>
      <w:r w:rsidR="0010749F" w:rsidRPr="0010749F">
        <w:t xml:space="preserve"> </w:t>
      </w:r>
    </w:p>
    <w:p w:rsidR="008E245B" w:rsidRPr="008D1770" w:rsidRDefault="0010749F" w:rsidP="008E245B">
      <w:pPr>
        <w:pStyle w:val="ListParagraph"/>
        <w:numPr>
          <w:ilvl w:val="1"/>
          <w:numId w:val="6"/>
        </w:numPr>
      </w:pPr>
      <w:r>
        <w:t>validation/calibration of the groundwater models that have been developed</w:t>
      </w:r>
    </w:p>
    <w:p w:rsidR="00F273CC" w:rsidRDefault="00F273CC" w:rsidP="00F273CC">
      <w:pPr>
        <w:pStyle w:val="ListParagraph"/>
        <w:numPr>
          <w:ilvl w:val="0"/>
          <w:numId w:val="6"/>
        </w:numPr>
      </w:pPr>
      <w:r>
        <w:t>Specific research is required to understand the:</w:t>
      </w:r>
    </w:p>
    <w:p w:rsidR="00F273CC" w:rsidRDefault="00F273CC" w:rsidP="00F273CC">
      <w:pPr>
        <w:pStyle w:val="ListParagraph"/>
        <w:numPr>
          <w:ilvl w:val="1"/>
          <w:numId w:val="6"/>
        </w:numPr>
      </w:pPr>
      <w:r>
        <w:t xml:space="preserve"> impacts of coal seam gas extraction on aquifers (interconnection)</w:t>
      </w:r>
      <w:r w:rsidRPr="008E245B">
        <w:t xml:space="preserve"> </w:t>
      </w:r>
    </w:p>
    <w:p w:rsidR="00776B99" w:rsidRDefault="00065A93" w:rsidP="00F273CC">
      <w:pPr>
        <w:pStyle w:val="ListParagraph"/>
        <w:numPr>
          <w:ilvl w:val="1"/>
          <w:numId w:val="6"/>
        </w:numPr>
      </w:pPr>
      <w:r>
        <w:t>i</w:t>
      </w:r>
      <w:r w:rsidR="00F273CC">
        <w:t xml:space="preserve">njection processes </w:t>
      </w:r>
    </w:p>
    <w:p w:rsidR="00F273CC" w:rsidRDefault="00065A93" w:rsidP="00F273CC">
      <w:pPr>
        <w:pStyle w:val="ListParagraph"/>
        <w:numPr>
          <w:ilvl w:val="1"/>
          <w:numId w:val="6"/>
        </w:numPr>
      </w:pPr>
      <w:r>
        <w:t>s</w:t>
      </w:r>
      <w:r w:rsidR="00F273CC">
        <w:t>alt management</w:t>
      </w:r>
    </w:p>
    <w:p w:rsidR="00776B99" w:rsidRDefault="00065A93" w:rsidP="00776B99">
      <w:pPr>
        <w:pStyle w:val="ListParagraph"/>
        <w:numPr>
          <w:ilvl w:val="1"/>
          <w:numId w:val="6"/>
        </w:numPr>
      </w:pPr>
      <w:r>
        <w:t>c</w:t>
      </w:r>
      <w:r w:rsidR="00776B99">
        <w:t>umulative risks</w:t>
      </w:r>
    </w:p>
    <w:p w:rsidR="00F273CC" w:rsidRDefault="00F273CC" w:rsidP="00F273CC">
      <w:pPr>
        <w:pStyle w:val="ListParagraph"/>
        <w:numPr>
          <w:ilvl w:val="0"/>
          <w:numId w:val="6"/>
        </w:numPr>
      </w:pPr>
      <w:r>
        <w:t>Lessons learnt :</w:t>
      </w:r>
    </w:p>
    <w:p w:rsidR="008E245B" w:rsidRDefault="00372DAA" w:rsidP="00F273CC">
      <w:pPr>
        <w:pStyle w:val="ListParagraph"/>
        <w:numPr>
          <w:ilvl w:val="1"/>
          <w:numId w:val="6"/>
        </w:numPr>
      </w:pPr>
      <w:r>
        <w:t xml:space="preserve">A process </w:t>
      </w:r>
      <w:r w:rsidR="008D1770">
        <w:t>involving implementation</w:t>
      </w:r>
      <w:r>
        <w:t xml:space="preserve"> of </w:t>
      </w:r>
      <w:r w:rsidR="008E245B">
        <w:t>Incremental decisions in the context of an adaptive management process</w:t>
      </w:r>
      <w:r w:rsidR="006D4E2E">
        <w:t xml:space="preserve"> </w:t>
      </w:r>
      <w:r>
        <w:t xml:space="preserve">is </w:t>
      </w:r>
      <w:r w:rsidR="008D1770">
        <w:t>not effective</w:t>
      </w:r>
      <w:r w:rsidR="006D4E2E">
        <w:t>.</w:t>
      </w:r>
    </w:p>
    <w:p w:rsidR="008E245B" w:rsidRDefault="006D4E2E" w:rsidP="00F273CC">
      <w:pPr>
        <w:pStyle w:val="ListParagraph"/>
        <w:numPr>
          <w:ilvl w:val="1"/>
          <w:numId w:val="6"/>
        </w:numPr>
      </w:pPr>
      <w:r>
        <w:t>T</w:t>
      </w:r>
      <w:r w:rsidR="008E245B">
        <w:t>hat while a</w:t>
      </w:r>
      <w:r w:rsidR="00B23124">
        <w:t xml:space="preserve"> </w:t>
      </w:r>
      <w:r w:rsidR="008E245B">
        <w:t xml:space="preserve">numerical model </w:t>
      </w:r>
      <w:r w:rsidR="00B23124">
        <w:t xml:space="preserve">is needed </w:t>
      </w:r>
      <w:r w:rsidR="008E245B">
        <w:t>to aid prediction, the model itself is not the objective.</w:t>
      </w:r>
    </w:p>
    <w:p w:rsidR="00916C56" w:rsidRPr="00916C56" w:rsidRDefault="00A85185" w:rsidP="00916C56">
      <w:pPr>
        <w:rPr>
          <w:b/>
        </w:rPr>
      </w:pPr>
      <w:r>
        <w:rPr>
          <w:b/>
        </w:rPr>
        <w:t>The</w:t>
      </w:r>
      <w:r w:rsidR="00583FE8">
        <w:rPr>
          <w:b/>
        </w:rPr>
        <w:t xml:space="preserve"> Committee </w:t>
      </w:r>
      <w:r>
        <w:rPr>
          <w:b/>
        </w:rPr>
        <w:t xml:space="preserve">analysed the presentations </w:t>
      </w:r>
      <w:r w:rsidR="00E260FF">
        <w:rPr>
          <w:b/>
        </w:rPr>
        <w:t xml:space="preserve">and </w:t>
      </w:r>
      <w:r>
        <w:rPr>
          <w:b/>
        </w:rPr>
        <w:t xml:space="preserve">proposed the </w:t>
      </w:r>
      <w:r w:rsidR="00E260FF">
        <w:rPr>
          <w:b/>
        </w:rPr>
        <w:t>following six</w:t>
      </w:r>
      <w:r w:rsidR="00583FE8">
        <w:rPr>
          <w:b/>
        </w:rPr>
        <w:t xml:space="preserve"> </w:t>
      </w:r>
      <w:r w:rsidR="00372DAA">
        <w:rPr>
          <w:b/>
        </w:rPr>
        <w:t>priority</w:t>
      </w:r>
      <w:r w:rsidR="00583FE8">
        <w:rPr>
          <w:b/>
        </w:rPr>
        <w:t xml:space="preserve"> streams of research </w:t>
      </w:r>
      <w:r w:rsidR="00372DAA">
        <w:rPr>
          <w:b/>
        </w:rPr>
        <w:t xml:space="preserve">and </w:t>
      </w:r>
      <w:r w:rsidR="00916C56" w:rsidRPr="00916C56">
        <w:rPr>
          <w:b/>
        </w:rPr>
        <w:t>knowledge</w:t>
      </w:r>
      <w:r w:rsidR="00E260FF">
        <w:rPr>
          <w:b/>
        </w:rPr>
        <w:t xml:space="preserve"> </w:t>
      </w:r>
      <w:r w:rsidR="00372DAA">
        <w:rPr>
          <w:b/>
        </w:rPr>
        <w:t>acquisition.</w:t>
      </w:r>
    </w:p>
    <w:p w:rsidR="00916C56" w:rsidRDefault="006D4E2E" w:rsidP="006D4E2E">
      <w:pPr>
        <w:pStyle w:val="ListParagraph"/>
        <w:numPr>
          <w:ilvl w:val="0"/>
          <w:numId w:val="1"/>
        </w:numPr>
      </w:pPr>
      <w:r>
        <w:t>A</w:t>
      </w:r>
      <w:r w:rsidR="00916C56">
        <w:t xml:space="preserve"> risk assessment framework</w:t>
      </w:r>
      <w:r w:rsidR="00230BAF">
        <w:t xml:space="preserve">, to enable the </w:t>
      </w:r>
      <w:r w:rsidR="00916C56">
        <w:t>bioregional assessments</w:t>
      </w:r>
      <w:r w:rsidR="00230BAF">
        <w:t xml:space="preserve">. It was considered that the risk frameworks presented by the National Water Commission or the </w:t>
      </w:r>
      <w:r w:rsidR="00EA58F1" w:rsidRPr="00EA58F1">
        <w:t>Namoi Catchment Management Authority</w:t>
      </w:r>
      <w:r w:rsidR="00EA58F1">
        <w:t xml:space="preserve"> </w:t>
      </w:r>
      <w:r w:rsidR="00916C56">
        <w:t xml:space="preserve">risk frameworks </w:t>
      </w:r>
      <w:r w:rsidR="008D1770">
        <w:t>are possible</w:t>
      </w:r>
      <w:r w:rsidR="00916C56">
        <w:t xml:space="preserve"> </w:t>
      </w:r>
      <w:r w:rsidR="00B23124">
        <w:t>foundation documents</w:t>
      </w:r>
      <w:r w:rsidR="00EA58F1">
        <w:t>.</w:t>
      </w:r>
      <w:r>
        <w:t xml:space="preserve"> This would be used to communicate</w:t>
      </w:r>
      <w:r w:rsidR="00916C56">
        <w:t xml:space="preserve"> </w:t>
      </w:r>
      <w:r>
        <w:t xml:space="preserve">more </w:t>
      </w:r>
      <w:r w:rsidR="00916C56">
        <w:t>effectively</w:t>
      </w:r>
      <w:r>
        <w:t>.</w:t>
      </w:r>
    </w:p>
    <w:p w:rsidR="00916C56" w:rsidRDefault="006D4E2E" w:rsidP="00916C56">
      <w:pPr>
        <w:pStyle w:val="ListParagraph"/>
        <w:numPr>
          <w:ilvl w:val="0"/>
          <w:numId w:val="1"/>
        </w:numPr>
      </w:pPr>
      <w:r>
        <w:t>K</w:t>
      </w:r>
      <w:r w:rsidR="00916C56">
        <w:t>nowledge projects and foundational science</w:t>
      </w:r>
      <w:r>
        <w:t xml:space="preserve"> to better understand the impacts</w:t>
      </w:r>
      <w:r w:rsidR="00B23124">
        <w:t>.</w:t>
      </w:r>
    </w:p>
    <w:p w:rsidR="00916C56" w:rsidRDefault="00916C56" w:rsidP="006D4E2E">
      <w:pPr>
        <w:pStyle w:val="ListParagraph"/>
        <w:numPr>
          <w:ilvl w:val="0"/>
          <w:numId w:val="1"/>
        </w:numPr>
      </w:pPr>
      <w:r>
        <w:t xml:space="preserve">Capacity </w:t>
      </w:r>
      <w:r w:rsidR="008D1770">
        <w:t>building – both</w:t>
      </w:r>
      <w:r>
        <w:t xml:space="preserve"> infrastructure and people – </w:t>
      </w:r>
      <w:r w:rsidR="006D4E2E">
        <w:t xml:space="preserve">to better enable the research to be done. For example </w:t>
      </w:r>
      <w:r>
        <w:t>set up a fellowship scheme for experienced international personnel</w:t>
      </w:r>
    </w:p>
    <w:p w:rsidR="00916C56" w:rsidRDefault="00916C56" w:rsidP="0030266B">
      <w:pPr>
        <w:pStyle w:val="ListParagraph"/>
        <w:numPr>
          <w:ilvl w:val="0"/>
          <w:numId w:val="1"/>
        </w:numPr>
      </w:pPr>
      <w:r>
        <w:t>Data strategy and infrastructure (data availability and accessibility) to coordinate accumulation of information</w:t>
      </w:r>
      <w:r w:rsidR="0030266B">
        <w:t xml:space="preserve">. This acknowledges there is a vast amount of data already collected that is not </w:t>
      </w:r>
      <w:r w:rsidR="00FD2E3F">
        <w:t xml:space="preserve">currently </w:t>
      </w:r>
      <w:r w:rsidR="0030266B">
        <w:t>accessible.  Engagement with the Bureau of Meteorology</w:t>
      </w:r>
      <w:r>
        <w:t xml:space="preserve"> </w:t>
      </w:r>
      <w:r w:rsidR="008D1770">
        <w:t>that has</w:t>
      </w:r>
      <w:r w:rsidR="0030266B">
        <w:t xml:space="preserve"> </w:t>
      </w:r>
      <w:r>
        <w:t xml:space="preserve">the mandate to be </w:t>
      </w:r>
      <w:r w:rsidR="0030266B">
        <w:t>the</w:t>
      </w:r>
      <w:r>
        <w:t xml:space="preserve"> key repository of national water data</w:t>
      </w:r>
      <w:r w:rsidR="00FD2E3F">
        <w:t xml:space="preserve"> is </w:t>
      </w:r>
      <w:r w:rsidR="008D1770">
        <w:t>needed. Both</w:t>
      </w:r>
      <w:r w:rsidR="00FD2E3F">
        <w:t xml:space="preserve"> the Bureau of</w:t>
      </w:r>
      <w:r w:rsidR="0030266B">
        <w:t xml:space="preserve"> Meteorology and Geosciences Australia </w:t>
      </w:r>
      <w:r w:rsidR="00FD2E3F">
        <w:t xml:space="preserve">need to be engaged </w:t>
      </w:r>
      <w:r>
        <w:t xml:space="preserve">about data needs and </w:t>
      </w:r>
      <w:r w:rsidR="0030266B">
        <w:t xml:space="preserve">the </w:t>
      </w:r>
      <w:r>
        <w:t>mechanism</w:t>
      </w:r>
      <w:r w:rsidR="00FD2E3F">
        <w:t>s</w:t>
      </w:r>
      <w:r>
        <w:t xml:space="preserve"> for acquisition and storage</w:t>
      </w:r>
      <w:r w:rsidR="0030266B">
        <w:t xml:space="preserve">. Engagement with stakeholders in particular the </w:t>
      </w:r>
      <w:proofErr w:type="gramStart"/>
      <w:r w:rsidR="0030266B">
        <w:t>states is</w:t>
      </w:r>
      <w:proofErr w:type="gramEnd"/>
      <w:r w:rsidR="0030266B">
        <w:t xml:space="preserve"> also required.</w:t>
      </w:r>
    </w:p>
    <w:p w:rsidR="00916C56" w:rsidRDefault="00916C56" w:rsidP="00266465">
      <w:pPr>
        <w:pStyle w:val="ListParagraph"/>
        <w:numPr>
          <w:ilvl w:val="0"/>
          <w:numId w:val="1"/>
        </w:numPr>
      </w:pPr>
      <w:r>
        <w:t>Collaboration between major research agencies and institutions</w:t>
      </w:r>
      <w:r w:rsidR="0030266B">
        <w:t xml:space="preserve"> for example </w:t>
      </w:r>
      <w:r w:rsidR="00266465" w:rsidRPr="00266465">
        <w:t>Gas Industry Social &amp; Environmental Research Alliance</w:t>
      </w:r>
      <w:r w:rsidR="00266465">
        <w:t>,</w:t>
      </w:r>
      <w:r w:rsidR="00266465" w:rsidRPr="00266465">
        <w:t xml:space="preserve"> </w:t>
      </w:r>
      <w:r w:rsidRPr="00266465">
        <w:t>S</w:t>
      </w:r>
      <w:r w:rsidR="00FD2E3F">
        <w:t xml:space="preserve">ustainable </w:t>
      </w:r>
      <w:r w:rsidRPr="00266465">
        <w:t>M</w:t>
      </w:r>
      <w:r w:rsidR="00FD2E3F">
        <w:t>inerals Institute</w:t>
      </w:r>
      <w:r>
        <w:t xml:space="preserve">, National Ground </w:t>
      </w:r>
      <w:r w:rsidR="0030266B">
        <w:t>W</w:t>
      </w:r>
      <w:r>
        <w:t>ater Centre, U</w:t>
      </w:r>
      <w:r w:rsidR="0030266B">
        <w:t>niversity of New South Wales.</w:t>
      </w:r>
      <w:r w:rsidR="00266465">
        <w:t xml:space="preserve"> This will require developing the mechanisms to ensure effective outcomes and </w:t>
      </w:r>
      <w:r>
        <w:t>process</w:t>
      </w:r>
      <w:r w:rsidR="00266465">
        <w:t>es.</w:t>
      </w:r>
    </w:p>
    <w:p w:rsidR="000B71CD" w:rsidRDefault="00916C56" w:rsidP="000B71CD">
      <w:pPr>
        <w:pStyle w:val="ListParagraph"/>
        <w:numPr>
          <w:ilvl w:val="0"/>
          <w:numId w:val="1"/>
        </w:numPr>
      </w:pPr>
      <w:r>
        <w:t xml:space="preserve">Basin scale modelling </w:t>
      </w:r>
      <w:r w:rsidR="006B5D8B">
        <w:t>which would provide data to</w:t>
      </w:r>
      <w:r>
        <w:t xml:space="preserve"> support </w:t>
      </w:r>
      <w:r w:rsidR="006B5D8B">
        <w:t xml:space="preserve">the understanding of risks and provide data for foundational research. Engagement with industry and state governments to enable currently collected data to be used. </w:t>
      </w:r>
      <w:r w:rsidR="000B71CD">
        <w:t>For example</w:t>
      </w:r>
      <w:r w:rsidR="00FD2E3F">
        <w:t>:</w:t>
      </w:r>
    </w:p>
    <w:p w:rsidR="00916C56" w:rsidRDefault="000B71CD" w:rsidP="000B71CD">
      <w:pPr>
        <w:pStyle w:val="ListParagraph"/>
        <w:numPr>
          <w:ilvl w:val="1"/>
          <w:numId w:val="1"/>
        </w:numPr>
      </w:pPr>
      <w:r>
        <w:t>O</w:t>
      </w:r>
      <w:r w:rsidR="00916C56">
        <w:t>nly data from specifically constructed monitoring bores are reported to Qld Govt data from operational recovery bores are not</w:t>
      </w:r>
      <w:r w:rsidR="006B5D8B">
        <w:t xml:space="preserve">. </w:t>
      </w:r>
    </w:p>
    <w:p w:rsidR="00916C56" w:rsidRDefault="00916C56" w:rsidP="00916C56">
      <w:pPr>
        <w:pStyle w:val="ListParagraph"/>
        <w:numPr>
          <w:ilvl w:val="1"/>
          <w:numId w:val="1"/>
        </w:numPr>
      </w:pPr>
      <w:r>
        <w:t xml:space="preserve">Legal issues of ownership of the bores and consequent requirements for </w:t>
      </w:r>
      <w:r w:rsidR="0007724E">
        <w:t>reporting and</w:t>
      </w:r>
      <w:r w:rsidR="00372DAA">
        <w:t xml:space="preserve"> </w:t>
      </w:r>
      <w:r>
        <w:t>monitoring data</w:t>
      </w:r>
      <w:r w:rsidR="00372DAA">
        <w:t xml:space="preserve"> to a central repository</w:t>
      </w:r>
      <w:r w:rsidR="001972DD">
        <w:t xml:space="preserve"> (e</w:t>
      </w:r>
      <w:r w:rsidR="00B563A5">
        <w:t>.</w:t>
      </w:r>
      <w:r w:rsidR="001972DD">
        <w:t>g</w:t>
      </w:r>
      <w:r w:rsidR="00B563A5">
        <w:t>.</w:t>
      </w:r>
      <w:r w:rsidR="001972DD">
        <w:t xml:space="preserve"> state government or BOM)</w:t>
      </w:r>
      <w:r>
        <w:t xml:space="preserve">. </w:t>
      </w:r>
    </w:p>
    <w:p w:rsidR="00916C56" w:rsidRPr="00647DAC" w:rsidRDefault="000B71CD" w:rsidP="00916C56">
      <w:pPr>
        <w:rPr>
          <w:b/>
        </w:rPr>
      </w:pPr>
      <w:r w:rsidRPr="00647DAC">
        <w:rPr>
          <w:b/>
        </w:rPr>
        <w:t xml:space="preserve">Further discussion then occurred to better scope </w:t>
      </w:r>
      <w:r w:rsidR="00647DAC" w:rsidRPr="00647DAC">
        <w:rPr>
          <w:b/>
        </w:rPr>
        <w:t>the</w:t>
      </w:r>
      <w:r w:rsidRPr="00647DAC">
        <w:rPr>
          <w:b/>
        </w:rPr>
        <w:t xml:space="preserve"> risk assessment framework or </w:t>
      </w:r>
      <w:r w:rsidR="00B705F8">
        <w:rPr>
          <w:b/>
        </w:rPr>
        <w:t>s</w:t>
      </w:r>
      <w:r w:rsidR="00916C56" w:rsidRPr="00647DAC">
        <w:rPr>
          <w:b/>
        </w:rPr>
        <w:t>patial risk statements</w:t>
      </w:r>
      <w:r w:rsidR="00647DAC" w:rsidRPr="00647DAC">
        <w:rPr>
          <w:b/>
        </w:rPr>
        <w:t>.</w:t>
      </w:r>
    </w:p>
    <w:p w:rsidR="00647DAC" w:rsidRDefault="00647DAC" w:rsidP="00916C56">
      <w:pPr>
        <w:ind w:left="720"/>
      </w:pPr>
      <w:r>
        <w:t>It was proposed that there were three key areas to address</w:t>
      </w:r>
      <w:r w:rsidR="00B705F8">
        <w:t>:</w:t>
      </w:r>
      <w:r>
        <w:t xml:space="preserve"> </w:t>
      </w:r>
    </w:p>
    <w:p w:rsidR="00916C56" w:rsidRDefault="00E96801" w:rsidP="00647DAC">
      <w:pPr>
        <w:pStyle w:val="ListParagraph"/>
        <w:numPr>
          <w:ilvl w:val="0"/>
          <w:numId w:val="7"/>
        </w:numPr>
      </w:pPr>
      <w:r w:rsidRPr="0007724E">
        <w:t>Risk Framework</w:t>
      </w:r>
      <w:r w:rsidR="00916C56">
        <w:t xml:space="preserve"> –</w:t>
      </w:r>
      <w:r w:rsidR="00AE1876">
        <w:t>ask the b</w:t>
      </w:r>
      <w:r w:rsidR="00916C56">
        <w:t xml:space="preserve">ig </w:t>
      </w:r>
      <w:r w:rsidR="00AE1876">
        <w:t>questions? This would be openly communicated and require engagement of the states, industry</w:t>
      </w:r>
      <w:r w:rsidR="00367D65">
        <w:t>,</w:t>
      </w:r>
      <w:r w:rsidR="00AE1876">
        <w:t xml:space="preserve"> communities</w:t>
      </w:r>
      <w:r w:rsidR="00367D65">
        <w:t>, Catchment</w:t>
      </w:r>
      <w:r w:rsidR="00AE1876">
        <w:t xml:space="preserve"> </w:t>
      </w:r>
      <w:r w:rsidR="00367D65">
        <w:t xml:space="preserve">Management Authorities and </w:t>
      </w:r>
      <w:r w:rsidR="00AE1876">
        <w:t>to both ask and answer the questions.</w:t>
      </w:r>
    </w:p>
    <w:p w:rsidR="00AE1876" w:rsidRDefault="00AE1876" w:rsidP="00AE1876">
      <w:pPr>
        <w:ind w:left="1440"/>
      </w:pPr>
      <w:r>
        <w:t xml:space="preserve">The National Water Commission and </w:t>
      </w:r>
      <w:r w:rsidRPr="00EA58F1">
        <w:t>Namoi Catchment Management Authority</w:t>
      </w:r>
      <w:r>
        <w:t xml:space="preserve"> risk frameworks </w:t>
      </w:r>
      <w:r w:rsidR="001972DD">
        <w:t>sh</w:t>
      </w:r>
      <w:r>
        <w:t>ould be reviewed along with other respected risk frameworks’ (including overseas) to</w:t>
      </w:r>
      <w:r w:rsidR="001972DD">
        <w:t xml:space="preserve"> provide the basis for producing a (national) standardised framework</w:t>
      </w:r>
      <w:r>
        <w:t xml:space="preserve"> </w:t>
      </w:r>
      <w:r w:rsidR="001972DD">
        <w:t>for conducting the bioregional  assessments.</w:t>
      </w:r>
      <w:r w:rsidR="00B705F8">
        <w:t xml:space="preserve">. This </w:t>
      </w:r>
      <w:r w:rsidR="001E391B">
        <w:t>will ensure</w:t>
      </w:r>
      <w:r w:rsidR="001972DD">
        <w:t xml:space="preserve"> consistency of </w:t>
      </w:r>
      <w:r w:rsidR="001E391B">
        <w:t>content and</w:t>
      </w:r>
      <w:r w:rsidR="001972DD">
        <w:t xml:space="preserve"> extent of analysis of cumulative impacts </w:t>
      </w:r>
      <w:r w:rsidR="00E05946">
        <w:t>for the bioregional assessments</w:t>
      </w:r>
      <w:r w:rsidR="001972DD">
        <w:t xml:space="preserve">, facilitate comparison of the assessments between regions, and enable more effective </w:t>
      </w:r>
      <w:r>
        <w:t>communicat</w:t>
      </w:r>
      <w:r w:rsidR="001972DD">
        <w:t xml:space="preserve">ion of the outcomes. </w:t>
      </w:r>
    </w:p>
    <w:p w:rsidR="00916C56" w:rsidRDefault="00E96801" w:rsidP="00430B9E">
      <w:pPr>
        <w:pStyle w:val="ListParagraph"/>
        <w:numPr>
          <w:ilvl w:val="0"/>
          <w:numId w:val="7"/>
        </w:numPr>
        <w:spacing w:after="120" w:line="240" w:lineRule="auto"/>
      </w:pPr>
      <w:r w:rsidRPr="00E96801">
        <w:rPr>
          <w:u w:val="single"/>
        </w:rPr>
        <w:t>Regional/Risks (Broad scale</w:t>
      </w:r>
      <w:r w:rsidR="00916C56">
        <w:t xml:space="preserve">) </w:t>
      </w:r>
      <w:r w:rsidR="00367D65">
        <w:t xml:space="preserve">- </w:t>
      </w:r>
      <w:r w:rsidR="00916C56">
        <w:t xml:space="preserve">All prospective </w:t>
      </w:r>
      <w:r w:rsidR="00A84587">
        <w:t>(i</w:t>
      </w:r>
      <w:r w:rsidR="00E05946">
        <w:t>.</w:t>
      </w:r>
      <w:r w:rsidR="00A84587">
        <w:t>e</w:t>
      </w:r>
      <w:r w:rsidR="00E05946">
        <w:t>.</w:t>
      </w:r>
      <w:r w:rsidR="00A84587">
        <w:t xml:space="preserve"> for CSG extraction and/or coal mining) </w:t>
      </w:r>
      <w:r w:rsidR="00916C56">
        <w:t>regions</w:t>
      </w:r>
      <w:r w:rsidR="00367D65">
        <w:t xml:space="preserve"> to </w:t>
      </w:r>
      <w:r w:rsidR="008A3FAB">
        <w:t>have an assessment done</w:t>
      </w:r>
      <w:r w:rsidR="00367D65">
        <w:t xml:space="preserve">. </w:t>
      </w:r>
      <w:r w:rsidR="00647DAC">
        <w:t>Bioregional assessment will comprise region specific/ spatial risk assessments</w:t>
      </w:r>
      <w:r w:rsidR="00F409EE">
        <w:t xml:space="preserve"> -</w:t>
      </w:r>
      <w:r w:rsidR="00647DAC">
        <w:t xml:space="preserve"> </w:t>
      </w:r>
      <w:r w:rsidR="00F409EE">
        <w:t>n</w:t>
      </w:r>
      <w:r w:rsidR="00430B9E">
        <w:t>oting that a</w:t>
      </w:r>
      <w:r w:rsidR="00F409EE">
        <w:t xml:space="preserve"> </w:t>
      </w:r>
      <w:r w:rsidR="00430B9E">
        <w:t>r</w:t>
      </w:r>
      <w:r w:rsidR="00916C56">
        <w:t xml:space="preserve">apid risk </w:t>
      </w:r>
      <w:r w:rsidR="001E391B">
        <w:t>prioritisation project</w:t>
      </w:r>
      <w:r w:rsidR="00916C56">
        <w:t xml:space="preserve"> </w:t>
      </w:r>
      <w:r w:rsidR="00430B9E">
        <w:t xml:space="preserve">has been </w:t>
      </w:r>
      <w:r w:rsidR="00916C56">
        <w:t>commissioned</w:t>
      </w:r>
      <w:r w:rsidR="00430B9E">
        <w:t xml:space="preserve"> with Geosciences Australia</w:t>
      </w:r>
      <w:r w:rsidR="00916C56">
        <w:t xml:space="preserve"> to define priority NRM regions for bioregional assessments</w:t>
      </w:r>
      <w:r w:rsidR="00F409EE">
        <w:t>, with a draft report due on March 9</w:t>
      </w:r>
      <w:r w:rsidR="00916C56">
        <w:t>.</w:t>
      </w:r>
    </w:p>
    <w:p w:rsidR="008A3FAB" w:rsidRDefault="000A03E1" w:rsidP="008A3FAB">
      <w:pPr>
        <w:spacing w:after="120" w:line="240" w:lineRule="auto"/>
        <w:ind w:left="1440"/>
        <w:contextualSpacing/>
      </w:pPr>
      <w:r>
        <w:t>B</w:t>
      </w:r>
      <w:r w:rsidR="00916C56">
        <w:t xml:space="preserve">asin areas for </w:t>
      </w:r>
      <w:r>
        <w:t xml:space="preserve">potential </w:t>
      </w:r>
      <w:r w:rsidR="00916C56">
        <w:t xml:space="preserve">work based on presentations </w:t>
      </w:r>
      <w:r w:rsidR="00F409EE">
        <w:t>from</w:t>
      </w:r>
      <w:r w:rsidR="00916C56">
        <w:t xml:space="preserve"> Day 1 of</w:t>
      </w:r>
      <w:r w:rsidR="00F409EE">
        <w:t xml:space="preserve"> the</w:t>
      </w:r>
      <w:r w:rsidR="00685694">
        <w:t xml:space="preserve"> </w:t>
      </w:r>
      <w:r w:rsidR="00F409EE">
        <w:t xml:space="preserve"> </w:t>
      </w:r>
      <w:r w:rsidR="00916C56">
        <w:t xml:space="preserve"> workshop</w:t>
      </w:r>
      <w:r w:rsidR="008A3FAB">
        <w:t xml:space="preserve"> were</w:t>
      </w:r>
      <w:r w:rsidR="00916C56">
        <w:t>:</w:t>
      </w:r>
    </w:p>
    <w:p w:rsidR="00916C56" w:rsidRDefault="00916C56" w:rsidP="008A3FAB">
      <w:pPr>
        <w:pStyle w:val="ListParagraph"/>
        <w:numPr>
          <w:ilvl w:val="0"/>
          <w:numId w:val="9"/>
        </w:numPr>
        <w:spacing w:after="120" w:line="240" w:lineRule="auto"/>
      </w:pPr>
      <w:r>
        <w:t>Greenfield</w:t>
      </w:r>
      <w:r w:rsidR="008A3FAB">
        <w:t xml:space="preserve"> sites (no current development)</w:t>
      </w:r>
      <w:r>
        <w:t xml:space="preserve"> </w:t>
      </w:r>
      <w:r w:rsidR="005C70B5">
        <w:t>–</w:t>
      </w:r>
      <w:r>
        <w:t xml:space="preserve"> </w:t>
      </w:r>
      <w:proofErr w:type="spellStart"/>
      <w:r>
        <w:t>Ackaringa</w:t>
      </w:r>
      <w:proofErr w:type="spellEnd"/>
      <w:r w:rsidR="005C70B5">
        <w:t>, SA</w:t>
      </w:r>
    </w:p>
    <w:p w:rsidR="00916C56" w:rsidRDefault="008A3FAB" w:rsidP="008A3FAB">
      <w:pPr>
        <w:pStyle w:val="ListParagraph"/>
        <w:numPr>
          <w:ilvl w:val="0"/>
          <w:numId w:val="9"/>
        </w:numPr>
        <w:spacing w:after="120" w:line="240" w:lineRule="auto"/>
      </w:pPr>
      <w:r>
        <w:t>Sites where development is underway</w:t>
      </w:r>
      <w:r w:rsidR="00916C56">
        <w:t xml:space="preserve">  - </w:t>
      </w:r>
      <w:proofErr w:type="spellStart"/>
      <w:r w:rsidR="00916C56">
        <w:t>Gunedah</w:t>
      </w:r>
      <w:proofErr w:type="spellEnd"/>
      <w:r w:rsidR="00916C56">
        <w:t>,</w:t>
      </w:r>
      <w:r w:rsidR="005C70B5">
        <w:t xml:space="preserve"> NSW &amp; </w:t>
      </w:r>
      <w:r w:rsidR="00916C56">
        <w:t xml:space="preserve"> Clarence</w:t>
      </w:r>
      <w:r w:rsidR="005C70B5">
        <w:t>, NSW</w:t>
      </w:r>
      <w:r w:rsidR="00916C56">
        <w:t xml:space="preserve"> </w:t>
      </w:r>
    </w:p>
    <w:p w:rsidR="00916C56" w:rsidRDefault="008A3FAB" w:rsidP="00E05946">
      <w:pPr>
        <w:pStyle w:val="ListParagraph"/>
        <w:numPr>
          <w:ilvl w:val="0"/>
          <w:numId w:val="9"/>
        </w:numPr>
        <w:spacing w:after="360" w:line="240" w:lineRule="auto"/>
        <w:ind w:left="2517" w:hanging="357"/>
      </w:pPr>
      <w:r>
        <w:t>Fully operational sites</w:t>
      </w:r>
      <w:r w:rsidR="00916C56">
        <w:t xml:space="preserve"> – Surat</w:t>
      </w:r>
      <w:r w:rsidR="005C70B5">
        <w:t xml:space="preserve">, Qld &amp; </w:t>
      </w:r>
      <w:r w:rsidR="00916C56">
        <w:t xml:space="preserve"> Hunter </w:t>
      </w:r>
      <w:r w:rsidR="005C70B5">
        <w:t>, NSW</w:t>
      </w:r>
    </w:p>
    <w:p w:rsidR="00FE7BDE" w:rsidRPr="00FE7BDE" w:rsidRDefault="0007724E" w:rsidP="00E05946">
      <w:pPr>
        <w:pStyle w:val="ListParagraph"/>
        <w:numPr>
          <w:ilvl w:val="0"/>
          <w:numId w:val="7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spacing w:before="600"/>
        <w:ind w:left="1434" w:hanging="357"/>
        <w:contextualSpacing w:val="0"/>
        <w:rPr>
          <w:b/>
        </w:rPr>
      </w:pPr>
      <w:r w:rsidRPr="0007724E">
        <w:rPr>
          <w:u w:val="single"/>
        </w:rPr>
        <w:t>Risk factors that are specific to a particular region</w:t>
      </w:r>
      <w:r>
        <w:t xml:space="preserve"> - </w:t>
      </w:r>
      <w:r w:rsidR="008A3FAB">
        <w:t xml:space="preserve">There is a need for targeted research/information acquisition to provide the regionally specific information required to address those risk factors that are unique to a particular bioregion. </w:t>
      </w:r>
      <w:r w:rsidR="00430B9E">
        <w:t>It was considered that a</w:t>
      </w:r>
      <w:r w:rsidR="008A3FAB">
        <w:t>t this point only</w:t>
      </w:r>
      <w:r w:rsidR="00916C56">
        <w:t xml:space="preserve"> a hazard assessment</w:t>
      </w:r>
      <w:r w:rsidR="008A3FAB">
        <w:t xml:space="preserve"> is required</w:t>
      </w:r>
      <w:r w:rsidR="00916C56">
        <w:t xml:space="preserve"> – don’t need to consider mitigation as this is the role of the proponent through the </w:t>
      </w:r>
      <w:r w:rsidR="001E391B">
        <w:t>Environmental Impact</w:t>
      </w:r>
      <w:r w:rsidR="00F409EE">
        <w:t xml:space="preserve"> Assessment</w:t>
      </w:r>
      <w:r w:rsidR="00916C56">
        <w:t xml:space="preserve"> </w:t>
      </w:r>
      <w:r w:rsidR="001E391B">
        <w:t>process</w:t>
      </w:r>
      <w:r w:rsidR="001E391B" w:rsidRPr="00FE7BDE">
        <w:rPr>
          <w:b/>
        </w:rPr>
        <w:t>.</w:t>
      </w:r>
    </w:p>
    <w:p w:rsidR="00FE7BDE" w:rsidRPr="00FE7BDE" w:rsidRDefault="00FE7BDE" w:rsidP="00FE7BDE">
      <w:p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1440"/>
      </w:pPr>
      <w:r w:rsidRPr="00FE7BDE">
        <w:t xml:space="preserve">A preliminary identification of what </w:t>
      </w:r>
      <w:r w:rsidR="000A03E1">
        <w:t>assets are</w:t>
      </w:r>
      <w:r w:rsidRPr="00FE7BDE">
        <w:t xml:space="preserve"> at risk (within the scope of Coal Seam Gas and Coal Mining impacts on water resources) was also conducted. The following where identified</w:t>
      </w:r>
      <w:r w:rsidR="005C70B5">
        <w:t>:</w:t>
      </w:r>
    </w:p>
    <w:p w:rsidR="00FE7BDE" w:rsidRDefault="00FE7BDE" w:rsidP="00FE7BDE">
      <w:pPr>
        <w:pStyle w:val="ListParagraph"/>
        <w:numPr>
          <w:ilvl w:val="0"/>
          <w:numId w:val="12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2160"/>
      </w:pPr>
      <w:r w:rsidRPr="00FE7BDE">
        <w:t>Aquatic ecosystems</w:t>
      </w:r>
    </w:p>
    <w:p w:rsidR="00FE7BDE" w:rsidRDefault="00FE7BDE" w:rsidP="00FE7BDE">
      <w:pPr>
        <w:pStyle w:val="ListParagraph"/>
        <w:numPr>
          <w:ilvl w:val="0"/>
          <w:numId w:val="12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2160"/>
      </w:pPr>
      <w:r>
        <w:t>Terrestrial ecosystems</w:t>
      </w:r>
    </w:p>
    <w:p w:rsidR="001B79B1" w:rsidRDefault="00FE7BDE">
      <w:pPr>
        <w:pStyle w:val="ListParagraph"/>
        <w:numPr>
          <w:ilvl w:val="0"/>
          <w:numId w:val="12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2160"/>
      </w:pPr>
      <w:r>
        <w:t>Drinking water supply</w:t>
      </w:r>
    </w:p>
    <w:p w:rsidR="00FE7BDE" w:rsidRDefault="00FE7BDE" w:rsidP="00FE7BDE">
      <w:pPr>
        <w:pStyle w:val="ListParagraph"/>
        <w:numPr>
          <w:ilvl w:val="0"/>
          <w:numId w:val="12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2160"/>
      </w:pPr>
      <w:r>
        <w:t>Irrigation water supply</w:t>
      </w:r>
    </w:p>
    <w:p w:rsidR="00FE7BDE" w:rsidRDefault="00FE7BDE" w:rsidP="00FE7BDE">
      <w:pPr>
        <w:pStyle w:val="ListParagraph"/>
        <w:numPr>
          <w:ilvl w:val="0"/>
          <w:numId w:val="12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2160"/>
      </w:pPr>
      <w:r>
        <w:t>Surface infrastructure</w:t>
      </w:r>
    </w:p>
    <w:p w:rsidR="00FE7BDE" w:rsidRDefault="001E391B" w:rsidP="00FE7BDE">
      <w:pPr>
        <w:pStyle w:val="ListParagraph"/>
        <w:numPr>
          <w:ilvl w:val="0"/>
          <w:numId w:val="12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2160"/>
      </w:pPr>
      <w:r>
        <w:t xml:space="preserve">Reputation of </w:t>
      </w:r>
      <w:r w:rsidR="00FE7BDE">
        <w:t>Science</w:t>
      </w:r>
    </w:p>
    <w:p w:rsidR="00FE7BDE" w:rsidRDefault="00FE7BDE" w:rsidP="00FE7BDE">
      <w:pPr>
        <w:pStyle w:val="ListParagraph"/>
        <w:numPr>
          <w:ilvl w:val="0"/>
          <w:numId w:val="12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2160"/>
      </w:pPr>
      <w:r>
        <w:t>Industry</w:t>
      </w:r>
    </w:p>
    <w:p w:rsidR="00FE7BDE" w:rsidRDefault="00FE7BDE" w:rsidP="00FE7BDE">
      <w:pPr>
        <w:pStyle w:val="ListParagraph"/>
        <w:numPr>
          <w:ilvl w:val="0"/>
          <w:numId w:val="12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2160"/>
      </w:pPr>
      <w:r>
        <w:t>Regional communities</w:t>
      </w:r>
    </w:p>
    <w:p w:rsidR="00FE7BDE" w:rsidRDefault="00FE7BDE" w:rsidP="00FE7BDE">
      <w:pPr>
        <w:pStyle w:val="ListParagraph"/>
        <w:numPr>
          <w:ilvl w:val="0"/>
          <w:numId w:val="12"/>
        </w:num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2160"/>
      </w:pPr>
      <w:r>
        <w:t>Aquifers/Ground water resources</w:t>
      </w:r>
    </w:p>
    <w:p w:rsidR="008B1D31" w:rsidRDefault="008B1D31" w:rsidP="008B1D31">
      <w:pPr>
        <w:tabs>
          <w:tab w:val="left" w:pos="2093"/>
          <w:tab w:val="left" w:pos="3232"/>
          <w:tab w:val="left" w:pos="4734"/>
          <w:tab w:val="left" w:pos="6236"/>
          <w:tab w:val="left" w:pos="7739"/>
        </w:tabs>
        <w:ind w:left="1440"/>
      </w:pPr>
      <w:r>
        <w:t xml:space="preserve">The issue of </w:t>
      </w:r>
      <w:proofErr w:type="spellStart"/>
      <w:r>
        <w:t>fraccing</w:t>
      </w:r>
      <w:proofErr w:type="spellEnd"/>
      <w:r>
        <w:t xml:space="preserve"> chemicals is an important one. It was considered that the</w:t>
      </w:r>
      <w:r w:rsidR="003C53D0">
        <w:t xml:space="preserve"> Committee</w:t>
      </w:r>
      <w:r>
        <w:t xml:space="preserve"> needed to build on and enhance the work that the U</w:t>
      </w:r>
      <w:r w:rsidR="003C53D0">
        <w:t>nited State Environment Protection Agency</w:t>
      </w:r>
      <w:r>
        <w:t xml:space="preserve"> is doing on potential impacts of </w:t>
      </w:r>
      <w:proofErr w:type="spellStart"/>
      <w:r>
        <w:t>fraccing</w:t>
      </w:r>
      <w:proofErr w:type="spellEnd"/>
      <w:r>
        <w:t xml:space="preserve"> chemicals on drinking water – rather than replicating it</w:t>
      </w:r>
      <w:r w:rsidR="003C53D0">
        <w:t>.</w:t>
      </w:r>
    </w:p>
    <w:p w:rsidR="00FE7BDE" w:rsidRDefault="00FE7BDE" w:rsidP="00FE7BDE">
      <w:pPr>
        <w:tabs>
          <w:tab w:val="left" w:pos="2093"/>
          <w:tab w:val="left" w:pos="3232"/>
          <w:tab w:val="left" w:pos="4734"/>
          <w:tab w:val="left" w:pos="6236"/>
          <w:tab w:val="left" w:pos="7739"/>
        </w:tabs>
      </w:pPr>
      <w:r>
        <w:t>To further develop the risk framework</w:t>
      </w:r>
      <w:r w:rsidR="0067665C">
        <w:t xml:space="preserve"> associated with the bioregional assessment process</w:t>
      </w:r>
      <w:r>
        <w:t xml:space="preserve"> a two day workshop would be organised in mid March, inviting </w:t>
      </w:r>
      <w:r w:rsidR="008B1D31">
        <w:t xml:space="preserve">key </w:t>
      </w:r>
      <w:r>
        <w:t xml:space="preserve">Catchment </w:t>
      </w:r>
      <w:r w:rsidR="008B1D31">
        <w:t xml:space="preserve">Management Authorities to be involved. The scope of this would be further developed before the meeting on the 22 </w:t>
      </w:r>
      <w:r w:rsidR="003C53D0">
        <w:t xml:space="preserve">February 2012 </w:t>
      </w:r>
      <w:r w:rsidR="008B1D31">
        <w:t xml:space="preserve">and agreed to at that meeting. </w:t>
      </w:r>
    </w:p>
    <w:p w:rsidR="00916C56" w:rsidRPr="00E91CAA" w:rsidRDefault="00E260FF" w:rsidP="00916C56">
      <w:pPr>
        <w:rPr>
          <w:b/>
        </w:rPr>
      </w:pPr>
      <w:r>
        <w:rPr>
          <w:b/>
        </w:rPr>
        <w:t xml:space="preserve">The Committee </w:t>
      </w:r>
      <w:r w:rsidR="00430B9E">
        <w:rPr>
          <w:b/>
        </w:rPr>
        <w:t>c</w:t>
      </w:r>
      <w:r>
        <w:rPr>
          <w:b/>
        </w:rPr>
        <w:t xml:space="preserve">oncluded </w:t>
      </w:r>
      <w:r w:rsidR="00FE7BDE">
        <w:rPr>
          <w:b/>
        </w:rPr>
        <w:t xml:space="preserve">the day </w:t>
      </w:r>
      <w:r w:rsidR="00430B9E">
        <w:rPr>
          <w:b/>
        </w:rPr>
        <w:t xml:space="preserve">with an assessment of what where </w:t>
      </w:r>
      <w:r>
        <w:rPr>
          <w:b/>
        </w:rPr>
        <w:t>the</w:t>
      </w:r>
      <w:r w:rsidR="00430B9E">
        <w:rPr>
          <w:b/>
        </w:rPr>
        <w:t xml:space="preserve"> d</w:t>
      </w:r>
      <w:r w:rsidR="00BA1D62" w:rsidRPr="00BA1D62">
        <w:rPr>
          <w:b/>
        </w:rPr>
        <w:t xml:space="preserve">rivers for </w:t>
      </w:r>
      <w:r w:rsidR="00430B9E">
        <w:rPr>
          <w:b/>
        </w:rPr>
        <w:t>r</w:t>
      </w:r>
      <w:r w:rsidR="00BA1D62" w:rsidRPr="00BA1D62">
        <w:rPr>
          <w:b/>
        </w:rPr>
        <w:t xml:space="preserve">esearch </w:t>
      </w:r>
      <w:r w:rsidR="00430B9E">
        <w:rPr>
          <w:b/>
        </w:rPr>
        <w:t>i</w:t>
      </w:r>
      <w:r w:rsidR="00BA1D62" w:rsidRPr="00BA1D62">
        <w:rPr>
          <w:b/>
        </w:rPr>
        <w:t>nvestment</w:t>
      </w:r>
      <w:r w:rsidR="003C53D0">
        <w:rPr>
          <w:b/>
        </w:rPr>
        <w:t>.</w:t>
      </w:r>
    </w:p>
    <w:p w:rsidR="00916C56" w:rsidRPr="00E91CAA" w:rsidRDefault="00916C56" w:rsidP="00FE7BDE">
      <w:r w:rsidRPr="00E91CAA">
        <w:t>Over-arching aspects that need to be considered for</w:t>
      </w:r>
      <w:r>
        <w:t xml:space="preserve"> assessing impacts on </w:t>
      </w:r>
      <w:r w:rsidRPr="00E91CAA">
        <w:t>water resources:</w:t>
      </w:r>
    </w:p>
    <w:p w:rsidR="00916C56" w:rsidRDefault="00916C56" w:rsidP="00916C56">
      <w:pPr>
        <w:pStyle w:val="ListParagraph"/>
        <w:numPr>
          <w:ilvl w:val="0"/>
          <w:numId w:val="4"/>
        </w:numPr>
      </w:pPr>
      <w:r>
        <w:t>Quantity</w:t>
      </w:r>
    </w:p>
    <w:p w:rsidR="00916C56" w:rsidRDefault="00916C56" w:rsidP="00916C56">
      <w:pPr>
        <w:pStyle w:val="ListParagraph"/>
        <w:numPr>
          <w:ilvl w:val="0"/>
          <w:numId w:val="4"/>
        </w:numPr>
      </w:pPr>
      <w:r>
        <w:t>Quality</w:t>
      </w:r>
    </w:p>
    <w:p w:rsidR="00916C56" w:rsidRDefault="00916C56" w:rsidP="00916C56">
      <w:pPr>
        <w:pStyle w:val="ListParagraph"/>
        <w:numPr>
          <w:ilvl w:val="0"/>
          <w:numId w:val="4"/>
        </w:numPr>
      </w:pPr>
      <w:r>
        <w:t>Disruptions (physical)</w:t>
      </w:r>
    </w:p>
    <w:p w:rsidR="00BA1D62" w:rsidRDefault="00916C56" w:rsidP="00BA1D62">
      <w:pPr>
        <w:pStyle w:val="ListParagraph"/>
        <w:numPr>
          <w:ilvl w:val="0"/>
          <w:numId w:val="4"/>
        </w:numPr>
      </w:pPr>
      <w:r>
        <w:t>Surface water and ground water interaction</w:t>
      </w:r>
    </w:p>
    <w:p w:rsidR="00BA1D62" w:rsidRDefault="00916C56" w:rsidP="00BA1D62">
      <w:pPr>
        <w:pStyle w:val="ListParagraph"/>
        <w:numPr>
          <w:ilvl w:val="0"/>
          <w:numId w:val="4"/>
        </w:numPr>
      </w:pPr>
      <w:r>
        <w:t>Flow regime and path</w:t>
      </w:r>
    </w:p>
    <w:p w:rsidR="001B79B1" w:rsidRDefault="001B79B1">
      <w:pPr>
        <w:pStyle w:val="ListParagraph"/>
      </w:pPr>
    </w:p>
    <w:p w:rsidR="00916C56" w:rsidRPr="00430B9E" w:rsidRDefault="00133236" w:rsidP="00916C56">
      <w:pPr>
        <w:pStyle w:val="ListParagraph"/>
        <w:ind w:left="0"/>
      </w:pPr>
      <w:r>
        <w:t>Priority i</w:t>
      </w:r>
      <w:r w:rsidR="00916C56" w:rsidRPr="00430B9E">
        <w:t>ssues</w:t>
      </w:r>
      <w:r>
        <w:t xml:space="preserve"> and d</w:t>
      </w:r>
      <w:r w:rsidR="00916C56" w:rsidRPr="00430B9E">
        <w:t xml:space="preserve">rivers affecting the above key aspects </w:t>
      </w:r>
      <w:r w:rsidR="004A5612">
        <w:t>were noted as:</w:t>
      </w:r>
    </w:p>
    <w:p w:rsidR="00916C56" w:rsidRPr="00430B9E" w:rsidRDefault="00916C56" w:rsidP="00430B9E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430B9E">
        <w:rPr>
          <w:color w:val="000000" w:themeColor="text1"/>
        </w:rPr>
        <w:t>Aquifer Inter-Connectivity – (</w:t>
      </w:r>
      <w:proofErr w:type="spellStart"/>
      <w:r w:rsidRPr="00430B9E">
        <w:rPr>
          <w:color w:val="000000" w:themeColor="text1"/>
        </w:rPr>
        <w:t>fraccing</w:t>
      </w:r>
      <w:proofErr w:type="spellEnd"/>
      <w:r w:rsidRPr="00430B9E">
        <w:rPr>
          <w:color w:val="000000" w:themeColor="text1"/>
        </w:rPr>
        <w:t xml:space="preserve"> – </w:t>
      </w:r>
      <w:r w:rsidR="00430B9E" w:rsidRPr="00430B9E">
        <w:rPr>
          <w:color w:val="000000" w:themeColor="text1"/>
        </w:rPr>
        <w:t>the</w:t>
      </w:r>
      <w:r w:rsidRPr="00430B9E">
        <w:rPr>
          <w:color w:val="000000" w:themeColor="text1"/>
        </w:rPr>
        <w:t xml:space="preserve"> physical process affecting this)</w:t>
      </w:r>
    </w:p>
    <w:p w:rsidR="00916C56" w:rsidRPr="00430B9E" w:rsidRDefault="00916C56" w:rsidP="00430B9E">
      <w:pPr>
        <w:pStyle w:val="ListParagraph"/>
        <w:numPr>
          <w:ilvl w:val="0"/>
          <w:numId w:val="11"/>
        </w:numPr>
        <w:spacing w:after="120" w:line="280" w:lineRule="atLeast"/>
        <w:rPr>
          <w:color w:val="000000" w:themeColor="text1"/>
        </w:rPr>
      </w:pPr>
      <w:r w:rsidRPr="00430B9E">
        <w:rPr>
          <w:color w:val="000000" w:themeColor="text1"/>
        </w:rPr>
        <w:t xml:space="preserve">Disruption of surface infrastructure and water flow pathways </w:t>
      </w:r>
    </w:p>
    <w:p w:rsidR="00916C56" w:rsidRPr="00430B9E" w:rsidRDefault="00916C56" w:rsidP="00430B9E">
      <w:pPr>
        <w:pStyle w:val="ListParagraph"/>
        <w:numPr>
          <w:ilvl w:val="0"/>
          <w:numId w:val="11"/>
        </w:numPr>
        <w:spacing w:after="120" w:line="280" w:lineRule="atLeast"/>
        <w:rPr>
          <w:color w:val="000000" w:themeColor="text1"/>
        </w:rPr>
      </w:pPr>
      <w:r w:rsidRPr="00430B9E">
        <w:rPr>
          <w:rFonts w:cstheme="minorHAnsi"/>
          <w:color w:val="000000" w:themeColor="text1"/>
        </w:rPr>
        <w:t xml:space="preserve">Subsidence </w:t>
      </w:r>
    </w:p>
    <w:p w:rsidR="00916C56" w:rsidRPr="00430B9E" w:rsidRDefault="00916C56" w:rsidP="00430B9E">
      <w:pPr>
        <w:pStyle w:val="ListParagraph"/>
        <w:numPr>
          <w:ilvl w:val="0"/>
          <w:numId w:val="11"/>
        </w:numPr>
        <w:spacing w:after="120" w:line="280" w:lineRule="atLeast"/>
        <w:rPr>
          <w:color w:val="000000" w:themeColor="text1"/>
        </w:rPr>
      </w:pPr>
      <w:r w:rsidRPr="00430B9E">
        <w:rPr>
          <w:rFonts w:cstheme="minorHAnsi"/>
          <w:color w:val="000000" w:themeColor="text1"/>
        </w:rPr>
        <w:t>Co-produced water and salt management (C</w:t>
      </w:r>
      <w:r w:rsidR="004A5612">
        <w:rPr>
          <w:rFonts w:cstheme="minorHAnsi"/>
          <w:color w:val="000000" w:themeColor="text1"/>
        </w:rPr>
        <w:t xml:space="preserve">oal </w:t>
      </w:r>
      <w:r w:rsidRPr="00430B9E">
        <w:rPr>
          <w:rFonts w:cstheme="minorHAnsi"/>
          <w:color w:val="000000" w:themeColor="text1"/>
        </w:rPr>
        <w:t>S</w:t>
      </w:r>
      <w:r w:rsidR="004A5612">
        <w:rPr>
          <w:rFonts w:cstheme="minorHAnsi"/>
          <w:color w:val="000000" w:themeColor="text1"/>
        </w:rPr>
        <w:t xml:space="preserve">eam </w:t>
      </w:r>
      <w:r w:rsidRPr="00430B9E">
        <w:rPr>
          <w:rFonts w:cstheme="minorHAnsi"/>
          <w:color w:val="000000" w:themeColor="text1"/>
        </w:rPr>
        <w:t>G</w:t>
      </w:r>
      <w:r w:rsidR="004A5612">
        <w:rPr>
          <w:rFonts w:cstheme="minorHAnsi"/>
          <w:color w:val="000000" w:themeColor="text1"/>
        </w:rPr>
        <w:t>as</w:t>
      </w:r>
      <w:r w:rsidRPr="00430B9E">
        <w:rPr>
          <w:rFonts w:cstheme="minorHAnsi"/>
          <w:color w:val="000000" w:themeColor="text1"/>
        </w:rPr>
        <w:t xml:space="preserve">) </w:t>
      </w:r>
    </w:p>
    <w:p w:rsidR="00916C56" w:rsidRPr="00430B9E" w:rsidRDefault="00916C56" w:rsidP="00430B9E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430B9E">
        <w:rPr>
          <w:color w:val="000000" w:themeColor="text1"/>
        </w:rPr>
        <w:t>Bore integrity- installation and decommissioning</w:t>
      </w:r>
    </w:p>
    <w:p w:rsidR="00916C56" w:rsidRPr="00430B9E" w:rsidRDefault="00916C56" w:rsidP="00430B9E">
      <w:pPr>
        <w:pStyle w:val="ListParagraph"/>
        <w:numPr>
          <w:ilvl w:val="0"/>
          <w:numId w:val="11"/>
        </w:numPr>
        <w:rPr>
          <w:color w:val="000000" w:themeColor="text1"/>
        </w:rPr>
      </w:pPr>
      <w:proofErr w:type="spellStart"/>
      <w:r w:rsidRPr="00430B9E">
        <w:rPr>
          <w:color w:val="000000" w:themeColor="text1"/>
        </w:rPr>
        <w:t>Fraccing</w:t>
      </w:r>
      <w:proofErr w:type="spellEnd"/>
      <w:r w:rsidRPr="00430B9E">
        <w:rPr>
          <w:color w:val="000000" w:themeColor="text1"/>
        </w:rPr>
        <w:t xml:space="preserve"> process</w:t>
      </w:r>
      <w:r w:rsidR="001E391B" w:rsidRPr="00430B9E">
        <w:rPr>
          <w:color w:val="000000" w:themeColor="text1"/>
        </w:rPr>
        <w:t xml:space="preserve"> </w:t>
      </w:r>
    </w:p>
    <w:p w:rsidR="00916C56" w:rsidRPr="00430B9E" w:rsidRDefault="00916C56" w:rsidP="00430B9E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430B9E">
        <w:rPr>
          <w:color w:val="000000" w:themeColor="text1"/>
        </w:rPr>
        <w:t xml:space="preserve">Drinking water </w:t>
      </w:r>
    </w:p>
    <w:p w:rsidR="00430B9E" w:rsidRPr="00430B9E" w:rsidRDefault="00430B9E" w:rsidP="00430B9E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430B9E">
        <w:rPr>
          <w:color w:val="000000" w:themeColor="text1"/>
        </w:rPr>
        <w:t xml:space="preserve">Recharge – impacts on recharge (identified by </w:t>
      </w:r>
      <w:r>
        <w:rPr>
          <w:color w:val="000000" w:themeColor="text1"/>
        </w:rPr>
        <w:t>the C</w:t>
      </w:r>
      <w:r w:rsidRPr="00430B9E">
        <w:rPr>
          <w:color w:val="000000" w:themeColor="text1"/>
        </w:rPr>
        <w:t>ommittee as an area that has received little attention, especially in the context of large open cut mines</w:t>
      </w:r>
    </w:p>
    <w:p w:rsidR="00430B9E" w:rsidRPr="00430B9E" w:rsidRDefault="00430B9E" w:rsidP="00430B9E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430B9E">
        <w:rPr>
          <w:color w:val="000000" w:themeColor="text1"/>
        </w:rPr>
        <w:t>Aquatic ecosystems</w:t>
      </w:r>
    </w:p>
    <w:p w:rsidR="001028A0" w:rsidRDefault="00916C56">
      <w:r>
        <w:t xml:space="preserve">Overall hazard and risk assessment needs to be placed in the context of life cycle and value chain aspects of </w:t>
      </w:r>
      <w:r w:rsidR="00430B9E">
        <w:t xml:space="preserve">coal seam gas and coal </w:t>
      </w:r>
      <w:r>
        <w:t>mining</w:t>
      </w:r>
      <w:r w:rsidR="00430B9E">
        <w:t>.</w:t>
      </w:r>
      <w:r w:rsidR="001028A0">
        <w:br w:type="page"/>
      </w:r>
    </w:p>
    <w:p w:rsidR="00E302F8" w:rsidRDefault="00E23EFA" w:rsidP="00E302F8">
      <w:pPr>
        <w:rPr>
          <w:rFonts w:cstheme="minorHAnsi"/>
          <w:b/>
        </w:rPr>
      </w:pPr>
      <w:r>
        <w:rPr>
          <w:b/>
        </w:rPr>
        <w:t>Attendee</w:t>
      </w:r>
      <w:r w:rsidR="00E302F8">
        <w:rPr>
          <w:b/>
        </w:rPr>
        <w:t>s</w:t>
      </w:r>
      <w:r>
        <w:rPr>
          <w:b/>
        </w:rPr>
        <w:t>:</w:t>
      </w:r>
      <w:r w:rsidR="00E302F8" w:rsidRPr="00E302F8">
        <w:rPr>
          <w:rFonts w:cstheme="minorHAnsi"/>
          <w:b/>
        </w:rPr>
        <w:t xml:space="preserve"> </w:t>
      </w:r>
    </w:p>
    <w:p w:rsidR="000A03E1" w:rsidRDefault="000A03E1" w:rsidP="000A03E1">
      <w:pPr>
        <w:rPr>
          <w:rFonts w:cstheme="minorHAnsi"/>
          <w:b/>
        </w:rPr>
      </w:pPr>
      <w:r w:rsidRPr="00EF1292">
        <w:rPr>
          <w:rFonts w:cstheme="minorHAnsi"/>
          <w:b/>
        </w:rPr>
        <w:t>Committee Members</w:t>
      </w:r>
      <w:r>
        <w:rPr>
          <w:rFonts w:cstheme="minorHAnsi"/>
          <w:b/>
        </w:rPr>
        <w:t>:</w:t>
      </w:r>
    </w:p>
    <w:p w:rsidR="000A03E1" w:rsidRPr="00E302F8" w:rsidRDefault="000A03E1" w:rsidP="000A03E1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Professor Craig Simmons</w:t>
      </w:r>
    </w:p>
    <w:p w:rsidR="000A03E1" w:rsidRPr="00E302F8" w:rsidRDefault="000A03E1" w:rsidP="000A03E1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Professor John Langford</w:t>
      </w:r>
    </w:p>
    <w:p w:rsidR="000A03E1" w:rsidRPr="00E302F8" w:rsidRDefault="000A03E1" w:rsidP="000A03E1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Emeritus Professor Peter Flood</w:t>
      </w:r>
    </w:p>
    <w:p w:rsidR="000A03E1" w:rsidRPr="00E302F8" w:rsidRDefault="000A03E1" w:rsidP="000A03E1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Associate Professor David Laurence</w:t>
      </w:r>
    </w:p>
    <w:p w:rsidR="000A03E1" w:rsidRPr="00E302F8" w:rsidRDefault="000A03E1" w:rsidP="000A03E1">
      <w:r w:rsidRPr="00E302F8">
        <w:rPr>
          <w:rFonts w:cstheme="minorHAnsi"/>
        </w:rPr>
        <w:t>Professor Chris Moran</w:t>
      </w:r>
    </w:p>
    <w:p w:rsidR="00E302F8" w:rsidRPr="00E302F8" w:rsidRDefault="00E302F8" w:rsidP="00E302F8">
      <w:pPr>
        <w:rPr>
          <w:rFonts w:cstheme="minorHAnsi"/>
          <w:b/>
        </w:rPr>
      </w:pPr>
      <w:r w:rsidRPr="00EF1292">
        <w:rPr>
          <w:rFonts w:cstheme="minorHAnsi"/>
          <w:b/>
        </w:rPr>
        <w:t>SECRETARIAT &amp; SUPPO</w:t>
      </w:r>
      <w:r w:rsidRPr="00E302F8">
        <w:rPr>
          <w:rFonts w:cstheme="minorHAnsi"/>
          <w:b/>
        </w:rPr>
        <w:t>RT STAFF</w:t>
      </w:r>
      <w:r>
        <w:rPr>
          <w:rFonts w:cstheme="minorHAnsi"/>
          <w:b/>
        </w:rPr>
        <w:t>:</w:t>
      </w:r>
    </w:p>
    <w:p w:rsidR="00E302F8" w:rsidRPr="00E302F8" w:rsidRDefault="00E302F8" w:rsidP="00E302F8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Alex Rankin</w:t>
      </w:r>
    </w:p>
    <w:p w:rsidR="00E302F8" w:rsidRPr="00E302F8" w:rsidRDefault="00E302F8" w:rsidP="00E302F8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Dr David Jones</w:t>
      </w:r>
    </w:p>
    <w:p w:rsidR="00E302F8" w:rsidRPr="00E302F8" w:rsidRDefault="00E302F8" w:rsidP="00E302F8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Helen Vooren </w:t>
      </w:r>
    </w:p>
    <w:p w:rsidR="00E302F8" w:rsidRPr="00E302F8" w:rsidRDefault="00E302F8" w:rsidP="00E302F8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Pamela Finger</w:t>
      </w:r>
    </w:p>
    <w:p w:rsidR="00E302F8" w:rsidRPr="00E302F8" w:rsidRDefault="00E302F8" w:rsidP="00E302F8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Peter Baker</w:t>
      </w:r>
    </w:p>
    <w:p w:rsidR="00EF1292" w:rsidRDefault="00E302F8" w:rsidP="001028A0">
      <w:pPr>
        <w:spacing w:before="240"/>
        <w:rPr>
          <w:b/>
        </w:rPr>
      </w:pPr>
      <w:r>
        <w:rPr>
          <w:b/>
        </w:rPr>
        <w:t>Guests:</w:t>
      </w:r>
    </w:p>
    <w:p w:rsidR="00E23EFA" w:rsidRPr="00E302F8" w:rsidRDefault="00E23EFA" w:rsidP="00E23EFA">
      <w:pPr>
        <w:spacing w:after="60" w:line="240" w:lineRule="auto"/>
      </w:pPr>
      <w:r w:rsidRPr="00E302F8">
        <w:t xml:space="preserve">Ian </w:t>
      </w:r>
      <w:proofErr w:type="spellStart"/>
      <w:r w:rsidRPr="00E302F8">
        <w:t>Hayllor</w:t>
      </w:r>
      <w:proofErr w:type="spellEnd"/>
      <w:r w:rsidRPr="00E302F8">
        <w:t xml:space="preserve"> - Basin Sustainability Alliance </w:t>
      </w:r>
    </w:p>
    <w:p w:rsidR="00E23EFA" w:rsidRDefault="00E23EFA" w:rsidP="00E23EF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Francesca </w:t>
      </w:r>
      <w:proofErr w:type="spellStart"/>
      <w:r w:rsidRPr="00E302F8">
        <w:rPr>
          <w:rFonts w:cstheme="minorHAnsi"/>
        </w:rPr>
        <w:t>Adreoni</w:t>
      </w:r>
      <w:proofErr w:type="spellEnd"/>
      <w:r w:rsidRPr="00E302F8">
        <w:rPr>
          <w:rFonts w:cstheme="minorHAnsi"/>
        </w:rPr>
        <w:t xml:space="preserve"> - Namoi Catchment Management Area</w:t>
      </w:r>
    </w:p>
    <w:p w:rsidR="007E2AD9" w:rsidRDefault="007E2AD9" w:rsidP="001028A0">
      <w:pPr>
        <w:spacing w:before="240" w:after="60" w:line="240" w:lineRule="auto"/>
        <w:rPr>
          <w:rFonts w:cstheme="minorHAnsi"/>
        </w:rPr>
      </w:pPr>
      <w:r w:rsidRPr="00E302F8">
        <w:rPr>
          <w:rFonts w:cstheme="minorHAnsi"/>
        </w:rPr>
        <w:t>Martin Hoffman - Deputy Secretary, DRET Standing Committee on Energy &amp; Resources Working Group</w:t>
      </w:r>
    </w:p>
    <w:p w:rsidR="00E23EFA" w:rsidRPr="00E302F8" w:rsidRDefault="00E23EFA" w:rsidP="00E23EF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Dr Sue </w:t>
      </w:r>
      <w:proofErr w:type="spellStart"/>
      <w:r w:rsidRPr="00E302F8">
        <w:rPr>
          <w:rFonts w:cstheme="minorHAnsi"/>
        </w:rPr>
        <w:t>Vink</w:t>
      </w:r>
      <w:proofErr w:type="spellEnd"/>
      <w:r w:rsidRPr="00E302F8">
        <w:rPr>
          <w:rFonts w:cstheme="minorHAnsi"/>
        </w:rPr>
        <w:t xml:space="preserve"> - Principal Research Fellow, Sustainable Minerals Institute, University of Queensland</w:t>
      </w:r>
    </w:p>
    <w:p w:rsidR="007E2AD9" w:rsidRPr="00E302F8" w:rsidRDefault="007E2AD9" w:rsidP="007E2AD9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Dr Stuart Minchin – Chief, Environmental </w:t>
      </w:r>
      <w:proofErr w:type="spellStart"/>
      <w:r w:rsidRPr="00E302F8">
        <w:rPr>
          <w:rFonts w:cstheme="minorHAnsi"/>
        </w:rPr>
        <w:t>Geoscience</w:t>
      </w:r>
      <w:proofErr w:type="spellEnd"/>
      <w:r w:rsidRPr="00E302F8">
        <w:rPr>
          <w:rFonts w:cstheme="minorHAnsi"/>
        </w:rPr>
        <w:t xml:space="preserve"> Division, </w:t>
      </w:r>
      <w:proofErr w:type="spellStart"/>
      <w:r w:rsidRPr="00E302F8">
        <w:rPr>
          <w:rFonts w:cstheme="minorHAnsi"/>
        </w:rPr>
        <w:t>Geoscience</w:t>
      </w:r>
      <w:proofErr w:type="spellEnd"/>
      <w:r w:rsidRPr="00E302F8">
        <w:rPr>
          <w:rFonts w:cstheme="minorHAnsi"/>
        </w:rPr>
        <w:t xml:space="preserve"> Australia</w:t>
      </w:r>
    </w:p>
    <w:p w:rsidR="00E23EFA" w:rsidRPr="00E302F8" w:rsidRDefault="00E23EFA" w:rsidP="00E23EF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Professor Ian Acworth - Director, Connected Waters Initiative, University of New South Wales</w:t>
      </w:r>
    </w:p>
    <w:p w:rsidR="00E23EFA" w:rsidRPr="00E302F8" w:rsidRDefault="00E23EFA" w:rsidP="00E23EF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Adam </w:t>
      </w:r>
      <w:proofErr w:type="spellStart"/>
      <w:r w:rsidRPr="00E302F8">
        <w:rPr>
          <w:rFonts w:cstheme="minorHAnsi"/>
        </w:rPr>
        <w:t>Sincock</w:t>
      </w:r>
      <w:proofErr w:type="spellEnd"/>
      <w:r w:rsidRPr="00E302F8">
        <w:rPr>
          <w:rFonts w:cstheme="minorHAnsi"/>
        </w:rPr>
        <w:t xml:space="preserve"> - National Water Commission</w:t>
      </w:r>
    </w:p>
    <w:p w:rsidR="00E67438" w:rsidRDefault="00E23EFA" w:rsidP="00E67438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Bill Young - Director, Water for a Healthy Country Flagship</w:t>
      </w:r>
      <w:r w:rsidR="007E2AD9">
        <w:rPr>
          <w:rFonts w:cstheme="minorHAnsi"/>
        </w:rPr>
        <w:t>, CSIRO</w:t>
      </w:r>
    </w:p>
    <w:p w:rsidR="00CE2A8A" w:rsidRPr="00E302F8" w:rsidRDefault="00CE2A8A" w:rsidP="00E67438">
      <w:pPr>
        <w:spacing w:after="60" w:line="240" w:lineRule="auto"/>
        <w:rPr>
          <w:rFonts w:cstheme="minorHAnsi"/>
        </w:rPr>
      </w:pPr>
      <w:r>
        <w:rPr>
          <w:rFonts w:cstheme="minorHAnsi"/>
        </w:rPr>
        <w:t>Ben Jarvis -</w:t>
      </w:r>
      <w:r w:rsidRPr="00E302F8">
        <w:rPr>
          <w:rFonts w:cstheme="minorHAnsi"/>
        </w:rPr>
        <w:t xml:space="preserve"> Department of Resource, Energy and Tourism</w:t>
      </w:r>
    </w:p>
    <w:p w:rsidR="00CE2A8A" w:rsidRPr="00E302F8" w:rsidRDefault="00CE2A8A" w:rsidP="00CE2A8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Julia </w:t>
      </w:r>
      <w:proofErr w:type="spellStart"/>
      <w:r w:rsidRPr="00E302F8">
        <w:rPr>
          <w:rFonts w:cstheme="minorHAnsi"/>
        </w:rPr>
        <w:t>Playford</w:t>
      </w:r>
      <w:proofErr w:type="spellEnd"/>
      <w:r w:rsidRPr="00E302F8">
        <w:rPr>
          <w:rFonts w:cstheme="minorHAnsi"/>
        </w:rPr>
        <w:t xml:space="preserve"> </w:t>
      </w:r>
      <w:r>
        <w:rPr>
          <w:rFonts w:cstheme="minorHAnsi"/>
        </w:rPr>
        <w:t>-</w:t>
      </w:r>
      <w:r w:rsidR="00D95ADC">
        <w:rPr>
          <w:rFonts w:cstheme="minorHAnsi"/>
        </w:rPr>
        <w:t xml:space="preserve"> </w:t>
      </w:r>
      <w:r w:rsidR="00D95ADC" w:rsidRPr="00E302F8">
        <w:rPr>
          <w:rFonts w:cstheme="minorHAnsi"/>
        </w:rPr>
        <w:t>Queensland</w:t>
      </w:r>
      <w:r w:rsidRPr="00E302F8">
        <w:rPr>
          <w:rFonts w:cstheme="minorHAnsi"/>
        </w:rPr>
        <w:t xml:space="preserve"> Department </w:t>
      </w:r>
      <w:r w:rsidR="006A424D">
        <w:rPr>
          <w:rFonts w:cstheme="minorHAnsi"/>
        </w:rPr>
        <w:t>of Environment and Resource Management</w:t>
      </w:r>
    </w:p>
    <w:p w:rsidR="006A424D" w:rsidRPr="00E302F8" w:rsidRDefault="00D95ADC" w:rsidP="006A424D">
      <w:pPr>
        <w:spacing w:after="60" w:line="240" w:lineRule="auto"/>
        <w:rPr>
          <w:rFonts w:cstheme="minorHAnsi"/>
        </w:rPr>
      </w:pPr>
      <w:r>
        <w:rPr>
          <w:rFonts w:cstheme="minorHAnsi"/>
        </w:rPr>
        <w:t>Christine Williams -</w:t>
      </w:r>
      <w:r w:rsidRPr="00D95ADC">
        <w:rPr>
          <w:rFonts w:cstheme="minorHAnsi"/>
        </w:rPr>
        <w:t xml:space="preserve"> </w:t>
      </w:r>
      <w:r w:rsidRPr="00E302F8">
        <w:rPr>
          <w:rFonts w:cstheme="minorHAnsi"/>
        </w:rPr>
        <w:t>Queensland</w:t>
      </w:r>
      <w:r>
        <w:rPr>
          <w:rFonts w:cstheme="minorHAnsi"/>
        </w:rPr>
        <w:t xml:space="preserve"> </w:t>
      </w:r>
      <w:r w:rsidR="006A424D" w:rsidRPr="00E302F8">
        <w:rPr>
          <w:rFonts w:cstheme="minorHAnsi"/>
        </w:rPr>
        <w:t xml:space="preserve">Department </w:t>
      </w:r>
      <w:r w:rsidR="006A424D">
        <w:rPr>
          <w:rFonts w:cstheme="minorHAnsi"/>
        </w:rPr>
        <w:t>of Environment and Resource Management</w:t>
      </w:r>
    </w:p>
    <w:p w:rsidR="006A424D" w:rsidRPr="00E302F8" w:rsidRDefault="00CE2A8A" w:rsidP="006A424D">
      <w:pPr>
        <w:spacing w:after="60" w:line="240" w:lineRule="auto"/>
        <w:rPr>
          <w:rFonts w:cstheme="minorHAnsi"/>
        </w:rPr>
      </w:pPr>
      <w:r>
        <w:rPr>
          <w:rFonts w:cstheme="minorHAnsi"/>
        </w:rPr>
        <w:t>Anne Lenz</w:t>
      </w:r>
      <w:r w:rsidRPr="00E302F8">
        <w:rPr>
          <w:rFonts w:cstheme="minorHAnsi"/>
        </w:rPr>
        <w:t xml:space="preserve"> </w:t>
      </w:r>
      <w:r w:rsidR="00D95ADC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D95ADC" w:rsidRPr="00E302F8">
        <w:rPr>
          <w:rFonts w:cstheme="minorHAnsi"/>
        </w:rPr>
        <w:t>Queensland</w:t>
      </w:r>
      <w:r w:rsidR="00D95ADC">
        <w:rPr>
          <w:rFonts w:cstheme="minorHAnsi"/>
        </w:rPr>
        <w:t xml:space="preserve"> </w:t>
      </w:r>
      <w:r w:rsidR="006A424D" w:rsidRPr="00E302F8">
        <w:rPr>
          <w:rFonts w:cstheme="minorHAnsi"/>
        </w:rPr>
        <w:t xml:space="preserve">Department </w:t>
      </w:r>
      <w:r w:rsidR="006A424D">
        <w:rPr>
          <w:rFonts w:cstheme="minorHAnsi"/>
        </w:rPr>
        <w:t>of Environment and Resource Management</w:t>
      </w:r>
    </w:p>
    <w:p w:rsidR="00CE2A8A" w:rsidRPr="00E302F8" w:rsidRDefault="00CE2A8A" w:rsidP="00CE2A8A">
      <w:pPr>
        <w:spacing w:after="60" w:line="240" w:lineRule="auto"/>
        <w:rPr>
          <w:rFonts w:cstheme="minorHAnsi"/>
        </w:rPr>
      </w:pPr>
      <w:proofErr w:type="spellStart"/>
      <w:r w:rsidRPr="00E302F8">
        <w:rPr>
          <w:rFonts w:cstheme="minorHAnsi"/>
        </w:rPr>
        <w:t>Petrina</w:t>
      </w:r>
      <w:proofErr w:type="spellEnd"/>
      <w:r w:rsidRPr="00E302F8">
        <w:rPr>
          <w:rFonts w:cstheme="minorHAnsi"/>
        </w:rPr>
        <w:t xml:space="preserve"> Prowse </w:t>
      </w:r>
      <w:r w:rsidR="00D95ADC">
        <w:rPr>
          <w:rFonts w:cstheme="minorHAnsi"/>
        </w:rPr>
        <w:t>–</w:t>
      </w:r>
      <w:r w:rsidR="00D95ADC" w:rsidRPr="00D95ADC">
        <w:rPr>
          <w:rFonts w:cstheme="minorHAnsi"/>
        </w:rPr>
        <w:t xml:space="preserve"> </w:t>
      </w:r>
      <w:r w:rsidR="00D95ADC" w:rsidRPr="00E302F8">
        <w:rPr>
          <w:rFonts w:cstheme="minorHAnsi"/>
        </w:rPr>
        <w:t>Queensland</w:t>
      </w:r>
      <w:r w:rsidR="00D95ADC">
        <w:rPr>
          <w:rFonts w:cstheme="minorHAnsi"/>
        </w:rPr>
        <w:t xml:space="preserve"> </w:t>
      </w:r>
      <w:r w:rsidR="006A424D" w:rsidRPr="00E302F8">
        <w:rPr>
          <w:rFonts w:cstheme="minorHAnsi"/>
        </w:rPr>
        <w:t xml:space="preserve">Department </w:t>
      </w:r>
      <w:r w:rsidR="006A424D">
        <w:rPr>
          <w:rFonts w:cstheme="minorHAnsi"/>
        </w:rPr>
        <w:t>of Environment and Resource Management</w:t>
      </w:r>
    </w:p>
    <w:p w:rsidR="00CE2A8A" w:rsidRPr="00E302F8" w:rsidRDefault="00CE2A8A" w:rsidP="00CE2A8A">
      <w:pPr>
        <w:spacing w:after="60" w:line="240" w:lineRule="auto"/>
        <w:rPr>
          <w:rFonts w:cstheme="minorHAnsi"/>
        </w:rPr>
      </w:pPr>
      <w:proofErr w:type="spellStart"/>
      <w:r w:rsidRPr="00E302F8">
        <w:rPr>
          <w:rFonts w:cstheme="minorHAnsi"/>
        </w:rPr>
        <w:t>Sanjeev</w:t>
      </w:r>
      <w:proofErr w:type="spellEnd"/>
      <w:r w:rsidRPr="00E302F8">
        <w:rPr>
          <w:rFonts w:cstheme="minorHAnsi"/>
        </w:rPr>
        <w:t xml:space="preserve"> </w:t>
      </w:r>
      <w:proofErr w:type="spellStart"/>
      <w:r w:rsidRPr="00E302F8">
        <w:rPr>
          <w:rFonts w:cstheme="minorHAnsi"/>
        </w:rPr>
        <w:t>Pandey</w:t>
      </w:r>
      <w:proofErr w:type="spellEnd"/>
      <w:r w:rsidRPr="00E302F8">
        <w:rPr>
          <w:rFonts w:cstheme="minorHAnsi"/>
        </w:rPr>
        <w:t xml:space="preserve"> - Queensland Water Commission </w:t>
      </w:r>
    </w:p>
    <w:p w:rsidR="00CE2A8A" w:rsidRDefault="00CE2A8A" w:rsidP="00CE2A8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Randall Cox- Queensland Water Commission </w:t>
      </w:r>
    </w:p>
    <w:p w:rsidR="006A424D" w:rsidRPr="00E302F8" w:rsidRDefault="006A424D" w:rsidP="006A424D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George Gates –New South Wales Office of Water</w:t>
      </w:r>
    </w:p>
    <w:p w:rsidR="006A424D" w:rsidRDefault="00E23EFA" w:rsidP="006A424D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Ben Bruce – South Australian Government</w:t>
      </w:r>
      <w:r w:rsidR="00CE2A8A">
        <w:rPr>
          <w:rFonts w:cstheme="minorHAnsi"/>
        </w:rPr>
        <w:t xml:space="preserve"> (by phone)</w:t>
      </w:r>
    </w:p>
    <w:p w:rsidR="00E23EFA" w:rsidRPr="00E302F8" w:rsidRDefault="00E23EFA" w:rsidP="006A424D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Chris McCombe - Minerals Council of Australia</w:t>
      </w:r>
    </w:p>
    <w:p w:rsidR="00802E50" w:rsidRDefault="00E23EFA" w:rsidP="00E23EFA">
      <w:pPr>
        <w:spacing w:after="60" w:line="240" w:lineRule="auto"/>
        <w:rPr>
          <w:rFonts w:cstheme="minorHAnsi"/>
        </w:rPr>
      </w:pPr>
      <w:proofErr w:type="spellStart"/>
      <w:r w:rsidRPr="00E302F8">
        <w:rPr>
          <w:rFonts w:cstheme="minorHAnsi"/>
        </w:rPr>
        <w:t>Arti</w:t>
      </w:r>
      <w:proofErr w:type="spellEnd"/>
      <w:r w:rsidRPr="00E302F8">
        <w:rPr>
          <w:rFonts w:cstheme="minorHAnsi"/>
        </w:rPr>
        <w:t xml:space="preserve"> Sharma</w:t>
      </w:r>
      <w:r w:rsidR="00802E50" w:rsidRPr="00E302F8">
        <w:rPr>
          <w:rFonts w:cstheme="minorHAnsi"/>
        </w:rPr>
        <w:t>- Queensland Resources Council</w:t>
      </w:r>
    </w:p>
    <w:p w:rsidR="00E23EFA" w:rsidRPr="00E302F8" w:rsidRDefault="00E23EFA" w:rsidP="00E23EF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Andrew Barger - Queensland Resources Council</w:t>
      </w:r>
    </w:p>
    <w:p w:rsidR="00CE2A8A" w:rsidRDefault="00E23EFA" w:rsidP="00E23EF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Brian French</w:t>
      </w:r>
      <w:r w:rsidR="00CE2A8A" w:rsidRPr="00E302F8">
        <w:rPr>
          <w:rFonts w:cstheme="minorHAnsi"/>
        </w:rPr>
        <w:t>- Xstrata</w:t>
      </w:r>
    </w:p>
    <w:p w:rsidR="00E23EFA" w:rsidRPr="00E302F8" w:rsidRDefault="00E23EFA" w:rsidP="00E23EF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>Stephen Downs - Xstrata</w:t>
      </w:r>
    </w:p>
    <w:p w:rsidR="00E23EFA" w:rsidRPr="00E302F8" w:rsidRDefault="00E23EFA" w:rsidP="00E23EFA">
      <w:pPr>
        <w:spacing w:after="60" w:line="240" w:lineRule="auto"/>
        <w:rPr>
          <w:rFonts w:cstheme="minorHAnsi"/>
        </w:rPr>
      </w:pPr>
      <w:proofErr w:type="gramStart"/>
      <w:r w:rsidRPr="00E302F8">
        <w:rPr>
          <w:rFonts w:cstheme="minorHAnsi"/>
        </w:rPr>
        <w:t xml:space="preserve">Roger  </w:t>
      </w:r>
      <w:proofErr w:type="spellStart"/>
      <w:r w:rsidRPr="00E302F8">
        <w:rPr>
          <w:rFonts w:cstheme="minorHAnsi"/>
        </w:rPr>
        <w:t>Wischusen</w:t>
      </w:r>
      <w:proofErr w:type="spellEnd"/>
      <w:proofErr w:type="gramEnd"/>
      <w:r w:rsidRPr="00E302F8">
        <w:rPr>
          <w:rFonts w:cstheme="minorHAnsi"/>
        </w:rPr>
        <w:t xml:space="preserve"> - Australian Coal Associated Research Program</w:t>
      </w:r>
    </w:p>
    <w:p w:rsidR="00E23EFA" w:rsidRPr="00E302F8" w:rsidRDefault="00E23EFA" w:rsidP="00E23EFA">
      <w:pPr>
        <w:spacing w:after="60" w:line="240" w:lineRule="auto"/>
        <w:rPr>
          <w:rFonts w:cstheme="minorHAnsi"/>
        </w:rPr>
      </w:pPr>
      <w:proofErr w:type="spellStart"/>
      <w:r w:rsidRPr="00E302F8">
        <w:rPr>
          <w:rFonts w:cstheme="minorHAnsi"/>
        </w:rPr>
        <w:t>Naaz</w:t>
      </w:r>
      <w:proofErr w:type="spellEnd"/>
      <w:r w:rsidRPr="00E302F8">
        <w:rPr>
          <w:rFonts w:cstheme="minorHAnsi"/>
        </w:rPr>
        <w:t xml:space="preserve"> </w:t>
      </w:r>
      <w:proofErr w:type="spellStart"/>
      <w:r w:rsidRPr="00E302F8">
        <w:rPr>
          <w:rFonts w:cstheme="minorHAnsi"/>
        </w:rPr>
        <w:t>Kerin</w:t>
      </w:r>
      <w:proofErr w:type="spellEnd"/>
      <w:r w:rsidRPr="00E302F8">
        <w:rPr>
          <w:rFonts w:cstheme="minorHAnsi"/>
        </w:rPr>
        <w:t xml:space="preserve"> - Australian Petroleum Production and Exploration Association Ltd </w:t>
      </w:r>
    </w:p>
    <w:p w:rsidR="009442F0" w:rsidRPr="00E302F8" w:rsidRDefault="009442F0" w:rsidP="00E23EFA">
      <w:pPr>
        <w:spacing w:after="60" w:line="240" w:lineRule="auto"/>
        <w:rPr>
          <w:rFonts w:cstheme="minorHAnsi"/>
        </w:rPr>
      </w:pPr>
      <w:proofErr w:type="spellStart"/>
      <w:r w:rsidRPr="00E302F8">
        <w:rPr>
          <w:rFonts w:cstheme="minorHAnsi"/>
        </w:rPr>
        <w:t>Arti</w:t>
      </w:r>
      <w:proofErr w:type="spellEnd"/>
      <w:r w:rsidRPr="00E302F8">
        <w:rPr>
          <w:rFonts w:cstheme="minorHAnsi"/>
        </w:rPr>
        <w:t xml:space="preserve"> Sharma </w:t>
      </w:r>
      <w:r w:rsidR="006E63F1">
        <w:rPr>
          <w:rFonts w:cstheme="minorHAnsi"/>
        </w:rPr>
        <w:t>-</w:t>
      </w:r>
      <w:r w:rsidRPr="00E302F8">
        <w:rPr>
          <w:rFonts w:cstheme="minorHAnsi"/>
        </w:rPr>
        <w:t xml:space="preserve"> New South Wales Minerals Council</w:t>
      </w:r>
    </w:p>
    <w:p w:rsidR="009442F0" w:rsidRPr="00E302F8" w:rsidRDefault="009442F0" w:rsidP="00E23EF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Andrew Barger </w:t>
      </w:r>
      <w:r w:rsidR="006E63F1">
        <w:rPr>
          <w:rFonts w:cstheme="minorHAnsi"/>
        </w:rPr>
        <w:t>-</w:t>
      </w:r>
      <w:r w:rsidRPr="00E302F8">
        <w:rPr>
          <w:rFonts w:cstheme="minorHAnsi"/>
        </w:rPr>
        <w:t xml:space="preserve"> Queensland Resources Council</w:t>
      </w:r>
    </w:p>
    <w:p w:rsidR="009442F0" w:rsidRPr="00E302F8" w:rsidRDefault="009442F0" w:rsidP="00E23EFA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Claire Cote </w:t>
      </w:r>
      <w:r w:rsidR="006E63F1">
        <w:rPr>
          <w:rFonts w:cstheme="minorHAnsi"/>
        </w:rPr>
        <w:t>-</w:t>
      </w:r>
      <w:r w:rsidRPr="00E302F8">
        <w:rPr>
          <w:rFonts w:cstheme="minorHAnsi"/>
        </w:rPr>
        <w:t xml:space="preserve"> Anglo American</w:t>
      </w:r>
    </w:p>
    <w:p w:rsidR="00E23EFA" w:rsidRPr="00E302F8" w:rsidRDefault="000208F0" w:rsidP="00EF1292">
      <w:pPr>
        <w:spacing w:after="60" w:line="240" w:lineRule="auto"/>
        <w:rPr>
          <w:rFonts w:cstheme="minorHAnsi"/>
        </w:rPr>
      </w:pPr>
      <w:proofErr w:type="spellStart"/>
      <w:r w:rsidRPr="00E302F8">
        <w:rPr>
          <w:rFonts w:cstheme="minorHAnsi"/>
        </w:rPr>
        <w:t>Jeroen</w:t>
      </w:r>
      <w:proofErr w:type="spellEnd"/>
      <w:r w:rsidRPr="00E302F8">
        <w:rPr>
          <w:rFonts w:cstheme="minorHAnsi"/>
        </w:rPr>
        <w:t xml:space="preserve"> Van </w:t>
      </w:r>
      <w:proofErr w:type="spellStart"/>
      <w:r w:rsidRPr="00E302F8">
        <w:rPr>
          <w:rFonts w:cstheme="minorHAnsi"/>
        </w:rPr>
        <w:t>Dillewijn</w:t>
      </w:r>
      <w:proofErr w:type="spellEnd"/>
      <w:r w:rsidRPr="00E302F8">
        <w:rPr>
          <w:rFonts w:cstheme="minorHAnsi"/>
        </w:rPr>
        <w:t xml:space="preserve"> </w:t>
      </w:r>
      <w:r w:rsidR="006E63F1">
        <w:rPr>
          <w:rFonts w:cstheme="minorHAnsi"/>
        </w:rPr>
        <w:t>-</w:t>
      </w:r>
      <w:r w:rsidRPr="00E302F8">
        <w:rPr>
          <w:rFonts w:cstheme="minorHAnsi"/>
        </w:rPr>
        <w:t xml:space="preserve"> Arrow Energy</w:t>
      </w:r>
    </w:p>
    <w:p w:rsidR="000208F0" w:rsidRPr="00E302F8" w:rsidRDefault="000208F0" w:rsidP="00EF1292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Jo </w:t>
      </w:r>
      <w:proofErr w:type="spellStart"/>
      <w:r w:rsidRPr="00E302F8">
        <w:rPr>
          <w:rFonts w:cstheme="minorHAnsi"/>
        </w:rPr>
        <w:t>Mawby</w:t>
      </w:r>
      <w:proofErr w:type="spellEnd"/>
      <w:r w:rsidRPr="00E302F8">
        <w:rPr>
          <w:rFonts w:cstheme="minorHAnsi"/>
        </w:rPr>
        <w:t xml:space="preserve"> </w:t>
      </w:r>
      <w:r w:rsidR="006E63F1">
        <w:rPr>
          <w:rFonts w:cstheme="minorHAnsi"/>
        </w:rPr>
        <w:t>-</w:t>
      </w:r>
      <w:r w:rsidRPr="00E302F8">
        <w:rPr>
          <w:rFonts w:cstheme="minorHAnsi"/>
        </w:rPr>
        <w:t xml:space="preserve"> Santos</w:t>
      </w:r>
    </w:p>
    <w:p w:rsidR="002A7FE4" w:rsidRPr="00E302F8" w:rsidRDefault="002A7FE4" w:rsidP="00EF1292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Andrew Moser </w:t>
      </w:r>
      <w:r w:rsidR="00CE2A8A">
        <w:rPr>
          <w:rFonts w:cstheme="minorHAnsi"/>
        </w:rPr>
        <w:t>–</w:t>
      </w:r>
      <w:r w:rsidRPr="00E302F8">
        <w:rPr>
          <w:rFonts w:cstheme="minorHAnsi"/>
        </w:rPr>
        <w:t xml:space="preserve"> Origin</w:t>
      </w:r>
      <w:r w:rsidR="00CE2A8A">
        <w:rPr>
          <w:rFonts w:cstheme="minorHAnsi"/>
        </w:rPr>
        <w:t xml:space="preserve"> </w:t>
      </w:r>
      <w:r w:rsidR="00CE2A8A" w:rsidRPr="00E302F8">
        <w:rPr>
          <w:rFonts w:cstheme="minorHAnsi"/>
        </w:rPr>
        <w:t>Energy</w:t>
      </w:r>
    </w:p>
    <w:p w:rsidR="002A7FE4" w:rsidRPr="00E302F8" w:rsidRDefault="002A7FE4" w:rsidP="00EF1292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Shaun </w:t>
      </w:r>
      <w:proofErr w:type="spellStart"/>
      <w:r w:rsidRPr="00E302F8">
        <w:rPr>
          <w:rFonts w:cstheme="minorHAnsi"/>
        </w:rPr>
        <w:t>Davidge</w:t>
      </w:r>
      <w:proofErr w:type="spellEnd"/>
      <w:r w:rsidRPr="00E302F8">
        <w:rPr>
          <w:rFonts w:cstheme="minorHAnsi"/>
        </w:rPr>
        <w:t xml:space="preserve"> </w:t>
      </w:r>
      <w:r w:rsidR="006E63F1">
        <w:rPr>
          <w:rFonts w:cstheme="minorHAnsi"/>
        </w:rPr>
        <w:t>-</w:t>
      </w:r>
      <w:r w:rsidRPr="00E302F8">
        <w:rPr>
          <w:rFonts w:cstheme="minorHAnsi"/>
        </w:rPr>
        <w:t xml:space="preserve"> Santos</w:t>
      </w:r>
    </w:p>
    <w:p w:rsidR="002A7FE4" w:rsidRPr="00E302F8" w:rsidRDefault="002A7FE4" w:rsidP="00EF1292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John Ross </w:t>
      </w:r>
      <w:r w:rsidR="006E63F1">
        <w:rPr>
          <w:rFonts w:cstheme="minorHAnsi"/>
        </w:rPr>
        <w:t>-</w:t>
      </w:r>
      <w:r w:rsidRPr="00E302F8">
        <w:rPr>
          <w:rFonts w:cstheme="minorHAnsi"/>
        </w:rPr>
        <w:t xml:space="preserve"> AGL Electrical</w:t>
      </w:r>
    </w:p>
    <w:p w:rsidR="002A7FE4" w:rsidRPr="00E302F8" w:rsidRDefault="002A7FE4" w:rsidP="00EF1292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Stuart Galway </w:t>
      </w:r>
      <w:r w:rsidR="006E63F1">
        <w:rPr>
          <w:rFonts w:cstheme="minorHAnsi"/>
        </w:rPr>
        <w:t>-</w:t>
      </w:r>
      <w:r w:rsidRPr="00E302F8">
        <w:rPr>
          <w:rFonts w:cstheme="minorHAnsi"/>
        </w:rPr>
        <w:t xml:space="preserve"> AGL Electrical</w:t>
      </w:r>
    </w:p>
    <w:p w:rsidR="002A7FE4" w:rsidRPr="00E302F8" w:rsidRDefault="002A7FE4" w:rsidP="00EF1292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Rob </w:t>
      </w:r>
      <w:proofErr w:type="spellStart"/>
      <w:r w:rsidRPr="00E302F8">
        <w:rPr>
          <w:rFonts w:cstheme="minorHAnsi"/>
        </w:rPr>
        <w:t>Millhouse</w:t>
      </w:r>
      <w:proofErr w:type="spellEnd"/>
      <w:r w:rsidR="006E63F1">
        <w:rPr>
          <w:rFonts w:cstheme="minorHAnsi"/>
        </w:rPr>
        <w:t xml:space="preserve"> -</w:t>
      </w:r>
      <w:r w:rsidRPr="00E302F8">
        <w:rPr>
          <w:rFonts w:cstheme="minorHAnsi"/>
        </w:rPr>
        <w:t xml:space="preserve"> </w:t>
      </w:r>
      <w:r w:rsidR="005514E9" w:rsidRPr="00E302F8">
        <w:rPr>
          <w:rFonts w:cstheme="minorHAnsi"/>
        </w:rPr>
        <w:t>QGL</w:t>
      </w:r>
    </w:p>
    <w:p w:rsidR="005514E9" w:rsidRPr="00E302F8" w:rsidRDefault="005514E9" w:rsidP="00EF1292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Jeff </w:t>
      </w:r>
      <w:proofErr w:type="spellStart"/>
      <w:r w:rsidRPr="00E302F8">
        <w:rPr>
          <w:rFonts w:cstheme="minorHAnsi"/>
        </w:rPr>
        <w:t>Jurinak</w:t>
      </w:r>
      <w:proofErr w:type="spellEnd"/>
      <w:r w:rsidRPr="00E302F8">
        <w:rPr>
          <w:rFonts w:cstheme="minorHAnsi"/>
        </w:rPr>
        <w:t xml:space="preserve"> </w:t>
      </w:r>
      <w:r w:rsidR="006E63F1">
        <w:rPr>
          <w:rFonts w:cstheme="minorHAnsi"/>
        </w:rPr>
        <w:t xml:space="preserve">- </w:t>
      </w:r>
      <w:r w:rsidRPr="00E302F8">
        <w:rPr>
          <w:rFonts w:cstheme="minorHAnsi"/>
        </w:rPr>
        <w:t>QGL</w:t>
      </w:r>
    </w:p>
    <w:p w:rsidR="005514E9" w:rsidRPr="00E302F8" w:rsidRDefault="005514E9" w:rsidP="00EF1292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Mark </w:t>
      </w:r>
      <w:proofErr w:type="spellStart"/>
      <w:r w:rsidRPr="00E302F8">
        <w:rPr>
          <w:rFonts w:cstheme="minorHAnsi"/>
        </w:rPr>
        <w:t>Riksen</w:t>
      </w:r>
      <w:proofErr w:type="spellEnd"/>
      <w:r w:rsidR="006E63F1">
        <w:rPr>
          <w:rFonts w:cstheme="minorHAnsi"/>
        </w:rPr>
        <w:t xml:space="preserve"> -</w:t>
      </w:r>
      <w:r w:rsidRPr="00E302F8">
        <w:rPr>
          <w:rFonts w:cstheme="minorHAnsi"/>
        </w:rPr>
        <w:t xml:space="preserve"> QGL</w:t>
      </w:r>
    </w:p>
    <w:p w:rsidR="005514E9" w:rsidRPr="00E302F8" w:rsidRDefault="005514E9" w:rsidP="00EF1292">
      <w:pPr>
        <w:spacing w:after="60" w:line="240" w:lineRule="auto"/>
        <w:rPr>
          <w:rFonts w:cstheme="minorHAnsi"/>
        </w:rPr>
      </w:pPr>
      <w:r w:rsidRPr="00E302F8">
        <w:rPr>
          <w:rFonts w:cstheme="minorHAnsi"/>
        </w:rPr>
        <w:t xml:space="preserve">Sarah </w:t>
      </w:r>
      <w:proofErr w:type="spellStart"/>
      <w:r w:rsidRPr="00E302F8">
        <w:rPr>
          <w:rFonts w:cstheme="minorHAnsi"/>
        </w:rPr>
        <w:t>Moodie</w:t>
      </w:r>
      <w:proofErr w:type="spellEnd"/>
      <w:r w:rsidRPr="00E302F8">
        <w:rPr>
          <w:rFonts w:cstheme="minorHAnsi"/>
        </w:rPr>
        <w:t xml:space="preserve"> </w:t>
      </w:r>
      <w:r w:rsidR="006E63F1">
        <w:rPr>
          <w:rFonts w:cstheme="minorHAnsi"/>
        </w:rPr>
        <w:t>-</w:t>
      </w:r>
      <w:r w:rsidRPr="00E302F8">
        <w:rPr>
          <w:rFonts w:cstheme="minorHAnsi"/>
        </w:rPr>
        <w:t xml:space="preserve"> Origin Energy</w:t>
      </w:r>
    </w:p>
    <w:sectPr w:rsidR="005514E9" w:rsidRPr="00E302F8" w:rsidSect="00F409EE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46" w:rsidRDefault="00E05946" w:rsidP="00B3022D">
      <w:pPr>
        <w:spacing w:after="0" w:line="240" w:lineRule="auto"/>
      </w:pPr>
      <w:r>
        <w:separator/>
      </w:r>
    </w:p>
  </w:endnote>
  <w:endnote w:type="continuationSeparator" w:id="0">
    <w:p w:rsidR="00E05946" w:rsidRDefault="00E05946" w:rsidP="00B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46" w:rsidRDefault="00E05946" w:rsidP="00B3022D">
      <w:pPr>
        <w:spacing w:after="0" w:line="240" w:lineRule="auto"/>
      </w:pPr>
      <w:r>
        <w:separator/>
      </w:r>
    </w:p>
  </w:footnote>
  <w:footnote w:type="continuationSeparator" w:id="0">
    <w:p w:rsidR="00E05946" w:rsidRDefault="00E05946" w:rsidP="00B30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26A3"/>
    <w:multiLevelType w:val="hybridMultilevel"/>
    <w:tmpl w:val="F02418DC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AE3F50"/>
    <w:multiLevelType w:val="hybridMultilevel"/>
    <w:tmpl w:val="344A74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D6333"/>
    <w:multiLevelType w:val="hybridMultilevel"/>
    <w:tmpl w:val="D9A0911C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DC67B2A"/>
    <w:multiLevelType w:val="hybridMultilevel"/>
    <w:tmpl w:val="9BBE5966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9F1865"/>
    <w:multiLevelType w:val="hybridMultilevel"/>
    <w:tmpl w:val="231E9B58"/>
    <w:lvl w:ilvl="0" w:tplc="2208EB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9E07E54"/>
    <w:multiLevelType w:val="hybridMultilevel"/>
    <w:tmpl w:val="F50EC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7380C"/>
    <w:multiLevelType w:val="hybridMultilevel"/>
    <w:tmpl w:val="BD1C5FC8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3D441289"/>
    <w:multiLevelType w:val="hybridMultilevel"/>
    <w:tmpl w:val="7CAE9F0E"/>
    <w:lvl w:ilvl="0" w:tplc="2208EB6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351523"/>
    <w:multiLevelType w:val="hybridMultilevel"/>
    <w:tmpl w:val="09AC454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B1753"/>
    <w:multiLevelType w:val="hybridMultilevel"/>
    <w:tmpl w:val="604E265E"/>
    <w:lvl w:ilvl="0" w:tplc="2208E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75764"/>
    <w:multiLevelType w:val="hybridMultilevel"/>
    <w:tmpl w:val="A40E56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E5723"/>
    <w:multiLevelType w:val="hybridMultilevel"/>
    <w:tmpl w:val="257A0A02"/>
    <w:lvl w:ilvl="0" w:tplc="15AE2A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C0FE1"/>
    <w:multiLevelType w:val="hybridMultilevel"/>
    <w:tmpl w:val="CC8A481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22583"/>
    <w:rsid w:val="000208F0"/>
    <w:rsid w:val="00024A25"/>
    <w:rsid w:val="00065A93"/>
    <w:rsid w:val="0007724E"/>
    <w:rsid w:val="000A03E1"/>
    <w:rsid w:val="000A322D"/>
    <w:rsid w:val="000A6B10"/>
    <w:rsid w:val="000B71CD"/>
    <w:rsid w:val="000C6887"/>
    <w:rsid w:val="000C730E"/>
    <w:rsid w:val="001028A0"/>
    <w:rsid w:val="0010749F"/>
    <w:rsid w:val="00107812"/>
    <w:rsid w:val="00125A40"/>
    <w:rsid w:val="00133236"/>
    <w:rsid w:val="0015119A"/>
    <w:rsid w:val="00185837"/>
    <w:rsid w:val="001972DD"/>
    <w:rsid w:val="001A0FD5"/>
    <w:rsid w:val="001B79B1"/>
    <w:rsid w:val="001C1BD9"/>
    <w:rsid w:val="001E391B"/>
    <w:rsid w:val="00211E7C"/>
    <w:rsid w:val="00223753"/>
    <w:rsid w:val="00230BAF"/>
    <w:rsid w:val="00266465"/>
    <w:rsid w:val="00277764"/>
    <w:rsid w:val="002A6121"/>
    <w:rsid w:val="002A7FE4"/>
    <w:rsid w:val="002B6693"/>
    <w:rsid w:val="002D5A15"/>
    <w:rsid w:val="002E4BC3"/>
    <w:rsid w:val="002F5316"/>
    <w:rsid w:val="0030266B"/>
    <w:rsid w:val="00303AFC"/>
    <w:rsid w:val="00321222"/>
    <w:rsid w:val="003424A2"/>
    <w:rsid w:val="003519D9"/>
    <w:rsid w:val="00367D65"/>
    <w:rsid w:val="00367F5E"/>
    <w:rsid w:val="00372DAA"/>
    <w:rsid w:val="00390B0F"/>
    <w:rsid w:val="003C53D0"/>
    <w:rsid w:val="003D18B5"/>
    <w:rsid w:val="0041171A"/>
    <w:rsid w:val="00430B9E"/>
    <w:rsid w:val="00440B21"/>
    <w:rsid w:val="004674B6"/>
    <w:rsid w:val="00482273"/>
    <w:rsid w:val="004A5612"/>
    <w:rsid w:val="004A68E7"/>
    <w:rsid w:val="004E428F"/>
    <w:rsid w:val="0051478A"/>
    <w:rsid w:val="005369C7"/>
    <w:rsid w:val="005514E9"/>
    <w:rsid w:val="005673D6"/>
    <w:rsid w:val="00583FE8"/>
    <w:rsid w:val="005A4E38"/>
    <w:rsid w:val="005B1211"/>
    <w:rsid w:val="005B1454"/>
    <w:rsid w:val="005C1240"/>
    <w:rsid w:val="005C70B5"/>
    <w:rsid w:val="005D2504"/>
    <w:rsid w:val="005D786F"/>
    <w:rsid w:val="005F2075"/>
    <w:rsid w:val="006216E3"/>
    <w:rsid w:val="00622583"/>
    <w:rsid w:val="00647DAC"/>
    <w:rsid w:val="00664437"/>
    <w:rsid w:val="00667AB3"/>
    <w:rsid w:val="0067665C"/>
    <w:rsid w:val="006830CA"/>
    <w:rsid w:val="006855F1"/>
    <w:rsid w:val="00685694"/>
    <w:rsid w:val="006A424D"/>
    <w:rsid w:val="006A6D26"/>
    <w:rsid w:val="006B5D8B"/>
    <w:rsid w:val="006D4E2E"/>
    <w:rsid w:val="006E63F1"/>
    <w:rsid w:val="006F10B5"/>
    <w:rsid w:val="00700488"/>
    <w:rsid w:val="00727C95"/>
    <w:rsid w:val="0074603B"/>
    <w:rsid w:val="00753077"/>
    <w:rsid w:val="00765A31"/>
    <w:rsid w:val="007741FC"/>
    <w:rsid w:val="00776B99"/>
    <w:rsid w:val="007A5CBF"/>
    <w:rsid w:val="007C4450"/>
    <w:rsid w:val="007D0174"/>
    <w:rsid w:val="007E2AD9"/>
    <w:rsid w:val="007F344B"/>
    <w:rsid w:val="00802E50"/>
    <w:rsid w:val="00811B93"/>
    <w:rsid w:val="008300A1"/>
    <w:rsid w:val="008433D8"/>
    <w:rsid w:val="00846FB5"/>
    <w:rsid w:val="00847075"/>
    <w:rsid w:val="00856FB3"/>
    <w:rsid w:val="00885A68"/>
    <w:rsid w:val="008A3FAB"/>
    <w:rsid w:val="008B1D31"/>
    <w:rsid w:val="008D1770"/>
    <w:rsid w:val="008E245B"/>
    <w:rsid w:val="008F1226"/>
    <w:rsid w:val="008F3B0F"/>
    <w:rsid w:val="00906461"/>
    <w:rsid w:val="00916C56"/>
    <w:rsid w:val="00923930"/>
    <w:rsid w:val="009442F0"/>
    <w:rsid w:val="00960A6C"/>
    <w:rsid w:val="00A20CDA"/>
    <w:rsid w:val="00A414D0"/>
    <w:rsid w:val="00A7112A"/>
    <w:rsid w:val="00A84587"/>
    <w:rsid w:val="00A85185"/>
    <w:rsid w:val="00AA2D07"/>
    <w:rsid w:val="00AB2142"/>
    <w:rsid w:val="00AB3D42"/>
    <w:rsid w:val="00AE1876"/>
    <w:rsid w:val="00AE20A9"/>
    <w:rsid w:val="00B031C8"/>
    <w:rsid w:val="00B13BEA"/>
    <w:rsid w:val="00B23124"/>
    <w:rsid w:val="00B3022D"/>
    <w:rsid w:val="00B563A5"/>
    <w:rsid w:val="00B705F8"/>
    <w:rsid w:val="00B95CA5"/>
    <w:rsid w:val="00B96EAE"/>
    <w:rsid w:val="00BA1D62"/>
    <w:rsid w:val="00BD77F8"/>
    <w:rsid w:val="00C3238C"/>
    <w:rsid w:val="00C32696"/>
    <w:rsid w:val="00C445B8"/>
    <w:rsid w:val="00C50781"/>
    <w:rsid w:val="00C63459"/>
    <w:rsid w:val="00C66FF2"/>
    <w:rsid w:val="00CC6817"/>
    <w:rsid w:val="00CD3230"/>
    <w:rsid w:val="00CE2A8A"/>
    <w:rsid w:val="00CF2301"/>
    <w:rsid w:val="00D17C25"/>
    <w:rsid w:val="00D2235D"/>
    <w:rsid w:val="00D930F7"/>
    <w:rsid w:val="00D95ADC"/>
    <w:rsid w:val="00DD48D2"/>
    <w:rsid w:val="00DD6995"/>
    <w:rsid w:val="00DE6E3F"/>
    <w:rsid w:val="00DF078B"/>
    <w:rsid w:val="00DF22E4"/>
    <w:rsid w:val="00DF4279"/>
    <w:rsid w:val="00E05946"/>
    <w:rsid w:val="00E06ECD"/>
    <w:rsid w:val="00E162D9"/>
    <w:rsid w:val="00E23EFA"/>
    <w:rsid w:val="00E260FF"/>
    <w:rsid w:val="00E302F8"/>
    <w:rsid w:val="00E323DA"/>
    <w:rsid w:val="00E67438"/>
    <w:rsid w:val="00E86DC3"/>
    <w:rsid w:val="00E96801"/>
    <w:rsid w:val="00EA1FB4"/>
    <w:rsid w:val="00EA58F1"/>
    <w:rsid w:val="00EB6E70"/>
    <w:rsid w:val="00ED7736"/>
    <w:rsid w:val="00EE5B50"/>
    <w:rsid w:val="00EF1292"/>
    <w:rsid w:val="00EF66E6"/>
    <w:rsid w:val="00F13789"/>
    <w:rsid w:val="00F257A5"/>
    <w:rsid w:val="00F26CEA"/>
    <w:rsid w:val="00F273CC"/>
    <w:rsid w:val="00F312AF"/>
    <w:rsid w:val="00F35D83"/>
    <w:rsid w:val="00F409EE"/>
    <w:rsid w:val="00F51121"/>
    <w:rsid w:val="00F55EC7"/>
    <w:rsid w:val="00F60FC8"/>
    <w:rsid w:val="00FD14BE"/>
    <w:rsid w:val="00FD2E3F"/>
    <w:rsid w:val="00FE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30"/>
  </w:style>
  <w:style w:type="paragraph" w:styleId="Heading1">
    <w:name w:val="heading 1"/>
    <w:next w:val="Normal"/>
    <w:link w:val="Heading1Char"/>
    <w:qFormat/>
    <w:rsid w:val="007F344B"/>
    <w:pPr>
      <w:keepNext/>
      <w:spacing w:after="240" w:line="470" w:lineRule="exact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22D"/>
  </w:style>
  <w:style w:type="paragraph" w:styleId="Footer">
    <w:name w:val="footer"/>
    <w:basedOn w:val="Normal"/>
    <w:link w:val="FooterChar"/>
    <w:uiPriority w:val="99"/>
    <w:unhideWhenUsed/>
    <w:rsid w:val="00B302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22D"/>
  </w:style>
  <w:style w:type="table" w:styleId="TableGrid">
    <w:name w:val="Table Grid"/>
    <w:basedOn w:val="TableNormal"/>
    <w:uiPriority w:val="59"/>
    <w:rsid w:val="00E3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2"/>
    <w:qFormat/>
    <w:rsid w:val="00916C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02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6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6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66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F344B"/>
    <w:rPr>
      <w:rFonts w:ascii="Arial" w:eastAsia="Times New Roman" w:hAnsi="Arial" w:cs="Times New Roman"/>
      <w:b/>
      <w:sz w:val="36"/>
      <w:szCs w:val="20"/>
    </w:rPr>
  </w:style>
  <w:style w:type="paragraph" w:styleId="NoSpacing">
    <w:name w:val="No Spacing"/>
    <w:link w:val="NoSpacingChar"/>
    <w:uiPriority w:val="99"/>
    <w:qFormat/>
    <w:rsid w:val="00211E7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11E7C"/>
    <w:rPr>
      <w:rFonts w:ascii="Arial" w:eastAsia="Times New Roman" w:hAnsi="Arial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29225-622E-43F6-BA54-79B9F07C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1813</Words>
  <Characters>10335</Characters>
  <Application>Microsoft Office Word</Application>
  <DocSecurity>0</DocSecurity>
  <Lines>86</Lines>
  <Paragraphs>24</Paragraphs>
  <ScaleCrop>false</ScaleCrop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Management Framework &amp; Prioritisation Workshop: Summary of Proceedings</dc:title>
  <dc:creator/>
  <cp:lastModifiedBy/>
  <cp:revision>1</cp:revision>
  <dcterms:created xsi:type="dcterms:W3CDTF">2012-07-25T23:52:00Z</dcterms:created>
  <dcterms:modified xsi:type="dcterms:W3CDTF">2012-07-25T23:52:00Z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