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DA" w:rsidRDefault="00341FA6" w:rsidP="001765DA">
      <w:pPr>
        <w:pStyle w:val="Header"/>
        <w:keepLines/>
        <w:tabs>
          <w:tab w:val="left" w:pos="2835"/>
        </w:tabs>
        <w:ind w:left="-360" w:right="-289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-824230</wp:posOffset>
            </wp:positionH>
            <wp:positionV relativeFrom="paragraph">
              <wp:posOffset>-843280</wp:posOffset>
            </wp:positionV>
            <wp:extent cx="7535545" cy="2552700"/>
            <wp:effectExtent l="19050" t="0" r="8255" b="0"/>
            <wp:wrapThrough wrapText="bothSides">
              <wp:wrapPolygon edited="0">
                <wp:start x="-55" y="0"/>
                <wp:lineTo x="-55" y="21439"/>
                <wp:lineTo x="21624" y="21439"/>
                <wp:lineTo x="21624" y="0"/>
                <wp:lineTo x="-55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 to decision maker on coal mining project</w:t>
      </w: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sz w:val="20"/>
          <w:szCs w:val="20"/>
        </w:rPr>
      </w:pPr>
      <w:r w:rsidRPr="004F4D2C">
        <w:rPr>
          <w:rFonts w:ascii="Calibri" w:hAnsi="Calibri" w:cs="Calibri"/>
          <w:b/>
          <w:sz w:val="22"/>
          <w:szCs w:val="22"/>
        </w:rPr>
        <w:t xml:space="preserve"> </w:t>
      </w:r>
      <w:r w:rsidRPr="00590A9B">
        <w:rPr>
          <w:rFonts w:ascii="Arial" w:hAnsi="Arial" w:cs="Arial"/>
          <w:b/>
          <w:sz w:val="20"/>
          <w:szCs w:val="20"/>
          <w:lang w:eastAsia="en-AU"/>
        </w:rPr>
        <w:t xml:space="preserve">Proposed action: </w:t>
      </w:r>
      <w:r w:rsidR="0082410F">
        <w:rPr>
          <w:rFonts w:ascii="Arial" w:hAnsi="Arial" w:cs="Arial"/>
          <w:sz w:val="20"/>
          <w:szCs w:val="20"/>
        </w:rPr>
        <w:t>Collingwood Coal Project and Taroom Coal Project</w:t>
      </w:r>
      <w:r w:rsidR="00EA200C">
        <w:rPr>
          <w:rFonts w:ascii="Arial" w:hAnsi="Arial" w:cs="Arial"/>
          <w:sz w:val="20"/>
          <w:szCs w:val="20"/>
        </w:rPr>
        <w:t>, Qld.</w:t>
      </w:r>
    </w:p>
    <w:p w:rsidR="00692388" w:rsidRPr="00590A9B" w:rsidRDefault="00692388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szCs w:val="20"/>
          <w:lang w:eastAsia="en-AU"/>
        </w:rPr>
      </w:pPr>
    </w:p>
    <w:tbl>
      <w:tblPr>
        <w:tblW w:w="9809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1526"/>
        <w:gridCol w:w="8283"/>
      </w:tblGrid>
      <w:tr w:rsidR="001765DA" w:rsidRPr="00590A9B" w:rsidTr="00B23D97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590A9B" w:rsidRDefault="001765DA" w:rsidP="00B23D97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 w:rsidRPr="00590A9B">
              <w:rPr>
                <w:rFonts w:cs="Arial"/>
                <w:sz w:val="20"/>
              </w:rPr>
              <w:t>Requesting agency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590A9B" w:rsidRDefault="001765DA" w:rsidP="00406D9A">
            <w:pPr>
              <w:rPr>
                <w:rFonts w:ascii="Arial" w:hAnsi="Arial" w:cs="Arial"/>
                <w:sz w:val="20"/>
                <w:szCs w:val="20"/>
              </w:rPr>
            </w:pPr>
            <w:r w:rsidRPr="00590A9B">
              <w:rPr>
                <w:rFonts w:ascii="Arial" w:hAnsi="Arial" w:cs="Arial"/>
                <w:sz w:val="20"/>
                <w:szCs w:val="20"/>
              </w:rPr>
              <w:t xml:space="preserve">Department of Sustainability, Environment, Water, Population </w:t>
            </w:r>
            <w:r w:rsidR="00406D9A" w:rsidRPr="00590A9B">
              <w:rPr>
                <w:rFonts w:ascii="Arial" w:hAnsi="Arial" w:cs="Arial"/>
                <w:sz w:val="20"/>
                <w:szCs w:val="20"/>
              </w:rPr>
              <w:t>and</w:t>
            </w:r>
            <w:r w:rsidRPr="00590A9B">
              <w:rPr>
                <w:rFonts w:ascii="Arial" w:hAnsi="Arial" w:cs="Arial"/>
                <w:sz w:val="20"/>
                <w:szCs w:val="20"/>
              </w:rPr>
              <w:t xml:space="preserve"> Communities</w:t>
            </w:r>
          </w:p>
        </w:tc>
      </w:tr>
      <w:tr w:rsidR="001765DA" w:rsidRPr="00590A9B" w:rsidTr="00B23D97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590A9B" w:rsidRDefault="001765DA" w:rsidP="00B23D97">
            <w:pPr>
              <w:pStyle w:val="tablelabel"/>
              <w:rPr>
                <w:rFonts w:cs="Arial"/>
                <w:sz w:val="20"/>
              </w:rPr>
            </w:pPr>
            <w:r w:rsidRPr="00590A9B">
              <w:rPr>
                <w:rFonts w:cs="Arial"/>
                <w:sz w:val="20"/>
              </w:rPr>
              <w:t>Date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590A9B" w:rsidRDefault="00F71BF5" w:rsidP="00B23D9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May</w:t>
            </w:r>
            <w:r w:rsidR="00FA23D5" w:rsidRPr="00590A9B">
              <w:rPr>
                <w:rFonts w:ascii="Arial" w:hAnsi="Arial" w:cs="Arial"/>
                <w:sz w:val="20"/>
                <w:szCs w:val="20"/>
              </w:rPr>
              <w:t xml:space="preserve"> 2012</w:t>
            </w:r>
          </w:p>
        </w:tc>
      </w:tr>
      <w:tr w:rsidR="001765DA" w:rsidRPr="00590A9B" w:rsidTr="00B23D97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590A9B" w:rsidRDefault="001765DA" w:rsidP="00590A9B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 w:rsidRPr="00590A9B">
              <w:rPr>
                <w:rFonts w:cs="Arial"/>
                <w:sz w:val="20"/>
              </w:rPr>
              <w:t xml:space="preserve">Project title 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590A9B" w:rsidRDefault="00DE1E7F" w:rsidP="00EE106D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Collingwood Coal Project (EPBC 2012/623</w:t>
            </w:r>
            <w:r w:rsidR="00EE106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 and Taroom Coal Project (EPBC 2012/6237)</w:t>
            </w:r>
          </w:p>
        </w:tc>
      </w:tr>
      <w:tr w:rsidR="001765DA" w:rsidRPr="00590A9B" w:rsidTr="00B23D97">
        <w:trPr>
          <w:trHeight w:val="28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590A9B" w:rsidRDefault="001765DA" w:rsidP="00B23D97">
            <w:pPr>
              <w:pStyle w:val="tablelabel"/>
              <w:rPr>
                <w:rFonts w:cs="Arial"/>
                <w:sz w:val="20"/>
              </w:rPr>
            </w:pPr>
            <w:r w:rsidRPr="00590A9B">
              <w:rPr>
                <w:rFonts w:cs="Arial"/>
                <w:sz w:val="20"/>
              </w:rPr>
              <w:t>Summary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590A9B" w:rsidRDefault="001765DA" w:rsidP="00B23D97">
            <w:pPr>
              <w:tabs>
                <w:tab w:val="left" w:pos="425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90A9B">
              <w:rPr>
                <w:rFonts w:ascii="Arial" w:hAnsi="Arial" w:cs="Arial"/>
                <w:sz w:val="20"/>
                <w:szCs w:val="20"/>
              </w:rPr>
              <w:t xml:space="preserve">The Department of Sustainability, Environment, Water, Population </w:t>
            </w:r>
            <w:r w:rsidR="00590A9B">
              <w:rPr>
                <w:rFonts w:ascii="Arial" w:hAnsi="Arial" w:cs="Arial"/>
                <w:sz w:val="20"/>
                <w:szCs w:val="20"/>
              </w:rPr>
              <w:t>and</w:t>
            </w:r>
            <w:r w:rsidRPr="00590A9B">
              <w:rPr>
                <w:rFonts w:ascii="Arial" w:hAnsi="Arial" w:cs="Arial"/>
                <w:sz w:val="20"/>
                <w:szCs w:val="20"/>
              </w:rPr>
              <w:t xml:space="preserve"> Communities (the department) has assessed </w:t>
            </w:r>
            <w:r w:rsidR="00692388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Pr="00590A9B">
              <w:rPr>
                <w:rFonts w:ascii="Arial" w:hAnsi="Arial" w:cs="Arial"/>
                <w:sz w:val="20"/>
                <w:szCs w:val="20"/>
              </w:rPr>
              <w:t xml:space="preserve">proposed project in accordance with the provisions of the </w:t>
            </w:r>
            <w:r w:rsidRPr="00590A9B">
              <w:rPr>
                <w:rFonts w:ascii="Arial" w:hAnsi="Arial" w:cs="Arial"/>
                <w:i/>
                <w:sz w:val="20"/>
                <w:szCs w:val="20"/>
              </w:rPr>
              <w:t>Environment Protection and Biodiversity Conservation Act 1999</w:t>
            </w:r>
            <w:r w:rsidRPr="00590A9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0100B" w:rsidRDefault="001765DA" w:rsidP="00C0100B">
            <w:pPr>
              <w:tabs>
                <w:tab w:val="left" w:pos="425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590A9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92388">
              <w:rPr>
                <w:rFonts w:ascii="Arial" w:hAnsi="Arial" w:cs="Arial"/>
                <w:sz w:val="20"/>
                <w:szCs w:val="20"/>
              </w:rPr>
              <w:t>D</w:t>
            </w:r>
            <w:r w:rsidRPr="00590A9B">
              <w:rPr>
                <w:rFonts w:ascii="Arial" w:hAnsi="Arial" w:cs="Arial"/>
                <w:sz w:val="20"/>
                <w:szCs w:val="20"/>
              </w:rPr>
              <w:t>epartment sought independent scientific advice from the Interim Independent Expert Scientific Committee on Coal Seam Gas and Coal Minin</w:t>
            </w:r>
            <w:r w:rsidR="00406D9A" w:rsidRPr="00590A9B">
              <w:rPr>
                <w:rFonts w:ascii="Arial" w:hAnsi="Arial" w:cs="Arial"/>
                <w:sz w:val="20"/>
                <w:szCs w:val="20"/>
              </w:rPr>
              <w:t>g (the interim committee) as to</w:t>
            </w:r>
            <w:r w:rsidR="00150630">
              <w:rPr>
                <w:rFonts w:ascii="Arial" w:hAnsi="Arial" w:cs="Arial"/>
                <w:sz w:val="20"/>
                <w:szCs w:val="20"/>
              </w:rPr>
              <w:t xml:space="preserve"> the adequacy of the Terms of Reference for the Collingwood and Taroom Coal projects, specifically</w:t>
            </w:r>
            <w:r w:rsidR="00406D9A" w:rsidRPr="00590A9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E1E7F" w:rsidRDefault="00DE1E7F" w:rsidP="00E361F5">
            <w:pPr>
              <w:pStyle w:val="ListBulle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E1E7F">
              <w:rPr>
                <w:rFonts w:ascii="Arial" w:hAnsi="Arial" w:cs="Arial"/>
                <w:sz w:val="20"/>
                <w:szCs w:val="20"/>
              </w:rPr>
              <w:t>likely operational impacts and flood risks within the project area and downstream on aquatic and riparian habitat features</w:t>
            </w:r>
            <w:r w:rsidR="00150630">
              <w:rPr>
                <w:rFonts w:ascii="Arial" w:hAnsi="Arial" w:cs="Arial"/>
                <w:sz w:val="20"/>
                <w:szCs w:val="20"/>
              </w:rPr>
              <w:t xml:space="preserve">, including waterway </w:t>
            </w:r>
            <w:r w:rsidR="00E361F5">
              <w:rPr>
                <w:rFonts w:ascii="Arial" w:hAnsi="Arial" w:cs="Arial"/>
                <w:sz w:val="20"/>
                <w:szCs w:val="20"/>
              </w:rPr>
              <w:t>f</w:t>
            </w:r>
            <w:r w:rsidRPr="00DE1E7F">
              <w:rPr>
                <w:rFonts w:ascii="Arial" w:hAnsi="Arial" w:cs="Arial"/>
                <w:sz w:val="20"/>
                <w:szCs w:val="20"/>
              </w:rPr>
              <w:t>orm and features (e</w:t>
            </w:r>
            <w:r w:rsidR="00E361F5">
              <w:rPr>
                <w:rFonts w:ascii="Arial" w:hAnsi="Arial" w:cs="Arial"/>
                <w:sz w:val="20"/>
                <w:szCs w:val="20"/>
              </w:rPr>
              <w:t>.</w:t>
            </w:r>
            <w:r w:rsidRPr="00DE1E7F">
              <w:rPr>
                <w:rFonts w:ascii="Arial" w:hAnsi="Arial" w:cs="Arial"/>
                <w:sz w:val="20"/>
                <w:szCs w:val="20"/>
              </w:rPr>
              <w:t>g</w:t>
            </w:r>
            <w:r w:rsidR="00E361F5">
              <w:rPr>
                <w:rFonts w:ascii="Arial" w:hAnsi="Arial" w:cs="Arial"/>
                <w:sz w:val="20"/>
                <w:szCs w:val="20"/>
              </w:rPr>
              <w:t>.</w:t>
            </w:r>
            <w:r w:rsidRPr="00DE1E7F">
              <w:rPr>
                <w:rFonts w:ascii="Arial" w:hAnsi="Arial" w:cs="Arial"/>
                <w:sz w:val="20"/>
                <w:szCs w:val="20"/>
              </w:rPr>
              <w:t xml:space="preserve"> riffles, deep pools, snags etc), abundance of prey / forage species such as </w:t>
            </w:r>
            <w:r w:rsidRPr="003931B4">
              <w:rPr>
                <w:rFonts w:ascii="Arial" w:hAnsi="Arial" w:cs="Arial"/>
                <w:i/>
                <w:sz w:val="20"/>
                <w:szCs w:val="20"/>
              </w:rPr>
              <w:t>Vallisneria</w:t>
            </w:r>
            <w:r w:rsidRPr="00DE1E7F">
              <w:rPr>
                <w:rFonts w:ascii="Arial" w:hAnsi="Arial" w:cs="Arial"/>
                <w:sz w:val="20"/>
                <w:szCs w:val="20"/>
              </w:rPr>
              <w:t xml:space="preserve"> sp. beds, water quality, </w:t>
            </w:r>
            <w:r w:rsidR="00D64166" w:rsidRPr="00DE1E7F">
              <w:rPr>
                <w:rFonts w:ascii="Arial" w:hAnsi="Arial" w:cs="Arial"/>
                <w:sz w:val="20"/>
                <w:szCs w:val="20"/>
              </w:rPr>
              <w:t>stream flow</w:t>
            </w:r>
            <w:r w:rsidRPr="00DE1E7F">
              <w:rPr>
                <w:rFonts w:ascii="Arial" w:hAnsi="Arial" w:cs="Arial"/>
                <w:sz w:val="20"/>
                <w:szCs w:val="20"/>
              </w:rPr>
              <w:t xml:space="preserve"> parameters and terrestrial riparian habitat trees; </w:t>
            </w:r>
          </w:p>
          <w:p w:rsidR="00DE1E7F" w:rsidRDefault="00150630" w:rsidP="00E361F5">
            <w:pPr>
              <w:pStyle w:val="ListBulle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DE1E7F" w:rsidRPr="00DE1E7F">
              <w:rPr>
                <w:rFonts w:ascii="Arial" w:hAnsi="Arial" w:cs="Arial"/>
                <w:sz w:val="20"/>
                <w:szCs w:val="20"/>
              </w:rPr>
              <w:t>ikely impacts associated with the diversion of Back Creek into J</w:t>
            </w:r>
            <w:r w:rsidR="003931B4">
              <w:rPr>
                <w:rFonts w:ascii="Arial" w:hAnsi="Arial" w:cs="Arial"/>
                <w:sz w:val="20"/>
                <w:szCs w:val="20"/>
              </w:rPr>
              <w:t xml:space="preserve">uandah </w:t>
            </w:r>
            <w:r w:rsidR="00DE1E7F" w:rsidRPr="00DE1E7F">
              <w:rPr>
                <w:rFonts w:ascii="Arial" w:hAnsi="Arial" w:cs="Arial"/>
                <w:sz w:val="20"/>
                <w:szCs w:val="20"/>
              </w:rPr>
              <w:t>Creek</w:t>
            </w:r>
            <w:r w:rsidR="003931B4">
              <w:rPr>
                <w:rFonts w:ascii="Arial" w:hAnsi="Arial" w:cs="Arial"/>
                <w:sz w:val="20"/>
                <w:szCs w:val="20"/>
              </w:rPr>
              <w:t xml:space="preserve"> (for Taroom Coal Project only); and</w:t>
            </w:r>
          </w:p>
          <w:p w:rsidR="001765DA" w:rsidRPr="003931B4" w:rsidRDefault="003931B4" w:rsidP="00E361F5">
            <w:pPr>
              <w:pStyle w:val="ListBullet"/>
              <w:numPr>
                <w:ilvl w:val="0"/>
                <w:numId w:val="12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removal of farm dams,</w:t>
            </w:r>
            <w:r w:rsidRPr="003931B4">
              <w:rPr>
                <w:rFonts w:ascii="Arial" w:hAnsi="Arial" w:cs="Arial"/>
                <w:sz w:val="20"/>
                <w:szCs w:val="20"/>
              </w:rPr>
              <w:t xml:space="preserve"> wetlands and waterholes within the project site, in the context of removing potential habitat for migratory species.</w:t>
            </w:r>
          </w:p>
        </w:tc>
      </w:tr>
      <w:tr w:rsidR="001765DA" w:rsidRPr="007C2603" w:rsidTr="00B23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DA" w:rsidRPr="007C2603" w:rsidRDefault="001765DA" w:rsidP="00B23D97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5DA" w:rsidRPr="00405797" w:rsidRDefault="001765DA" w:rsidP="00B23D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797">
              <w:rPr>
                <w:rFonts w:ascii="Arial" w:hAnsi="Arial" w:cs="Arial"/>
                <w:b/>
                <w:sz w:val="20"/>
                <w:szCs w:val="20"/>
              </w:rPr>
              <w:t>Advice</w:t>
            </w:r>
          </w:p>
          <w:p w:rsidR="00D704A8" w:rsidRPr="007C2603" w:rsidRDefault="00D704A8" w:rsidP="00B23D97">
            <w:pPr>
              <w:rPr>
                <w:rFonts w:ascii="Arial" w:hAnsi="Arial" w:cs="Arial"/>
                <w:sz w:val="20"/>
                <w:szCs w:val="20"/>
              </w:rPr>
            </w:pPr>
          </w:p>
          <w:p w:rsidR="003931B4" w:rsidRDefault="003931B4" w:rsidP="00150630">
            <w:pPr>
              <w:pStyle w:val="ListNumber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Given the nature and proximity of these projects (less than 50km apart)</w:t>
            </w:r>
            <w:r w:rsidR="00150630">
              <w:rPr>
                <w:rFonts w:ascii="Arial" w:hAnsi="Arial" w:cs="Arial"/>
                <w:sz w:val="20"/>
                <w:szCs w:val="20"/>
              </w:rPr>
              <w:t xml:space="preserve"> and fact that they are proposed by the same proponent, t</w:t>
            </w:r>
            <w:r w:rsidR="00677C64" w:rsidRPr="000831FD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406D9A" w:rsidRPr="000831FD">
              <w:rPr>
                <w:rFonts w:ascii="Arial" w:hAnsi="Arial" w:cs="Arial"/>
                <w:sz w:val="20"/>
                <w:szCs w:val="20"/>
              </w:rPr>
              <w:t>i</w:t>
            </w:r>
            <w:r w:rsidR="008F01AE" w:rsidRPr="000831FD">
              <w:rPr>
                <w:rFonts w:ascii="Arial" w:hAnsi="Arial" w:cs="Arial"/>
                <w:sz w:val="20"/>
                <w:szCs w:val="20"/>
              </w:rPr>
              <w:t xml:space="preserve">nterim </w:t>
            </w:r>
            <w:r w:rsidR="00406D9A" w:rsidRPr="000831FD">
              <w:rPr>
                <w:rFonts w:ascii="Arial" w:hAnsi="Arial" w:cs="Arial"/>
                <w:sz w:val="20"/>
                <w:szCs w:val="20"/>
              </w:rPr>
              <w:t>c</w:t>
            </w:r>
            <w:r w:rsidR="008F01AE" w:rsidRPr="000831FD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 w:rsidR="00E361F5">
              <w:rPr>
                <w:rFonts w:ascii="Arial" w:hAnsi="Arial" w:cs="Arial"/>
                <w:sz w:val="20"/>
                <w:szCs w:val="20"/>
              </w:rPr>
              <w:t>agreed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 one set of advice that covers both projects. </w:t>
            </w:r>
          </w:p>
          <w:p w:rsidR="00E361F5" w:rsidRDefault="00150630" w:rsidP="00B60464">
            <w:pPr>
              <w:pStyle w:val="ListNumber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 xml:space="preserve">In general, the interim committee </w:t>
            </w:r>
            <w:r w:rsidR="008F01AE" w:rsidRPr="007C2603">
              <w:rPr>
                <w:rFonts w:ascii="Arial" w:hAnsi="Arial" w:cs="Arial"/>
                <w:sz w:val="20"/>
                <w:szCs w:val="20"/>
              </w:rPr>
              <w:t xml:space="preserve">considers that </w:t>
            </w:r>
            <w:r w:rsidR="002D564E" w:rsidRPr="007C260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8394E" w:rsidRPr="007C2603">
              <w:rPr>
                <w:rFonts w:ascii="Arial" w:hAnsi="Arial" w:cs="Arial"/>
                <w:sz w:val="20"/>
                <w:szCs w:val="20"/>
              </w:rPr>
              <w:t>“draft</w:t>
            </w:r>
            <w:r w:rsidRPr="007C2603">
              <w:rPr>
                <w:rFonts w:ascii="Arial" w:hAnsi="Arial" w:cs="Arial"/>
                <w:sz w:val="20"/>
                <w:szCs w:val="20"/>
              </w:rPr>
              <w:t xml:space="preserve"> Terms of Reference </w:t>
            </w:r>
            <w:r w:rsidR="0088394E" w:rsidRPr="007C2603">
              <w:rPr>
                <w:rFonts w:ascii="Arial" w:hAnsi="Arial" w:cs="Arial"/>
                <w:sz w:val="20"/>
                <w:szCs w:val="20"/>
              </w:rPr>
              <w:t xml:space="preserve">for an Environmental Impact Statement” for both projects </w:t>
            </w:r>
            <w:r w:rsidR="00E361F5">
              <w:rPr>
                <w:rFonts w:ascii="Arial" w:hAnsi="Arial" w:cs="Arial"/>
                <w:sz w:val="20"/>
                <w:szCs w:val="20"/>
              </w:rPr>
              <w:t>represent a reasonable start</w:t>
            </w:r>
            <w:r w:rsidR="0088394E" w:rsidRPr="007C260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E581C" w:rsidRDefault="00E361F5" w:rsidP="004E581C">
            <w:pPr>
              <w:pStyle w:val="ListNumber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8394E" w:rsidRPr="007C2603">
              <w:rPr>
                <w:rFonts w:ascii="Arial" w:hAnsi="Arial" w:cs="Arial"/>
                <w:sz w:val="20"/>
                <w:szCs w:val="20"/>
              </w:rPr>
              <w:t>oting</w:t>
            </w:r>
            <w:r>
              <w:rPr>
                <w:rFonts w:ascii="Arial" w:hAnsi="Arial" w:cs="Arial"/>
                <w:sz w:val="20"/>
                <w:szCs w:val="20"/>
              </w:rPr>
              <w:t>, however,</w:t>
            </w:r>
            <w:r w:rsidR="0088394E" w:rsidRPr="007C2603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 xml:space="preserve">suite of </w:t>
            </w:r>
            <w:r w:rsidR="0088394E" w:rsidRPr="007C2603">
              <w:rPr>
                <w:rFonts w:ascii="Arial" w:hAnsi="Arial" w:cs="Arial"/>
                <w:sz w:val="20"/>
                <w:szCs w:val="20"/>
              </w:rPr>
              <w:t xml:space="preserve">current and impending projects within the Surat basin, </w:t>
            </w:r>
            <w:r w:rsidR="007C2603">
              <w:rPr>
                <w:rFonts w:ascii="Arial" w:hAnsi="Arial" w:cs="Arial"/>
                <w:sz w:val="20"/>
                <w:szCs w:val="20"/>
              </w:rPr>
              <w:t xml:space="preserve">particularly the North Surat, </w:t>
            </w:r>
            <w:r w:rsidR="0088394E" w:rsidRPr="007C2603">
              <w:rPr>
                <w:rFonts w:ascii="Arial" w:hAnsi="Arial" w:cs="Arial"/>
                <w:sz w:val="20"/>
                <w:szCs w:val="20"/>
              </w:rPr>
              <w:t>the Environmental Impact Statement</w:t>
            </w:r>
            <w:r w:rsidR="002B6C0C" w:rsidRPr="007C2603">
              <w:rPr>
                <w:rFonts w:ascii="Arial" w:hAnsi="Arial" w:cs="Arial"/>
                <w:sz w:val="20"/>
                <w:szCs w:val="20"/>
              </w:rPr>
              <w:t xml:space="preserve">s for </w:t>
            </w:r>
            <w:r w:rsidR="004E581C">
              <w:rPr>
                <w:rFonts w:ascii="Arial" w:hAnsi="Arial" w:cs="Arial"/>
                <w:sz w:val="20"/>
                <w:szCs w:val="20"/>
              </w:rPr>
              <w:t>both</w:t>
            </w:r>
            <w:r w:rsidR="002B6C0C" w:rsidRPr="007C2603">
              <w:rPr>
                <w:rFonts w:ascii="Arial" w:hAnsi="Arial" w:cs="Arial"/>
                <w:sz w:val="20"/>
                <w:szCs w:val="20"/>
              </w:rPr>
              <w:t xml:space="preserve"> projects</w:t>
            </w:r>
            <w:r w:rsidR="0088394E" w:rsidRPr="007C26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81C">
              <w:rPr>
                <w:rFonts w:ascii="Arial" w:hAnsi="Arial" w:cs="Arial"/>
                <w:sz w:val="20"/>
                <w:szCs w:val="20"/>
              </w:rPr>
              <w:t>should give greater weight to an assessment of the potential cumulative impacts of developments in this region.</w:t>
            </w:r>
          </w:p>
          <w:p w:rsidR="000831FD" w:rsidRDefault="00C355E0" w:rsidP="004E581C">
            <w:pPr>
              <w:pStyle w:val="ListNumb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2410F" w:rsidRPr="007C2603">
              <w:rPr>
                <w:rFonts w:ascii="Arial" w:hAnsi="Arial" w:cs="Arial"/>
                <w:sz w:val="20"/>
                <w:szCs w:val="20"/>
              </w:rPr>
              <w:t>interim committee suggest</w:t>
            </w:r>
            <w:r w:rsidR="007C2603">
              <w:rPr>
                <w:rFonts w:ascii="Arial" w:hAnsi="Arial" w:cs="Arial"/>
                <w:sz w:val="20"/>
                <w:szCs w:val="20"/>
              </w:rPr>
              <w:t>s</w:t>
            </w:r>
            <w:r w:rsidR="0082410F" w:rsidRPr="007C2603">
              <w:rPr>
                <w:rFonts w:ascii="Arial" w:hAnsi="Arial" w:cs="Arial"/>
                <w:sz w:val="20"/>
                <w:szCs w:val="20"/>
              </w:rPr>
              <w:t xml:space="preserve"> that the</w:t>
            </w:r>
            <w:r w:rsidR="006657F1">
              <w:rPr>
                <w:rFonts w:ascii="Arial" w:hAnsi="Arial" w:cs="Arial"/>
                <w:sz w:val="20"/>
                <w:szCs w:val="20"/>
              </w:rPr>
              <w:t xml:space="preserve"> terms of reference require the proponents to assess cumulative impacts in accordance with the practices and procedures set out in the </w:t>
            </w:r>
            <w:r w:rsidR="00CE4275">
              <w:rPr>
                <w:rFonts w:ascii="Arial" w:hAnsi="Arial" w:cs="Arial"/>
                <w:sz w:val="20"/>
                <w:szCs w:val="20"/>
              </w:rPr>
              <w:t>Mineral Council of Australia’s Water Accounting Framework for the Minerals Industry</w:t>
            </w:r>
            <w:r w:rsidR="0082410F" w:rsidRPr="007C26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E106D" w:rsidRDefault="00EE106D" w:rsidP="00EE106D">
            <w:pPr>
              <w:pStyle w:val="ListNumber"/>
              <w:numPr>
                <w:ilvl w:val="0"/>
                <w:numId w:val="0"/>
              </w:numPr>
              <w:spacing w:before="120"/>
              <w:ind w:left="369" w:hanging="369"/>
              <w:rPr>
                <w:rFonts w:ascii="Arial" w:hAnsi="Arial" w:cs="Arial"/>
                <w:sz w:val="20"/>
                <w:szCs w:val="20"/>
              </w:rPr>
            </w:pPr>
          </w:p>
          <w:p w:rsidR="00EE106D" w:rsidRPr="007C2603" w:rsidRDefault="00EE106D" w:rsidP="00EE106D">
            <w:pPr>
              <w:pStyle w:val="ListNumber"/>
              <w:numPr>
                <w:ilvl w:val="0"/>
                <w:numId w:val="0"/>
              </w:numPr>
              <w:spacing w:before="120"/>
              <w:ind w:left="369" w:hanging="369"/>
              <w:rPr>
                <w:rFonts w:ascii="Arial" w:hAnsi="Arial" w:cs="Arial"/>
                <w:sz w:val="20"/>
                <w:szCs w:val="20"/>
              </w:rPr>
            </w:pPr>
          </w:p>
          <w:p w:rsidR="00B60464" w:rsidRPr="007C2603" w:rsidRDefault="006657F1" w:rsidP="004E581C">
            <w:pPr>
              <w:pStyle w:val="ListNumber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 addition,</w:t>
            </w:r>
            <w:r w:rsidR="0082410F" w:rsidRPr="007C2603">
              <w:rPr>
                <w:rFonts w:ascii="Arial" w:hAnsi="Arial" w:cs="Arial"/>
                <w:sz w:val="20"/>
                <w:szCs w:val="20"/>
              </w:rPr>
              <w:t xml:space="preserve"> the interim committee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 recommends that the </w:t>
            </w:r>
            <w:r w:rsidR="00B942B2" w:rsidRPr="007C2603">
              <w:rPr>
                <w:rFonts w:ascii="Arial" w:hAnsi="Arial" w:cs="Arial"/>
                <w:sz w:val="20"/>
                <w:szCs w:val="20"/>
              </w:rPr>
              <w:t>Terms of Reference</w:t>
            </w:r>
            <w:r>
              <w:rPr>
                <w:rFonts w:ascii="Arial" w:hAnsi="Arial" w:cs="Arial"/>
                <w:sz w:val="20"/>
                <w:szCs w:val="20"/>
              </w:rPr>
              <w:t xml:space="preserve"> should be revised to require that the proponents for both projects include as part of their Environmental Impact Statement</w:t>
            </w:r>
            <w:r w:rsidR="00B60464" w:rsidRPr="007C260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60464" w:rsidRPr="007C2603" w:rsidRDefault="00B60464" w:rsidP="004E581C">
            <w:pPr>
              <w:pStyle w:val="ListNumber2"/>
              <w:spacing w:before="120"/>
              <w:ind w:left="1089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 xml:space="preserve">more specific water resource information, namely: </w:t>
            </w:r>
          </w:p>
          <w:p w:rsidR="00B60464" w:rsidRPr="007C2603" w:rsidRDefault="009B4FAE" w:rsidP="004E581C">
            <w:pPr>
              <w:pStyle w:val="ListNumber3"/>
              <w:spacing w:before="120"/>
              <w:ind w:left="1458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 xml:space="preserve"> baseline details on water assets, including </w:t>
            </w:r>
            <w:r w:rsidR="00B60464" w:rsidRPr="007C2603">
              <w:rPr>
                <w:rFonts w:ascii="Arial" w:hAnsi="Arial" w:cs="Arial"/>
                <w:sz w:val="20"/>
                <w:szCs w:val="20"/>
              </w:rPr>
              <w:t>environments</w:t>
            </w:r>
            <w:r w:rsidRPr="007C2603">
              <w:rPr>
                <w:rFonts w:ascii="Arial" w:hAnsi="Arial" w:cs="Arial"/>
                <w:sz w:val="20"/>
                <w:szCs w:val="20"/>
              </w:rPr>
              <w:t xml:space="preserve"> supported by those </w:t>
            </w:r>
            <w:r w:rsidR="006657F1">
              <w:rPr>
                <w:rFonts w:ascii="Arial" w:hAnsi="Arial" w:cs="Arial"/>
                <w:sz w:val="20"/>
                <w:szCs w:val="20"/>
              </w:rPr>
              <w:t>assets</w:t>
            </w:r>
          </w:p>
          <w:p w:rsidR="006657F1" w:rsidRDefault="003C104E" w:rsidP="004E581C">
            <w:pPr>
              <w:pStyle w:val="ListNumber3"/>
              <w:spacing w:before="120"/>
              <w:ind w:left="1458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>a site water balance</w:t>
            </w:r>
            <w:r w:rsidR="00B60464" w:rsidRPr="007C2603">
              <w:rPr>
                <w:rFonts w:ascii="Arial" w:hAnsi="Arial" w:cs="Arial"/>
                <w:sz w:val="20"/>
                <w:szCs w:val="20"/>
              </w:rPr>
              <w:t xml:space="preserve"> for each asset</w:t>
            </w:r>
            <w:r w:rsidR="00B942B2" w:rsidRPr="007C2603">
              <w:rPr>
                <w:rFonts w:ascii="Arial" w:hAnsi="Arial" w:cs="Arial"/>
                <w:sz w:val="20"/>
                <w:szCs w:val="20"/>
              </w:rPr>
              <w:t>,</w:t>
            </w:r>
            <w:r w:rsidR="00B60464" w:rsidRPr="007C26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603">
              <w:rPr>
                <w:rFonts w:ascii="Arial" w:hAnsi="Arial" w:cs="Arial"/>
                <w:sz w:val="20"/>
                <w:szCs w:val="20"/>
              </w:rPr>
              <w:t>complemented by a regional w</w:t>
            </w:r>
            <w:r w:rsidR="006657F1">
              <w:rPr>
                <w:rFonts w:ascii="Arial" w:hAnsi="Arial" w:cs="Arial"/>
                <w:sz w:val="20"/>
                <w:szCs w:val="20"/>
              </w:rPr>
              <w:t>ater balance</w:t>
            </w:r>
          </w:p>
          <w:p w:rsidR="006657F1" w:rsidRPr="00AE5F1D" w:rsidRDefault="006657F1" w:rsidP="00AE5F1D">
            <w:pPr>
              <w:pStyle w:val="ListNumber3"/>
              <w:spacing w:before="120"/>
              <w:ind w:left="14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assessment of how the proposed project will change both the site and regional water balances</w:t>
            </w:r>
            <w:r w:rsidR="00382E63" w:rsidRPr="007C260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7F1">
              <w:rPr>
                <w:rFonts w:ascii="Arial" w:hAnsi="Arial" w:cs="Arial"/>
                <w:sz w:val="20"/>
                <w:szCs w:val="20"/>
              </w:rPr>
              <w:t xml:space="preserve">The interim committee suggests that </w:t>
            </w:r>
            <w:r w:rsidR="00AE5F1D">
              <w:rPr>
                <w:rFonts w:ascii="Arial" w:hAnsi="Arial" w:cs="Arial"/>
                <w:sz w:val="20"/>
                <w:szCs w:val="20"/>
              </w:rPr>
              <w:t>the</w:t>
            </w:r>
            <w:r w:rsidRPr="006657F1">
              <w:rPr>
                <w:rFonts w:ascii="Arial" w:hAnsi="Arial" w:cs="Arial"/>
                <w:sz w:val="20"/>
                <w:szCs w:val="20"/>
              </w:rPr>
              <w:t xml:space="preserve"> water balance </w:t>
            </w:r>
            <w:r w:rsidR="00AE5F1D">
              <w:rPr>
                <w:rFonts w:ascii="Arial" w:hAnsi="Arial" w:cs="Arial"/>
                <w:sz w:val="20"/>
                <w:szCs w:val="20"/>
              </w:rPr>
              <w:t xml:space="preserve">analysis </w:t>
            </w:r>
            <w:r w:rsidRPr="006657F1">
              <w:rPr>
                <w:rFonts w:ascii="Arial" w:hAnsi="Arial" w:cs="Arial"/>
                <w:sz w:val="20"/>
                <w:szCs w:val="20"/>
              </w:rPr>
              <w:t>could include (but not necessar</w:t>
            </w:r>
            <w:r w:rsidR="00AE5F1D">
              <w:rPr>
                <w:rFonts w:ascii="Arial" w:hAnsi="Arial" w:cs="Arial"/>
                <w:sz w:val="20"/>
                <w:szCs w:val="20"/>
              </w:rPr>
              <w:t>ily be limited to) the following information:</w:t>
            </w:r>
          </w:p>
          <w:p w:rsidR="006657F1" w:rsidRPr="006657F1" w:rsidRDefault="00AE5F1D" w:rsidP="006657F1">
            <w:pPr>
              <w:pStyle w:val="ListBullet3"/>
              <w:spacing w:before="120"/>
              <w:ind w:left="18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657F1" w:rsidRPr="006657F1">
              <w:rPr>
                <w:rFonts w:ascii="Arial" w:hAnsi="Arial" w:cs="Arial"/>
                <w:sz w:val="20"/>
                <w:szCs w:val="20"/>
              </w:rPr>
              <w:t>sage of the surface water and i</w:t>
            </w:r>
            <w:r>
              <w:rPr>
                <w:rFonts w:ascii="Arial" w:hAnsi="Arial" w:cs="Arial"/>
                <w:sz w:val="20"/>
                <w:szCs w:val="20"/>
              </w:rPr>
              <w:t>dentified aquifer(s)</w:t>
            </w:r>
          </w:p>
          <w:p w:rsidR="006657F1" w:rsidRPr="006657F1" w:rsidRDefault="006657F1" w:rsidP="006657F1">
            <w:pPr>
              <w:pStyle w:val="ListBullet3"/>
              <w:spacing w:before="120"/>
              <w:ind w:left="1843"/>
              <w:rPr>
                <w:rFonts w:ascii="Arial" w:hAnsi="Arial" w:cs="Arial"/>
                <w:sz w:val="20"/>
                <w:szCs w:val="20"/>
              </w:rPr>
            </w:pPr>
            <w:r w:rsidRPr="006657F1">
              <w:rPr>
                <w:rFonts w:ascii="Arial" w:hAnsi="Arial" w:cs="Arial"/>
                <w:sz w:val="20"/>
                <w:szCs w:val="20"/>
              </w:rPr>
              <w:t>an asse</w:t>
            </w:r>
            <w:r w:rsidR="00AE5F1D">
              <w:rPr>
                <w:rFonts w:ascii="Arial" w:hAnsi="Arial" w:cs="Arial"/>
                <w:sz w:val="20"/>
                <w:szCs w:val="20"/>
              </w:rPr>
              <w:t>ssment of regional water assets</w:t>
            </w:r>
          </w:p>
          <w:p w:rsidR="006657F1" w:rsidRPr="006657F1" w:rsidRDefault="00AE5F1D" w:rsidP="006657F1">
            <w:pPr>
              <w:pStyle w:val="ListBullet3"/>
              <w:spacing w:before="120"/>
              <w:ind w:left="18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6657F1" w:rsidRPr="006657F1">
              <w:rPr>
                <w:rFonts w:ascii="Arial" w:hAnsi="Arial" w:cs="Arial"/>
                <w:sz w:val="20"/>
                <w:szCs w:val="20"/>
              </w:rPr>
              <w:t>ritical dependencies of the identified aquifer(s) and extent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hydrological interconnectivity</w:t>
            </w:r>
          </w:p>
          <w:p w:rsidR="006657F1" w:rsidRPr="006657F1" w:rsidRDefault="00AE5F1D" w:rsidP="006657F1">
            <w:pPr>
              <w:pStyle w:val="ListBullet3"/>
              <w:spacing w:before="120"/>
              <w:ind w:left="18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657F1" w:rsidRPr="006657F1">
              <w:rPr>
                <w:rFonts w:ascii="Arial" w:hAnsi="Arial" w:cs="Arial"/>
                <w:sz w:val="20"/>
                <w:szCs w:val="20"/>
              </w:rPr>
              <w:t>n understanding of the structural and dynamic ground and surface water systems (includ</w:t>
            </w:r>
            <w:r>
              <w:rPr>
                <w:rFonts w:ascii="Arial" w:hAnsi="Arial" w:cs="Arial"/>
                <w:sz w:val="20"/>
                <w:szCs w:val="20"/>
              </w:rPr>
              <w:t>ing recharge and discharge)</w:t>
            </w:r>
          </w:p>
          <w:p w:rsidR="006657F1" w:rsidRPr="007C2603" w:rsidRDefault="006657F1" w:rsidP="006657F1">
            <w:pPr>
              <w:pStyle w:val="ListBullet3"/>
              <w:spacing w:before="120"/>
              <w:ind w:left="1843"/>
              <w:rPr>
                <w:rFonts w:ascii="Arial" w:hAnsi="Arial" w:cs="Arial"/>
                <w:sz w:val="20"/>
                <w:szCs w:val="20"/>
              </w:rPr>
            </w:pPr>
            <w:r w:rsidRPr="006657F1">
              <w:rPr>
                <w:rFonts w:ascii="Arial" w:hAnsi="Arial" w:cs="Arial"/>
                <w:sz w:val="20"/>
                <w:szCs w:val="20"/>
              </w:rPr>
              <w:t>an assessment of the quality of information and data for the identified systems.</w:t>
            </w:r>
          </w:p>
          <w:p w:rsidR="00382E63" w:rsidRPr="007C2603" w:rsidRDefault="00B942B2" w:rsidP="004E581C">
            <w:pPr>
              <w:pStyle w:val="ListNumber2"/>
              <w:spacing w:before="120"/>
              <w:ind w:left="1089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 xml:space="preserve">a risk matrix that incorporates key hazard elements; </w:t>
            </w:r>
            <w:r w:rsidR="00AE5F1D">
              <w:rPr>
                <w:rFonts w:ascii="Arial" w:hAnsi="Arial" w:cs="Arial"/>
                <w:sz w:val="20"/>
                <w:szCs w:val="20"/>
              </w:rPr>
              <w:t xml:space="preserve">an assessment of the likelihood and consequence of each </w:t>
            </w:r>
            <w:r w:rsidRPr="007C2603">
              <w:rPr>
                <w:rFonts w:ascii="Arial" w:hAnsi="Arial" w:cs="Arial"/>
                <w:sz w:val="20"/>
                <w:szCs w:val="20"/>
              </w:rPr>
              <w:t xml:space="preserve">hazard element </w:t>
            </w:r>
            <w:r w:rsidR="00AE5F1D">
              <w:rPr>
                <w:rFonts w:ascii="Arial" w:hAnsi="Arial" w:cs="Arial"/>
                <w:sz w:val="20"/>
                <w:szCs w:val="20"/>
              </w:rPr>
              <w:t xml:space="preserve">occurring and identification of </w:t>
            </w:r>
            <w:r w:rsidRPr="007C2603">
              <w:rPr>
                <w:rFonts w:ascii="Arial" w:hAnsi="Arial" w:cs="Arial"/>
                <w:sz w:val="20"/>
                <w:szCs w:val="20"/>
              </w:rPr>
              <w:t>residual risk following the application of mitigation measures.</w:t>
            </w:r>
            <w:r w:rsidR="00BF6836" w:rsidRPr="007C26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F1D">
              <w:rPr>
                <w:rFonts w:ascii="Arial" w:hAnsi="Arial" w:cs="Arial"/>
                <w:sz w:val="20"/>
                <w:szCs w:val="20"/>
              </w:rPr>
              <w:t>K</w:t>
            </w:r>
            <w:r w:rsidR="009A0DF9" w:rsidRPr="007C2603">
              <w:rPr>
                <w:rFonts w:ascii="Arial" w:hAnsi="Arial" w:cs="Arial"/>
                <w:sz w:val="20"/>
                <w:szCs w:val="20"/>
              </w:rPr>
              <w:t xml:space="preserve">ey hazards </w:t>
            </w:r>
            <w:r w:rsidR="00AE5F1D">
              <w:rPr>
                <w:rFonts w:ascii="Arial" w:hAnsi="Arial" w:cs="Arial"/>
                <w:sz w:val="20"/>
                <w:szCs w:val="20"/>
              </w:rPr>
              <w:t>could include</w:t>
            </w:r>
            <w:r w:rsidR="009A0DF9" w:rsidRPr="007C260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6836" w:rsidRPr="007C2603" w:rsidRDefault="00BF6836" w:rsidP="004E581C">
            <w:pPr>
              <w:pStyle w:val="ListNumber3"/>
              <w:spacing w:before="120"/>
              <w:ind w:left="1418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>lack of baseline information to inform/measure:</w:t>
            </w:r>
          </w:p>
          <w:p w:rsidR="00382E63" w:rsidRPr="007C2603" w:rsidRDefault="00382E63" w:rsidP="004E581C">
            <w:pPr>
              <w:pStyle w:val="ListBullet3"/>
              <w:spacing w:before="120"/>
              <w:ind w:left="1843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>direct impact on the water r</w:t>
            </w:r>
            <w:r w:rsidR="00AE5F1D">
              <w:rPr>
                <w:rFonts w:ascii="Arial" w:hAnsi="Arial" w:cs="Arial"/>
                <w:sz w:val="20"/>
                <w:szCs w:val="20"/>
              </w:rPr>
              <w:t>esources and vulnerable assets</w:t>
            </w:r>
          </w:p>
          <w:p w:rsidR="00382E63" w:rsidRPr="007C2603" w:rsidRDefault="00382E63" w:rsidP="004E581C">
            <w:pPr>
              <w:pStyle w:val="ListBullet3"/>
              <w:spacing w:before="120"/>
              <w:ind w:left="1843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>indirect impacts on environment that is s</w:t>
            </w:r>
            <w:r w:rsidR="00AE5F1D">
              <w:rPr>
                <w:rFonts w:ascii="Arial" w:hAnsi="Arial" w:cs="Arial"/>
                <w:sz w:val="20"/>
                <w:szCs w:val="20"/>
              </w:rPr>
              <w:t>upported by the water resource</w:t>
            </w:r>
          </w:p>
          <w:p w:rsidR="00382E63" w:rsidRPr="007C2603" w:rsidRDefault="00AE5F1D" w:rsidP="004E581C">
            <w:pPr>
              <w:pStyle w:val="ListBullet3"/>
              <w:spacing w:before="120"/>
              <w:ind w:left="18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consequential impacts</w:t>
            </w:r>
          </w:p>
          <w:p w:rsidR="00382E63" w:rsidRPr="007C2603" w:rsidRDefault="006657F1" w:rsidP="004E581C">
            <w:pPr>
              <w:pStyle w:val="ListBullet3"/>
              <w:spacing w:before="120"/>
              <w:ind w:left="18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cumulative impacts</w:t>
            </w:r>
          </w:p>
          <w:p w:rsidR="00382E63" w:rsidRPr="007C2603" w:rsidRDefault="00382E63" w:rsidP="004E581C">
            <w:pPr>
              <w:pStyle w:val="ListNumber3"/>
              <w:spacing w:before="120"/>
              <w:ind w:left="1418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>lack of adequate proposed monitoring and</w:t>
            </w:r>
            <w:r w:rsidR="007C2603">
              <w:rPr>
                <w:rFonts w:ascii="Arial" w:hAnsi="Arial" w:cs="Arial"/>
                <w:sz w:val="20"/>
                <w:szCs w:val="20"/>
              </w:rPr>
              <w:t>/or</w:t>
            </w:r>
            <w:r w:rsidRPr="007C2603">
              <w:rPr>
                <w:rFonts w:ascii="Arial" w:hAnsi="Arial" w:cs="Arial"/>
                <w:sz w:val="20"/>
                <w:szCs w:val="20"/>
              </w:rPr>
              <w:t xml:space="preserve"> demonstrated capacity to man</w:t>
            </w:r>
            <w:r w:rsidR="006657F1">
              <w:rPr>
                <w:rFonts w:ascii="Arial" w:hAnsi="Arial" w:cs="Arial"/>
                <w:sz w:val="20"/>
                <w:szCs w:val="20"/>
              </w:rPr>
              <w:t>age environmental consequences</w:t>
            </w:r>
          </w:p>
          <w:p w:rsidR="00382E63" w:rsidRPr="007C2603" w:rsidRDefault="00382E63" w:rsidP="004E581C">
            <w:pPr>
              <w:pStyle w:val="ListNumber3"/>
              <w:spacing w:before="120"/>
              <w:ind w:left="1418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>likelih</w:t>
            </w:r>
            <w:r w:rsidR="007C2603">
              <w:rPr>
                <w:rFonts w:ascii="Arial" w:hAnsi="Arial" w:cs="Arial"/>
                <w:sz w:val="20"/>
                <w:szCs w:val="20"/>
              </w:rPr>
              <w:t xml:space="preserve">ood of subsidence uncertain and/or </w:t>
            </w:r>
            <w:r w:rsidRPr="007C2603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6657F1">
              <w:rPr>
                <w:rFonts w:ascii="Arial" w:hAnsi="Arial" w:cs="Arial"/>
                <w:sz w:val="20"/>
                <w:szCs w:val="20"/>
              </w:rPr>
              <w:t>adequately monitored or managed</w:t>
            </w:r>
          </w:p>
          <w:p w:rsidR="00382E63" w:rsidRPr="007C2603" w:rsidRDefault="007C2603" w:rsidP="004E581C">
            <w:pPr>
              <w:pStyle w:val="ListNumber3"/>
              <w:spacing w:before="120"/>
              <w:ind w:left="14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likelihood of </w:t>
            </w:r>
            <w:r w:rsidR="00382E63" w:rsidRPr="007C2603">
              <w:rPr>
                <w:rFonts w:ascii="Arial" w:hAnsi="Arial" w:cs="Arial"/>
                <w:sz w:val="20"/>
                <w:szCs w:val="20"/>
              </w:rPr>
              <w:t xml:space="preserve">disruption to aquifer flow or creation </w:t>
            </w:r>
            <w:r w:rsidR="00EA200C">
              <w:rPr>
                <w:rFonts w:ascii="Arial" w:hAnsi="Arial" w:cs="Arial"/>
                <w:sz w:val="20"/>
                <w:szCs w:val="20"/>
              </w:rPr>
              <w:t>of aquifer </w:t>
            </w:r>
            <w:r w:rsidR="00382E63" w:rsidRPr="007C2603">
              <w:rPr>
                <w:rFonts w:ascii="Arial" w:hAnsi="Arial" w:cs="Arial"/>
                <w:sz w:val="20"/>
                <w:szCs w:val="20"/>
              </w:rPr>
              <w:t>interconnectivity</w:t>
            </w:r>
            <w:r w:rsidR="00EA200C">
              <w:rPr>
                <w:rFonts w:ascii="Arial" w:hAnsi="Arial" w:cs="Arial"/>
                <w:sz w:val="20"/>
                <w:szCs w:val="20"/>
              </w:rPr>
              <w:t xml:space="preserve"> uncertain and/or </w:t>
            </w:r>
            <w:r w:rsidR="00EA200C" w:rsidRPr="007C2603">
              <w:rPr>
                <w:rFonts w:ascii="Arial" w:hAnsi="Arial" w:cs="Arial"/>
                <w:sz w:val="20"/>
                <w:szCs w:val="20"/>
              </w:rPr>
              <w:t>not adequately monitored or managed</w:t>
            </w:r>
          </w:p>
          <w:p w:rsidR="00382E63" w:rsidRPr="007C2603" w:rsidRDefault="00382E63" w:rsidP="004E581C">
            <w:pPr>
              <w:pStyle w:val="ListNumber3"/>
              <w:spacing w:before="120"/>
              <w:ind w:left="1418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 xml:space="preserve">draw down of water table not </w:t>
            </w:r>
            <w:r w:rsidR="00AE5F1D">
              <w:rPr>
                <w:rFonts w:ascii="Arial" w:hAnsi="Arial" w:cs="Arial"/>
                <w:sz w:val="20"/>
                <w:szCs w:val="20"/>
              </w:rPr>
              <w:t>adequately monitored or managed</w:t>
            </w:r>
          </w:p>
          <w:p w:rsidR="00382E63" w:rsidRPr="007C2603" w:rsidRDefault="00382E63" w:rsidP="004E581C">
            <w:pPr>
              <w:pStyle w:val="ListNumber3"/>
              <w:spacing w:before="120"/>
              <w:ind w:left="1418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 xml:space="preserve">co-produced water or mine water not </w:t>
            </w:r>
            <w:r w:rsidR="00AE5F1D">
              <w:rPr>
                <w:rFonts w:ascii="Arial" w:hAnsi="Arial" w:cs="Arial"/>
                <w:sz w:val="20"/>
                <w:szCs w:val="20"/>
              </w:rPr>
              <w:t>adequately monitored or managed</w:t>
            </w:r>
          </w:p>
          <w:p w:rsidR="00382E63" w:rsidRPr="007C2603" w:rsidRDefault="00382E63" w:rsidP="004E581C">
            <w:pPr>
              <w:pStyle w:val="ListNumber3"/>
              <w:spacing w:before="120"/>
              <w:ind w:left="1418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>groundwater dependent ec</w:t>
            </w:r>
            <w:r w:rsidR="00AE5F1D">
              <w:rPr>
                <w:rFonts w:ascii="Arial" w:hAnsi="Arial" w:cs="Arial"/>
                <w:sz w:val="20"/>
                <w:szCs w:val="20"/>
              </w:rPr>
              <w:t>osystems significantly impacted</w:t>
            </w:r>
          </w:p>
          <w:p w:rsidR="00382E63" w:rsidRPr="007C2603" w:rsidRDefault="00382E63" w:rsidP="004E581C">
            <w:pPr>
              <w:pStyle w:val="ListNumber3"/>
              <w:spacing w:before="120"/>
              <w:ind w:left="1418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>likelihood of surface water adverse</w:t>
            </w:r>
            <w:r w:rsidR="00AE5F1D">
              <w:rPr>
                <w:rFonts w:ascii="Arial" w:hAnsi="Arial" w:cs="Arial"/>
                <w:sz w:val="20"/>
                <w:szCs w:val="20"/>
              </w:rPr>
              <w:t>ly impacted</w:t>
            </w:r>
          </w:p>
          <w:p w:rsidR="00382E63" w:rsidRPr="007C2603" w:rsidRDefault="00382E63" w:rsidP="004E581C">
            <w:pPr>
              <w:pStyle w:val="ListNumber3"/>
              <w:spacing w:before="120"/>
              <w:ind w:left="1418"/>
              <w:rPr>
                <w:rFonts w:ascii="Arial" w:hAnsi="Arial" w:cs="Arial"/>
                <w:sz w:val="20"/>
                <w:szCs w:val="20"/>
              </w:rPr>
            </w:pPr>
            <w:r w:rsidRPr="007C2603">
              <w:rPr>
                <w:rFonts w:ascii="Arial" w:hAnsi="Arial" w:cs="Arial"/>
                <w:sz w:val="20"/>
                <w:szCs w:val="20"/>
              </w:rPr>
              <w:t>possibility of drinking water and irrigation supply contamination.</w:t>
            </w:r>
          </w:p>
          <w:p w:rsidR="002D564E" w:rsidRPr="007C2603" w:rsidRDefault="00405797" w:rsidP="004E581C">
            <w:pPr>
              <w:pStyle w:val="ListNumber2"/>
              <w:spacing w:before="120"/>
              <w:ind w:left="10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D564E" w:rsidRPr="007C2603">
              <w:rPr>
                <w:rFonts w:ascii="Arial" w:hAnsi="Arial" w:cs="Arial"/>
                <w:sz w:val="20"/>
                <w:szCs w:val="20"/>
              </w:rPr>
              <w:t>ssessment of the overall acceptability of</w:t>
            </w:r>
            <w:r w:rsidR="00AE5F1D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2D564E" w:rsidRPr="007C2603">
              <w:rPr>
                <w:rFonts w:ascii="Arial" w:hAnsi="Arial" w:cs="Arial"/>
                <w:sz w:val="20"/>
                <w:szCs w:val="20"/>
              </w:rPr>
              <w:t xml:space="preserve"> impacts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project</w:t>
            </w:r>
            <w:r w:rsidR="002D564E" w:rsidRPr="007C2603">
              <w:rPr>
                <w:rFonts w:ascii="Arial" w:hAnsi="Arial" w:cs="Arial"/>
                <w:sz w:val="20"/>
                <w:szCs w:val="20"/>
              </w:rPr>
              <w:t xml:space="preserve"> in ligh</w:t>
            </w:r>
            <w:r w:rsidR="00AE5F1D">
              <w:rPr>
                <w:rFonts w:ascii="Arial" w:hAnsi="Arial" w:cs="Arial"/>
                <w:sz w:val="20"/>
                <w:szCs w:val="20"/>
              </w:rPr>
              <w:t xml:space="preserve">t of the residual uncertainties and </w:t>
            </w:r>
            <w:r w:rsidR="002D564E" w:rsidRPr="007C2603">
              <w:rPr>
                <w:rFonts w:ascii="Arial" w:hAnsi="Arial" w:cs="Arial"/>
                <w:sz w:val="20"/>
                <w:szCs w:val="20"/>
              </w:rPr>
              <w:t xml:space="preserve">risk profile. </w:t>
            </w:r>
          </w:p>
          <w:p w:rsidR="00392F70" w:rsidRPr="00590A9B" w:rsidRDefault="00392F70" w:rsidP="00AE5F1D">
            <w:pPr>
              <w:pStyle w:val="ListBullet2"/>
              <w:numPr>
                <w:ilvl w:val="0"/>
                <w:numId w:val="0"/>
              </w:numPr>
              <w:spacing w:before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DA" w:rsidRPr="00590A9B" w:rsidTr="00B23D97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590A9B" w:rsidRDefault="001765DA" w:rsidP="00B23D97">
            <w:pPr>
              <w:pStyle w:val="tablelabel"/>
              <w:rPr>
                <w:rFonts w:cs="Arial"/>
                <w:sz w:val="20"/>
              </w:rPr>
            </w:pPr>
            <w:r w:rsidRPr="00590A9B">
              <w:rPr>
                <w:rFonts w:cs="Arial"/>
                <w:sz w:val="20"/>
              </w:rPr>
              <w:lastRenderedPageBreak/>
              <w:t>Date of advice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590A9B" w:rsidRDefault="00F71BF5" w:rsidP="000831F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4F4D2C" w:rsidRPr="00590A9B">
              <w:rPr>
                <w:rFonts w:ascii="Arial" w:hAnsi="Arial" w:cs="Arial"/>
                <w:sz w:val="20"/>
                <w:szCs w:val="20"/>
              </w:rPr>
              <w:t xml:space="preserve"> May 2012</w:t>
            </w:r>
          </w:p>
        </w:tc>
      </w:tr>
    </w:tbl>
    <w:p w:rsidR="001765DA" w:rsidRPr="004940D9" w:rsidRDefault="001765DA" w:rsidP="001765DA">
      <w:pPr>
        <w:spacing w:after="120"/>
        <w:rPr>
          <w:rFonts w:ascii="Arial" w:hAnsi="Arial" w:cs="Arial"/>
          <w:sz w:val="18"/>
          <w:szCs w:val="18"/>
        </w:rPr>
      </w:pPr>
    </w:p>
    <w:p w:rsidR="001765DA" w:rsidRDefault="001765DA" w:rsidP="001765DA"/>
    <w:p w:rsidR="008B505F" w:rsidRDefault="008B505F" w:rsidP="0064407B">
      <w:pPr>
        <w:ind w:left="-1418"/>
      </w:pPr>
    </w:p>
    <w:p w:rsidR="008B505F" w:rsidRDefault="008B505F" w:rsidP="0064407B">
      <w:pPr>
        <w:ind w:left="-1418"/>
      </w:pPr>
    </w:p>
    <w:p w:rsidR="006B14DB" w:rsidRPr="00EA416C" w:rsidRDefault="006B14DB" w:rsidP="0064407B">
      <w:pPr>
        <w:ind w:left="-1418"/>
      </w:pPr>
    </w:p>
    <w:sectPr w:rsidR="006B14DB" w:rsidRPr="00EA416C" w:rsidSect="00FA4CF0">
      <w:headerReference w:type="even" r:id="rId9"/>
      <w:footerReference w:type="default" r:id="rId10"/>
      <w:headerReference w:type="first" r:id="rId11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6D" w:rsidRDefault="00EE106D" w:rsidP="00A60185">
      <w:r>
        <w:separator/>
      </w:r>
    </w:p>
  </w:endnote>
  <w:endnote w:type="continuationSeparator" w:id="0">
    <w:p w:rsidR="00EE106D" w:rsidRDefault="00EE106D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6D" w:rsidRDefault="00CD7F58">
    <w:pPr>
      <w:pStyle w:val="Footer"/>
      <w:jc w:val="center"/>
    </w:pPr>
    <w:fldSimple w:instr=" PAGE   \* MERGEFORMAT ">
      <w:r w:rsidR="00AE4037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6D" w:rsidRDefault="00EE106D" w:rsidP="00A60185">
      <w:r>
        <w:separator/>
      </w:r>
    </w:p>
  </w:footnote>
  <w:footnote w:type="continuationSeparator" w:id="0">
    <w:p w:rsidR="00EE106D" w:rsidRDefault="00EE106D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6D" w:rsidRDefault="00EE106D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06D" w:rsidRDefault="00EE106D" w:rsidP="0034504D">
    <w:pPr>
      <w:pStyle w:val="Header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7AC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24AF1076"/>
    <w:multiLevelType w:val="multilevel"/>
    <w:tmpl w:val="484034E6"/>
    <w:lvl w:ilvl="0">
      <w:start w:val="1"/>
      <w:numFmt w:val="lowerLetter"/>
      <w:lvlText w:val="%1."/>
      <w:lvlJc w:val="left"/>
      <w:pPr>
        <w:ind w:left="108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82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219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360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960" w:hanging="360"/>
      </w:pPr>
      <w:rPr>
        <w:rFonts w:hint="default"/>
        <w:color w:val="auto"/>
      </w:rPr>
    </w:lvl>
  </w:abstractNum>
  <w:abstractNum w:abstractNumId="4">
    <w:nsid w:val="2B0A5B52"/>
    <w:multiLevelType w:val="hybridMultilevel"/>
    <w:tmpl w:val="27904C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E5E606E"/>
    <w:multiLevelType w:val="hybridMultilevel"/>
    <w:tmpl w:val="62EEA8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410E5"/>
    <w:multiLevelType w:val="multilevel"/>
    <w:tmpl w:val="CC68530E"/>
    <w:lvl w:ilvl="0">
      <w:start w:val="1"/>
      <w:numFmt w:val="lowerRoman"/>
      <w:lvlText w:val="%1."/>
      <w:lvlJc w:val="right"/>
      <w:pPr>
        <w:ind w:left="1418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1786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2155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2523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2849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3209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3569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3929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4289" w:hanging="360"/>
      </w:pPr>
      <w:rPr>
        <w:rFonts w:hint="default"/>
        <w:color w:val="auto"/>
      </w:rPr>
    </w:lvl>
  </w:abstractNum>
  <w:abstractNum w:abstractNumId="9">
    <w:nsid w:val="65456429"/>
    <w:multiLevelType w:val="multilevel"/>
    <w:tmpl w:val="2F6E1BCE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0">
    <w:nsid w:val="6F5C7C61"/>
    <w:multiLevelType w:val="hybridMultilevel"/>
    <w:tmpl w:val="D58E68B2"/>
    <w:lvl w:ilvl="0" w:tplc="FC9CA06A">
      <w:start w:val="1"/>
      <w:numFmt w:val="decimal"/>
      <w:lvlText w:val="%1."/>
      <w:lvlJc w:val="left"/>
      <w:pPr>
        <w:ind w:left="720" w:hanging="360"/>
      </w:pPr>
    </w:lvl>
    <w:lvl w:ilvl="1" w:tplc="AF9EE7FA">
      <w:start w:val="1"/>
      <w:numFmt w:val="lowerLetter"/>
      <w:lvlText w:val="%2."/>
      <w:lvlJc w:val="left"/>
      <w:pPr>
        <w:ind w:left="1440" w:hanging="360"/>
      </w:pPr>
    </w:lvl>
    <w:lvl w:ilvl="2" w:tplc="08F60424">
      <w:start w:val="1"/>
      <w:numFmt w:val="lowerRoman"/>
      <w:lvlText w:val="%3."/>
      <w:lvlJc w:val="right"/>
      <w:pPr>
        <w:ind w:left="2160" w:hanging="180"/>
      </w:pPr>
    </w:lvl>
    <w:lvl w:ilvl="3" w:tplc="21BA665A" w:tentative="1">
      <w:start w:val="1"/>
      <w:numFmt w:val="decimal"/>
      <w:lvlText w:val="%4."/>
      <w:lvlJc w:val="left"/>
      <w:pPr>
        <w:ind w:left="2880" w:hanging="360"/>
      </w:pPr>
    </w:lvl>
    <w:lvl w:ilvl="4" w:tplc="EE409378" w:tentative="1">
      <w:start w:val="1"/>
      <w:numFmt w:val="lowerLetter"/>
      <w:lvlText w:val="%5."/>
      <w:lvlJc w:val="left"/>
      <w:pPr>
        <w:ind w:left="3600" w:hanging="360"/>
      </w:pPr>
    </w:lvl>
    <w:lvl w:ilvl="5" w:tplc="CFE8AD04" w:tentative="1">
      <w:start w:val="1"/>
      <w:numFmt w:val="lowerRoman"/>
      <w:lvlText w:val="%6."/>
      <w:lvlJc w:val="right"/>
      <w:pPr>
        <w:ind w:left="4320" w:hanging="180"/>
      </w:pPr>
    </w:lvl>
    <w:lvl w:ilvl="6" w:tplc="25D0EC54" w:tentative="1">
      <w:start w:val="1"/>
      <w:numFmt w:val="decimal"/>
      <w:lvlText w:val="%7."/>
      <w:lvlJc w:val="left"/>
      <w:pPr>
        <w:ind w:left="5040" w:hanging="360"/>
      </w:pPr>
    </w:lvl>
    <w:lvl w:ilvl="7" w:tplc="F4364BB0" w:tentative="1">
      <w:start w:val="1"/>
      <w:numFmt w:val="lowerLetter"/>
      <w:lvlText w:val="%8."/>
      <w:lvlJc w:val="left"/>
      <w:pPr>
        <w:ind w:left="5760" w:hanging="360"/>
      </w:pPr>
    </w:lvl>
    <w:lvl w:ilvl="8" w:tplc="2FB2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F4F3C"/>
    <w:multiLevelType w:val="multilevel"/>
    <w:tmpl w:val="C8B67178"/>
    <w:lvl w:ilvl="0">
      <w:start w:val="1"/>
      <w:numFmt w:val="lowerLetter"/>
      <w:lvlText w:val="%1)"/>
      <w:lvlJc w:val="left"/>
      <w:pPr>
        <w:ind w:left="738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6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475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843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2169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529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889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3249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609" w:hanging="360"/>
      </w:pPr>
      <w:rPr>
        <w:rFonts w:hint="default"/>
        <w:color w:val="auto"/>
      </w:rPr>
    </w:lvl>
  </w:abstractNum>
  <w:abstractNum w:abstractNumId="12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3">
    <w:nsid w:val="76F739C8"/>
    <w:multiLevelType w:val="multilevel"/>
    <w:tmpl w:val="E17AA84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4">
    <w:nsid w:val="7B30255D"/>
    <w:multiLevelType w:val="multilevel"/>
    <w:tmpl w:val="3CAC2020"/>
    <w:lvl w:ilvl="0">
      <w:start w:val="1"/>
      <w:numFmt w:val="bullet"/>
      <w:lvlText w:val=""/>
      <w:lvlJc w:val="left"/>
      <w:pPr>
        <w:ind w:left="738" w:hanging="369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06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475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843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2169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529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889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3249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609" w:hanging="360"/>
      </w:pPr>
      <w:rPr>
        <w:rFonts w:hint="default"/>
        <w:color w:val="auto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9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  <w:num w:numId="16">
    <w:abstractNumId w:val="11"/>
  </w:num>
  <w:num w:numId="17">
    <w:abstractNumId w:val="3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275D"/>
    <w:rsid w:val="00004AEE"/>
    <w:rsid w:val="00005CAA"/>
    <w:rsid w:val="00005E9E"/>
    <w:rsid w:val="00010210"/>
    <w:rsid w:val="00012D66"/>
    <w:rsid w:val="00015ADA"/>
    <w:rsid w:val="00020C99"/>
    <w:rsid w:val="000263A6"/>
    <w:rsid w:val="0002707B"/>
    <w:rsid w:val="000479D7"/>
    <w:rsid w:val="0005148E"/>
    <w:rsid w:val="00066C6F"/>
    <w:rsid w:val="000759E5"/>
    <w:rsid w:val="00082184"/>
    <w:rsid w:val="000831FD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C7D1D"/>
    <w:rsid w:val="000D2887"/>
    <w:rsid w:val="000D6D63"/>
    <w:rsid w:val="000E0081"/>
    <w:rsid w:val="000E07CF"/>
    <w:rsid w:val="00100BEF"/>
    <w:rsid w:val="0011498E"/>
    <w:rsid w:val="00117A45"/>
    <w:rsid w:val="001224AE"/>
    <w:rsid w:val="00133235"/>
    <w:rsid w:val="001337D4"/>
    <w:rsid w:val="00144781"/>
    <w:rsid w:val="00146B7B"/>
    <w:rsid w:val="00147C12"/>
    <w:rsid w:val="00150630"/>
    <w:rsid w:val="001527A1"/>
    <w:rsid w:val="001530DC"/>
    <w:rsid w:val="00154989"/>
    <w:rsid w:val="00155A9F"/>
    <w:rsid w:val="00160262"/>
    <w:rsid w:val="0016780A"/>
    <w:rsid w:val="001713FA"/>
    <w:rsid w:val="00173EBF"/>
    <w:rsid w:val="001765DA"/>
    <w:rsid w:val="001842A2"/>
    <w:rsid w:val="00187FA8"/>
    <w:rsid w:val="00192F5E"/>
    <w:rsid w:val="00194A7F"/>
    <w:rsid w:val="00197772"/>
    <w:rsid w:val="001A51C8"/>
    <w:rsid w:val="001B4CA8"/>
    <w:rsid w:val="001C4F3D"/>
    <w:rsid w:val="001C6A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66DD6"/>
    <w:rsid w:val="00285F1B"/>
    <w:rsid w:val="00292B81"/>
    <w:rsid w:val="002A7216"/>
    <w:rsid w:val="002B18AE"/>
    <w:rsid w:val="002B6C0C"/>
    <w:rsid w:val="002C1C93"/>
    <w:rsid w:val="002C5066"/>
    <w:rsid w:val="002D4AAC"/>
    <w:rsid w:val="002D564E"/>
    <w:rsid w:val="002E58B4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6413"/>
    <w:rsid w:val="00337EBC"/>
    <w:rsid w:val="00341DCD"/>
    <w:rsid w:val="00341FA6"/>
    <w:rsid w:val="0034504D"/>
    <w:rsid w:val="0034563E"/>
    <w:rsid w:val="003518D6"/>
    <w:rsid w:val="0035460C"/>
    <w:rsid w:val="003556BD"/>
    <w:rsid w:val="00365147"/>
    <w:rsid w:val="0037016E"/>
    <w:rsid w:val="00370B5E"/>
    <w:rsid w:val="00372908"/>
    <w:rsid w:val="00382E63"/>
    <w:rsid w:val="00383020"/>
    <w:rsid w:val="00392F70"/>
    <w:rsid w:val="003931B4"/>
    <w:rsid w:val="003975FD"/>
    <w:rsid w:val="003B60CC"/>
    <w:rsid w:val="003C104E"/>
    <w:rsid w:val="003C1B25"/>
    <w:rsid w:val="003C2443"/>
    <w:rsid w:val="003C5DA3"/>
    <w:rsid w:val="003D4226"/>
    <w:rsid w:val="003D4BCD"/>
    <w:rsid w:val="003E01D8"/>
    <w:rsid w:val="003E2100"/>
    <w:rsid w:val="003F6F5B"/>
    <w:rsid w:val="0040342D"/>
    <w:rsid w:val="00405797"/>
    <w:rsid w:val="00406D9A"/>
    <w:rsid w:val="0041192D"/>
    <w:rsid w:val="0041275D"/>
    <w:rsid w:val="00413EE1"/>
    <w:rsid w:val="00414C00"/>
    <w:rsid w:val="00420215"/>
    <w:rsid w:val="0042128E"/>
    <w:rsid w:val="00432B60"/>
    <w:rsid w:val="00440698"/>
    <w:rsid w:val="004540E2"/>
    <w:rsid w:val="00454454"/>
    <w:rsid w:val="00467924"/>
    <w:rsid w:val="004712A5"/>
    <w:rsid w:val="0047266F"/>
    <w:rsid w:val="00476080"/>
    <w:rsid w:val="00476D6B"/>
    <w:rsid w:val="00476D91"/>
    <w:rsid w:val="00492C16"/>
    <w:rsid w:val="004A0678"/>
    <w:rsid w:val="004A48A3"/>
    <w:rsid w:val="004B0D92"/>
    <w:rsid w:val="004B0EC0"/>
    <w:rsid w:val="004B66F1"/>
    <w:rsid w:val="004C3EA0"/>
    <w:rsid w:val="004E581C"/>
    <w:rsid w:val="004F4D2C"/>
    <w:rsid w:val="004F7169"/>
    <w:rsid w:val="00500D66"/>
    <w:rsid w:val="005036A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90A9B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2A9"/>
    <w:rsid w:val="00622FE1"/>
    <w:rsid w:val="0062521C"/>
    <w:rsid w:val="00630A2B"/>
    <w:rsid w:val="0063244B"/>
    <w:rsid w:val="00632DC7"/>
    <w:rsid w:val="006357FB"/>
    <w:rsid w:val="006406FC"/>
    <w:rsid w:val="0064407B"/>
    <w:rsid w:val="00646122"/>
    <w:rsid w:val="00653E16"/>
    <w:rsid w:val="00657068"/>
    <w:rsid w:val="00657220"/>
    <w:rsid w:val="0066104B"/>
    <w:rsid w:val="006655EE"/>
    <w:rsid w:val="006657F1"/>
    <w:rsid w:val="00667C10"/>
    <w:rsid w:val="00667EF4"/>
    <w:rsid w:val="00676FCA"/>
    <w:rsid w:val="00677177"/>
    <w:rsid w:val="00677C64"/>
    <w:rsid w:val="0068612E"/>
    <w:rsid w:val="00687C92"/>
    <w:rsid w:val="00692388"/>
    <w:rsid w:val="00692E6E"/>
    <w:rsid w:val="00693D65"/>
    <w:rsid w:val="0069534E"/>
    <w:rsid w:val="0069669C"/>
    <w:rsid w:val="006A1200"/>
    <w:rsid w:val="006A2A29"/>
    <w:rsid w:val="006A4F4E"/>
    <w:rsid w:val="006B14DB"/>
    <w:rsid w:val="006B21C4"/>
    <w:rsid w:val="006B407D"/>
    <w:rsid w:val="006C4A1A"/>
    <w:rsid w:val="006D0393"/>
    <w:rsid w:val="006D1A83"/>
    <w:rsid w:val="006D55D0"/>
    <w:rsid w:val="006E1CFE"/>
    <w:rsid w:val="006F10C4"/>
    <w:rsid w:val="006F197C"/>
    <w:rsid w:val="006F40E9"/>
    <w:rsid w:val="006F5603"/>
    <w:rsid w:val="00701400"/>
    <w:rsid w:val="007037CF"/>
    <w:rsid w:val="007167C0"/>
    <w:rsid w:val="00720481"/>
    <w:rsid w:val="00731C35"/>
    <w:rsid w:val="00733193"/>
    <w:rsid w:val="007404CD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90BF8"/>
    <w:rsid w:val="007A2573"/>
    <w:rsid w:val="007B106C"/>
    <w:rsid w:val="007B1A4E"/>
    <w:rsid w:val="007B3D05"/>
    <w:rsid w:val="007B5503"/>
    <w:rsid w:val="007B5F9C"/>
    <w:rsid w:val="007C2603"/>
    <w:rsid w:val="007C6BB3"/>
    <w:rsid w:val="007D14B4"/>
    <w:rsid w:val="007D3AD7"/>
    <w:rsid w:val="007E24F6"/>
    <w:rsid w:val="00800F64"/>
    <w:rsid w:val="00802F0B"/>
    <w:rsid w:val="00810A67"/>
    <w:rsid w:val="0082410F"/>
    <w:rsid w:val="00833CF7"/>
    <w:rsid w:val="00845601"/>
    <w:rsid w:val="00855C5C"/>
    <w:rsid w:val="008641B2"/>
    <w:rsid w:val="0088394E"/>
    <w:rsid w:val="008A3C96"/>
    <w:rsid w:val="008B4019"/>
    <w:rsid w:val="008B505F"/>
    <w:rsid w:val="008B65C9"/>
    <w:rsid w:val="008C2D4A"/>
    <w:rsid w:val="008C7DBB"/>
    <w:rsid w:val="008D3900"/>
    <w:rsid w:val="008D6E1D"/>
    <w:rsid w:val="008F01AE"/>
    <w:rsid w:val="008F39B4"/>
    <w:rsid w:val="008F4162"/>
    <w:rsid w:val="0090399F"/>
    <w:rsid w:val="00903E02"/>
    <w:rsid w:val="00905690"/>
    <w:rsid w:val="00913175"/>
    <w:rsid w:val="00916EDB"/>
    <w:rsid w:val="00920861"/>
    <w:rsid w:val="0092115A"/>
    <w:rsid w:val="00922B13"/>
    <w:rsid w:val="00923BAA"/>
    <w:rsid w:val="009242EF"/>
    <w:rsid w:val="00932291"/>
    <w:rsid w:val="0093408E"/>
    <w:rsid w:val="00952DDF"/>
    <w:rsid w:val="009608DE"/>
    <w:rsid w:val="009812D4"/>
    <w:rsid w:val="009839F3"/>
    <w:rsid w:val="009920D8"/>
    <w:rsid w:val="009A0DF9"/>
    <w:rsid w:val="009B01B9"/>
    <w:rsid w:val="009B38BE"/>
    <w:rsid w:val="009B4FAE"/>
    <w:rsid w:val="009C3D0F"/>
    <w:rsid w:val="009E1B19"/>
    <w:rsid w:val="009F35E2"/>
    <w:rsid w:val="009F3B9E"/>
    <w:rsid w:val="009F65F9"/>
    <w:rsid w:val="009F68BA"/>
    <w:rsid w:val="00A06277"/>
    <w:rsid w:val="00A079DC"/>
    <w:rsid w:val="00A111C2"/>
    <w:rsid w:val="00A26D34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73E1"/>
    <w:rsid w:val="00AA2548"/>
    <w:rsid w:val="00AA58C4"/>
    <w:rsid w:val="00AB11C8"/>
    <w:rsid w:val="00AB43E7"/>
    <w:rsid w:val="00AC08A8"/>
    <w:rsid w:val="00AD56C8"/>
    <w:rsid w:val="00AD58F2"/>
    <w:rsid w:val="00AE4037"/>
    <w:rsid w:val="00AE5F1D"/>
    <w:rsid w:val="00B0512A"/>
    <w:rsid w:val="00B0529F"/>
    <w:rsid w:val="00B1418B"/>
    <w:rsid w:val="00B21195"/>
    <w:rsid w:val="00B23D97"/>
    <w:rsid w:val="00B24B22"/>
    <w:rsid w:val="00B25310"/>
    <w:rsid w:val="00B26BCD"/>
    <w:rsid w:val="00B32F8F"/>
    <w:rsid w:val="00B54DE9"/>
    <w:rsid w:val="00B553EC"/>
    <w:rsid w:val="00B55870"/>
    <w:rsid w:val="00B60464"/>
    <w:rsid w:val="00B93DD0"/>
    <w:rsid w:val="00B942B2"/>
    <w:rsid w:val="00B97732"/>
    <w:rsid w:val="00BA3E6A"/>
    <w:rsid w:val="00BA58E0"/>
    <w:rsid w:val="00BA65A8"/>
    <w:rsid w:val="00BA6D19"/>
    <w:rsid w:val="00BA7461"/>
    <w:rsid w:val="00BA7DA9"/>
    <w:rsid w:val="00BB6E9C"/>
    <w:rsid w:val="00BC4215"/>
    <w:rsid w:val="00BD1A6F"/>
    <w:rsid w:val="00BE6D3C"/>
    <w:rsid w:val="00BE7852"/>
    <w:rsid w:val="00BF6836"/>
    <w:rsid w:val="00BF7CEE"/>
    <w:rsid w:val="00C00984"/>
    <w:rsid w:val="00C0100B"/>
    <w:rsid w:val="00C03880"/>
    <w:rsid w:val="00C135CF"/>
    <w:rsid w:val="00C24763"/>
    <w:rsid w:val="00C2683F"/>
    <w:rsid w:val="00C3184D"/>
    <w:rsid w:val="00C355E0"/>
    <w:rsid w:val="00C4714E"/>
    <w:rsid w:val="00C5504F"/>
    <w:rsid w:val="00C63376"/>
    <w:rsid w:val="00C74F97"/>
    <w:rsid w:val="00C8276E"/>
    <w:rsid w:val="00C842AC"/>
    <w:rsid w:val="00C93FD9"/>
    <w:rsid w:val="00C96688"/>
    <w:rsid w:val="00CA0723"/>
    <w:rsid w:val="00CA198B"/>
    <w:rsid w:val="00CB1690"/>
    <w:rsid w:val="00CC4365"/>
    <w:rsid w:val="00CD11B0"/>
    <w:rsid w:val="00CD7F58"/>
    <w:rsid w:val="00CE4275"/>
    <w:rsid w:val="00CE71C2"/>
    <w:rsid w:val="00CF42D5"/>
    <w:rsid w:val="00CF4EDA"/>
    <w:rsid w:val="00D016B0"/>
    <w:rsid w:val="00D021CB"/>
    <w:rsid w:val="00D10F1A"/>
    <w:rsid w:val="00D116F8"/>
    <w:rsid w:val="00D17596"/>
    <w:rsid w:val="00D2025A"/>
    <w:rsid w:val="00D22640"/>
    <w:rsid w:val="00D26D3A"/>
    <w:rsid w:val="00D45EE3"/>
    <w:rsid w:val="00D50618"/>
    <w:rsid w:val="00D509E9"/>
    <w:rsid w:val="00D53B1C"/>
    <w:rsid w:val="00D64166"/>
    <w:rsid w:val="00D704A8"/>
    <w:rsid w:val="00DA1B12"/>
    <w:rsid w:val="00DA54C9"/>
    <w:rsid w:val="00DA6739"/>
    <w:rsid w:val="00DA6CAE"/>
    <w:rsid w:val="00DB1A9E"/>
    <w:rsid w:val="00DB31D6"/>
    <w:rsid w:val="00DB4005"/>
    <w:rsid w:val="00DC34EB"/>
    <w:rsid w:val="00DE1E7F"/>
    <w:rsid w:val="00DE7CF5"/>
    <w:rsid w:val="00DF1E5B"/>
    <w:rsid w:val="00DF2275"/>
    <w:rsid w:val="00DF3F5E"/>
    <w:rsid w:val="00DF5653"/>
    <w:rsid w:val="00E0596E"/>
    <w:rsid w:val="00E06F66"/>
    <w:rsid w:val="00E10329"/>
    <w:rsid w:val="00E356E5"/>
    <w:rsid w:val="00E361F5"/>
    <w:rsid w:val="00E36F81"/>
    <w:rsid w:val="00E45765"/>
    <w:rsid w:val="00E5098C"/>
    <w:rsid w:val="00E60213"/>
    <w:rsid w:val="00E661B2"/>
    <w:rsid w:val="00E673F1"/>
    <w:rsid w:val="00E71AA2"/>
    <w:rsid w:val="00E74D29"/>
    <w:rsid w:val="00E83C74"/>
    <w:rsid w:val="00E83CEE"/>
    <w:rsid w:val="00E91F18"/>
    <w:rsid w:val="00E9226D"/>
    <w:rsid w:val="00EA200C"/>
    <w:rsid w:val="00EA416C"/>
    <w:rsid w:val="00EA5941"/>
    <w:rsid w:val="00EB1607"/>
    <w:rsid w:val="00EB60CE"/>
    <w:rsid w:val="00EB7D53"/>
    <w:rsid w:val="00EE106D"/>
    <w:rsid w:val="00EE3146"/>
    <w:rsid w:val="00EF48DA"/>
    <w:rsid w:val="00EF50BB"/>
    <w:rsid w:val="00F00192"/>
    <w:rsid w:val="00F01DF6"/>
    <w:rsid w:val="00F0340D"/>
    <w:rsid w:val="00F059A6"/>
    <w:rsid w:val="00F20394"/>
    <w:rsid w:val="00F23756"/>
    <w:rsid w:val="00F239DA"/>
    <w:rsid w:val="00F2523A"/>
    <w:rsid w:val="00F25FFA"/>
    <w:rsid w:val="00F310D2"/>
    <w:rsid w:val="00F36F3D"/>
    <w:rsid w:val="00F477BD"/>
    <w:rsid w:val="00F53491"/>
    <w:rsid w:val="00F60181"/>
    <w:rsid w:val="00F65A1C"/>
    <w:rsid w:val="00F66F50"/>
    <w:rsid w:val="00F71BF5"/>
    <w:rsid w:val="00F77432"/>
    <w:rsid w:val="00F82FF8"/>
    <w:rsid w:val="00F8330D"/>
    <w:rsid w:val="00F84305"/>
    <w:rsid w:val="00F8485C"/>
    <w:rsid w:val="00F87149"/>
    <w:rsid w:val="00F87FFE"/>
    <w:rsid w:val="00F954C9"/>
    <w:rsid w:val="00FA23D5"/>
    <w:rsid w:val="00FA4CF0"/>
    <w:rsid w:val="00FA61AA"/>
    <w:rsid w:val="00FA69A4"/>
    <w:rsid w:val="00FB1279"/>
    <w:rsid w:val="00FB1495"/>
    <w:rsid w:val="00FC4467"/>
    <w:rsid w:val="00FD1694"/>
    <w:rsid w:val="00FD7636"/>
    <w:rsid w:val="00FE3020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D97"/>
    <w:pPr>
      <w:spacing w:after="120" w:line="276" w:lineRule="auto"/>
    </w:pPr>
    <w:rPr>
      <w:rFonts w:ascii="Calibri" w:hAnsi="Calibri"/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D97"/>
    <w:rPr>
      <w:rFonts w:ascii="Calibri" w:eastAsia="Times New Roman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E5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1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1C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D97"/>
    <w:pPr>
      <w:spacing w:after="120" w:line="276" w:lineRule="auto"/>
    </w:pPr>
    <w:rPr>
      <w:rFonts w:ascii="Calibri" w:hAnsi="Calibri"/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D97"/>
    <w:rPr>
      <w:rFonts w:ascii="Calibri" w:eastAsia="Times New Roman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E5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1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1C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3A51B-82D0-4852-93CA-82156B0B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Taroom coal project  &amp; Collingwood coal project</dc:title>
  <dc:creator/>
  <cp:lastModifiedBy/>
  <cp:revision>1</cp:revision>
  <dcterms:created xsi:type="dcterms:W3CDTF">2012-06-01T01:02:00Z</dcterms:created>
  <dcterms:modified xsi:type="dcterms:W3CDTF">2012-06-01T01:18:00Z</dcterms:modified>
</cp:coreProperties>
</file>