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DA" w:rsidRDefault="00DC78C0" w:rsidP="001765DA">
      <w:pPr>
        <w:pStyle w:val="Header"/>
        <w:keepLines/>
        <w:tabs>
          <w:tab w:val="left" w:pos="2835"/>
        </w:tabs>
        <w:ind w:left="-360" w:right="-28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-871855</wp:posOffset>
            </wp:positionV>
            <wp:extent cx="7535545" cy="2552700"/>
            <wp:effectExtent l="19050" t="0" r="8255" b="0"/>
            <wp:wrapThrough wrapText="bothSides">
              <wp:wrapPolygon edited="0">
                <wp:start x="-55" y="0"/>
                <wp:lineTo x="-55" y="21439"/>
                <wp:lineTo x="21624" y="21439"/>
                <wp:lineTo x="21624" y="0"/>
                <wp:lineTo x="-55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</w:rPr>
        <w:t>Advice to decision maker on coal mining project</w:t>
      </w:r>
    </w:p>
    <w:bookmarkEnd w:id="0"/>
    <w:bookmarkEnd w:id="1"/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</w:rPr>
      </w:pP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  <w:r>
        <w:rPr>
          <w:rFonts w:ascii="Arial" w:hAnsi="Arial" w:cs="Arial"/>
          <w:b/>
        </w:rPr>
        <w:t xml:space="preserve"> </w:t>
      </w:r>
      <w:r w:rsidRPr="00B451D3">
        <w:rPr>
          <w:rFonts w:ascii="Arial" w:hAnsi="Arial" w:cs="Arial"/>
          <w:b/>
          <w:sz w:val="20"/>
          <w:lang w:eastAsia="en-AU"/>
        </w:rPr>
        <w:t>Proposed action</w:t>
      </w:r>
      <w:r>
        <w:rPr>
          <w:rFonts w:ascii="Arial" w:hAnsi="Arial" w:cs="Arial"/>
          <w:b/>
          <w:sz w:val="20"/>
          <w:lang w:eastAsia="en-AU"/>
        </w:rPr>
        <w:t>:</w:t>
      </w:r>
      <w:r w:rsidR="002974BC">
        <w:rPr>
          <w:rFonts w:ascii="Arial" w:hAnsi="Arial" w:cs="Arial"/>
          <w:b/>
          <w:sz w:val="20"/>
          <w:lang w:eastAsia="en-AU"/>
        </w:rPr>
        <w:t xml:space="preserve"> </w:t>
      </w:r>
      <w:r w:rsidR="003A0593">
        <w:rPr>
          <w:rFonts w:ascii="Arial" w:hAnsi="Arial" w:cs="Arial"/>
          <w:b/>
          <w:sz w:val="20"/>
          <w:lang w:eastAsia="en-AU"/>
        </w:rPr>
        <w:t>South Galilee</w:t>
      </w:r>
    </w:p>
    <w:p w:rsidR="008C6A05" w:rsidRPr="00B451D3" w:rsidRDefault="008C6A05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</w:p>
    <w:tbl>
      <w:tblPr>
        <w:tblW w:w="9809" w:type="dxa"/>
        <w:tblBorders>
          <w:insideH w:val="single" w:sz="4" w:space="0" w:color="auto"/>
        </w:tblBorders>
        <w:tblCellMar>
          <w:top w:w="113" w:type="dxa"/>
          <w:bottom w:w="113" w:type="dxa"/>
        </w:tblCellMar>
        <w:tblLook w:val="01E0"/>
      </w:tblPr>
      <w:tblGrid>
        <w:gridCol w:w="1526"/>
        <w:gridCol w:w="8283"/>
      </w:tblGrid>
      <w:tr w:rsidR="001765DA" w:rsidRPr="00B451D3" w:rsidTr="007F5396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1765DA" w:rsidP="007F5396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Requesting agency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1765DA" w:rsidP="007F5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of Sustainability, Environment, Water, Population </w:t>
            </w:r>
            <w:r w:rsidR="002974BC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Communities</w:t>
            </w:r>
          </w:p>
        </w:tc>
      </w:tr>
      <w:tr w:rsidR="001765DA" w:rsidRPr="00B451D3" w:rsidTr="007F5396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Default="001765DA" w:rsidP="007F5396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DC78C0" w:rsidP="007F539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 May </w:t>
            </w:r>
            <w:r w:rsidR="0071658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1765DA" w:rsidRPr="00B451D3" w:rsidTr="007F5396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1765DA" w:rsidP="007F5396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 xml:space="preserve">Project title 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61A6" w:rsidRPr="00A961A6" w:rsidRDefault="003A0593" w:rsidP="007F53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Galilee Coal Project</w:t>
            </w:r>
            <w:r w:rsidR="00A961A6">
              <w:rPr>
                <w:rFonts w:ascii="Arial" w:hAnsi="Arial" w:cs="Arial"/>
                <w:sz w:val="20"/>
                <w:szCs w:val="20"/>
              </w:rPr>
              <w:t>,</w:t>
            </w:r>
            <w:r w:rsidR="00A961A6" w:rsidRPr="00A96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36F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EPBC 2010/5496</w:t>
            </w:r>
            <w:r w:rsidR="008E36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765DA" w:rsidRPr="00B451D3" w:rsidRDefault="001765DA" w:rsidP="007F5396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1765DA" w:rsidRPr="00B451D3" w:rsidTr="00727E2F">
        <w:trPr>
          <w:trHeight w:val="28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727E2F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Summary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454292" w:rsidRDefault="001765DA" w:rsidP="00727E2F">
            <w:pPr>
              <w:tabs>
                <w:tab w:val="left" w:pos="425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Department of Sustainability, Environment, Water, Population </w:t>
            </w:r>
            <w:r w:rsidR="002974BC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Communities (the department) has assessed proposed projects in accordance with the provisions of the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6EDB" w:rsidRPr="00CC20AD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CC20AD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454292">
              <w:rPr>
                <w:rFonts w:ascii="Arial" w:hAnsi="Arial" w:cs="Arial"/>
                <w:i/>
                <w:sz w:val="20"/>
                <w:szCs w:val="20"/>
              </w:rPr>
              <w:t>vironment Protection and Biodiversity Conservation Act 1999</w:t>
            </w:r>
            <w:r w:rsidR="000259A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259AC">
              <w:rPr>
                <w:rFonts w:ascii="Arial" w:hAnsi="Arial" w:cs="Arial"/>
                <w:sz w:val="20"/>
                <w:szCs w:val="20"/>
              </w:rPr>
              <w:t>(the EPBC Act)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6EDB" w:rsidRPr="008D6EDB" w:rsidRDefault="00251CE7" w:rsidP="008D6EDB">
            <w:pPr>
              <w:pStyle w:val="Default"/>
              <w:spacing w:after="20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At the time of review, t</w:t>
            </w:r>
            <w:r w:rsidR="008D6EDB" w:rsidRPr="008D6ED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he South Galilee Coal Project was determined to be a controlled action under the EPBC Act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(</w:t>
            </w:r>
            <w:r w:rsidR="008D6EDB" w:rsidRPr="008D6ED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16 June 2010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)</w:t>
            </w:r>
            <w:r w:rsidR="008D6EDB" w:rsidRPr="008D6ED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. A draft E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nvironmental </w:t>
            </w:r>
            <w:r w:rsidR="008D6EDB" w:rsidRPr="008D6ED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I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mpact </w:t>
            </w:r>
            <w:r w:rsidR="008D6EDB" w:rsidRPr="008D6ED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S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tatement</w:t>
            </w:r>
            <w:r w:rsidR="00CC20AD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5412F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(EIS) </w:t>
            </w:r>
            <w:r w:rsidR="00CC20AD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had been prepared but </w:t>
            </w:r>
            <w:r w:rsidR="008D6EDB" w:rsidRPr="008D6ED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not yet released for public exhibition. </w:t>
            </w:r>
          </w:p>
          <w:p w:rsidR="008D6EDB" w:rsidRPr="008D6EDB" w:rsidRDefault="008D6EDB" w:rsidP="008D6EDB">
            <w:pPr>
              <w:pStyle w:val="Default"/>
              <w:spacing w:after="20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8D6ED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The department seeks the advice of the Interim</w:t>
            </w:r>
            <w:r w:rsidR="000259AC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Independent Expert Scientific</w:t>
            </w:r>
            <w:r w:rsidRPr="008D6ED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Committee</w:t>
            </w:r>
            <w:r w:rsidR="000259AC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on Coal Seam Gas and Coal Mining (the interim committee)</w:t>
            </w:r>
            <w:r w:rsidRPr="008D6ED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on whether the draft EIS provides for thorough assessment/mitigation of likely significant impacts on water resources supporting listed threatened species and communities and listed migratory species, including: </w:t>
            </w:r>
          </w:p>
          <w:p w:rsidR="008D6EDB" w:rsidRPr="008D6EDB" w:rsidRDefault="008D6EDB" w:rsidP="008D6EDB">
            <w:pPr>
              <w:pStyle w:val="ListBullet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8D6EDB">
              <w:rPr>
                <w:rFonts w:ascii="Arial" w:hAnsi="Arial" w:cs="Arial"/>
                <w:sz w:val="20"/>
                <w:szCs w:val="20"/>
              </w:rPr>
              <w:t xml:space="preserve">loss of surface water resources such as dams and waterholes; </w:t>
            </w:r>
          </w:p>
          <w:p w:rsidR="008D6EDB" w:rsidRPr="008D6EDB" w:rsidRDefault="008D6EDB" w:rsidP="008D6EDB">
            <w:pPr>
              <w:pStyle w:val="ListBullet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8D6EDB">
              <w:rPr>
                <w:rFonts w:ascii="Arial" w:hAnsi="Arial" w:cs="Arial"/>
                <w:sz w:val="20"/>
                <w:szCs w:val="20"/>
              </w:rPr>
              <w:t>subsidence impacts on the surface water dependent endangered ecological community Brigalow (</w:t>
            </w:r>
            <w:r w:rsidRPr="00592B20">
              <w:rPr>
                <w:rFonts w:ascii="Arial" w:hAnsi="Arial" w:cs="Arial"/>
                <w:i/>
                <w:sz w:val="20"/>
                <w:szCs w:val="20"/>
              </w:rPr>
              <w:t xml:space="preserve">Acacia </w:t>
            </w:r>
            <w:proofErr w:type="spellStart"/>
            <w:r w:rsidRPr="00592B20">
              <w:rPr>
                <w:rFonts w:ascii="Arial" w:hAnsi="Arial" w:cs="Arial"/>
                <w:i/>
                <w:sz w:val="20"/>
                <w:szCs w:val="20"/>
              </w:rPr>
              <w:t>harpophylla</w:t>
            </w:r>
            <w:proofErr w:type="spellEnd"/>
            <w:r w:rsidRPr="008D6EDB">
              <w:rPr>
                <w:rFonts w:ascii="Arial" w:hAnsi="Arial" w:cs="Arial"/>
                <w:sz w:val="20"/>
                <w:szCs w:val="20"/>
              </w:rPr>
              <w:t xml:space="preserve"> dominant and co-dominant), and associated listed threatened species; </w:t>
            </w:r>
          </w:p>
          <w:p w:rsidR="008D6EDB" w:rsidRPr="008D6EDB" w:rsidRDefault="008D6EDB" w:rsidP="008D6EDB">
            <w:pPr>
              <w:pStyle w:val="ListBullet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8D6EDB">
              <w:rPr>
                <w:rFonts w:ascii="Arial" w:hAnsi="Arial" w:cs="Arial"/>
                <w:sz w:val="20"/>
                <w:szCs w:val="20"/>
              </w:rPr>
              <w:t xml:space="preserve">connectivity between surface water and groundwater resources; </w:t>
            </w:r>
          </w:p>
          <w:p w:rsidR="008D6EDB" w:rsidRPr="008D6EDB" w:rsidRDefault="008D6EDB" w:rsidP="008D6EDB">
            <w:pPr>
              <w:pStyle w:val="ListBullet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8D6EDB">
              <w:rPr>
                <w:rFonts w:ascii="Arial" w:hAnsi="Arial" w:cs="Arial"/>
                <w:sz w:val="20"/>
                <w:szCs w:val="20"/>
              </w:rPr>
              <w:t xml:space="preserve">quantitative and qualitative impacts (including sedimentation </w:t>
            </w:r>
            <w:proofErr w:type="spellStart"/>
            <w:r w:rsidRPr="008D6EDB">
              <w:rPr>
                <w:rFonts w:ascii="Arial" w:hAnsi="Arial" w:cs="Arial"/>
                <w:sz w:val="20"/>
                <w:szCs w:val="20"/>
              </w:rPr>
              <w:t>salinisation</w:t>
            </w:r>
            <w:proofErr w:type="spellEnd"/>
            <w:r w:rsidRPr="008D6EDB">
              <w:rPr>
                <w:rFonts w:ascii="Arial" w:hAnsi="Arial" w:cs="Arial"/>
                <w:sz w:val="20"/>
                <w:szCs w:val="20"/>
              </w:rPr>
              <w:t xml:space="preserve">, acidification and altered flow regime) on habitat within downstream watercourses including the Belyando, </w:t>
            </w:r>
            <w:proofErr w:type="spellStart"/>
            <w:r w:rsidRPr="008D6EDB">
              <w:rPr>
                <w:rFonts w:ascii="Arial" w:hAnsi="Arial" w:cs="Arial"/>
                <w:sz w:val="20"/>
                <w:szCs w:val="20"/>
              </w:rPr>
              <w:t>Suttom</w:t>
            </w:r>
            <w:proofErr w:type="spellEnd"/>
            <w:r w:rsidRPr="008D6EDB">
              <w:rPr>
                <w:rFonts w:ascii="Arial" w:hAnsi="Arial" w:cs="Arial"/>
                <w:sz w:val="20"/>
                <w:szCs w:val="20"/>
              </w:rPr>
              <w:t xml:space="preserve"> and Burdekin Rivers; </w:t>
            </w:r>
          </w:p>
          <w:p w:rsidR="008D6EDB" w:rsidRPr="008D6EDB" w:rsidRDefault="008D6EDB" w:rsidP="008D6EDB">
            <w:pPr>
              <w:pStyle w:val="ListBullet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r w:rsidRPr="008D6EDB">
              <w:rPr>
                <w:rFonts w:ascii="Arial" w:hAnsi="Arial" w:cs="Arial"/>
                <w:sz w:val="20"/>
                <w:szCs w:val="20"/>
              </w:rPr>
              <w:t xml:space="preserve">loss or degradation of habitat for listed threatened species and listed migratory species associated with diverted watercourses including Alpha Creek, </w:t>
            </w:r>
            <w:proofErr w:type="spellStart"/>
            <w:r w:rsidRPr="008D6EDB">
              <w:rPr>
                <w:rFonts w:ascii="Arial" w:hAnsi="Arial" w:cs="Arial"/>
                <w:sz w:val="20"/>
                <w:szCs w:val="20"/>
              </w:rPr>
              <w:t>Tallarenha</w:t>
            </w:r>
            <w:proofErr w:type="spellEnd"/>
            <w:r w:rsidRPr="008D6EDB">
              <w:rPr>
                <w:rFonts w:ascii="Arial" w:hAnsi="Arial" w:cs="Arial"/>
                <w:sz w:val="20"/>
                <w:szCs w:val="20"/>
              </w:rPr>
              <w:t xml:space="preserve"> Creek and Dead Horse Creek; (i.e. </w:t>
            </w:r>
            <w:r w:rsidR="000259A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D6EDB">
              <w:rPr>
                <w:rFonts w:ascii="Arial" w:hAnsi="Arial" w:cs="Arial"/>
                <w:sz w:val="20"/>
                <w:szCs w:val="20"/>
              </w:rPr>
              <w:t xml:space="preserve">ephemeral nature of streams and if additional diversions would further reduce flood event possibility, and limit/degrade habitat for listed threatened species); </w:t>
            </w:r>
            <w:r w:rsidR="00B067F4">
              <w:rPr>
                <w:rFonts w:ascii="Arial" w:hAnsi="Arial" w:cs="Arial"/>
                <w:sz w:val="20"/>
                <w:szCs w:val="20"/>
              </w:rPr>
              <w:t xml:space="preserve">and </w:t>
            </w:r>
          </w:p>
          <w:p w:rsidR="008D6EDB" w:rsidRPr="008D6EDB" w:rsidRDefault="00FA42A3" w:rsidP="008D6EDB">
            <w:pPr>
              <w:pStyle w:val="ListBullet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8D6EDB" w:rsidRPr="008D6EDB">
              <w:rPr>
                <w:rFonts w:ascii="Arial" w:hAnsi="Arial" w:cs="Arial"/>
                <w:sz w:val="20"/>
                <w:szCs w:val="20"/>
              </w:rPr>
              <w:t>ther</w:t>
            </w:r>
            <w:proofErr w:type="gramEnd"/>
            <w:r w:rsidR="008D6EDB" w:rsidRPr="008D6EDB">
              <w:rPr>
                <w:rFonts w:ascii="Arial" w:hAnsi="Arial" w:cs="Arial"/>
                <w:sz w:val="20"/>
                <w:szCs w:val="20"/>
              </w:rPr>
              <w:t xml:space="preserve"> views from the </w:t>
            </w:r>
            <w:r w:rsidR="00B067F4">
              <w:rPr>
                <w:rFonts w:ascii="Arial" w:hAnsi="Arial" w:cs="Arial"/>
                <w:sz w:val="20"/>
                <w:szCs w:val="20"/>
              </w:rPr>
              <w:t>interim c</w:t>
            </w:r>
            <w:r w:rsidR="008D6EDB" w:rsidRPr="008D6EDB">
              <w:rPr>
                <w:rFonts w:ascii="Arial" w:hAnsi="Arial" w:cs="Arial"/>
                <w:sz w:val="20"/>
                <w:szCs w:val="20"/>
              </w:rPr>
              <w:t xml:space="preserve">ommittee on the draft EIS are also welcome. </w:t>
            </w:r>
          </w:p>
          <w:p w:rsidR="00727E2F" w:rsidRPr="00737CBA" w:rsidRDefault="00727E2F" w:rsidP="008D6EDB">
            <w:pPr>
              <w:pStyle w:val="ListBullet"/>
              <w:spacing w:after="120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1765DA" w:rsidRPr="00C83AD1" w:rsidTr="00727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5DA" w:rsidRDefault="001765DA" w:rsidP="0072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7E0" w:rsidRDefault="00D027E0" w:rsidP="0072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7E0" w:rsidRDefault="00D027E0" w:rsidP="0072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7E0" w:rsidRDefault="00D027E0" w:rsidP="0072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7E0" w:rsidRDefault="00D027E0" w:rsidP="0072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7E0" w:rsidRDefault="00D027E0" w:rsidP="0072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7E0" w:rsidRDefault="00D027E0" w:rsidP="0072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7E0" w:rsidRPr="00F37C48" w:rsidRDefault="00D027E0" w:rsidP="0072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CBA" w:rsidRPr="00F37C48" w:rsidRDefault="001765DA" w:rsidP="00727E2F">
            <w:pPr>
              <w:rPr>
                <w:rFonts w:ascii="Arial" w:hAnsi="Arial" w:cs="Arial"/>
                <w:sz w:val="20"/>
                <w:szCs w:val="20"/>
              </w:rPr>
            </w:pPr>
            <w:r w:rsidRPr="00F37C48">
              <w:rPr>
                <w:rFonts w:ascii="Arial" w:hAnsi="Arial" w:cs="Arial"/>
                <w:sz w:val="20"/>
                <w:szCs w:val="20"/>
              </w:rPr>
              <w:lastRenderedPageBreak/>
              <w:t>Advice</w:t>
            </w:r>
          </w:p>
          <w:p w:rsidR="008D6EDB" w:rsidRPr="00592B20" w:rsidRDefault="008D6EDB" w:rsidP="008D6E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C5D33" w:rsidRDefault="003C5D33" w:rsidP="00E806FF">
            <w:pPr>
              <w:pStyle w:val="ListNumber"/>
              <w:numPr>
                <w:ilvl w:val="0"/>
                <w:numId w:val="5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Overall, the interim committee notes that the cumulative surface and groundwater impacts in the region are unknown. In general, there is a high level of uncertainty surrounding surface water</w:t>
            </w:r>
            <w:r w:rsidR="00CC20AD">
              <w:rPr>
                <w:rFonts w:ascii="Arial" w:hAnsi="Arial" w:cs="Arial"/>
                <w:sz w:val="20"/>
                <w:szCs w:val="20"/>
              </w:rPr>
              <w:t>, and in particular,</w:t>
            </w:r>
            <w:r>
              <w:rPr>
                <w:rFonts w:ascii="Arial" w:hAnsi="Arial" w:cs="Arial"/>
                <w:sz w:val="20"/>
                <w:szCs w:val="20"/>
              </w:rPr>
              <w:t xml:space="preserve"> groundwater impacts.  </w:t>
            </w:r>
          </w:p>
          <w:p w:rsidR="006931AC" w:rsidRDefault="003C5D33" w:rsidP="006931AC">
            <w:pPr>
              <w:pStyle w:val="ListNumber"/>
              <w:numPr>
                <w:ilvl w:val="0"/>
                <w:numId w:val="5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067F4"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r>
              <w:rPr>
                <w:rFonts w:ascii="Arial" w:hAnsi="Arial" w:cs="Arial"/>
                <w:sz w:val="20"/>
                <w:szCs w:val="20"/>
              </w:rPr>
              <w:t xml:space="preserve">committee suggests that the </w:t>
            </w:r>
            <w:r w:rsidR="00A762BB">
              <w:rPr>
                <w:rFonts w:ascii="Arial" w:hAnsi="Arial" w:cs="Arial"/>
                <w:sz w:val="20"/>
                <w:szCs w:val="20"/>
              </w:rPr>
              <w:t>groundwater modelling should be</w:t>
            </w:r>
            <w:r w:rsidR="0070459F">
              <w:rPr>
                <w:rFonts w:ascii="Arial" w:hAnsi="Arial" w:cs="Arial"/>
                <w:sz w:val="20"/>
                <w:szCs w:val="20"/>
              </w:rPr>
              <w:t xml:space="preserve"> independently peer review</w:t>
            </w:r>
            <w:r w:rsidR="00A762BB">
              <w:rPr>
                <w:rFonts w:ascii="Arial" w:hAnsi="Arial" w:cs="Arial"/>
                <w:sz w:val="20"/>
                <w:szCs w:val="20"/>
              </w:rPr>
              <w:t>ed</w:t>
            </w:r>
            <w:r w:rsidR="00704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2B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CC20AD">
              <w:rPr>
                <w:rFonts w:ascii="Arial" w:hAnsi="Arial" w:cs="Arial"/>
                <w:sz w:val="20"/>
                <w:szCs w:val="20"/>
              </w:rPr>
              <w:t xml:space="preserve">that any future approval should </w:t>
            </w:r>
            <w:r w:rsidR="0070459F">
              <w:rPr>
                <w:rFonts w:ascii="Arial" w:hAnsi="Arial" w:cs="Arial"/>
                <w:sz w:val="20"/>
                <w:szCs w:val="20"/>
              </w:rPr>
              <w:t>be contingent</w:t>
            </w:r>
            <w:r w:rsidR="00CC20AD">
              <w:rPr>
                <w:rFonts w:ascii="Arial" w:hAnsi="Arial" w:cs="Arial"/>
                <w:sz w:val="20"/>
                <w:szCs w:val="20"/>
              </w:rPr>
              <w:t xml:space="preserve"> on adequate regional groundwater monitoring</w:t>
            </w:r>
            <w:r w:rsidR="00D027E0">
              <w:rPr>
                <w:rFonts w:ascii="Arial" w:hAnsi="Arial" w:cs="Arial"/>
                <w:sz w:val="20"/>
                <w:szCs w:val="20"/>
              </w:rPr>
              <w:t xml:space="preserve"> and modelling, including uncertainty analysis.</w:t>
            </w:r>
          </w:p>
          <w:p w:rsidR="00804494" w:rsidRDefault="001E7F72" w:rsidP="006931AC">
            <w:pPr>
              <w:pStyle w:val="ListNumber"/>
              <w:numPr>
                <w:ilvl w:val="0"/>
                <w:numId w:val="5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931AC">
              <w:rPr>
                <w:rFonts w:ascii="Arial" w:hAnsi="Arial" w:cs="Arial"/>
                <w:sz w:val="20"/>
                <w:szCs w:val="20"/>
              </w:rPr>
              <w:t xml:space="preserve">Based on the information contained in the draft </w:t>
            </w:r>
            <w:r w:rsidR="0085412F">
              <w:rPr>
                <w:rFonts w:ascii="Arial" w:hAnsi="Arial" w:cs="Arial"/>
                <w:sz w:val="20"/>
                <w:szCs w:val="20"/>
              </w:rPr>
              <w:t>EIS</w:t>
            </w:r>
            <w:r w:rsidRPr="006931AC">
              <w:rPr>
                <w:rFonts w:ascii="Arial" w:hAnsi="Arial" w:cs="Arial"/>
                <w:sz w:val="20"/>
                <w:szCs w:val="20"/>
              </w:rPr>
              <w:t xml:space="preserve">, the </w:t>
            </w:r>
            <w:r w:rsidR="00B067F4"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r w:rsidRPr="006931AC">
              <w:rPr>
                <w:rFonts w:ascii="Arial" w:hAnsi="Arial" w:cs="Arial"/>
                <w:sz w:val="20"/>
                <w:szCs w:val="20"/>
              </w:rPr>
              <w:t xml:space="preserve">committee considers that </w:t>
            </w:r>
            <w:r w:rsidR="003D3967">
              <w:rPr>
                <w:rFonts w:ascii="Arial" w:hAnsi="Arial" w:cs="Arial"/>
                <w:sz w:val="20"/>
                <w:szCs w:val="20"/>
              </w:rPr>
              <w:t xml:space="preserve">insufficient </w:t>
            </w:r>
            <w:r w:rsidRPr="006931A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3D3967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Pr="006931AC">
              <w:rPr>
                <w:rFonts w:ascii="Arial" w:hAnsi="Arial" w:cs="Arial"/>
                <w:sz w:val="20"/>
                <w:szCs w:val="20"/>
              </w:rPr>
              <w:t xml:space="preserve">presented </w:t>
            </w:r>
            <w:r w:rsidR="003D3967">
              <w:rPr>
                <w:rFonts w:ascii="Arial" w:hAnsi="Arial" w:cs="Arial"/>
                <w:sz w:val="20"/>
                <w:szCs w:val="20"/>
              </w:rPr>
              <w:t xml:space="preserve">to demonstrate </w:t>
            </w:r>
            <w:r w:rsidRPr="006931AC">
              <w:rPr>
                <w:rFonts w:ascii="Arial" w:hAnsi="Arial" w:cs="Arial"/>
                <w:sz w:val="20"/>
                <w:szCs w:val="20"/>
              </w:rPr>
              <w:t xml:space="preserve">a linkage or connectivity between surface water and groundwater resources. However, the </w:t>
            </w:r>
            <w:r w:rsidR="00B067F4"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r w:rsidRPr="006931AC">
              <w:rPr>
                <w:rFonts w:ascii="Arial" w:hAnsi="Arial" w:cs="Arial"/>
                <w:sz w:val="20"/>
                <w:szCs w:val="20"/>
              </w:rPr>
              <w:t xml:space="preserve">committee suggests that further modelling and monitoring should be undertaken as outlined above. The </w:t>
            </w:r>
            <w:r w:rsidR="00B067F4"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r w:rsidRPr="006931AC">
              <w:rPr>
                <w:rFonts w:ascii="Arial" w:hAnsi="Arial" w:cs="Arial"/>
                <w:sz w:val="20"/>
                <w:szCs w:val="20"/>
              </w:rPr>
              <w:t>committee advises t</w:t>
            </w:r>
            <w:r w:rsidR="00CF01F1" w:rsidRPr="006931AC">
              <w:rPr>
                <w:rFonts w:ascii="Arial" w:hAnsi="Arial" w:cs="Arial"/>
                <w:sz w:val="20"/>
                <w:szCs w:val="20"/>
              </w:rPr>
              <w:t xml:space="preserve">hat </w:t>
            </w:r>
            <w:r w:rsidR="006931AC" w:rsidRPr="006931AC">
              <w:rPr>
                <w:rFonts w:ascii="Arial" w:hAnsi="Arial" w:cs="Arial"/>
                <w:sz w:val="20"/>
                <w:szCs w:val="20"/>
              </w:rPr>
              <w:t xml:space="preserve">a site and regional water balance </w:t>
            </w:r>
            <w:r w:rsidR="003D3967">
              <w:rPr>
                <w:rFonts w:ascii="Arial" w:hAnsi="Arial" w:cs="Arial"/>
                <w:sz w:val="20"/>
                <w:szCs w:val="20"/>
              </w:rPr>
              <w:t xml:space="preserve">is required </w:t>
            </w:r>
            <w:r w:rsidR="006931AC" w:rsidRPr="006931AC">
              <w:rPr>
                <w:rFonts w:ascii="Arial" w:hAnsi="Arial" w:cs="Arial"/>
                <w:sz w:val="20"/>
                <w:szCs w:val="20"/>
              </w:rPr>
              <w:t>which</w:t>
            </w:r>
            <w:r w:rsidR="003D3967">
              <w:rPr>
                <w:rFonts w:ascii="Arial" w:hAnsi="Arial" w:cs="Arial"/>
                <w:sz w:val="20"/>
                <w:szCs w:val="20"/>
              </w:rPr>
              <w:t xml:space="preserve"> should include (but not be limited to)</w:t>
            </w:r>
            <w:r w:rsidR="006931AC" w:rsidRPr="006931AC">
              <w:rPr>
                <w:rFonts w:ascii="Arial" w:hAnsi="Arial" w:cs="Arial"/>
                <w:sz w:val="20"/>
                <w:szCs w:val="20"/>
              </w:rPr>
              <w:t xml:space="preserve"> surface and groundwater interac</w:t>
            </w:r>
            <w:r w:rsidR="006931AC">
              <w:rPr>
                <w:rFonts w:ascii="Arial" w:hAnsi="Arial" w:cs="Arial"/>
                <w:sz w:val="20"/>
                <w:szCs w:val="20"/>
              </w:rPr>
              <w:t xml:space="preserve">tions, implications on flow patterns, changes in runoff </w:t>
            </w:r>
            <w:r w:rsidR="006931AC" w:rsidRPr="006931AC">
              <w:rPr>
                <w:rFonts w:ascii="Arial" w:hAnsi="Arial" w:cs="Arial"/>
                <w:sz w:val="20"/>
                <w:szCs w:val="20"/>
              </w:rPr>
              <w:t>and other water resource impac</w:t>
            </w:r>
            <w:r w:rsidR="00850276">
              <w:rPr>
                <w:rFonts w:ascii="Arial" w:hAnsi="Arial" w:cs="Arial"/>
                <w:sz w:val="20"/>
                <w:szCs w:val="20"/>
              </w:rPr>
              <w:t xml:space="preserve">ts of the project. </w:t>
            </w:r>
          </w:p>
          <w:p w:rsidR="006931AC" w:rsidRDefault="00804494" w:rsidP="006931AC">
            <w:pPr>
              <w:pStyle w:val="ListNumber"/>
              <w:numPr>
                <w:ilvl w:val="0"/>
                <w:numId w:val="5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B067F4">
              <w:rPr>
                <w:rFonts w:ascii="Arial" w:hAnsi="Arial" w:cs="Arial"/>
                <w:sz w:val="20"/>
                <w:szCs w:val="20"/>
              </w:rPr>
              <w:t xml:space="preserve"> interim</w:t>
            </w:r>
            <w:r>
              <w:rPr>
                <w:rFonts w:ascii="Arial" w:hAnsi="Arial" w:cs="Arial"/>
                <w:sz w:val="20"/>
                <w:szCs w:val="20"/>
              </w:rPr>
              <w:t xml:space="preserve"> committee advi</w:t>
            </w:r>
            <w:r w:rsidR="003D396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es that it would also be desirable </w:t>
            </w:r>
            <w:r w:rsidR="003D3967">
              <w:rPr>
                <w:rFonts w:ascii="Arial" w:hAnsi="Arial" w:cs="Arial"/>
                <w:sz w:val="20"/>
                <w:szCs w:val="20"/>
              </w:rPr>
              <w:t xml:space="preserve">to undertake </w:t>
            </w:r>
            <w:r w:rsidR="006931AC" w:rsidRPr="006931AC">
              <w:rPr>
                <w:rFonts w:ascii="Arial" w:hAnsi="Arial" w:cs="Arial"/>
                <w:sz w:val="20"/>
                <w:szCs w:val="20"/>
              </w:rPr>
              <w:t>a risk assessment of the project on the water depen</w:t>
            </w:r>
            <w:r>
              <w:rPr>
                <w:rFonts w:ascii="Arial" w:hAnsi="Arial" w:cs="Arial"/>
                <w:sz w:val="20"/>
                <w:szCs w:val="20"/>
              </w:rPr>
              <w:t>dant values</w:t>
            </w:r>
            <w:r w:rsidR="003D3967">
              <w:rPr>
                <w:rFonts w:ascii="Arial" w:hAnsi="Arial" w:cs="Arial"/>
                <w:sz w:val="20"/>
                <w:szCs w:val="20"/>
              </w:rPr>
              <w:t>.</w:t>
            </w:r>
            <w:r w:rsidR="006931AC" w:rsidRPr="006931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7F72" w:rsidRPr="006931AC" w:rsidRDefault="001E7F72" w:rsidP="006931AC">
            <w:pPr>
              <w:pStyle w:val="ListNumber"/>
              <w:numPr>
                <w:ilvl w:val="0"/>
                <w:numId w:val="5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931AC">
              <w:rPr>
                <w:rFonts w:ascii="Arial" w:hAnsi="Arial" w:cs="Arial"/>
                <w:sz w:val="20"/>
                <w:szCs w:val="20"/>
              </w:rPr>
              <w:t>The</w:t>
            </w:r>
            <w:r w:rsidR="00B067F4">
              <w:rPr>
                <w:rFonts w:ascii="Arial" w:hAnsi="Arial" w:cs="Arial"/>
                <w:sz w:val="20"/>
                <w:szCs w:val="20"/>
              </w:rPr>
              <w:t xml:space="preserve"> interim</w:t>
            </w:r>
            <w:r w:rsidRPr="006931AC">
              <w:rPr>
                <w:rFonts w:ascii="Arial" w:hAnsi="Arial" w:cs="Arial"/>
                <w:sz w:val="20"/>
                <w:szCs w:val="20"/>
              </w:rPr>
              <w:t xml:space="preserve"> committee advises that data </w:t>
            </w:r>
            <w:r w:rsidR="00573153">
              <w:rPr>
                <w:rFonts w:ascii="Arial" w:hAnsi="Arial" w:cs="Arial"/>
                <w:sz w:val="20"/>
                <w:szCs w:val="20"/>
              </w:rPr>
              <w:t>regarding</w:t>
            </w:r>
            <w:r w:rsidRPr="006931AC">
              <w:rPr>
                <w:rFonts w:ascii="Arial" w:hAnsi="Arial" w:cs="Arial"/>
                <w:sz w:val="20"/>
                <w:szCs w:val="20"/>
              </w:rPr>
              <w:t xml:space="preserve"> the volume of off-site water discharge</w:t>
            </w:r>
            <w:r w:rsidR="00573153">
              <w:rPr>
                <w:rFonts w:ascii="Arial" w:hAnsi="Arial" w:cs="Arial"/>
                <w:sz w:val="20"/>
                <w:szCs w:val="20"/>
              </w:rPr>
              <w:t>s</w:t>
            </w:r>
            <w:r w:rsidRPr="006931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153">
              <w:rPr>
                <w:rFonts w:ascii="Arial" w:hAnsi="Arial" w:cs="Arial"/>
                <w:sz w:val="20"/>
                <w:szCs w:val="20"/>
              </w:rPr>
              <w:t>is</w:t>
            </w:r>
            <w:r w:rsidRPr="006931AC">
              <w:rPr>
                <w:rFonts w:ascii="Arial" w:hAnsi="Arial" w:cs="Arial"/>
                <w:sz w:val="20"/>
                <w:szCs w:val="20"/>
              </w:rPr>
              <w:t xml:space="preserve"> not consistently presented in the draft </w:t>
            </w:r>
            <w:r w:rsidR="00573153">
              <w:rPr>
                <w:rFonts w:ascii="Arial" w:hAnsi="Arial" w:cs="Arial"/>
                <w:sz w:val="20"/>
                <w:szCs w:val="20"/>
              </w:rPr>
              <w:t>EIS</w:t>
            </w:r>
            <w:r w:rsidRPr="006931AC">
              <w:rPr>
                <w:rFonts w:ascii="Arial" w:hAnsi="Arial" w:cs="Arial"/>
                <w:sz w:val="20"/>
                <w:szCs w:val="20"/>
              </w:rPr>
              <w:t xml:space="preserve">, making it difficult to assess water quality impacts. Despite this, the </w:t>
            </w:r>
            <w:r w:rsidR="005A02E3"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r w:rsidRPr="006931AC">
              <w:rPr>
                <w:rFonts w:ascii="Arial" w:hAnsi="Arial" w:cs="Arial"/>
                <w:sz w:val="20"/>
                <w:szCs w:val="20"/>
              </w:rPr>
              <w:t xml:space="preserve">committee notes </w:t>
            </w:r>
            <w:r w:rsidR="00573153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6931AC">
              <w:rPr>
                <w:rFonts w:ascii="Arial" w:hAnsi="Arial" w:cs="Arial"/>
                <w:sz w:val="20"/>
                <w:szCs w:val="20"/>
              </w:rPr>
              <w:t>discharge</w:t>
            </w:r>
            <w:r w:rsidR="00573153">
              <w:rPr>
                <w:rFonts w:ascii="Arial" w:hAnsi="Arial" w:cs="Arial"/>
                <w:sz w:val="20"/>
                <w:szCs w:val="20"/>
              </w:rPr>
              <w:t>s</w:t>
            </w:r>
            <w:r w:rsidRPr="006931AC">
              <w:rPr>
                <w:rFonts w:ascii="Arial" w:hAnsi="Arial" w:cs="Arial"/>
                <w:sz w:val="20"/>
                <w:szCs w:val="20"/>
              </w:rPr>
              <w:t xml:space="preserve"> of poor quality water from holding dams on the mine site is a potential source of downstream impacts; emphasising that the timing of release and quality of off-site water are critical factors in determining overall impact</w:t>
            </w:r>
            <w:r w:rsidR="00573153">
              <w:rPr>
                <w:rFonts w:ascii="Arial" w:hAnsi="Arial" w:cs="Arial"/>
                <w:sz w:val="20"/>
                <w:szCs w:val="20"/>
              </w:rPr>
              <w:t>s</w:t>
            </w:r>
            <w:r w:rsidRPr="006931AC">
              <w:rPr>
                <w:rFonts w:ascii="Arial" w:hAnsi="Arial" w:cs="Arial"/>
                <w:sz w:val="20"/>
                <w:szCs w:val="20"/>
              </w:rPr>
              <w:t xml:space="preserve">. The </w:t>
            </w:r>
            <w:r w:rsidR="005A02E3"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r w:rsidRPr="006931AC">
              <w:rPr>
                <w:rFonts w:ascii="Arial" w:hAnsi="Arial" w:cs="Arial"/>
                <w:sz w:val="20"/>
                <w:szCs w:val="20"/>
              </w:rPr>
              <w:t xml:space="preserve">committee further notes that subsidence in stream channels and stream diversions are likely to be a source of high levels of sediment mobilisation and turbidity, </w:t>
            </w:r>
            <w:r w:rsidR="00573153">
              <w:rPr>
                <w:rFonts w:ascii="Arial" w:hAnsi="Arial" w:cs="Arial"/>
                <w:sz w:val="20"/>
                <w:szCs w:val="20"/>
              </w:rPr>
              <w:t>following initial site disturbance</w:t>
            </w:r>
            <w:r w:rsidRPr="006931AC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C92E81" w:rsidRDefault="00B518F2" w:rsidP="00C92E81">
            <w:pPr>
              <w:pStyle w:val="ListNumber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12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Further, t</w:t>
            </w:r>
            <w:r w:rsidR="00C92E81" w:rsidRPr="006671F6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5A02E3"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r w:rsidR="00C92E81" w:rsidRPr="006671F6">
              <w:rPr>
                <w:rFonts w:ascii="Arial" w:hAnsi="Arial" w:cs="Arial"/>
                <w:sz w:val="20"/>
                <w:szCs w:val="20"/>
              </w:rPr>
              <w:t>committee suggests that modelling of subsidence estimates be reviewed to appropriately inf</w:t>
            </w:r>
            <w:r>
              <w:rPr>
                <w:rFonts w:ascii="Arial" w:hAnsi="Arial" w:cs="Arial"/>
                <w:sz w:val="20"/>
                <w:szCs w:val="20"/>
              </w:rPr>
              <w:t xml:space="preserve">orm surface water flow impacts. Specifically </w:t>
            </w:r>
            <w:r w:rsidR="000278E5">
              <w:rPr>
                <w:rFonts w:ascii="Arial" w:hAnsi="Arial" w:cs="Arial"/>
                <w:sz w:val="20"/>
                <w:szCs w:val="20"/>
              </w:rPr>
              <w:t xml:space="preserve">changes to </w:t>
            </w:r>
            <w:r w:rsidR="00C92E81" w:rsidRPr="006671F6">
              <w:rPr>
                <w:rFonts w:ascii="Arial" w:hAnsi="Arial" w:cs="Arial"/>
                <w:sz w:val="20"/>
                <w:szCs w:val="20"/>
              </w:rPr>
              <w:t>topograph</w:t>
            </w:r>
            <w:r>
              <w:rPr>
                <w:rFonts w:ascii="Arial" w:hAnsi="Arial" w:cs="Arial"/>
                <w:sz w:val="20"/>
                <w:szCs w:val="20"/>
              </w:rPr>
              <w:t>y which may result in surface flow impacts should be adequat</w:t>
            </w:r>
            <w:r w:rsidR="004B245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ly assessed</w:t>
            </w:r>
            <w:r w:rsidR="000278E5">
              <w:rPr>
                <w:rFonts w:ascii="Arial" w:hAnsi="Arial" w:cs="Arial"/>
                <w:sz w:val="20"/>
                <w:szCs w:val="20"/>
              </w:rPr>
              <w:t>. C</w:t>
            </w:r>
            <w:r w:rsidR="00C92E81" w:rsidRPr="006671F6">
              <w:rPr>
                <w:rFonts w:ascii="Arial" w:hAnsi="Arial" w:cs="Arial"/>
                <w:sz w:val="20"/>
                <w:szCs w:val="20"/>
              </w:rPr>
              <w:t xml:space="preserve">onsideration </w:t>
            </w:r>
            <w:r w:rsidR="000278E5">
              <w:rPr>
                <w:rFonts w:ascii="Arial" w:hAnsi="Arial" w:cs="Arial"/>
                <w:sz w:val="20"/>
                <w:szCs w:val="20"/>
              </w:rPr>
              <w:t xml:space="preserve">should be given </w:t>
            </w:r>
            <w:r w:rsidR="00C92E81" w:rsidRPr="006671F6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 practical</w:t>
            </w:r>
            <w:r w:rsidR="00C92E81">
              <w:rPr>
                <w:rFonts w:ascii="Arial" w:hAnsi="Arial" w:cs="Arial"/>
                <w:sz w:val="20"/>
                <w:szCs w:val="20"/>
              </w:rPr>
              <w:t xml:space="preserve"> options </w:t>
            </w:r>
            <w:r w:rsidR="00C92E81" w:rsidRPr="006671F6">
              <w:rPr>
                <w:rFonts w:ascii="Arial" w:hAnsi="Arial" w:cs="Arial"/>
                <w:sz w:val="20"/>
                <w:szCs w:val="20"/>
              </w:rPr>
              <w:t>to</w:t>
            </w:r>
            <w:r w:rsidR="00C92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8CB">
              <w:rPr>
                <w:rFonts w:ascii="Arial" w:hAnsi="Arial" w:cs="Arial"/>
                <w:sz w:val="20"/>
                <w:szCs w:val="20"/>
              </w:rPr>
              <w:t>maintain</w:t>
            </w:r>
            <w:r w:rsidR="00C92E81">
              <w:rPr>
                <w:rFonts w:ascii="Arial" w:hAnsi="Arial" w:cs="Arial"/>
                <w:sz w:val="20"/>
                <w:szCs w:val="20"/>
              </w:rPr>
              <w:t xml:space="preserve"> pre</w:t>
            </w:r>
            <w:r w:rsidR="00976F21">
              <w:rPr>
                <w:rFonts w:ascii="Arial" w:hAnsi="Arial" w:cs="Arial"/>
                <w:sz w:val="20"/>
                <w:szCs w:val="20"/>
              </w:rPr>
              <w:t>-</w:t>
            </w:r>
            <w:r w:rsidR="00C92E81">
              <w:rPr>
                <w:rFonts w:ascii="Arial" w:hAnsi="Arial" w:cs="Arial"/>
                <w:sz w:val="20"/>
                <w:szCs w:val="20"/>
              </w:rPr>
              <w:t xml:space="preserve">existing </w:t>
            </w:r>
            <w:r w:rsidR="00A338CB">
              <w:rPr>
                <w:rFonts w:ascii="Arial" w:hAnsi="Arial" w:cs="Arial"/>
                <w:sz w:val="20"/>
                <w:szCs w:val="20"/>
              </w:rPr>
              <w:t>ephemeral</w:t>
            </w:r>
            <w:r w:rsidR="00C92E81">
              <w:rPr>
                <w:rFonts w:ascii="Arial" w:hAnsi="Arial" w:cs="Arial"/>
                <w:sz w:val="20"/>
                <w:szCs w:val="20"/>
              </w:rPr>
              <w:t xml:space="preserve"> streams.</w:t>
            </w:r>
          </w:p>
          <w:p w:rsidR="00A338CB" w:rsidRDefault="00CC20AD" w:rsidP="00A338CB">
            <w:pPr>
              <w:pStyle w:val="ListNumber"/>
              <w:numPr>
                <w:ilvl w:val="0"/>
                <w:numId w:val="5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relation to the specific questions asked, t</w:t>
            </w:r>
            <w:r w:rsidR="003C5D33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5A02E3"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r>
              <w:rPr>
                <w:rFonts w:ascii="Arial" w:hAnsi="Arial" w:cs="Arial"/>
                <w:sz w:val="20"/>
                <w:szCs w:val="20"/>
              </w:rPr>
              <w:t>committee notes</w:t>
            </w:r>
            <w:r w:rsidR="00E806FF" w:rsidRPr="00592B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6EDB" w:rsidRPr="00592B20">
              <w:rPr>
                <w:rFonts w:ascii="Arial" w:hAnsi="Arial" w:cs="Arial"/>
                <w:sz w:val="20"/>
                <w:szCs w:val="20"/>
              </w:rPr>
              <w:t xml:space="preserve">that diversion of streams and any loss of near-permanent waterholes and/or dams represent a surface water impact. </w:t>
            </w:r>
            <w:r w:rsidR="00DC78C0">
              <w:rPr>
                <w:rFonts w:ascii="Arial" w:hAnsi="Arial" w:cs="Arial"/>
                <w:sz w:val="20"/>
                <w:szCs w:val="20"/>
              </w:rPr>
              <w:t>T</w:t>
            </w:r>
            <w:r w:rsidR="00E806FF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5A02E3"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r w:rsidR="00E806FF">
              <w:rPr>
                <w:rFonts w:ascii="Arial" w:hAnsi="Arial" w:cs="Arial"/>
                <w:sz w:val="20"/>
                <w:szCs w:val="20"/>
              </w:rPr>
              <w:t xml:space="preserve">committee emphasised the need for the </w:t>
            </w:r>
            <w:r w:rsidR="00E806FF" w:rsidRPr="00592B20">
              <w:rPr>
                <w:rFonts w:ascii="Arial" w:hAnsi="Arial" w:cs="Arial"/>
                <w:sz w:val="20"/>
                <w:szCs w:val="20"/>
              </w:rPr>
              <w:t xml:space="preserve">creation of </w:t>
            </w:r>
            <w:r w:rsidR="008D6EDB" w:rsidRPr="00592B20">
              <w:rPr>
                <w:rFonts w:ascii="Arial" w:hAnsi="Arial" w:cs="Arial"/>
                <w:sz w:val="20"/>
                <w:szCs w:val="20"/>
              </w:rPr>
              <w:t>compensatory habitat</w:t>
            </w:r>
            <w:r w:rsidR="00DC78C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78C0" w:rsidRPr="00592B20">
              <w:rPr>
                <w:rFonts w:ascii="Arial" w:hAnsi="Arial" w:cs="Arial"/>
                <w:sz w:val="20"/>
                <w:szCs w:val="20"/>
              </w:rPr>
              <w:t>such as waterholes</w:t>
            </w:r>
            <w:r w:rsidR="00DC78C0">
              <w:rPr>
                <w:rFonts w:ascii="Arial" w:hAnsi="Arial" w:cs="Arial"/>
                <w:sz w:val="20"/>
                <w:szCs w:val="20"/>
              </w:rPr>
              <w:t>, within the stream diversion areas.</w:t>
            </w:r>
            <w:r w:rsidR="008D6EDB" w:rsidRPr="00592B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6EDB" w:rsidRDefault="00B9154F" w:rsidP="00A338CB">
            <w:pPr>
              <w:pStyle w:val="ListNumber"/>
              <w:numPr>
                <w:ilvl w:val="0"/>
                <w:numId w:val="5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338CB">
              <w:rPr>
                <w:rFonts w:ascii="Arial" w:hAnsi="Arial" w:cs="Arial"/>
                <w:sz w:val="20"/>
                <w:szCs w:val="20"/>
              </w:rPr>
              <w:t>The</w:t>
            </w:r>
            <w:r w:rsidR="005A02E3">
              <w:rPr>
                <w:rFonts w:ascii="Arial" w:hAnsi="Arial" w:cs="Arial"/>
                <w:sz w:val="20"/>
                <w:szCs w:val="20"/>
              </w:rPr>
              <w:t xml:space="preserve"> interim</w:t>
            </w:r>
            <w:r w:rsidRPr="00A338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2A3" w:rsidRPr="00A338CB">
              <w:rPr>
                <w:rFonts w:ascii="Arial" w:hAnsi="Arial" w:cs="Arial"/>
                <w:sz w:val="20"/>
                <w:szCs w:val="20"/>
              </w:rPr>
              <w:t>committee further advises</w:t>
            </w:r>
            <w:r w:rsidRPr="00A338CB">
              <w:rPr>
                <w:rFonts w:ascii="Arial" w:hAnsi="Arial" w:cs="Arial"/>
                <w:sz w:val="20"/>
                <w:szCs w:val="20"/>
              </w:rPr>
              <w:t xml:space="preserve"> that water quality impacts</w:t>
            </w:r>
            <w:r w:rsidR="00DC78C0" w:rsidRPr="00A338CB">
              <w:rPr>
                <w:rFonts w:ascii="Arial" w:hAnsi="Arial" w:cs="Arial"/>
                <w:sz w:val="20"/>
                <w:szCs w:val="20"/>
              </w:rPr>
              <w:t>,</w:t>
            </w:r>
            <w:r w:rsidRPr="00A338CB">
              <w:rPr>
                <w:rFonts w:ascii="Arial" w:hAnsi="Arial" w:cs="Arial"/>
                <w:sz w:val="20"/>
                <w:szCs w:val="20"/>
              </w:rPr>
              <w:t xml:space="preserve"> on site and downstream</w:t>
            </w:r>
            <w:r w:rsidR="00DC78C0" w:rsidRPr="00A338CB">
              <w:rPr>
                <w:rFonts w:ascii="Arial" w:hAnsi="Arial" w:cs="Arial"/>
                <w:sz w:val="20"/>
                <w:szCs w:val="20"/>
              </w:rPr>
              <w:t>,</w:t>
            </w:r>
            <w:r w:rsidRPr="00A338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78C0" w:rsidRPr="00A338CB">
              <w:rPr>
                <w:rFonts w:ascii="Arial" w:hAnsi="Arial" w:cs="Arial"/>
                <w:sz w:val="20"/>
                <w:szCs w:val="20"/>
              </w:rPr>
              <w:t>may adversely impact</w:t>
            </w:r>
            <w:r w:rsidRPr="00A338CB">
              <w:rPr>
                <w:rFonts w:ascii="Arial" w:hAnsi="Arial" w:cs="Arial"/>
                <w:sz w:val="20"/>
                <w:szCs w:val="20"/>
              </w:rPr>
              <w:t xml:space="preserve"> water dependent species, at least periodically, and suggest</w:t>
            </w:r>
            <w:bookmarkStart w:id="2" w:name="_GoBack"/>
            <w:bookmarkEnd w:id="2"/>
            <w:r w:rsidRPr="00A338CB">
              <w:rPr>
                <w:rFonts w:ascii="Arial" w:hAnsi="Arial" w:cs="Arial"/>
                <w:sz w:val="20"/>
                <w:szCs w:val="20"/>
              </w:rPr>
              <w:t xml:space="preserve"> that the availability of alternative, good quality water sources in the vicinity of the site will </w:t>
            </w:r>
            <w:r w:rsidR="00DC78C0" w:rsidRPr="00A338CB">
              <w:rPr>
                <w:rFonts w:ascii="Arial" w:hAnsi="Arial" w:cs="Arial"/>
                <w:sz w:val="20"/>
                <w:szCs w:val="20"/>
              </w:rPr>
              <w:t xml:space="preserve">be important in minimising these </w:t>
            </w:r>
            <w:r w:rsidRPr="00A338CB">
              <w:rPr>
                <w:rFonts w:ascii="Arial" w:hAnsi="Arial" w:cs="Arial"/>
                <w:sz w:val="20"/>
                <w:szCs w:val="20"/>
              </w:rPr>
              <w:t>impact</w:t>
            </w:r>
            <w:r w:rsidR="00DC78C0" w:rsidRPr="00A338CB">
              <w:rPr>
                <w:rFonts w:ascii="Arial" w:hAnsi="Arial" w:cs="Arial"/>
                <w:sz w:val="20"/>
                <w:szCs w:val="20"/>
              </w:rPr>
              <w:t>s</w:t>
            </w:r>
            <w:r w:rsidRPr="00A338C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762BB" w:rsidRPr="00A338CB" w:rsidRDefault="00976F21" w:rsidP="00A338CB">
            <w:pPr>
              <w:pStyle w:val="ListNumber"/>
              <w:numPr>
                <w:ilvl w:val="0"/>
                <w:numId w:val="5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7F5396">
              <w:rPr>
                <w:rFonts w:ascii="Arial" w:hAnsi="Arial" w:cs="Arial"/>
                <w:sz w:val="20"/>
                <w:szCs w:val="20"/>
              </w:rPr>
              <w:t xml:space="preserve"> interim</w:t>
            </w:r>
            <w:r>
              <w:rPr>
                <w:rFonts w:ascii="Arial" w:hAnsi="Arial" w:cs="Arial"/>
                <w:sz w:val="20"/>
                <w:szCs w:val="20"/>
              </w:rPr>
              <w:t xml:space="preserve"> committee advis</w:t>
            </w:r>
            <w:r w:rsidR="00882380">
              <w:rPr>
                <w:rFonts w:ascii="Arial" w:hAnsi="Arial" w:cs="Arial"/>
                <w:sz w:val="20"/>
                <w:szCs w:val="20"/>
              </w:rPr>
              <w:t>e</w:t>
            </w:r>
            <w:r w:rsidR="002544E8">
              <w:rPr>
                <w:rFonts w:ascii="Arial" w:hAnsi="Arial" w:cs="Arial"/>
                <w:sz w:val="20"/>
                <w:szCs w:val="20"/>
              </w:rPr>
              <w:t xml:space="preserve">s that it would be useful to </w:t>
            </w:r>
            <w:r>
              <w:rPr>
                <w:rFonts w:ascii="Arial" w:hAnsi="Arial" w:cs="Arial"/>
                <w:sz w:val="20"/>
                <w:szCs w:val="20"/>
              </w:rPr>
              <w:t xml:space="preserve">assess the </w:t>
            </w:r>
            <w:r w:rsidR="002544E8">
              <w:rPr>
                <w:rFonts w:ascii="Arial" w:hAnsi="Arial" w:cs="Arial"/>
                <w:sz w:val="20"/>
                <w:szCs w:val="20"/>
              </w:rPr>
              <w:t>characteris</w:t>
            </w:r>
            <w:r w:rsidR="00006772">
              <w:rPr>
                <w:rFonts w:ascii="Arial" w:hAnsi="Arial" w:cs="Arial"/>
                <w:sz w:val="20"/>
                <w:szCs w:val="20"/>
              </w:rPr>
              <w:t>tics</w:t>
            </w:r>
            <w:r w:rsidR="002544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="002544E8">
              <w:rPr>
                <w:rFonts w:ascii="Arial" w:hAnsi="Arial" w:cs="Arial"/>
                <w:sz w:val="20"/>
                <w:szCs w:val="20"/>
              </w:rPr>
              <w:t xml:space="preserve"> overburden</w:t>
            </w:r>
            <w:r w:rsidR="00882380">
              <w:rPr>
                <w:rFonts w:ascii="Arial" w:hAnsi="Arial" w:cs="Arial"/>
                <w:sz w:val="20"/>
                <w:szCs w:val="20"/>
              </w:rPr>
              <w:t xml:space="preserve"> to determine </w:t>
            </w:r>
            <w:r w:rsidR="002544E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82380">
              <w:rPr>
                <w:rFonts w:ascii="Arial" w:hAnsi="Arial" w:cs="Arial"/>
                <w:sz w:val="20"/>
                <w:szCs w:val="20"/>
              </w:rPr>
              <w:t>po</w:t>
            </w:r>
            <w:r w:rsidR="002544E8">
              <w:rPr>
                <w:rFonts w:ascii="Arial" w:hAnsi="Arial" w:cs="Arial"/>
                <w:sz w:val="20"/>
                <w:szCs w:val="20"/>
              </w:rPr>
              <w:t>ssible resulting water quality (acidity and salinity)</w:t>
            </w:r>
            <w:r w:rsidR="00006772">
              <w:rPr>
                <w:rFonts w:ascii="Arial" w:hAnsi="Arial" w:cs="Arial"/>
                <w:sz w:val="20"/>
                <w:szCs w:val="20"/>
              </w:rPr>
              <w:t xml:space="preserve">, which may </w:t>
            </w:r>
            <w:r w:rsidR="007F5396">
              <w:rPr>
                <w:rFonts w:ascii="Arial" w:hAnsi="Arial" w:cs="Arial"/>
                <w:sz w:val="20"/>
                <w:szCs w:val="20"/>
              </w:rPr>
              <w:t>affect</w:t>
            </w:r>
            <w:r w:rsidR="002544E8">
              <w:rPr>
                <w:rFonts w:ascii="Arial" w:hAnsi="Arial" w:cs="Arial"/>
                <w:sz w:val="20"/>
                <w:szCs w:val="20"/>
              </w:rPr>
              <w:t xml:space="preserve"> runoff and</w:t>
            </w:r>
            <w:r w:rsidR="00006772">
              <w:rPr>
                <w:rFonts w:ascii="Arial" w:hAnsi="Arial" w:cs="Arial"/>
                <w:sz w:val="20"/>
                <w:szCs w:val="20"/>
              </w:rPr>
              <w:t xml:space="preserve"> water </w:t>
            </w:r>
            <w:r w:rsidR="002544E8">
              <w:rPr>
                <w:rFonts w:ascii="Arial" w:hAnsi="Arial" w:cs="Arial"/>
                <w:sz w:val="20"/>
                <w:szCs w:val="20"/>
              </w:rPr>
              <w:t xml:space="preserve">within the void. </w:t>
            </w:r>
          </w:p>
          <w:p w:rsidR="007F5396" w:rsidRDefault="00A762BB" w:rsidP="00A762BB">
            <w:pPr>
              <w:pStyle w:val="ListNumber"/>
              <w:numPr>
                <w:ilvl w:val="0"/>
                <w:numId w:val="5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338C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F5396"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r w:rsidRPr="00A338CB">
              <w:rPr>
                <w:rFonts w:ascii="Arial" w:hAnsi="Arial" w:cs="Arial"/>
                <w:sz w:val="20"/>
                <w:szCs w:val="20"/>
              </w:rPr>
              <w:t xml:space="preserve">committee notes that although impacts on Brigalow and associated listed species will occur as a result of the development, a range of avoidance measures and mitigation will manage those impacts to an acceptable level. The </w:t>
            </w:r>
            <w:r w:rsidR="007F5396"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r w:rsidR="00006772">
              <w:rPr>
                <w:rFonts w:ascii="Arial" w:hAnsi="Arial" w:cs="Arial"/>
                <w:sz w:val="20"/>
                <w:szCs w:val="20"/>
              </w:rPr>
              <w:t>c</w:t>
            </w:r>
            <w:r w:rsidRPr="00A338CB">
              <w:rPr>
                <w:rFonts w:ascii="Arial" w:hAnsi="Arial" w:cs="Arial"/>
                <w:sz w:val="20"/>
                <w:szCs w:val="20"/>
              </w:rPr>
              <w:t xml:space="preserve">ommittee further notes that a range of avoidance and mitigation </w:t>
            </w:r>
            <w:r w:rsidR="00006772">
              <w:rPr>
                <w:rFonts w:ascii="Arial" w:hAnsi="Arial" w:cs="Arial"/>
                <w:sz w:val="20"/>
                <w:szCs w:val="20"/>
              </w:rPr>
              <w:t>measures</w:t>
            </w:r>
            <w:r w:rsidRPr="00A338CB">
              <w:rPr>
                <w:rFonts w:ascii="Arial" w:hAnsi="Arial" w:cs="Arial"/>
                <w:sz w:val="20"/>
                <w:szCs w:val="20"/>
              </w:rPr>
              <w:t xml:space="preserve"> on the threatened species and ecological communities are described in the draft </w:t>
            </w:r>
            <w:r w:rsidR="00006772">
              <w:rPr>
                <w:rFonts w:ascii="Arial" w:hAnsi="Arial" w:cs="Arial"/>
                <w:sz w:val="20"/>
                <w:szCs w:val="20"/>
              </w:rPr>
              <w:t>EIS</w:t>
            </w:r>
            <w:r w:rsidRPr="00A338CB">
              <w:rPr>
                <w:rFonts w:ascii="Arial" w:hAnsi="Arial" w:cs="Arial"/>
                <w:sz w:val="20"/>
                <w:szCs w:val="20"/>
              </w:rPr>
              <w:t xml:space="preserve"> and will be detailed in the proposed Threatened Species Management Plan</w:t>
            </w:r>
            <w:r w:rsidR="00006772">
              <w:rPr>
                <w:rFonts w:ascii="Arial" w:hAnsi="Arial" w:cs="Arial"/>
                <w:sz w:val="20"/>
                <w:szCs w:val="20"/>
              </w:rPr>
              <w:t>.</w:t>
            </w:r>
            <w:r w:rsidRPr="00A338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6772">
              <w:rPr>
                <w:rFonts w:ascii="Arial" w:hAnsi="Arial" w:cs="Arial"/>
                <w:sz w:val="20"/>
                <w:szCs w:val="20"/>
              </w:rPr>
              <w:t>F</w:t>
            </w:r>
            <w:r w:rsidRPr="00A338CB">
              <w:rPr>
                <w:rFonts w:ascii="Arial" w:hAnsi="Arial" w:cs="Arial"/>
                <w:sz w:val="20"/>
                <w:szCs w:val="20"/>
              </w:rPr>
              <w:t>or example</w:t>
            </w:r>
            <w:r w:rsidR="007F5396">
              <w:rPr>
                <w:rFonts w:ascii="Arial" w:hAnsi="Arial" w:cs="Arial"/>
                <w:sz w:val="20"/>
                <w:szCs w:val="20"/>
              </w:rPr>
              <w:t>,</w:t>
            </w:r>
            <w:r w:rsidRPr="00A338CB">
              <w:rPr>
                <w:rFonts w:ascii="Arial" w:hAnsi="Arial" w:cs="Arial"/>
                <w:sz w:val="20"/>
                <w:szCs w:val="20"/>
              </w:rPr>
              <w:t xml:space="preserve"> a Biodiversity Offsets Strategy will be developed and implemented to compensate for residual impacts on vegetation and dependent fauna.</w:t>
            </w:r>
          </w:p>
          <w:p w:rsidR="00D44524" w:rsidRDefault="00D44524">
            <w:pPr>
              <w:pStyle w:val="ListNumber"/>
              <w:numPr>
                <w:ilvl w:val="0"/>
                <w:numId w:val="0"/>
              </w:num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DA" w:rsidRPr="00B451D3" w:rsidTr="007F5396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Default="001765DA" w:rsidP="00727E2F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Date of advice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4B245D" w:rsidP="007F539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June 2012</w:t>
            </w:r>
          </w:p>
        </w:tc>
      </w:tr>
    </w:tbl>
    <w:p w:rsidR="006B14DB" w:rsidRPr="00EA416C" w:rsidRDefault="006B14DB" w:rsidP="007F5396">
      <w:pPr>
        <w:ind w:left="-1418"/>
      </w:pPr>
    </w:p>
    <w:sectPr w:rsidR="006B14DB" w:rsidRPr="00EA416C" w:rsidSect="007F5396">
      <w:headerReference w:type="even" r:id="rId9"/>
      <w:footerReference w:type="default" r:id="rId10"/>
      <w:headerReference w:type="first" r:id="rId11"/>
      <w:pgSz w:w="11906" w:h="16838"/>
      <w:pgMar w:top="1418" w:right="1276" w:bottom="426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8F2" w:rsidRDefault="00B518F2" w:rsidP="00A60185">
      <w:r>
        <w:separator/>
      </w:r>
    </w:p>
  </w:endnote>
  <w:endnote w:type="continuationSeparator" w:id="0">
    <w:p w:rsidR="00B518F2" w:rsidRDefault="00B518F2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8F2" w:rsidRDefault="00D44524">
    <w:pPr>
      <w:pStyle w:val="Footer"/>
      <w:jc w:val="center"/>
    </w:pPr>
    <w:fldSimple w:instr=" PAGE   \* MERGEFORMAT ">
      <w:r w:rsidR="00DB532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8F2" w:rsidRDefault="00B518F2" w:rsidP="00A60185">
      <w:r>
        <w:separator/>
      </w:r>
    </w:p>
  </w:footnote>
  <w:footnote w:type="continuationSeparator" w:id="0">
    <w:p w:rsidR="00B518F2" w:rsidRDefault="00B518F2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8F2" w:rsidRDefault="00B518F2" w:rsidP="00E45765">
    <w:pPr>
      <w:pStyle w:val="Classification"/>
    </w:pPr>
    <w:r>
      <w:rPr>
        <w:b/>
        <w:bCs/>
        <w:lang w:val="en-US"/>
      </w:rPr>
      <w:t>Error! Unknown document property name.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8F2" w:rsidRDefault="00B518F2" w:rsidP="0034504D">
    <w:pPr>
      <w:pStyle w:val="Header"/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806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85B4770"/>
    <w:multiLevelType w:val="hybridMultilevel"/>
    <w:tmpl w:val="18CCA7E8"/>
    <w:lvl w:ilvl="0" w:tplc="4CD87B00">
      <w:start w:val="2"/>
      <w:numFmt w:val="decimal"/>
      <w:lvlText w:val="%1"/>
      <w:lvlJc w:val="left"/>
      <w:pPr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B21CC"/>
    <w:multiLevelType w:val="multilevel"/>
    <w:tmpl w:val="E898CC72"/>
    <w:numStyleLink w:val="KeyPoints"/>
  </w:abstractNum>
  <w:abstractNum w:abstractNumId="16">
    <w:nsid w:val="1784511A"/>
    <w:multiLevelType w:val="multilevel"/>
    <w:tmpl w:val="E898CC72"/>
    <w:numStyleLink w:val="KeyPoints"/>
  </w:abstractNum>
  <w:abstractNum w:abstractNumId="17">
    <w:nsid w:val="190F07BC"/>
    <w:multiLevelType w:val="hybridMultilevel"/>
    <w:tmpl w:val="7DD85170"/>
    <w:lvl w:ilvl="0" w:tplc="7FF445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291970"/>
    <w:multiLevelType w:val="multilevel"/>
    <w:tmpl w:val="E898CC72"/>
    <w:numStyleLink w:val="KeyPoints"/>
  </w:abstractNum>
  <w:abstractNum w:abstractNumId="20">
    <w:nsid w:val="1F745BC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1">
    <w:nsid w:val="23BB6914"/>
    <w:multiLevelType w:val="multilevel"/>
    <w:tmpl w:val="F33AC0A6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2">
    <w:nsid w:val="29253B4A"/>
    <w:multiLevelType w:val="multilevel"/>
    <w:tmpl w:val="E898CC72"/>
    <w:numStyleLink w:val="KeyPoints"/>
  </w:abstractNum>
  <w:abstractNum w:abstractNumId="23">
    <w:nsid w:val="2B0A5B52"/>
    <w:multiLevelType w:val="hybridMultilevel"/>
    <w:tmpl w:val="27904C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1B4F6C"/>
    <w:multiLevelType w:val="multilevel"/>
    <w:tmpl w:val="E898CC72"/>
    <w:numStyleLink w:val="KeyPoints"/>
  </w:abstractNum>
  <w:abstractNum w:abstractNumId="25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6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38816F9C"/>
    <w:multiLevelType w:val="multilevel"/>
    <w:tmpl w:val="E5E89F92"/>
    <w:numStyleLink w:val="BulletList"/>
  </w:abstractNum>
  <w:abstractNum w:abstractNumId="29">
    <w:nsid w:val="3B351B82"/>
    <w:multiLevelType w:val="multilevel"/>
    <w:tmpl w:val="E5E89F92"/>
    <w:numStyleLink w:val="BulletList"/>
  </w:abstractNum>
  <w:abstractNum w:abstractNumId="30">
    <w:nsid w:val="48B871CF"/>
    <w:multiLevelType w:val="multilevel"/>
    <w:tmpl w:val="E5E89F92"/>
    <w:numStyleLink w:val="BulletList"/>
  </w:abstractNum>
  <w:abstractNum w:abstractNumId="31">
    <w:nsid w:val="49016841"/>
    <w:multiLevelType w:val="multilevel"/>
    <w:tmpl w:val="E5E89F92"/>
    <w:numStyleLink w:val="BulletList"/>
  </w:abstractNum>
  <w:abstractNum w:abstractNumId="32">
    <w:nsid w:val="4E11371F"/>
    <w:multiLevelType w:val="hybridMultilevel"/>
    <w:tmpl w:val="99667C0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A44175"/>
    <w:multiLevelType w:val="multilevel"/>
    <w:tmpl w:val="E5E89F92"/>
    <w:numStyleLink w:val="BulletList"/>
  </w:abstractNum>
  <w:abstractNum w:abstractNumId="34">
    <w:nsid w:val="59683F9E"/>
    <w:multiLevelType w:val="hybridMultilevel"/>
    <w:tmpl w:val="AA84FFF6"/>
    <w:lvl w:ilvl="0" w:tplc="31F04232">
      <w:start w:val="1"/>
      <w:numFmt w:val="decimal"/>
      <w:lvlText w:val="%1."/>
      <w:lvlJc w:val="left"/>
      <w:pPr>
        <w:ind w:left="720" w:hanging="360"/>
      </w:pPr>
    </w:lvl>
    <w:lvl w:ilvl="1" w:tplc="D2C0A44C" w:tentative="1">
      <w:start w:val="1"/>
      <w:numFmt w:val="lowerLetter"/>
      <w:lvlText w:val="%2."/>
      <w:lvlJc w:val="left"/>
      <w:pPr>
        <w:ind w:left="1440" w:hanging="360"/>
      </w:pPr>
    </w:lvl>
    <w:lvl w:ilvl="2" w:tplc="8AEC128E" w:tentative="1">
      <w:start w:val="1"/>
      <w:numFmt w:val="lowerRoman"/>
      <w:lvlText w:val="%3."/>
      <w:lvlJc w:val="right"/>
      <w:pPr>
        <w:ind w:left="2160" w:hanging="180"/>
      </w:pPr>
    </w:lvl>
    <w:lvl w:ilvl="3" w:tplc="3208BD08" w:tentative="1">
      <w:start w:val="1"/>
      <w:numFmt w:val="decimal"/>
      <w:lvlText w:val="%4."/>
      <w:lvlJc w:val="left"/>
      <w:pPr>
        <w:ind w:left="2880" w:hanging="360"/>
      </w:pPr>
    </w:lvl>
    <w:lvl w:ilvl="4" w:tplc="7D3E28AA" w:tentative="1">
      <w:start w:val="1"/>
      <w:numFmt w:val="lowerLetter"/>
      <w:lvlText w:val="%5."/>
      <w:lvlJc w:val="left"/>
      <w:pPr>
        <w:ind w:left="3600" w:hanging="360"/>
      </w:pPr>
    </w:lvl>
    <w:lvl w:ilvl="5" w:tplc="62AA9DC2" w:tentative="1">
      <w:start w:val="1"/>
      <w:numFmt w:val="lowerRoman"/>
      <w:lvlText w:val="%6."/>
      <w:lvlJc w:val="right"/>
      <w:pPr>
        <w:ind w:left="4320" w:hanging="180"/>
      </w:pPr>
    </w:lvl>
    <w:lvl w:ilvl="6" w:tplc="A7A87E58" w:tentative="1">
      <w:start w:val="1"/>
      <w:numFmt w:val="decimal"/>
      <w:lvlText w:val="%7."/>
      <w:lvlJc w:val="left"/>
      <w:pPr>
        <w:ind w:left="5040" w:hanging="360"/>
      </w:pPr>
    </w:lvl>
    <w:lvl w:ilvl="7" w:tplc="74BCAD54" w:tentative="1">
      <w:start w:val="1"/>
      <w:numFmt w:val="lowerLetter"/>
      <w:lvlText w:val="%8."/>
      <w:lvlJc w:val="left"/>
      <w:pPr>
        <w:ind w:left="5760" w:hanging="360"/>
      </w:pPr>
    </w:lvl>
    <w:lvl w:ilvl="8" w:tplc="E918D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37002"/>
    <w:multiLevelType w:val="hybridMultilevel"/>
    <w:tmpl w:val="BF5A6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CFAF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56429"/>
    <w:multiLevelType w:val="multilevel"/>
    <w:tmpl w:val="F3245776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37">
    <w:nsid w:val="672E0C2A"/>
    <w:multiLevelType w:val="multilevel"/>
    <w:tmpl w:val="E5E89F92"/>
    <w:numStyleLink w:val="BulletList"/>
  </w:abstractNum>
  <w:abstractNum w:abstractNumId="38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9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A823B13"/>
    <w:multiLevelType w:val="multilevel"/>
    <w:tmpl w:val="E5E89F92"/>
    <w:numStyleLink w:val="BulletList"/>
  </w:abstractNum>
  <w:abstractNum w:abstractNumId="41">
    <w:nsid w:val="6DF2198A"/>
    <w:multiLevelType w:val="multilevel"/>
    <w:tmpl w:val="E5E89F92"/>
    <w:numStyleLink w:val="BulletList"/>
  </w:abstractNum>
  <w:abstractNum w:abstractNumId="42">
    <w:nsid w:val="6F032444"/>
    <w:multiLevelType w:val="multilevel"/>
    <w:tmpl w:val="E5E89F92"/>
    <w:numStyleLink w:val="BulletList"/>
  </w:abstractNum>
  <w:abstractNum w:abstractNumId="43">
    <w:nsid w:val="6F5C7C61"/>
    <w:multiLevelType w:val="hybridMultilevel"/>
    <w:tmpl w:val="D58E68B2"/>
    <w:lvl w:ilvl="0" w:tplc="FC9CA06A">
      <w:start w:val="1"/>
      <w:numFmt w:val="decimal"/>
      <w:lvlText w:val="%1."/>
      <w:lvlJc w:val="left"/>
      <w:pPr>
        <w:ind w:left="720" w:hanging="360"/>
      </w:pPr>
    </w:lvl>
    <w:lvl w:ilvl="1" w:tplc="AF9EE7FA">
      <w:start w:val="1"/>
      <w:numFmt w:val="lowerLetter"/>
      <w:lvlText w:val="%2."/>
      <w:lvlJc w:val="left"/>
      <w:pPr>
        <w:ind w:left="1440" w:hanging="360"/>
      </w:pPr>
    </w:lvl>
    <w:lvl w:ilvl="2" w:tplc="08F60424">
      <w:start w:val="1"/>
      <w:numFmt w:val="lowerRoman"/>
      <w:lvlText w:val="%3."/>
      <w:lvlJc w:val="right"/>
      <w:pPr>
        <w:ind w:left="2160" w:hanging="180"/>
      </w:pPr>
    </w:lvl>
    <w:lvl w:ilvl="3" w:tplc="21BA665A" w:tentative="1">
      <w:start w:val="1"/>
      <w:numFmt w:val="decimal"/>
      <w:lvlText w:val="%4."/>
      <w:lvlJc w:val="left"/>
      <w:pPr>
        <w:ind w:left="2880" w:hanging="360"/>
      </w:pPr>
    </w:lvl>
    <w:lvl w:ilvl="4" w:tplc="EE409378" w:tentative="1">
      <w:start w:val="1"/>
      <w:numFmt w:val="lowerLetter"/>
      <w:lvlText w:val="%5."/>
      <w:lvlJc w:val="left"/>
      <w:pPr>
        <w:ind w:left="3600" w:hanging="360"/>
      </w:pPr>
    </w:lvl>
    <w:lvl w:ilvl="5" w:tplc="CFE8AD04" w:tentative="1">
      <w:start w:val="1"/>
      <w:numFmt w:val="lowerRoman"/>
      <w:lvlText w:val="%6."/>
      <w:lvlJc w:val="right"/>
      <w:pPr>
        <w:ind w:left="4320" w:hanging="180"/>
      </w:pPr>
    </w:lvl>
    <w:lvl w:ilvl="6" w:tplc="25D0EC54" w:tentative="1">
      <w:start w:val="1"/>
      <w:numFmt w:val="decimal"/>
      <w:lvlText w:val="%7."/>
      <w:lvlJc w:val="left"/>
      <w:pPr>
        <w:ind w:left="5040" w:hanging="360"/>
      </w:pPr>
    </w:lvl>
    <w:lvl w:ilvl="7" w:tplc="F4364BB0" w:tentative="1">
      <w:start w:val="1"/>
      <w:numFmt w:val="lowerLetter"/>
      <w:lvlText w:val="%8."/>
      <w:lvlJc w:val="left"/>
      <w:pPr>
        <w:ind w:left="5760" w:hanging="360"/>
      </w:pPr>
    </w:lvl>
    <w:lvl w:ilvl="8" w:tplc="2FB2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7D6BDE"/>
    <w:multiLevelType w:val="hybridMultilevel"/>
    <w:tmpl w:val="E1006C1C"/>
    <w:lvl w:ilvl="0" w:tplc="0C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C700E0"/>
    <w:multiLevelType w:val="multilevel"/>
    <w:tmpl w:val="E898CC72"/>
    <w:numStyleLink w:val="KeyPoints"/>
  </w:abstractNum>
  <w:abstractNum w:abstractNumId="46">
    <w:nsid w:val="72DD4FC6"/>
    <w:multiLevelType w:val="hybridMultilevel"/>
    <w:tmpl w:val="4ABC60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8">
    <w:nsid w:val="788260C9"/>
    <w:multiLevelType w:val="multilevel"/>
    <w:tmpl w:val="E898CC72"/>
    <w:numStyleLink w:val="KeyPoints"/>
  </w:abstractNum>
  <w:abstractNum w:abstractNumId="49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7C314760"/>
    <w:multiLevelType w:val="hybridMultilevel"/>
    <w:tmpl w:val="6F9C46BE"/>
    <w:lvl w:ilvl="0" w:tplc="41D26586">
      <w:start w:val="1"/>
      <w:numFmt w:val="decimal"/>
      <w:lvlText w:val="%1."/>
      <w:lvlJc w:val="left"/>
      <w:pPr>
        <w:ind w:left="720" w:hanging="360"/>
      </w:pPr>
    </w:lvl>
    <w:lvl w:ilvl="1" w:tplc="2618E634" w:tentative="1">
      <w:start w:val="1"/>
      <w:numFmt w:val="lowerLetter"/>
      <w:lvlText w:val="%2."/>
      <w:lvlJc w:val="left"/>
      <w:pPr>
        <w:ind w:left="1440" w:hanging="360"/>
      </w:pPr>
    </w:lvl>
    <w:lvl w:ilvl="2" w:tplc="F64685C8" w:tentative="1">
      <w:start w:val="1"/>
      <w:numFmt w:val="lowerRoman"/>
      <w:lvlText w:val="%3."/>
      <w:lvlJc w:val="right"/>
      <w:pPr>
        <w:ind w:left="2160" w:hanging="180"/>
      </w:pPr>
    </w:lvl>
    <w:lvl w:ilvl="3" w:tplc="F028C664" w:tentative="1">
      <w:start w:val="1"/>
      <w:numFmt w:val="decimal"/>
      <w:lvlText w:val="%4."/>
      <w:lvlJc w:val="left"/>
      <w:pPr>
        <w:ind w:left="2880" w:hanging="360"/>
      </w:pPr>
    </w:lvl>
    <w:lvl w:ilvl="4" w:tplc="6E9CBAD2" w:tentative="1">
      <w:start w:val="1"/>
      <w:numFmt w:val="lowerLetter"/>
      <w:lvlText w:val="%5."/>
      <w:lvlJc w:val="left"/>
      <w:pPr>
        <w:ind w:left="3600" w:hanging="360"/>
      </w:pPr>
    </w:lvl>
    <w:lvl w:ilvl="5" w:tplc="B6AA4598" w:tentative="1">
      <w:start w:val="1"/>
      <w:numFmt w:val="lowerRoman"/>
      <w:lvlText w:val="%6."/>
      <w:lvlJc w:val="right"/>
      <w:pPr>
        <w:ind w:left="4320" w:hanging="180"/>
      </w:pPr>
    </w:lvl>
    <w:lvl w:ilvl="6" w:tplc="4DB471F8" w:tentative="1">
      <w:start w:val="1"/>
      <w:numFmt w:val="decimal"/>
      <w:lvlText w:val="%7."/>
      <w:lvlJc w:val="left"/>
      <w:pPr>
        <w:ind w:left="5040" w:hanging="360"/>
      </w:pPr>
    </w:lvl>
    <w:lvl w:ilvl="7" w:tplc="907A17EE" w:tentative="1">
      <w:start w:val="1"/>
      <w:numFmt w:val="lowerLetter"/>
      <w:lvlText w:val="%8."/>
      <w:lvlJc w:val="left"/>
      <w:pPr>
        <w:ind w:left="5760" w:hanging="360"/>
      </w:pPr>
    </w:lvl>
    <w:lvl w:ilvl="8" w:tplc="6AB28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3708B3"/>
    <w:multiLevelType w:val="multilevel"/>
    <w:tmpl w:val="E5E89F92"/>
    <w:numStyleLink w:val="BulletList"/>
  </w:abstractNum>
  <w:abstractNum w:abstractNumId="52">
    <w:nsid w:val="7E816E80"/>
    <w:multiLevelType w:val="hybridMultilevel"/>
    <w:tmpl w:val="F74E02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30"/>
  </w:num>
  <w:num w:numId="5">
    <w:abstractNumId w:val="43"/>
  </w:num>
  <w:num w:numId="6">
    <w:abstractNumId w:val="44"/>
  </w:num>
  <w:num w:numId="7">
    <w:abstractNumId w:val="39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7"/>
  </w:num>
  <w:num w:numId="15">
    <w:abstractNumId w:val="18"/>
  </w:num>
  <w:num w:numId="16">
    <w:abstractNumId w:val="49"/>
  </w:num>
  <w:num w:numId="17">
    <w:abstractNumId w:val="12"/>
  </w:num>
  <w:num w:numId="18">
    <w:abstractNumId w:val="37"/>
  </w:num>
  <w:num w:numId="19">
    <w:abstractNumId w:val="11"/>
  </w:num>
  <w:num w:numId="20">
    <w:abstractNumId w:val="24"/>
  </w:num>
  <w:num w:numId="21">
    <w:abstractNumId w:val="15"/>
  </w:num>
  <w:num w:numId="22">
    <w:abstractNumId w:val="22"/>
  </w:num>
  <w:num w:numId="23">
    <w:abstractNumId w:val="31"/>
  </w:num>
  <w:num w:numId="24">
    <w:abstractNumId w:val="42"/>
  </w:num>
  <w:num w:numId="25">
    <w:abstractNumId w:val="38"/>
  </w:num>
  <w:num w:numId="26">
    <w:abstractNumId w:val="29"/>
  </w:num>
  <w:num w:numId="27">
    <w:abstractNumId w:val="45"/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8"/>
  </w:num>
  <w:num w:numId="31">
    <w:abstractNumId w:val="41"/>
  </w:num>
  <w:num w:numId="32">
    <w:abstractNumId w:val="38"/>
  </w:num>
  <w:num w:numId="33">
    <w:abstractNumId w:val="33"/>
  </w:num>
  <w:num w:numId="34">
    <w:abstractNumId w:val="19"/>
  </w:num>
  <w:num w:numId="35">
    <w:abstractNumId w:val="34"/>
  </w:num>
  <w:num w:numId="36">
    <w:abstractNumId w:val="50"/>
  </w:num>
  <w:num w:numId="37">
    <w:abstractNumId w:val="50"/>
    <w:lvlOverride w:ilvl="0">
      <w:startOverride w:val="1"/>
    </w:lvlOverride>
  </w:num>
  <w:num w:numId="38">
    <w:abstractNumId w:val="8"/>
  </w:num>
  <w:num w:numId="39">
    <w:abstractNumId w:val="26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8"/>
  </w:num>
  <w:num w:numId="45">
    <w:abstractNumId w:val="40"/>
  </w:num>
  <w:num w:numId="46">
    <w:abstractNumId w:val="51"/>
  </w:num>
  <w:num w:numId="47">
    <w:abstractNumId w:val="36"/>
  </w:num>
  <w:num w:numId="48">
    <w:abstractNumId w:val="20"/>
  </w:num>
  <w:num w:numId="49">
    <w:abstractNumId w:val="23"/>
  </w:num>
  <w:num w:numId="50">
    <w:abstractNumId w:val="35"/>
  </w:num>
  <w:num w:numId="5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</w:num>
  <w:num w:numId="55">
    <w:abstractNumId w:val="17"/>
  </w:num>
  <w:num w:numId="56">
    <w:abstractNumId w:val="46"/>
  </w:num>
  <w:num w:numId="57">
    <w:abstractNumId w:val="32"/>
  </w:num>
  <w:num w:numId="58">
    <w:abstractNumId w:val="2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41275D"/>
    <w:rsid w:val="00004AEE"/>
    <w:rsid w:val="00005CAA"/>
    <w:rsid w:val="00006772"/>
    <w:rsid w:val="00010210"/>
    <w:rsid w:val="00012D66"/>
    <w:rsid w:val="00015ADA"/>
    <w:rsid w:val="00020C99"/>
    <w:rsid w:val="000259AC"/>
    <w:rsid w:val="0002707B"/>
    <w:rsid w:val="000278E5"/>
    <w:rsid w:val="0005148E"/>
    <w:rsid w:val="000759E5"/>
    <w:rsid w:val="0007601C"/>
    <w:rsid w:val="00084AC6"/>
    <w:rsid w:val="00091608"/>
    <w:rsid w:val="0009333C"/>
    <w:rsid w:val="0009704F"/>
    <w:rsid w:val="000A0F11"/>
    <w:rsid w:val="000A125A"/>
    <w:rsid w:val="000A228F"/>
    <w:rsid w:val="000A57CD"/>
    <w:rsid w:val="000B3758"/>
    <w:rsid w:val="000B7681"/>
    <w:rsid w:val="000B7B42"/>
    <w:rsid w:val="000C02B7"/>
    <w:rsid w:val="000C2814"/>
    <w:rsid w:val="000C451B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23035"/>
    <w:rsid w:val="001337D4"/>
    <w:rsid w:val="00147C12"/>
    <w:rsid w:val="001527A1"/>
    <w:rsid w:val="001530DC"/>
    <w:rsid w:val="00154989"/>
    <w:rsid w:val="00155A9F"/>
    <w:rsid w:val="0015684F"/>
    <w:rsid w:val="00160262"/>
    <w:rsid w:val="0016433A"/>
    <w:rsid w:val="00164C7A"/>
    <w:rsid w:val="0016780A"/>
    <w:rsid w:val="001713FA"/>
    <w:rsid w:val="00173EBF"/>
    <w:rsid w:val="001765DA"/>
    <w:rsid w:val="001842A2"/>
    <w:rsid w:val="00187FA8"/>
    <w:rsid w:val="001922D0"/>
    <w:rsid w:val="00192F5E"/>
    <w:rsid w:val="00197772"/>
    <w:rsid w:val="001A51C8"/>
    <w:rsid w:val="001B472B"/>
    <w:rsid w:val="001B4CA8"/>
    <w:rsid w:val="001C4F3D"/>
    <w:rsid w:val="001D0CDC"/>
    <w:rsid w:val="001D1D82"/>
    <w:rsid w:val="001E1182"/>
    <w:rsid w:val="001E7F72"/>
    <w:rsid w:val="001F0E8B"/>
    <w:rsid w:val="00200944"/>
    <w:rsid w:val="00202C90"/>
    <w:rsid w:val="00213DE8"/>
    <w:rsid w:val="00216118"/>
    <w:rsid w:val="002209AB"/>
    <w:rsid w:val="002251E3"/>
    <w:rsid w:val="00227A95"/>
    <w:rsid w:val="002316BD"/>
    <w:rsid w:val="002336F3"/>
    <w:rsid w:val="002473FC"/>
    <w:rsid w:val="00251CE7"/>
    <w:rsid w:val="00252E3C"/>
    <w:rsid w:val="002544E8"/>
    <w:rsid w:val="00262198"/>
    <w:rsid w:val="00285F1B"/>
    <w:rsid w:val="00292B81"/>
    <w:rsid w:val="00296477"/>
    <w:rsid w:val="002974BC"/>
    <w:rsid w:val="002B18AE"/>
    <w:rsid w:val="002C1C93"/>
    <w:rsid w:val="002C5066"/>
    <w:rsid w:val="002D4AAC"/>
    <w:rsid w:val="002D6C33"/>
    <w:rsid w:val="002F045A"/>
    <w:rsid w:val="0030039D"/>
    <w:rsid w:val="00300715"/>
    <w:rsid w:val="0030326F"/>
    <w:rsid w:val="00310701"/>
    <w:rsid w:val="00315980"/>
    <w:rsid w:val="00316F7F"/>
    <w:rsid w:val="00320162"/>
    <w:rsid w:val="003218E8"/>
    <w:rsid w:val="00330DCE"/>
    <w:rsid w:val="00331E11"/>
    <w:rsid w:val="00334761"/>
    <w:rsid w:val="00337EBC"/>
    <w:rsid w:val="00341DCD"/>
    <w:rsid w:val="0034504D"/>
    <w:rsid w:val="0034563E"/>
    <w:rsid w:val="003518D6"/>
    <w:rsid w:val="0035460C"/>
    <w:rsid w:val="003556BD"/>
    <w:rsid w:val="00355C83"/>
    <w:rsid w:val="00365147"/>
    <w:rsid w:val="0037016E"/>
    <w:rsid w:val="00370E55"/>
    <w:rsid w:val="00371536"/>
    <w:rsid w:val="00372908"/>
    <w:rsid w:val="00381917"/>
    <w:rsid w:val="00383020"/>
    <w:rsid w:val="003975FD"/>
    <w:rsid w:val="003A0593"/>
    <w:rsid w:val="003B60CC"/>
    <w:rsid w:val="003C1B25"/>
    <w:rsid w:val="003C2443"/>
    <w:rsid w:val="003C5D33"/>
    <w:rsid w:val="003C5DA3"/>
    <w:rsid w:val="003D3967"/>
    <w:rsid w:val="003D4BCD"/>
    <w:rsid w:val="003E01D8"/>
    <w:rsid w:val="003E2100"/>
    <w:rsid w:val="003F6F5B"/>
    <w:rsid w:val="0040342D"/>
    <w:rsid w:val="0041192D"/>
    <w:rsid w:val="0041275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245D"/>
    <w:rsid w:val="004B66F1"/>
    <w:rsid w:val="004C3B7B"/>
    <w:rsid w:val="004C3EA0"/>
    <w:rsid w:val="004F7169"/>
    <w:rsid w:val="00500D66"/>
    <w:rsid w:val="005036A6"/>
    <w:rsid w:val="00504B1E"/>
    <w:rsid w:val="00514C8E"/>
    <w:rsid w:val="00517F35"/>
    <w:rsid w:val="00523ED3"/>
    <w:rsid w:val="00531DBF"/>
    <w:rsid w:val="005337FC"/>
    <w:rsid w:val="00545759"/>
    <w:rsid w:val="00545BE0"/>
    <w:rsid w:val="00554C6A"/>
    <w:rsid w:val="00562E85"/>
    <w:rsid w:val="0056332F"/>
    <w:rsid w:val="00573153"/>
    <w:rsid w:val="00581C39"/>
    <w:rsid w:val="005903B6"/>
    <w:rsid w:val="00592B20"/>
    <w:rsid w:val="005A0247"/>
    <w:rsid w:val="005A02E3"/>
    <w:rsid w:val="005A126E"/>
    <w:rsid w:val="005A452F"/>
    <w:rsid w:val="005B140D"/>
    <w:rsid w:val="005C1FEA"/>
    <w:rsid w:val="005C3495"/>
    <w:rsid w:val="005E3DFC"/>
    <w:rsid w:val="005E60AF"/>
    <w:rsid w:val="005E7B4E"/>
    <w:rsid w:val="005F1DEA"/>
    <w:rsid w:val="00607FC9"/>
    <w:rsid w:val="0061490C"/>
    <w:rsid w:val="00622FE1"/>
    <w:rsid w:val="0062521C"/>
    <w:rsid w:val="00630A2B"/>
    <w:rsid w:val="00632DC7"/>
    <w:rsid w:val="00633896"/>
    <w:rsid w:val="006357FB"/>
    <w:rsid w:val="006406FC"/>
    <w:rsid w:val="0064407B"/>
    <w:rsid w:val="00646122"/>
    <w:rsid w:val="00653E16"/>
    <w:rsid w:val="00657220"/>
    <w:rsid w:val="0066104B"/>
    <w:rsid w:val="006655EE"/>
    <w:rsid w:val="00665D45"/>
    <w:rsid w:val="006671F6"/>
    <w:rsid w:val="00667C10"/>
    <w:rsid w:val="00667EF4"/>
    <w:rsid w:val="00676FCA"/>
    <w:rsid w:val="00677177"/>
    <w:rsid w:val="0068612E"/>
    <w:rsid w:val="00687C92"/>
    <w:rsid w:val="006931AC"/>
    <w:rsid w:val="0069534E"/>
    <w:rsid w:val="0069669C"/>
    <w:rsid w:val="006A1200"/>
    <w:rsid w:val="006A2C5A"/>
    <w:rsid w:val="006A4F4E"/>
    <w:rsid w:val="006B14DB"/>
    <w:rsid w:val="006B21C4"/>
    <w:rsid w:val="006C4A1A"/>
    <w:rsid w:val="006D0393"/>
    <w:rsid w:val="006D1A83"/>
    <w:rsid w:val="006E1CFE"/>
    <w:rsid w:val="006E31A2"/>
    <w:rsid w:val="006E4BFF"/>
    <w:rsid w:val="006F10C4"/>
    <w:rsid w:val="006F40E9"/>
    <w:rsid w:val="006F5603"/>
    <w:rsid w:val="00701400"/>
    <w:rsid w:val="007037CF"/>
    <w:rsid w:val="0070459F"/>
    <w:rsid w:val="00716583"/>
    <w:rsid w:val="007167C0"/>
    <w:rsid w:val="00720481"/>
    <w:rsid w:val="00727C18"/>
    <w:rsid w:val="00727E2F"/>
    <w:rsid w:val="00733193"/>
    <w:rsid w:val="00737CBA"/>
    <w:rsid w:val="00754C17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2D61"/>
    <w:rsid w:val="00791024"/>
    <w:rsid w:val="00794818"/>
    <w:rsid w:val="007A2573"/>
    <w:rsid w:val="007A3B9C"/>
    <w:rsid w:val="007B106C"/>
    <w:rsid w:val="007B1A4E"/>
    <w:rsid w:val="007B3D05"/>
    <w:rsid w:val="007B5503"/>
    <w:rsid w:val="007C6BB3"/>
    <w:rsid w:val="007D14B4"/>
    <w:rsid w:val="007D3AD7"/>
    <w:rsid w:val="007E24F6"/>
    <w:rsid w:val="007F5396"/>
    <w:rsid w:val="00800F64"/>
    <w:rsid w:val="00802F0B"/>
    <w:rsid w:val="00804494"/>
    <w:rsid w:val="00810A67"/>
    <w:rsid w:val="00833CF7"/>
    <w:rsid w:val="00845601"/>
    <w:rsid w:val="00850276"/>
    <w:rsid w:val="0085412F"/>
    <w:rsid w:val="00855C5C"/>
    <w:rsid w:val="0086233C"/>
    <w:rsid w:val="00865CFA"/>
    <w:rsid w:val="00882380"/>
    <w:rsid w:val="008A3C96"/>
    <w:rsid w:val="008A5CFB"/>
    <w:rsid w:val="008B0BBA"/>
    <w:rsid w:val="008B4019"/>
    <w:rsid w:val="008B505F"/>
    <w:rsid w:val="008B65C9"/>
    <w:rsid w:val="008C2D4A"/>
    <w:rsid w:val="008C6A05"/>
    <w:rsid w:val="008C7DBB"/>
    <w:rsid w:val="008D3900"/>
    <w:rsid w:val="008D6E1D"/>
    <w:rsid w:val="008D6EDB"/>
    <w:rsid w:val="008E36FE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47507"/>
    <w:rsid w:val="00952DDF"/>
    <w:rsid w:val="00976F21"/>
    <w:rsid w:val="009812D4"/>
    <w:rsid w:val="009873F4"/>
    <w:rsid w:val="009920D8"/>
    <w:rsid w:val="009A371F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17C39"/>
    <w:rsid w:val="00A238AA"/>
    <w:rsid w:val="00A338CB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70A6C"/>
    <w:rsid w:val="00A762BB"/>
    <w:rsid w:val="00A82673"/>
    <w:rsid w:val="00A830E5"/>
    <w:rsid w:val="00A87135"/>
    <w:rsid w:val="00A93280"/>
    <w:rsid w:val="00A951EA"/>
    <w:rsid w:val="00A961A6"/>
    <w:rsid w:val="00A973E1"/>
    <w:rsid w:val="00AA1C65"/>
    <w:rsid w:val="00AA2548"/>
    <w:rsid w:val="00AA3B6E"/>
    <w:rsid w:val="00AA58C4"/>
    <w:rsid w:val="00AB11C8"/>
    <w:rsid w:val="00AC08A8"/>
    <w:rsid w:val="00AD56C8"/>
    <w:rsid w:val="00AD58F2"/>
    <w:rsid w:val="00B0512A"/>
    <w:rsid w:val="00B0529F"/>
    <w:rsid w:val="00B05D52"/>
    <w:rsid w:val="00B067F4"/>
    <w:rsid w:val="00B1418B"/>
    <w:rsid w:val="00B21195"/>
    <w:rsid w:val="00B24B22"/>
    <w:rsid w:val="00B25310"/>
    <w:rsid w:val="00B32F8F"/>
    <w:rsid w:val="00B47C42"/>
    <w:rsid w:val="00B510B1"/>
    <w:rsid w:val="00B518F2"/>
    <w:rsid w:val="00B54DE9"/>
    <w:rsid w:val="00B553EC"/>
    <w:rsid w:val="00B55870"/>
    <w:rsid w:val="00B80D6D"/>
    <w:rsid w:val="00B9154F"/>
    <w:rsid w:val="00B93DD0"/>
    <w:rsid w:val="00B97732"/>
    <w:rsid w:val="00BA65A8"/>
    <w:rsid w:val="00BA6D19"/>
    <w:rsid w:val="00BA7461"/>
    <w:rsid w:val="00BA7DA9"/>
    <w:rsid w:val="00BC4215"/>
    <w:rsid w:val="00BD0396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0941"/>
    <w:rsid w:val="00C5504F"/>
    <w:rsid w:val="00C55991"/>
    <w:rsid w:val="00C63376"/>
    <w:rsid w:val="00C66CB4"/>
    <w:rsid w:val="00C74F97"/>
    <w:rsid w:val="00C76A08"/>
    <w:rsid w:val="00C8276E"/>
    <w:rsid w:val="00C83AD1"/>
    <w:rsid w:val="00C842AC"/>
    <w:rsid w:val="00C92E81"/>
    <w:rsid w:val="00C93FD9"/>
    <w:rsid w:val="00C96688"/>
    <w:rsid w:val="00CA0723"/>
    <w:rsid w:val="00CA4542"/>
    <w:rsid w:val="00CB1690"/>
    <w:rsid w:val="00CC20AD"/>
    <w:rsid w:val="00CC4365"/>
    <w:rsid w:val="00CD11B0"/>
    <w:rsid w:val="00CE71C2"/>
    <w:rsid w:val="00CF01F1"/>
    <w:rsid w:val="00CF42D5"/>
    <w:rsid w:val="00CF4EDA"/>
    <w:rsid w:val="00D021CB"/>
    <w:rsid w:val="00D027E0"/>
    <w:rsid w:val="00D10F1A"/>
    <w:rsid w:val="00D116F8"/>
    <w:rsid w:val="00D17596"/>
    <w:rsid w:val="00D22640"/>
    <w:rsid w:val="00D26D3A"/>
    <w:rsid w:val="00D44524"/>
    <w:rsid w:val="00D45C91"/>
    <w:rsid w:val="00D45EE3"/>
    <w:rsid w:val="00D50618"/>
    <w:rsid w:val="00D509E9"/>
    <w:rsid w:val="00D53B1C"/>
    <w:rsid w:val="00D652C8"/>
    <w:rsid w:val="00D83615"/>
    <w:rsid w:val="00DA1B12"/>
    <w:rsid w:val="00DA54C9"/>
    <w:rsid w:val="00DA6739"/>
    <w:rsid w:val="00DA6CAE"/>
    <w:rsid w:val="00DB1A9E"/>
    <w:rsid w:val="00DB31D6"/>
    <w:rsid w:val="00DB4005"/>
    <w:rsid w:val="00DB532A"/>
    <w:rsid w:val="00DC34EB"/>
    <w:rsid w:val="00DC78C0"/>
    <w:rsid w:val="00DD1284"/>
    <w:rsid w:val="00DF1E5B"/>
    <w:rsid w:val="00DF2275"/>
    <w:rsid w:val="00DF3F5E"/>
    <w:rsid w:val="00DF5653"/>
    <w:rsid w:val="00E0596E"/>
    <w:rsid w:val="00E06F66"/>
    <w:rsid w:val="00E356E5"/>
    <w:rsid w:val="00E36F81"/>
    <w:rsid w:val="00E378A8"/>
    <w:rsid w:val="00E45765"/>
    <w:rsid w:val="00E5098C"/>
    <w:rsid w:val="00E60213"/>
    <w:rsid w:val="00E661B2"/>
    <w:rsid w:val="00E74D29"/>
    <w:rsid w:val="00E806FF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EF71E4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37C48"/>
    <w:rsid w:val="00F477BD"/>
    <w:rsid w:val="00F50333"/>
    <w:rsid w:val="00F53491"/>
    <w:rsid w:val="00F54656"/>
    <w:rsid w:val="00F60181"/>
    <w:rsid w:val="00F65A1C"/>
    <w:rsid w:val="00F66F50"/>
    <w:rsid w:val="00F77432"/>
    <w:rsid w:val="00F82FF8"/>
    <w:rsid w:val="00F8330D"/>
    <w:rsid w:val="00F84305"/>
    <w:rsid w:val="00F8485C"/>
    <w:rsid w:val="00F87149"/>
    <w:rsid w:val="00F87FFE"/>
    <w:rsid w:val="00F954C9"/>
    <w:rsid w:val="00FA42A3"/>
    <w:rsid w:val="00FA4CF0"/>
    <w:rsid w:val="00FA61AA"/>
    <w:rsid w:val="00FA69A4"/>
    <w:rsid w:val="00FB1279"/>
    <w:rsid w:val="00FB1495"/>
    <w:rsid w:val="00FC20F8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</w:style>
  <w:style w:type="paragraph" w:styleId="ListBullet2">
    <w:name w:val="List Bullet 2"/>
    <w:basedOn w:val="Normal"/>
    <w:uiPriority w:val="99"/>
    <w:unhideWhenUsed/>
    <w:rsid w:val="00091608"/>
  </w:style>
  <w:style w:type="paragraph" w:styleId="ListBullet3">
    <w:name w:val="List Bullet 3"/>
    <w:basedOn w:val="Normal"/>
    <w:uiPriority w:val="99"/>
    <w:unhideWhenUsed/>
    <w:rsid w:val="00091608"/>
  </w:style>
  <w:style w:type="paragraph" w:styleId="ListBullet4">
    <w:name w:val="List Bullet 4"/>
    <w:basedOn w:val="Normal"/>
    <w:uiPriority w:val="99"/>
    <w:unhideWhenUsed/>
    <w:rsid w:val="00091608"/>
  </w:style>
  <w:style w:type="paragraph" w:styleId="ListBullet5">
    <w:name w:val="List Bullet 5"/>
    <w:basedOn w:val="Normal"/>
    <w:uiPriority w:val="99"/>
    <w:unhideWhenUsed/>
    <w:rsid w:val="00091608"/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customStyle="1" w:styleId="Default">
    <w:name w:val="Default"/>
    <w:rsid w:val="00737C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A41D9-6BE5-4854-A19F-F727E581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4988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to decision maker on coal mining project</dc:title>
  <dc:creator/>
  <cp:lastModifiedBy/>
  <cp:revision>1</cp:revision>
  <dcterms:created xsi:type="dcterms:W3CDTF">2014-10-08T03:49:00Z</dcterms:created>
  <dcterms:modified xsi:type="dcterms:W3CDTF">2014-10-08T03:49:00Z</dcterms:modified>
</cp:coreProperties>
</file>