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A" w:rsidRDefault="00DC78C0" w:rsidP="00CF3964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-871855</wp:posOffset>
            </wp:positionV>
            <wp:extent cx="7535545" cy="2552700"/>
            <wp:effectExtent l="19050" t="0" r="8255" b="0"/>
            <wp:wrapThrough wrapText="bothSides">
              <wp:wrapPolygon edited="0">
                <wp:start x="-55" y="0"/>
                <wp:lineTo x="-55" y="21439"/>
                <wp:lineTo x="21624" y="21439"/>
                <wp:lineTo x="21624" y="0"/>
                <wp:lineTo x="-5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65DA">
        <w:rPr>
          <w:rFonts w:ascii="Arial" w:hAnsi="Arial" w:cs="Arial"/>
          <w:b/>
        </w:rPr>
        <w:t xml:space="preserve">Advice to decision maker on coal </w:t>
      </w:r>
      <w:r w:rsidR="00DE67FB">
        <w:rPr>
          <w:rFonts w:ascii="Arial" w:hAnsi="Arial" w:cs="Arial"/>
          <w:b/>
        </w:rPr>
        <w:t xml:space="preserve">seam gas </w:t>
      </w:r>
      <w:r w:rsidR="001765DA">
        <w:rPr>
          <w:rFonts w:ascii="Arial" w:hAnsi="Arial" w:cs="Arial"/>
          <w:b/>
        </w:rPr>
        <w:t>project</w:t>
      </w:r>
    </w:p>
    <w:bookmarkEnd w:id="0"/>
    <w:bookmarkEnd w:id="1"/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>
        <w:rPr>
          <w:rFonts w:ascii="Arial" w:hAnsi="Arial" w:cs="Arial"/>
          <w:b/>
        </w:rPr>
        <w:t xml:space="preserve"> </w:t>
      </w:r>
      <w:r w:rsidRPr="00B451D3">
        <w:rPr>
          <w:rFonts w:ascii="Arial" w:hAnsi="Arial" w:cs="Arial"/>
          <w:b/>
          <w:sz w:val="20"/>
          <w:lang w:eastAsia="en-AU"/>
        </w:rPr>
        <w:t>Proposed action</w:t>
      </w:r>
      <w:r>
        <w:rPr>
          <w:rFonts w:ascii="Arial" w:hAnsi="Arial" w:cs="Arial"/>
          <w:b/>
          <w:sz w:val="20"/>
          <w:lang w:eastAsia="en-AU"/>
        </w:rPr>
        <w:t>:</w:t>
      </w:r>
      <w:r w:rsidR="002974BC">
        <w:rPr>
          <w:rFonts w:ascii="Arial" w:hAnsi="Arial" w:cs="Arial"/>
          <w:b/>
          <w:sz w:val="20"/>
          <w:lang w:eastAsia="en-AU"/>
        </w:rPr>
        <w:t xml:space="preserve"> </w:t>
      </w:r>
      <w:r w:rsidR="00293F6D">
        <w:rPr>
          <w:rFonts w:ascii="Arial" w:hAnsi="Arial" w:cs="Arial"/>
          <w:b/>
          <w:sz w:val="20"/>
          <w:lang w:eastAsia="en-AU"/>
        </w:rPr>
        <w:t>Coal seam g</w:t>
      </w:r>
      <w:r w:rsidR="00DE67FB">
        <w:rPr>
          <w:rFonts w:ascii="Arial" w:hAnsi="Arial" w:cs="Arial"/>
          <w:b/>
          <w:sz w:val="20"/>
          <w:lang w:eastAsia="en-AU"/>
        </w:rPr>
        <w:t>as project</w:t>
      </w:r>
      <w:r w:rsidR="00A10BAB">
        <w:rPr>
          <w:rFonts w:ascii="Arial" w:hAnsi="Arial" w:cs="Arial"/>
          <w:b/>
          <w:sz w:val="20"/>
          <w:lang w:eastAsia="en-AU"/>
        </w:rPr>
        <w:t xml:space="preserve"> </w:t>
      </w:r>
      <w:r w:rsidR="00703BB8">
        <w:rPr>
          <w:rFonts w:ascii="Arial" w:hAnsi="Arial" w:cs="Arial"/>
          <w:b/>
          <w:sz w:val="20"/>
          <w:lang w:eastAsia="en-AU"/>
        </w:rPr>
        <w:t xml:space="preserve"> </w:t>
      </w:r>
    </w:p>
    <w:p w:rsidR="008C6A05" w:rsidRPr="00B451D3" w:rsidRDefault="008C6A05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B451D3" w:rsidTr="00CF396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CF3964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CF3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</w:t>
            </w:r>
            <w:bookmarkStart w:id="2" w:name="_GoBack"/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1765DA" w:rsidRPr="00B451D3" w:rsidTr="00CF396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Default="001765DA" w:rsidP="00CF3964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812584" w:rsidP="002B3BF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 June </w:t>
            </w:r>
            <w:r w:rsidR="007165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1765DA" w:rsidRPr="00B451D3" w:rsidTr="00CF396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1765DA" w:rsidP="00CF3964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Project title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627EEF" w:rsidP="00CF39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bookmarkStart w:id="3" w:name="OLE_LINK3"/>
            <w:bookmarkStart w:id="4" w:name="OLE_LINK4"/>
            <w:r w:rsidRPr="00627EEF">
              <w:rPr>
                <w:rFonts w:ascii="Arial" w:hAnsi="Arial" w:cs="Arial"/>
                <w:b/>
                <w:sz w:val="22"/>
              </w:rPr>
              <w:t xml:space="preserve">SANTOS FUTURE GAS SUPPLY AREA PROJECT, CENTRAL SOUTHERN QUEENSLAND </w:t>
            </w:r>
            <w:bookmarkEnd w:id="3"/>
            <w:bookmarkEnd w:id="4"/>
            <w:r w:rsidRPr="00627EEF">
              <w:rPr>
                <w:rFonts w:ascii="Arial" w:hAnsi="Arial" w:cs="Arial"/>
                <w:b/>
                <w:sz w:val="22"/>
              </w:rPr>
              <w:t>(EPBC 2012/6357)</w:t>
            </w:r>
          </w:p>
        </w:tc>
      </w:tr>
      <w:tr w:rsidR="001765DA" w:rsidRPr="00B451D3" w:rsidTr="00727E2F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454292" w:rsidRDefault="001765DA" w:rsidP="00727E2F">
            <w:pPr>
              <w:tabs>
                <w:tab w:val="left" w:pos="425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 (the department) has assessed proposed projects in accordance with the provisions of the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419" w:rsidRPr="00661419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454292">
              <w:rPr>
                <w:rFonts w:ascii="Arial" w:hAnsi="Arial" w:cs="Arial"/>
                <w:i/>
                <w:sz w:val="20"/>
                <w:szCs w:val="20"/>
              </w:rPr>
              <w:t>nvironment Protection and Biodiversity Conservation Act 1999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51F3" w:rsidRPr="00627EEF" w:rsidRDefault="00703BB8" w:rsidP="00C951F3">
            <w:pPr>
              <w:tabs>
                <w:tab w:val="left" w:pos="425"/>
              </w:tabs>
              <w:rPr>
                <w:rFonts w:ascii="Arial" w:hAnsi="Arial" w:cs="Arial"/>
                <w:sz w:val="20"/>
                <w:szCs w:val="20"/>
              </w:rPr>
            </w:pPr>
            <w:r w:rsidRPr="00703BB8">
              <w:rPr>
                <w:rFonts w:ascii="Arial" w:hAnsi="Arial" w:cs="Arial"/>
                <w:sz w:val="20"/>
                <w:szCs w:val="20"/>
              </w:rPr>
              <w:t xml:space="preserve">The department advises the </w:t>
            </w:r>
            <w:r w:rsidR="00EA6308">
              <w:rPr>
                <w:rFonts w:ascii="Arial" w:hAnsi="Arial" w:cs="Arial"/>
                <w:sz w:val="20"/>
                <w:szCs w:val="20"/>
              </w:rPr>
              <w:t>Interim In</w:t>
            </w:r>
            <w:r w:rsidR="009D6232">
              <w:rPr>
                <w:rFonts w:ascii="Arial" w:hAnsi="Arial" w:cs="Arial"/>
                <w:sz w:val="20"/>
                <w:szCs w:val="20"/>
              </w:rPr>
              <w:t xml:space="preserve">dependent Expert Scientific </w:t>
            </w:r>
            <w:r w:rsidRPr="00703BB8">
              <w:rPr>
                <w:rFonts w:ascii="Arial" w:hAnsi="Arial" w:cs="Arial"/>
                <w:sz w:val="20"/>
                <w:szCs w:val="20"/>
              </w:rPr>
              <w:t>Committee</w:t>
            </w:r>
            <w:r w:rsidR="009D6232">
              <w:rPr>
                <w:rFonts w:ascii="Arial" w:hAnsi="Arial" w:cs="Arial"/>
                <w:sz w:val="20"/>
                <w:szCs w:val="20"/>
              </w:rPr>
              <w:t xml:space="preserve"> on Coal Seam Gas and Coal Mining (the committee)</w:t>
            </w:r>
            <w:r w:rsidRPr="00703BB8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627EEF">
              <w:rPr>
                <w:rFonts w:ascii="Arial" w:hAnsi="Arial" w:cs="Arial"/>
                <w:sz w:val="20"/>
                <w:szCs w:val="20"/>
              </w:rPr>
              <w:t xml:space="preserve">f an opportunity to comment on Terms of Reference for the Environmental Impact Statement. </w:t>
            </w:r>
            <w:r w:rsidR="00C951F3" w:rsidRPr="00627EEF">
              <w:rPr>
                <w:rFonts w:ascii="Arial" w:hAnsi="Arial" w:cs="Arial"/>
                <w:sz w:val="20"/>
                <w:szCs w:val="20"/>
              </w:rPr>
              <w:t xml:space="preserve">The department is seeking the committee’s advice on water-related impacts on matters of national environmental significance including the impact of the activity on water resources and the environmental values that this water supports. Specifically the department seeks </w:t>
            </w:r>
            <w:r w:rsidR="00293F6D">
              <w:rPr>
                <w:rFonts w:ascii="Arial" w:hAnsi="Arial" w:cs="Arial"/>
                <w:sz w:val="20"/>
                <w:szCs w:val="20"/>
              </w:rPr>
              <w:t>advice</w:t>
            </w:r>
            <w:r w:rsidR="00C951F3" w:rsidRPr="00627EEF">
              <w:rPr>
                <w:rFonts w:ascii="Arial" w:hAnsi="Arial" w:cs="Arial"/>
                <w:sz w:val="20"/>
                <w:szCs w:val="20"/>
              </w:rPr>
              <w:t xml:space="preserve"> on:</w:t>
            </w:r>
          </w:p>
          <w:p w:rsidR="00C951F3" w:rsidRPr="00627EEF" w:rsidRDefault="00C951F3" w:rsidP="00662299">
            <w:pPr>
              <w:pStyle w:val="ListBullet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627EEF">
              <w:rPr>
                <w:rFonts w:ascii="Arial" w:hAnsi="Arial" w:cs="Arial"/>
                <w:sz w:val="20"/>
                <w:szCs w:val="20"/>
              </w:rPr>
              <w:t>likely operational impacts to ground</w:t>
            </w:r>
            <w:r w:rsidR="00293F6D">
              <w:rPr>
                <w:rFonts w:ascii="Arial" w:hAnsi="Arial" w:cs="Arial"/>
                <w:sz w:val="20"/>
                <w:szCs w:val="20"/>
              </w:rPr>
              <w:t>water</w:t>
            </w:r>
            <w:r w:rsidRPr="00627EEF">
              <w:rPr>
                <w:rFonts w:ascii="Arial" w:hAnsi="Arial" w:cs="Arial"/>
                <w:sz w:val="20"/>
                <w:szCs w:val="20"/>
              </w:rPr>
              <w:t xml:space="preserve"> and surface water within the project area and downstream; </w:t>
            </w:r>
          </w:p>
          <w:p w:rsidR="00C951F3" w:rsidRDefault="00293F6D" w:rsidP="00662299">
            <w:pPr>
              <w:pStyle w:val="ListBullet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water-</w:t>
            </w:r>
            <w:r w:rsidR="00C951F3" w:rsidRPr="00627EEF">
              <w:rPr>
                <w:rFonts w:ascii="Arial" w:hAnsi="Arial" w:cs="Arial"/>
                <w:sz w:val="20"/>
                <w:szCs w:val="20"/>
              </w:rPr>
              <w:t>related impacts to listed threatened species and communities and listed migratory species depe</w:t>
            </w:r>
            <w:r>
              <w:rPr>
                <w:rFonts w:ascii="Arial" w:hAnsi="Arial" w:cs="Arial"/>
                <w:sz w:val="20"/>
                <w:szCs w:val="20"/>
              </w:rPr>
              <w:t>ndent on key surface and ground</w:t>
            </w:r>
            <w:r w:rsidR="00C951F3" w:rsidRPr="00627EEF">
              <w:rPr>
                <w:rFonts w:ascii="Arial" w:hAnsi="Arial" w:cs="Arial"/>
                <w:sz w:val="20"/>
                <w:szCs w:val="20"/>
              </w:rPr>
              <w:t>water resources and to Ramsar Wetlands (in particular the Narran Lakes Ramsar site); and</w:t>
            </w:r>
          </w:p>
          <w:p w:rsidR="00C951F3" w:rsidRPr="00627EEF" w:rsidRDefault="00C951F3" w:rsidP="00662299">
            <w:pPr>
              <w:pStyle w:val="ListBullet"/>
              <w:numPr>
                <w:ilvl w:val="0"/>
                <w:numId w:val="12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27EEF">
              <w:rPr>
                <w:rFonts w:ascii="Arial" w:hAnsi="Arial" w:cs="Arial"/>
                <w:sz w:val="20"/>
                <w:szCs w:val="20"/>
              </w:rPr>
              <w:t>hydrological</w:t>
            </w:r>
            <w:proofErr w:type="gramEnd"/>
            <w:r w:rsidRPr="00627EEF">
              <w:rPr>
                <w:rFonts w:ascii="Arial" w:hAnsi="Arial" w:cs="Arial"/>
                <w:sz w:val="20"/>
                <w:szCs w:val="20"/>
              </w:rPr>
              <w:t xml:space="preserve"> impacts on economic and social matters.</w:t>
            </w:r>
          </w:p>
          <w:p w:rsidR="00C951F3" w:rsidRPr="00627EEF" w:rsidRDefault="00C951F3" w:rsidP="00C951F3">
            <w:pPr>
              <w:pStyle w:val="ListBullet"/>
              <w:ind w:left="284" w:hanging="284"/>
              <w:rPr>
                <w:rFonts w:ascii="Arial" w:hAnsi="Arial" w:cs="Arial"/>
                <w:sz w:val="20"/>
                <w:szCs w:val="20"/>
              </w:rPr>
            </w:pPr>
          </w:p>
          <w:p w:rsidR="00727E2F" w:rsidRPr="00737CBA" w:rsidRDefault="00BA0206" w:rsidP="00BA0206">
            <w:pPr>
              <w:pStyle w:val="Default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703BB8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department requests comments for incorporation by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1 August 2012.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765DA" w:rsidRPr="00C83AD1" w:rsidTr="0072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CB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  <w:r w:rsidRPr="00F37C48">
              <w:rPr>
                <w:rFonts w:ascii="Arial" w:hAnsi="Arial" w:cs="Arial"/>
                <w:sz w:val="20"/>
                <w:szCs w:val="20"/>
              </w:rPr>
              <w:t>Advice</w:t>
            </w:r>
          </w:p>
          <w:p w:rsidR="008D6EDB" w:rsidRPr="00592B20" w:rsidRDefault="008D6EDB" w:rsidP="008D6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73FEF" w:rsidRDefault="00B73FEF" w:rsidP="00B73FEF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06061">
              <w:rPr>
                <w:rFonts w:ascii="Arial" w:hAnsi="Arial" w:cs="Arial"/>
                <w:sz w:val="20"/>
                <w:szCs w:val="20"/>
              </w:rPr>
              <w:t xml:space="preserve">Overall, the </w:t>
            </w:r>
            <w:r w:rsidR="00293F6D" w:rsidRPr="00E06061">
              <w:rPr>
                <w:rFonts w:ascii="Arial" w:hAnsi="Arial" w:cs="Arial"/>
                <w:sz w:val="20"/>
                <w:szCs w:val="20"/>
              </w:rPr>
              <w:t>dr</w:t>
            </w:r>
            <w:r w:rsidR="00293F6D">
              <w:rPr>
                <w:rFonts w:ascii="Arial" w:hAnsi="Arial" w:cs="Arial"/>
                <w:sz w:val="20"/>
                <w:szCs w:val="20"/>
              </w:rPr>
              <w:t>aft Terms of Reference addresses</w:t>
            </w:r>
            <w:r w:rsidRPr="00E06061">
              <w:rPr>
                <w:rFonts w:ascii="Arial" w:hAnsi="Arial" w:cs="Arial"/>
                <w:sz w:val="20"/>
                <w:szCs w:val="20"/>
              </w:rPr>
              <w:t xml:space="preserve"> the assessment of potential water</w:t>
            </w:r>
            <w:r w:rsidR="00293F6D">
              <w:rPr>
                <w:rFonts w:ascii="Arial" w:hAnsi="Arial" w:cs="Arial"/>
                <w:sz w:val="20"/>
                <w:szCs w:val="20"/>
              </w:rPr>
              <w:t>-</w:t>
            </w:r>
            <w:r w:rsidRPr="00E06061">
              <w:rPr>
                <w:rFonts w:ascii="Arial" w:hAnsi="Arial" w:cs="Arial"/>
                <w:sz w:val="20"/>
                <w:szCs w:val="20"/>
              </w:rPr>
              <w:t>related impacts to ground</w:t>
            </w:r>
            <w:r w:rsidR="00293F6D">
              <w:rPr>
                <w:rFonts w:ascii="Arial" w:hAnsi="Arial" w:cs="Arial"/>
                <w:sz w:val="20"/>
                <w:szCs w:val="20"/>
              </w:rPr>
              <w:t>water</w:t>
            </w:r>
            <w:r w:rsidRPr="00E06061">
              <w:rPr>
                <w:rFonts w:ascii="Arial" w:hAnsi="Arial" w:cs="Arial"/>
                <w:sz w:val="20"/>
                <w:szCs w:val="20"/>
              </w:rPr>
              <w:t xml:space="preserve"> and surfac</w:t>
            </w:r>
            <w:r>
              <w:rPr>
                <w:rFonts w:ascii="Arial" w:hAnsi="Arial" w:cs="Arial"/>
                <w:sz w:val="20"/>
                <w:szCs w:val="20"/>
              </w:rPr>
              <w:t xml:space="preserve">e water in a very broad manner. Specific issues are outlined below. </w:t>
            </w:r>
          </w:p>
          <w:p w:rsidR="001765DA" w:rsidRDefault="00E06061" w:rsidP="00A10BA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73FEF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ommittee notes that this project has the potential to trigger the </w:t>
            </w:r>
            <w:r w:rsidRPr="00E06061">
              <w:rPr>
                <w:rFonts w:ascii="Arial" w:hAnsi="Arial" w:cs="Arial"/>
                <w:i/>
                <w:sz w:val="20"/>
                <w:szCs w:val="20"/>
              </w:rPr>
              <w:t>Water Act 2007</w:t>
            </w:r>
            <w:r w:rsidR="00293F6D">
              <w:rPr>
                <w:rFonts w:ascii="Arial" w:hAnsi="Arial" w:cs="Arial"/>
                <w:sz w:val="20"/>
                <w:szCs w:val="20"/>
              </w:rPr>
              <w:t xml:space="preserve"> and Murray</w:t>
            </w:r>
            <w:r w:rsidR="00293F6D">
              <w:rPr>
                <w:rFonts w:ascii="Arial" w:hAnsi="Arial" w:cs="Arial"/>
                <w:sz w:val="20"/>
                <w:szCs w:val="20"/>
              </w:rPr>
              <w:noBreakHyphen/>
            </w:r>
            <w:proofErr w:type="spellStart"/>
            <w:r w:rsidRPr="00E06061">
              <w:rPr>
                <w:rFonts w:ascii="Arial" w:hAnsi="Arial" w:cs="Arial"/>
                <w:sz w:val="20"/>
                <w:szCs w:val="20"/>
              </w:rPr>
              <w:t>Darling</w:t>
            </w:r>
            <w:proofErr w:type="spellEnd"/>
            <w:r w:rsidRPr="00E06061">
              <w:rPr>
                <w:rFonts w:ascii="Arial" w:hAnsi="Arial" w:cs="Arial"/>
                <w:sz w:val="20"/>
                <w:szCs w:val="20"/>
              </w:rPr>
              <w:t xml:space="preserve"> Basin Plan 2008, due to such impacts as changes to base</w:t>
            </w:r>
            <w:r w:rsidR="00293F6D">
              <w:rPr>
                <w:rFonts w:ascii="Arial" w:hAnsi="Arial" w:cs="Arial"/>
                <w:sz w:val="20"/>
                <w:szCs w:val="20"/>
              </w:rPr>
              <w:t>-flow to the Murray</w:t>
            </w:r>
            <w:r w:rsidR="00293F6D">
              <w:rPr>
                <w:rFonts w:ascii="Arial" w:hAnsi="Arial" w:cs="Arial"/>
                <w:sz w:val="20"/>
                <w:szCs w:val="20"/>
              </w:rPr>
              <w:noBreakHyphen/>
            </w:r>
            <w:proofErr w:type="spellStart"/>
            <w:r w:rsidRPr="00E06061">
              <w:rPr>
                <w:rFonts w:ascii="Arial" w:hAnsi="Arial" w:cs="Arial"/>
                <w:sz w:val="20"/>
                <w:szCs w:val="20"/>
              </w:rPr>
              <w:t>Darling</w:t>
            </w:r>
            <w:proofErr w:type="spellEnd"/>
            <w:r w:rsidRPr="00E06061">
              <w:rPr>
                <w:rFonts w:ascii="Arial" w:hAnsi="Arial" w:cs="Arial"/>
                <w:sz w:val="20"/>
                <w:szCs w:val="20"/>
              </w:rPr>
              <w:t xml:space="preserve"> Basin. As such</w:t>
            </w:r>
            <w:r w:rsidR="00293F6D">
              <w:rPr>
                <w:rFonts w:ascii="Arial" w:hAnsi="Arial" w:cs="Arial"/>
                <w:sz w:val="20"/>
                <w:szCs w:val="20"/>
              </w:rPr>
              <w:t>,</w:t>
            </w:r>
            <w:r w:rsidRPr="00E06061">
              <w:rPr>
                <w:rFonts w:ascii="Arial" w:hAnsi="Arial" w:cs="Arial"/>
                <w:sz w:val="20"/>
                <w:szCs w:val="20"/>
              </w:rPr>
              <w:t xml:space="preserve"> an assessment under s255AA may be triggered.  Information pertaining to the specific location of floodplains would assist this determination. </w:t>
            </w:r>
          </w:p>
          <w:p w:rsidR="00E06061" w:rsidRPr="00E06061" w:rsidRDefault="00293F6D" w:rsidP="00E06061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E06061" w:rsidRPr="00E06061">
              <w:rPr>
                <w:rFonts w:ascii="Arial" w:hAnsi="Arial" w:cs="Arial"/>
                <w:sz w:val="20"/>
                <w:szCs w:val="20"/>
              </w:rPr>
              <w:t xml:space="preserve">ommittee considers that </w:t>
            </w:r>
            <w:r w:rsidR="00E06061">
              <w:rPr>
                <w:rFonts w:ascii="Arial" w:hAnsi="Arial" w:cs="Arial"/>
                <w:sz w:val="20"/>
                <w:szCs w:val="20"/>
              </w:rPr>
              <w:t xml:space="preserve">the proponent </w:t>
            </w:r>
            <w:r w:rsidR="00E06061" w:rsidRPr="00E06061">
              <w:rPr>
                <w:rFonts w:ascii="Arial" w:hAnsi="Arial" w:cs="Arial"/>
                <w:sz w:val="20"/>
                <w:szCs w:val="20"/>
              </w:rPr>
              <w:t>should clearly specify whether or not hydraulic fracturing is necessary. If hydraulic fracturing is to be undertaken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06061" w:rsidRPr="00E06061">
              <w:rPr>
                <w:rFonts w:ascii="Arial" w:hAnsi="Arial" w:cs="Arial"/>
                <w:sz w:val="20"/>
                <w:szCs w:val="20"/>
              </w:rPr>
              <w:t xml:space="preserve"> then the Terms of Reference should </w:t>
            </w:r>
            <w:r w:rsidR="00473D9A">
              <w:rPr>
                <w:rFonts w:ascii="Arial" w:hAnsi="Arial" w:cs="Arial"/>
                <w:sz w:val="20"/>
                <w:szCs w:val="20"/>
              </w:rPr>
              <w:t>include</w:t>
            </w:r>
            <w:r w:rsidR="00E06061" w:rsidRPr="00E0606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06061" w:rsidRPr="00E06061" w:rsidRDefault="00E06061" w:rsidP="00CB1FB6">
            <w:pPr>
              <w:pStyle w:val="ListBullet"/>
              <w:numPr>
                <w:ilvl w:val="0"/>
                <w:numId w:val="15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E06061">
              <w:rPr>
                <w:rFonts w:ascii="Arial" w:hAnsi="Arial" w:cs="Arial"/>
                <w:sz w:val="20"/>
                <w:szCs w:val="20"/>
              </w:rPr>
              <w:t>the estimated number and the spatial distribution of boreholes where hydraulic fracturing may be necessary;</w:t>
            </w:r>
            <w:r w:rsidR="00CB1FB6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E06061" w:rsidRPr="00E06061" w:rsidRDefault="00E06061" w:rsidP="00CB1FB6">
            <w:pPr>
              <w:pStyle w:val="ListBullet"/>
              <w:numPr>
                <w:ilvl w:val="0"/>
                <w:numId w:val="15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E06061">
              <w:rPr>
                <w:rFonts w:ascii="Arial" w:hAnsi="Arial" w:cs="Arial"/>
                <w:sz w:val="20"/>
                <w:szCs w:val="20"/>
              </w:rPr>
              <w:t xml:space="preserve">details (including load and concentration) of the constituent of any hydraulic fracturing agents and any other reinjection fluids(s), and their toxicity as individual substances and as total </w:t>
            </w:r>
            <w:r w:rsidRPr="00E06061">
              <w:rPr>
                <w:rFonts w:ascii="Arial" w:hAnsi="Arial" w:cs="Arial"/>
                <w:sz w:val="20"/>
                <w:szCs w:val="20"/>
              </w:rPr>
              <w:lastRenderedPageBreak/>
              <w:t xml:space="preserve">effluent toxicity and ecotoxicity, based on methods outlined in the  National Water Quality Management Strategy </w:t>
            </w:r>
            <w:r w:rsidR="00351A17" w:rsidRPr="00E0606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06061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&lt;EndNote&gt;&lt;Cite&gt;&lt;Author&gt;ANZECC and ARMCANZ&lt;/Author&gt;&lt;Year&gt;2000&lt;/Year&gt;&lt;RecNum&gt;27&lt;/RecNum&gt;&lt;DisplayText&gt;(ANZECC and ARMCANZ, 2000a)&lt;/DisplayText&gt;&lt;record&gt;&lt;rec-number&gt;27&lt;/rec-number&gt;&lt;foreign-keys&gt;&lt;key app="EN" db-id="xa0fvw59u05awje25ph5pep5arx0tpw5zd9x"&gt;27&lt;/key&gt;&lt;/foreign-keys&gt;&lt;ref-type name="Government Document"&gt;46&lt;/ref-type&gt;&lt;contributors&gt;&lt;authors&gt;&lt;author&gt;ANZECC and ARMCANZ, &lt;/author&gt;&lt;/authors&gt;&lt;secondary-authors&gt;&lt;author&gt;Australian and New Zealand Environment and Conservation Council &amp;amp; Agriculture and Resource Management Council for Australia and New Zealand, &lt;/author&gt;&lt;/secondary-authors&gt;&lt;/contributors&gt;&lt;titles&gt;&lt;title&gt;National Water Quality Management Strategy&lt;/title&gt;&lt;tertiary-title&gt;NWQMS&lt;/tertiary-title&gt;&lt;/titles&gt;&lt;volume&gt;Australian and New Zealand Guidelines for Fresh and Marine Water Quality&lt;/volume&gt;&lt;dates&gt;&lt;year&gt;2000&lt;/year&gt;&lt;/dates&gt;&lt;urls&gt;&lt;/urls&gt;&lt;/record&gt;&lt;/Cite&gt;&lt;/EndNote&gt;</w:instrText>
            </w:r>
            <w:r w:rsidR="00351A17" w:rsidRPr="00E0606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6061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1" w:tooltip="ANZECC and ARMCANZ, 2000 #27" w:history="1">
              <w:r w:rsidRPr="00E06061">
                <w:rPr>
                  <w:rFonts w:ascii="Arial" w:hAnsi="Arial" w:cs="Arial"/>
                  <w:sz w:val="20"/>
                  <w:szCs w:val="20"/>
                </w:rPr>
                <w:t>ANZECC and ARMCANZ, 2000a</w:t>
              </w:r>
            </w:hyperlink>
            <w:r w:rsidRPr="00E06061">
              <w:rPr>
                <w:rFonts w:ascii="Arial" w:hAnsi="Arial" w:cs="Arial"/>
                <w:sz w:val="20"/>
                <w:szCs w:val="20"/>
              </w:rPr>
              <w:t>)</w:t>
            </w:r>
            <w:r w:rsidR="00351A17" w:rsidRPr="00E0606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B1F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06061" w:rsidRDefault="0098671F" w:rsidP="0098671F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A21E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 suggest</w:t>
            </w:r>
            <w:r w:rsidR="00293F6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as 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the project area is located in the Queensland Surat Cumulative Management Area 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&lt;EndNote&gt;&lt;Cite&gt;&lt;Author&gt;Queensland Water Commission&lt;/Author&gt;&lt;Year&gt;2012&lt;/Year&gt;&lt;RecNum&gt;34&lt;/RecNum&gt;&lt;DisplayText&gt;(Queensland Water Commission, 2012)&lt;/DisplayText&gt;&lt;record&gt;&lt;rec-number&gt;34&lt;/rec-number&gt;&lt;foreign-keys&gt;&lt;key app="EN" db-id="xa0fvw59u05awje25ph5pep5arx0tpw5zd9x"&gt;34&lt;/key&gt;&lt;/foreign-keys&gt;&lt;ref-type name="Report"&gt;27&lt;/ref-type&gt;&lt;contributors&gt;&lt;authors&gt;&lt;author&gt;Queensland Water Commission, &lt;/author&gt;&lt;/authors&gt;&lt;/contributors&gt;&lt;titles&gt;&lt;title&gt;Draft Underground Water Impact Report&lt;/title&gt;&lt;secondary-title&gt;Surat Cumulative Management Area&lt;/secondary-title&gt;&lt;/titles&gt;&lt;dates&gt;&lt;year&gt;2012&lt;/year&gt;&lt;/dates&gt;&lt;urls&gt;&lt;/urls&gt;&lt;/record&gt;&lt;/Cite&gt;&lt;/EndNote&gt;</w:instrTex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5" w:tooltip="Queensland Water Commission, 2012 #34" w:history="1">
              <w:r w:rsidRPr="0098671F">
                <w:rPr>
                  <w:rFonts w:ascii="Arial" w:hAnsi="Arial" w:cs="Arial"/>
                  <w:sz w:val="20"/>
                  <w:szCs w:val="20"/>
                </w:rPr>
                <w:t>Queensland Water Commission, 2012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, the </w:t>
            </w:r>
            <w:r w:rsidR="00B73FEF">
              <w:rPr>
                <w:rFonts w:ascii="Arial" w:hAnsi="Arial" w:cs="Arial"/>
                <w:sz w:val="20"/>
                <w:szCs w:val="20"/>
              </w:rPr>
              <w:t>Terms of Reference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should </w:t>
            </w:r>
            <w:r w:rsidR="00B73FEF">
              <w:rPr>
                <w:rFonts w:ascii="Arial" w:hAnsi="Arial" w:cs="Arial"/>
                <w:sz w:val="20"/>
                <w:szCs w:val="20"/>
              </w:rPr>
              <w:t>examine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relevant cumulative impacts results from the Queensland Water Commission’s underground water impact report for the Surat Cumulative Management Area.  </w:t>
            </w:r>
            <w:r w:rsidR="00402C2F">
              <w:rPr>
                <w:rFonts w:ascii="Arial" w:hAnsi="Arial" w:cs="Arial"/>
                <w:sz w:val="20"/>
                <w:szCs w:val="20"/>
              </w:rPr>
              <w:t xml:space="preserve">Furthermore, </w:t>
            </w:r>
            <w:r w:rsidR="00F709D3">
              <w:rPr>
                <w:rFonts w:ascii="Arial" w:hAnsi="Arial" w:cs="Arial"/>
                <w:sz w:val="20"/>
                <w:szCs w:val="20"/>
              </w:rPr>
              <w:t xml:space="preserve">additional </w:t>
            </w:r>
            <w:r w:rsidR="00402C2F">
              <w:rPr>
                <w:rFonts w:ascii="Arial" w:hAnsi="Arial" w:cs="Arial"/>
                <w:sz w:val="20"/>
                <w:szCs w:val="20"/>
              </w:rPr>
              <w:t xml:space="preserve">monitoring infrastructure is required to provide baseline </w:t>
            </w:r>
            <w:r w:rsidR="00F709D3">
              <w:rPr>
                <w:rFonts w:ascii="Arial" w:hAnsi="Arial" w:cs="Arial"/>
                <w:sz w:val="20"/>
                <w:szCs w:val="20"/>
              </w:rPr>
              <w:t>data</w:t>
            </w:r>
            <w:r w:rsidR="00402C2F">
              <w:rPr>
                <w:rFonts w:ascii="Arial" w:hAnsi="Arial" w:cs="Arial"/>
                <w:sz w:val="20"/>
                <w:szCs w:val="20"/>
              </w:rPr>
              <w:t xml:space="preserve"> to strengthen the regional groundwater modelling in accordance with the Queensland Water Commission</w:t>
            </w:r>
            <w:r w:rsidR="00F709D3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402C2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It is further recommended that </w:t>
            </w:r>
            <w:r w:rsidR="00402C2F">
              <w:rPr>
                <w:rFonts w:ascii="Arial" w:hAnsi="Arial" w:cs="Arial"/>
                <w:sz w:val="20"/>
                <w:szCs w:val="20"/>
              </w:rPr>
              <w:t>the Terms of Reference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assess cumulative impacts in accordance with the practices and procedures set out in the Mineral Council of Australia’s Water Accounting Framework for the Minerals Industry 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&lt;EndNote&gt;&lt;Cite&gt;&lt;Author&gt;Minerals Council of Australia&lt;/Author&gt;&lt;Year&gt;2012&lt;/Year&gt;&lt;RecNum&gt;35&lt;/RecNum&gt;&lt;DisplayText&gt;(Minerals Council of Australia, 2012)&lt;/DisplayText&gt;&lt;record&gt;&lt;rec-number&gt;35&lt;/rec-number&gt;&lt;foreign-keys&gt;&lt;key app="EN" db-id="xa0fvw59u05awje25ph5pep5arx0tpw5zd9x"&gt;35&lt;/key&gt;&lt;/foreign-keys&gt;&lt;ref-type name="Report"&gt;27&lt;/ref-type&gt;&lt;contributors&gt;&lt;authors&gt;&lt;author&gt;Minerals Council of Australia, &lt;/author&gt;&lt;/authors&gt;&lt;/contributors&gt;&lt;titles&gt;&lt;title&gt;Water Accounting Framework for the Minerals Industry&lt;/title&gt;&lt;secondary-title&gt;User Guide&lt;/secondary-title&gt;&lt;/titles&gt;&lt;dates&gt;&lt;year&gt;2012&lt;/year&gt;&lt;/dates&gt;&lt;urls&gt;&lt;/urls&gt;&lt;/record&gt;&lt;/Cite&gt;&lt;/EndNote&gt;</w:instrTex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4" w:tooltip="Minerals Council of Australia, 2012 #35" w:history="1">
              <w:r w:rsidRPr="0098671F">
                <w:rPr>
                  <w:rFonts w:ascii="Arial" w:hAnsi="Arial" w:cs="Arial"/>
                  <w:sz w:val="20"/>
                  <w:szCs w:val="20"/>
                </w:rPr>
                <w:t>Minerals Council of Australia, 2012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675C07" w:rsidRPr="00B3728B" w:rsidRDefault="00675C07" w:rsidP="00675C07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728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>
              <w:rPr>
                <w:rFonts w:ascii="Arial" w:hAnsi="Arial" w:cs="Arial"/>
                <w:sz w:val="20"/>
                <w:szCs w:val="20"/>
              </w:rPr>
              <w:t>recommends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3F6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Terms of Reference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for the Environmental Impact Statement should provide</w:t>
            </w:r>
            <w:r w:rsidR="0095179B">
              <w:rPr>
                <w:rFonts w:ascii="Arial" w:hAnsi="Arial" w:cs="Arial"/>
                <w:sz w:val="20"/>
                <w:szCs w:val="20"/>
              </w:rPr>
              <w:t xml:space="preserve"> additional </w:t>
            </w:r>
            <w:r>
              <w:rPr>
                <w:rFonts w:ascii="Arial" w:hAnsi="Arial" w:cs="Arial"/>
                <w:sz w:val="20"/>
                <w:szCs w:val="20"/>
              </w:rPr>
              <w:t>information to articulate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how water management strategies </w:t>
            </w:r>
            <w:r>
              <w:rPr>
                <w:rFonts w:ascii="Arial" w:hAnsi="Arial" w:cs="Arial"/>
                <w:sz w:val="20"/>
                <w:szCs w:val="20"/>
              </w:rPr>
              <w:t xml:space="preserve">(including co-produced water) 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will evolve over the lifetime of the project, considering that the development will occur over a large project area which is comprised of several land parcels that </w:t>
            </w:r>
            <w:r>
              <w:rPr>
                <w:rFonts w:ascii="Arial" w:hAnsi="Arial" w:cs="Arial"/>
                <w:sz w:val="20"/>
                <w:szCs w:val="20"/>
              </w:rPr>
              <w:t>are not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geographically connected.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179B">
              <w:rPr>
                <w:rFonts w:ascii="Arial" w:hAnsi="Arial" w:cs="Arial"/>
                <w:sz w:val="20"/>
                <w:szCs w:val="20"/>
              </w:rPr>
              <w:t>Additional information required includes:</w:t>
            </w:r>
          </w:p>
          <w:p w:rsidR="0098671F" w:rsidRPr="0098671F" w:rsidRDefault="0098671F" w:rsidP="00CB1FB6">
            <w:pPr>
              <w:pStyle w:val="ListBullet"/>
              <w:numPr>
                <w:ilvl w:val="0"/>
                <w:numId w:val="16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inclusion of the total amount of water extra</w:t>
            </w:r>
            <w:r w:rsidR="00293F6D">
              <w:rPr>
                <w:rFonts w:ascii="Arial" w:hAnsi="Arial" w:cs="Arial"/>
                <w:sz w:val="20"/>
                <w:szCs w:val="20"/>
              </w:rPr>
              <w:t>cted, per well, during the lifetime of a well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21EE" w:rsidRPr="0098671F" w:rsidRDefault="00AA21EE" w:rsidP="00CB1FB6">
            <w:pPr>
              <w:pStyle w:val="ListBullet"/>
              <w:numPr>
                <w:ilvl w:val="0"/>
                <w:numId w:val="16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details of all dams </w:t>
            </w:r>
            <w:r w:rsidR="00293F6D">
              <w:rPr>
                <w:rFonts w:ascii="Arial" w:hAnsi="Arial" w:cs="Arial"/>
                <w:sz w:val="20"/>
                <w:szCs w:val="20"/>
              </w:rPr>
              <w:t>and ponds are required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21EE" w:rsidRPr="0098671F" w:rsidRDefault="00AA21EE" w:rsidP="00CB1FB6">
            <w:pPr>
              <w:pStyle w:val="ListBullet"/>
              <w:numPr>
                <w:ilvl w:val="0"/>
                <w:numId w:val="16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the definition of dams and ponds should include the hyper-saline storage ponds associated with reverse osm</w:t>
            </w:r>
            <w:r w:rsidR="00293F6D">
              <w:rPr>
                <w:rFonts w:ascii="Arial" w:hAnsi="Arial" w:cs="Arial"/>
                <w:sz w:val="20"/>
                <w:szCs w:val="20"/>
              </w:rPr>
              <w:t>osis water treatment facilities</w:t>
            </w:r>
          </w:p>
          <w:p w:rsidR="0098671F" w:rsidRPr="0098671F" w:rsidRDefault="0098671F" w:rsidP="00CB1FB6">
            <w:pPr>
              <w:pStyle w:val="ListBullet"/>
              <w:numPr>
                <w:ilvl w:val="0"/>
                <w:numId w:val="16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the standard of water quality surveys and on-going monitoring should be specified to a nationally accepted standard such as the National Water Quality Management Strategy 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&lt;EndNote&gt;&lt;Cite&gt;&lt;Author&gt;ANZECC and ARMCANZ&lt;/Author&gt;&lt;Year&gt;2000&lt;/Year&gt;&lt;RecNum&gt;33&lt;/RecNum&gt;&lt;DisplayText&gt;(ANZECC and ARMCANZ, 2000b)&lt;/DisplayText&gt;&lt;record&gt;&lt;rec-number&gt;33&lt;/rec-number&gt;&lt;foreign-keys&gt;&lt;key app="EN" db-id="xa0fvw59u05awje25ph5pep5arx0tpw5zd9x"&gt;33&lt;/key&gt;&lt;/foreign-keys&gt;&lt;ref-type name="Government Document"&gt;46&lt;/ref-type&gt;&lt;contributors&gt;&lt;authors&gt;&lt;author&gt;ANZECC and ARMCANZ, &lt;/author&gt;&lt;/authors&gt;&lt;secondary-authors&gt;&lt;author&gt;Australian and New Zealand Environment and Conservation Council &amp;amp; Agriculture and Resource Management Council for Australia and New Zealand, &lt;/author&gt;&lt;/secondary-authors&gt;&lt;/contributors&gt;&lt;titles&gt;&lt;title&gt;National Water Quality Management Strategy&lt;/title&gt;&lt;tertiary-title&gt;NWQMS&lt;/tertiary-title&gt;&lt;/titles&gt;&lt;volume&gt;Australian Guidelines for Water Quality Monitoring and Reporting &lt;/volume&gt;&lt;dates&gt;&lt;year&gt;2000&lt;/year&gt;&lt;/dates&gt;&lt;urls&gt;&lt;/urls&gt;&lt;/record&gt;&lt;/Cite&gt;&lt;/EndNote&gt;</w:instrTex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2" w:tooltip="ANZECC and ARMCANZ, 2000 #33" w:history="1">
              <w:r w:rsidRPr="0098671F">
                <w:rPr>
                  <w:rFonts w:ascii="Arial" w:hAnsi="Arial" w:cs="Arial"/>
                  <w:sz w:val="20"/>
                  <w:szCs w:val="20"/>
                </w:rPr>
                <w:t>ANZECC and ARMCANZ, 2000b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0131A1" w:rsidRDefault="000131A1" w:rsidP="00CB1FB6">
            <w:pPr>
              <w:pStyle w:val="ListBullet"/>
              <w:numPr>
                <w:ilvl w:val="0"/>
                <w:numId w:val="16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the standard of aquatic flora and fauna surveys and on-going monitoring should be required to a specified nationally accepted standard such as AUSRIVAS (</w:t>
            </w:r>
            <w:hyperlink r:id="rId8" w:history="1">
              <w:r w:rsidRPr="0098671F">
                <w:rPr>
                  <w:rFonts w:ascii="Arial" w:hAnsi="Arial" w:cs="Arial"/>
                  <w:sz w:val="20"/>
                  <w:szCs w:val="20"/>
                </w:rPr>
                <w:t>www.ausrivas.canberra.edu.au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 xml:space="preserve">); </w:t>
            </w:r>
          </w:p>
          <w:p w:rsidR="0098671F" w:rsidRPr="0098671F" w:rsidRDefault="0098671F" w:rsidP="00CB1FB6">
            <w:pPr>
              <w:pStyle w:val="ListBullet"/>
              <w:numPr>
                <w:ilvl w:val="0"/>
                <w:numId w:val="16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water quality monitoring should also include the measurement of dissolved oxygen; </w:t>
            </w:r>
            <w:r w:rsidR="00293F6D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98671F" w:rsidRPr="0098671F" w:rsidRDefault="0098671F" w:rsidP="00CB1FB6">
            <w:pPr>
              <w:pStyle w:val="ListBullet"/>
              <w:numPr>
                <w:ilvl w:val="0"/>
                <w:numId w:val="16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on-going water quality management triggers and action plans should be specified to a nationally accepted standard such as the National Water Quality Management Strategy 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&lt;EndNote&gt;&lt;Cite&gt;&lt;Author&gt;ANZECC and ARMCANZ&lt;/Author&gt;&lt;Year&gt;2000&lt;/Year&gt;&lt;RecNum&gt;27&lt;/RecNum&gt;&lt;DisplayText&gt;(ANZECC and ARMCANZ, 2000a)&lt;/DisplayText&gt;&lt;record&gt;&lt;rec-number&gt;27&lt;/rec-number&gt;&lt;foreign-keys&gt;&lt;key app="EN" db-id="xa0fvw59u05awje25ph5pep5arx0tpw5zd9x"&gt;27&lt;/key&gt;&lt;/foreign-keys&gt;&lt;ref-type name="Government Document"&gt;46&lt;/ref-type&gt;&lt;contributors&gt;&lt;authors&gt;&lt;author&gt;ANZECC and ARMCANZ, &lt;/author&gt;&lt;/authors&gt;&lt;secondary-authors&gt;&lt;author&gt;Australian and New Zealand Environment and Conservation Council &amp;amp; Agriculture and Resource Management Council for Australia and New Zealand, &lt;/author&gt;&lt;/secondary-authors&gt;&lt;/contributors&gt;&lt;titles&gt;&lt;title&gt;National Water Quality Management Strategy&lt;/title&gt;&lt;tertiary-title&gt;NWQMS&lt;/tertiary-title&gt;&lt;/titles&gt;&lt;volume&gt;Australian and New Zealand Guidelines for Fresh and Marine Water Quality&lt;/volume&gt;&lt;dates&gt;&lt;year&gt;2000&lt;/year&gt;&lt;/dates&gt;&lt;urls&gt;&lt;/urls&gt;&lt;/record&gt;&lt;/Cite&gt;&lt;/EndNote&gt;</w:instrTex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1" w:tooltip="ANZECC and ARMCANZ, 2000 #27" w:history="1">
              <w:r w:rsidRPr="0098671F">
                <w:rPr>
                  <w:rFonts w:ascii="Arial" w:hAnsi="Arial" w:cs="Arial"/>
                  <w:sz w:val="20"/>
                  <w:szCs w:val="20"/>
                </w:rPr>
                <w:t>ANZECC and ARMCANZ, 2000a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B1F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31A1" w:rsidRDefault="00293F6D" w:rsidP="000131A1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0131A1">
              <w:rPr>
                <w:rFonts w:ascii="Arial" w:hAnsi="Arial" w:cs="Arial"/>
                <w:sz w:val="20"/>
                <w:szCs w:val="20"/>
              </w:rPr>
              <w:t>ommittee recommends that t</w:t>
            </w:r>
            <w:r w:rsidR="000131A1" w:rsidRPr="0098671F">
              <w:rPr>
                <w:rFonts w:ascii="Arial" w:hAnsi="Arial" w:cs="Arial"/>
                <w:sz w:val="20"/>
                <w:szCs w:val="20"/>
              </w:rPr>
              <w:t xml:space="preserve">he draft Terms of Reference </w:t>
            </w:r>
            <w:r w:rsidR="000131A1">
              <w:rPr>
                <w:rFonts w:ascii="Arial" w:hAnsi="Arial" w:cs="Arial"/>
                <w:sz w:val="20"/>
                <w:szCs w:val="20"/>
              </w:rPr>
              <w:t>assess</w:t>
            </w:r>
            <w:r w:rsidR="000131A1" w:rsidRPr="0098671F">
              <w:rPr>
                <w:rFonts w:ascii="Arial" w:hAnsi="Arial" w:cs="Arial"/>
                <w:sz w:val="20"/>
                <w:szCs w:val="20"/>
              </w:rPr>
              <w:t xml:space="preserve"> the potential</w:t>
            </w:r>
            <w:r w:rsidR="000131A1">
              <w:rPr>
                <w:rFonts w:ascii="Arial" w:hAnsi="Arial" w:cs="Arial"/>
                <w:sz w:val="20"/>
                <w:szCs w:val="20"/>
              </w:rPr>
              <w:t xml:space="preserve"> impacts from</w:t>
            </w:r>
            <w:r w:rsidR="000131A1" w:rsidRPr="00986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1A1">
              <w:rPr>
                <w:rFonts w:ascii="Arial" w:hAnsi="Arial" w:cs="Arial"/>
                <w:sz w:val="20"/>
                <w:szCs w:val="20"/>
              </w:rPr>
              <w:t>other potential water related risks</w:t>
            </w:r>
            <w:r w:rsidR="00CF3964">
              <w:rPr>
                <w:rFonts w:ascii="Arial" w:hAnsi="Arial" w:cs="Arial"/>
                <w:sz w:val="20"/>
                <w:szCs w:val="20"/>
              </w:rPr>
              <w:t xml:space="preserve"> including</w:t>
            </w:r>
            <w:r w:rsidR="000131A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13374" w:rsidRPr="0098671F" w:rsidRDefault="00413374" w:rsidP="00413374">
            <w:pPr>
              <w:pStyle w:val="ListBullet"/>
              <w:numPr>
                <w:ilvl w:val="0"/>
                <w:numId w:val="17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infrastructure waterway crossings including consideration of aquatic fauna habitat disturbance and the</w:t>
            </w:r>
            <w:r w:rsidR="00CF3964">
              <w:rPr>
                <w:rFonts w:ascii="Arial" w:hAnsi="Arial" w:cs="Arial"/>
                <w:sz w:val="20"/>
                <w:szCs w:val="20"/>
              </w:rPr>
              <w:t xml:space="preserve"> risk of species fragmentation</w:t>
            </w:r>
          </w:p>
          <w:p w:rsidR="00413374" w:rsidRPr="0098671F" w:rsidRDefault="00413374" w:rsidP="00413374">
            <w:pPr>
              <w:pStyle w:val="ListBullet"/>
              <w:numPr>
                <w:ilvl w:val="0"/>
                <w:numId w:val="17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>characterisation of potential</w:t>
            </w:r>
            <w:r w:rsidR="00CF39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F3964">
              <w:rPr>
                <w:rFonts w:ascii="Arial" w:hAnsi="Arial" w:cs="Arial"/>
                <w:sz w:val="20"/>
                <w:szCs w:val="20"/>
              </w:rPr>
              <w:t>leachate</w:t>
            </w:r>
            <w:proofErr w:type="spellEnd"/>
            <w:r w:rsidR="00CF3964">
              <w:rPr>
                <w:rFonts w:ascii="Arial" w:hAnsi="Arial" w:cs="Arial"/>
                <w:sz w:val="20"/>
                <w:szCs w:val="20"/>
              </w:rPr>
              <w:t xml:space="preserve"> from excavated wastes</w:t>
            </w:r>
          </w:p>
          <w:p w:rsidR="00413374" w:rsidRDefault="00413374" w:rsidP="00413374">
            <w:pPr>
              <w:pStyle w:val="ListBullet"/>
              <w:numPr>
                <w:ilvl w:val="0"/>
                <w:numId w:val="17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671F">
              <w:rPr>
                <w:rFonts w:ascii="Arial" w:hAnsi="Arial" w:cs="Arial"/>
                <w:sz w:val="20"/>
                <w:szCs w:val="20"/>
              </w:rPr>
              <w:t>assessment</w:t>
            </w:r>
            <w:proofErr w:type="gramEnd"/>
            <w:r w:rsidRPr="0098671F">
              <w:rPr>
                <w:rFonts w:ascii="Arial" w:hAnsi="Arial" w:cs="Arial"/>
                <w:sz w:val="20"/>
                <w:szCs w:val="20"/>
              </w:rPr>
              <w:t xml:space="preserve"> of potential neg</w:t>
            </w:r>
            <w:r>
              <w:rPr>
                <w:rFonts w:ascii="Arial" w:hAnsi="Arial" w:cs="Arial"/>
                <w:sz w:val="20"/>
                <w:szCs w:val="20"/>
              </w:rPr>
              <w:t>ative impacts on soil quality, if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coal seam gas produce</w:t>
            </w:r>
            <w:r w:rsidR="00CF3964">
              <w:rPr>
                <w:rFonts w:ascii="Arial" w:hAnsi="Arial" w:cs="Arial"/>
                <w:sz w:val="20"/>
                <w:szCs w:val="20"/>
              </w:rPr>
              <w:t>d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water is directly discharge</w:t>
            </w:r>
            <w:r w:rsidR="00CF3964">
              <w:rPr>
                <w:rFonts w:ascii="Arial" w:hAnsi="Arial" w:cs="Arial"/>
                <w:sz w:val="20"/>
                <w:szCs w:val="20"/>
              </w:rPr>
              <w:t>d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to the so</w:t>
            </w:r>
            <w:r>
              <w:rPr>
                <w:rFonts w:ascii="Arial" w:hAnsi="Arial" w:cs="Arial"/>
                <w:sz w:val="20"/>
                <w:szCs w:val="20"/>
              </w:rPr>
              <w:t>il surface such as th</w:t>
            </w:r>
            <w:r w:rsidR="00CF3964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ough</w:t>
            </w:r>
            <w:r w:rsidRPr="0098671F">
              <w:rPr>
                <w:rFonts w:ascii="Arial" w:hAnsi="Arial" w:cs="Arial"/>
                <w:sz w:val="20"/>
                <w:szCs w:val="20"/>
              </w:rPr>
              <w:t xml:space="preserve"> accidental</w:t>
            </w:r>
            <w:r>
              <w:rPr>
                <w:rFonts w:ascii="Arial" w:hAnsi="Arial" w:cs="Arial"/>
                <w:sz w:val="20"/>
                <w:szCs w:val="20"/>
              </w:rPr>
              <w:t xml:space="preserve"> spillage or dust suppression.</w:t>
            </w:r>
          </w:p>
          <w:p w:rsidR="00413374" w:rsidRPr="0098671F" w:rsidRDefault="00413374" w:rsidP="00413374">
            <w:pPr>
              <w:pStyle w:val="ListBullet"/>
              <w:numPr>
                <w:ilvl w:val="0"/>
                <w:numId w:val="17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98671F">
              <w:rPr>
                <w:rFonts w:ascii="Arial" w:hAnsi="Arial" w:cs="Arial"/>
                <w:sz w:val="20"/>
                <w:szCs w:val="20"/>
              </w:rPr>
              <w:t xml:space="preserve">the environmental values should be defined according the National Water Quality Management Strategy 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8671F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&lt;EndNote&gt;&lt;Cite&gt;&lt;Author&gt;ANZECC and ARMCANZ&lt;/Author&gt;&lt;Year&gt;2000&lt;/Year&gt;&lt;RecNum&gt;27&lt;/RecNum&gt;&lt;DisplayText&gt;(ANZECC and ARMCANZ, 2000a)&lt;/DisplayText&gt;&lt;record&gt;&lt;rec-number&gt;27&lt;/rec-number&gt;&lt;foreign-keys&gt;&lt;key app="EN" db-id="xa0fvw59u05awje25ph5pep5arx0tpw5zd9x"&gt;27&lt;/key&gt;&lt;/foreign-keys&gt;&lt;ref-type name="Government Document"&gt;46&lt;/ref-type&gt;&lt;contributors&gt;&lt;authors&gt;&lt;author&gt;ANZECC and ARMCANZ, &lt;/author&gt;&lt;/authors&gt;&lt;secondary-authors&gt;&lt;author&gt;Australian and New Zealand Environment and Conservation Council &amp;amp; Agriculture and Resource Management Council for Australia and New Zealand, &lt;/author&gt;&lt;/secondary-authors&gt;&lt;/contributors&gt;&lt;titles&gt;&lt;title&gt;National Water Quality Management Strategy&lt;/title&gt;&lt;tertiary-title&gt;NWQMS&lt;/tertiary-title&gt;&lt;/titles&gt;&lt;volume&gt;Australian and New Zealand Guidelines for Fresh and Marine Water Quality&lt;/volume&gt;&lt;dates&gt;&lt;year&gt;2000&lt;/year&gt;&lt;/dates&gt;&lt;urls&gt;&lt;/urls&gt;&lt;/record&gt;&lt;/Cite&gt;&lt;/EndNote&gt;</w:instrTex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8671F">
              <w:rPr>
                <w:rFonts w:ascii="Arial" w:hAnsi="Arial" w:cs="Arial"/>
                <w:sz w:val="20"/>
                <w:szCs w:val="20"/>
              </w:rPr>
              <w:t>(</w:t>
            </w:r>
            <w:hyperlink w:anchor="_ENREF_1" w:tooltip="ANZECC and ARMCANZ, 2000 #27" w:history="1">
              <w:r w:rsidRPr="0098671F">
                <w:rPr>
                  <w:rFonts w:ascii="Arial" w:hAnsi="Arial" w:cs="Arial"/>
                  <w:sz w:val="20"/>
                  <w:szCs w:val="20"/>
                </w:rPr>
                <w:t>ANZECC and ARMCANZ, 2000a</w:t>
              </w:r>
            </w:hyperlink>
            <w:r w:rsidRPr="0098671F">
              <w:rPr>
                <w:rFonts w:ascii="Arial" w:hAnsi="Arial" w:cs="Arial"/>
                <w:sz w:val="20"/>
                <w:szCs w:val="20"/>
              </w:rPr>
              <w:t>)</w:t>
            </w:r>
            <w:r w:rsidR="00351A17" w:rsidRPr="009867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8671F">
              <w:rPr>
                <w:rFonts w:ascii="Arial" w:hAnsi="Arial" w:cs="Arial"/>
                <w:sz w:val="20"/>
                <w:szCs w:val="20"/>
              </w:rPr>
              <w:t>, for all water bodies potentially impacted by the project;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413374" w:rsidRDefault="00413374" w:rsidP="00413374">
            <w:pPr>
              <w:pStyle w:val="ListBullet"/>
              <w:numPr>
                <w:ilvl w:val="0"/>
                <w:numId w:val="17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671F">
              <w:rPr>
                <w:rFonts w:ascii="Arial" w:hAnsi="Arial" w:cs="Arial"/>
                <w:sz w:val="20"/>
                <w:szCs w:val="20"/>
              </w:rPr>
              <w:t>fugitive</w:t>
            </w:r>
            <w:proofErr w:type="gramEnd"/>
            <w:r w:rsidRPr="0098671F">
              <w:rPr>
                <w:rFonts w:ascii="Arial" w:hAnsi="Arial" w:cs="Arial"/>
                <w:sz w:val="20"/>
                <w:szCs w:val="20"/>
              </w:rPr>
              <w:t xml:space="preserve"> gas and potential impact to water resources such as dissolved metha</w:t>
            </w:r>
            <w:r>
              <w:rPr>
                <w:rFonts w:ascii="Arial" w:hAnsi="Arial" w:cs="Arial"/>
                <w:sz w:val="20"/>
                <w:szCs w:val="20"/>
              </w:rPr>
              <w:t>ne toxicity to aquatic  ecology.</w:t>
            </w:r>
          </w:p>
          <w:p w:rsidR="002A3142" w:rsidRPr="00B3728B" w:rsidRDefault="002A3142" w:rsidP="002A3142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728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ommittee further </w:t>
            </w:r>
            <w:r>
              <w:rPr>
                <w:rFonts w:ascii="Arial" w:hAnsi="Arial" w:cs="Arial"/>
                <w:sz w:val="20"/>
                <w:szCs w:val="20"/>
              </w:rPr>
              <w:t>recommends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that the </w:t>
            </w:r>
            <w:r>
              <w:rPr>
                <w:rFonts w:ascii="Arial" w:hAnsi="Arial" w:cs="Arial"/>
                <w:sz w:val="20"/>
                <w:szCs w:val="20"/>
              </w:rPr>
              <w:t>Terms of Reference</w:t>
            </w:r>
            <w:r w:rsidRPr="00B3728B">
              <w:rPr>
                <w:rFonts w:ascii="Arial" w:hAnsi="Arial" w:cs="Arial"/>
                <w:sz w:val="20"/>
                <w:szCs w:val="20"/>
              </w:rPr>
              <w:t xml:space="preserve"> should contain a requirement to undertake a comprehensive ecological risk assessment in addition to the already proposed risk assessments for impacts to ground and surface water, providing a link between the impacts to ground and surface water and the risks that this poses to water dependent ecological values. </w:t>
            </w:r>
          </w:p>
          <w:p w:rsidR="00421AEB" w:rsidRPr="00BF2012" w:rsidRDefault="00CF3964" w:rsidP="00421AEB">
            <w:pPr>
              <w:pStyle w:val="ListNumber"/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421AEB" w:rsidRPr="00BF2012">
              <w:rPr>
                <w:rFonts w:ascii="Arial" w:hAnsi="Arial" w:cs="Arial"/>
                <w:sz w:val="20"/>
                <w:szCs w:val="20"/>
              </w:rPr>
              <w:t>ommittee recommends that a risk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21AEB" w:rsidRPr="00BF2012">
              <w:rPr>
                <w:rFonts w:ascii="Arial" w:hAnsi="Arial" w:cs="Arial"/>
                <w:sz w:val="20"/>
                <w:szCs w:val="20"/>
              </w:rPr>
              <w:t>based assessment of impacts to water resources be undertaken at both the site and regional scale as</w:t>
            </w:r>
            <w:r>
              <w:rPr>
                <w:rFonts w:ascii="Arial" w:hAnsi="Arial" w:cs="Arial"/>
                <w:sz w:val="20"/>
                <w:szCs w:val="20"/>
              </w:rPr>
              <w:t xml:space="preserve"> a matter of priority. The risk-</w:t>
            </w:r>
            <w:r w:rsidR="00421AEB" w:rsidRPr="00BF2012">
              <w:rPr>
                <w:rFonts w:ascii="Arial" w:hAnsi="Arial" w:cs="Arial"/>
                <w:sz w:val="20"/>
                <w:szCs w:val="20"/>
              </w:rPr>
              <w:t>based assessment should include, but not be limited to:  </w:t>
            </w:r>
          </w:p>
          <w:p w:rsidR="00421AEB" w:rsidRPr="00BF2012" w:rsidRDefault="00421AEB" w:rsidP="0078761B">
            <w:pPr>
              <w:pStyle w:val="ListNumber"/>
              <w:numPr>
                <w:ilvl w:val="0"/>
                <w:numId w:val="18"/>
              </w:numPr>
              <w:ind w:left="1134" w:hanging="357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 xml:space="preserve">details of the measured </w:t>
            </w:r>
            <w:proofErr w:type="spellStart"/>
            <w:r w:rsidRPr="00BF2012">
              <w:rPr>
                <w:rFonts w:ascii="Arial" w:hAnsi="Arial" w:cs="Arial"/>
                <w:sz w:val="20"/>
                <w:szCs w:val="20"/>
              </w:rPr>
              <w:t>hydrogeological</w:t>
            </w:r>
            <w:proofErr w:type="spellEnd"/>
            <w:r w:rsidRPr="00BF2012">
              <w:rPr>
                <w:rFonts w:ascii="Arial" w:hAnsi="Arial" w:cs="Arial"/>
                <w:sz w:val="20"/>
                <w:szCs w:val="20"/>
              </w:rPr>
              <w:t xml:space="preserve"> data, and model parameters, uncertainties, and confidence/ reliability;</w:t>
            </w:r>
          </w:p>
          <w:p w:rsidR="00421AEB" w:rsidRPr="00BF2012" w:rsidRDefault="00421AEB" w:rsidP="00421AEB">
            <w:pPr>
              <w:pStyle w:val="ListNumber"/>
              <w:numPr>
                <w:ilvl w:val="0"/>
                <w:numId w:val="18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 xml:space="preserve">a site and regional water balance which provides basin and catchment scale context for the proposed action; </w:t>
            </w:r>
          </w:p>
          <w:p w:rsidR="00421AEB" w:rsidRPr="00BF2012" w:rsidRDefault="00421AEB" w:rsidP="00421AEB">
            <w:pPr>
              <w:pStyle w:val="ListNumber"/>
              <w:numPr>
                <w:ilvl w:val="0"/>
                <w:numId w:val="18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>surface</w:t>
            </w:r>
            <w:r w:rsidR="00CF3964">
              <w:rPr>
                <w:rFonts w:ascii="Arial" w:hAnsi="Arial" w:cs="Arial"/>
                <w:sz w:val="20"/>
                <w:szCs w:val="20"/>
              </w:rPr>
              <w:t xml:space="preserve"> water</w:t>
            </w:r>
            <w:r w:rsidRPr="00BF2012">
              <w:rPr>
                <w:rFonts w:ascii="Arial" w:hAnsi="Arial" w:cs="Arial"/>
                <w:sz w:val="20"/>
                <w:szCs w:val="20"/>
              </w:rPr>
              <w:t xml:space="preserve"> and groundwater quantity and quality fluxes, including impacts of the proposal on the water resource, water balance and solute balance; </w:t>
            </w:r>
          </w:p>
          <w:p w:rsidR="00421AEB" w:rsidRPr="00BF2012" w:rsidRDefault="00421AEB" w:rsidP="00421AEB">
            <w:pPr>
              <w:pStyle w:val="ListNumber"/>
              <w:numPr>
                <w:ilvl w:val="0"/>
                <w:numId w:val="18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 xml:space="preserve">regional cumulative impacts (covering surface water, groundwater, </w:t>
            </w:r>
            <w:proofErr w:type="spellStart"/>
            <w:r w:rsidRPr="00BF2012">
              <w:rPr>
                <w:rFonts w:ascii="Arial" w:hAnsi="Arial" w:cs="Arial"/>
                <w:sz w:val="20"/>
                <w:szCs w:val="20"/>
              </w:rPr>
              <w:t>geomorphological</w:t>
            </w:r>
            <w:proofErr w:type="spellEnd"/>
            <w:r w:rsidRPr="00BF2012">
              <w:rPr>
                <w:rFonts w:ascii="Arial" w:hAnsi="Arial" w:cs="Arial"/>
                <w:sz w:val="20"/>
                <w:szCs w:val="20"/>
              </w:rPr>
              <w:t>, hydrological and ecological impacts); and</w:t>
            </w:r>
          </w:p>
          <w:p w:rsidR="00421AEB" w:rsidRPr="00BF2012" w:rsidRDefault="00421AEB" w:rsidP="00421AEB">
            <w:pPr>
              <w:pStyle w:val="ListNumber"/>
              <w:numPr>
                <w:ilvl w:val="0"/>
                <w:numId w:val="18"/>
              </w:numPr>
              <w:ind w:left="113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F2012">
              <w:rPr>
                <w:rFonts w:ascii="Arial" w:hAnsi="Arial" w:cs="Arial"/>
                <w:sz w:val="20"/>
                <w:szCs w:val="20"/>
              </w:rPr>
              <w:t>mitigation</w:t>
            </w:r>
            <w:proofErr w:type="gramEnd"/>
            <w:r w:rsidRPr="00BF2012">
              <w:rPr>
                <w:rFonts w:ascii="Arial" w:hAnsi="Arial" w:cs="Arial"/>
                <w:sz w:val="20"/>
                <w:szCs w:val="20"/>
              </w:rPr>
              <w:t xml:space="preserve"> and management measures to appropriately address these identified risks.</w:t>
            </w:r>
          </w:p>
          <w:p w:rsidR="00421AEB" w:rsidRDefault="00421AEB" w:rsidP="00421AEB">
            <w:pPr>
              <w:pStyle w:val="ListNumber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421AEB" w:rsidRPr="00BF2012" w:rsidRDefault="00421AEB" w:rsidP="00421AEB">
            <w:pPr>
              <w:pStyle w:val="ListNumber"/>
              <w:numPr>
                <w:ilvl w:val="0"/>
                <w:numId w:val="0"/>
              </w:num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BF2012">
              <w:rPr>
                <w:rFonts w:ascii="Arial" w:hAnsi="Arial" w:cs="Arial"/>
                <w:sz w:val="20"/>
                <w:szCs w:val="20"/>
              </w:rPr>
              <w:t>Any proposed models should also be peer reviewed and publicly released.</w:t>
            </w:r>
          </w:p>
          <w:p w:rsidR="003835F0" w:rsidRPr="00DB59DE" w:rsidRDefault="003835F0" w:rsidP="003835F0">
            <w:pPr>
              <w:pStyle w:val="ListBullet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942662" w:rsidRPr="00F37C48" w:rsidRDefault="00942662" w:rsidP="00942662">
            <w:pPr>
              <w:pStyle w:val="ListNumber"/>
              <w:numPr>
                <w:ilvl w:val="0"/>
                <w:numId w:val="0"/>
              </w:numPr>
              <w:spacing w:before="120"/>
              <w:ind w:left="369" w:hanging="3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DA" w:rsidRPr="00B451D3" w:rsidTr="00CF3964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Default="001765DA" w:rsidP="00CF3964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65DA" w:rsidRPr="00B451D3" w:rsidRDefault="000D7810" w:rsidP="002B3BF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3BFA">
              <w:rPr>
                <w:rFonts w:ascii="Arial" w:hAnsi="Arial" w:cs="Arial"/>
                <w:sz w:val="20"/>
                <w:szCs w:val="20"/>
              </w:rPr>
              <w:t>31 July 2012</w:t>
            </w:r>
          </w:p>
        </w:tc>
      </w:tr>
    </w:tbl>
    <w:p w:rsidR="006B14DB" w:rsidRPr="00EA416C" w:rsidRDefault="006B14DB" w:rsidP="00CF3964"/>
    <w:sectPr w:rsidR="006B14DB" w:rsidRPr="00EA416C" w:rsidSect="00FA4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F6D" w:rsidRDefault="00293F6D" w:rsidP="00A60185">
      <w:r>
        <w:separator/>
      </w:r>
    </w:p>
  </w:endnote>
  <w:endnote w:type="continuationSeparator" w:id="0">
    <w:p w:rsidR="00293F6D" w:rsidRDefault="00293F6D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6D" w:rsidRDefault="00293F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6D" w:rsidRDefault="00351A17">
    <w:pPr>
      <w:pStyle w:val="Footer"/>
      <w:jc w:val="center"/>
    </w:pPr>
    <w:fldSimple w:instr=" PAGE   \* MERGEFORMAT ">
      <w:r w:rsidR="001453F2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6D" w:rsidRDefault="00293F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F6D" w:rsidRDefault="00293F6D" w:rsidP="00A60185">
      <w:r>
        <w:separator/>
      </w:r>
    </w:p>
  </w:footnote>
  <w:footnote w:type="continuationSeparator" w:id="0">
    <w:p w:rsidR="00293F6D" w:rsidRDefault="00293F6D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6D" w:rsidRDefault="00293F6D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6D" w:rsidRDefault="00293F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6D" w:rsidRDefault="00293F6D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BF27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7465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>
    <w:nsid w:val="0EF21922"/>
    <w:multiLevelType w:val="hybridMultilevel"/>
    <w:tmpl w:val="D4C6437C"/>
    <w:lvl w:ilvl="0" w:tplc="D450BC34">
      <w:start w:val="1"/>
      <w:numFmt w:val="lowerLetter"/>
      <w:lvlText w:val="%1)"/>
      <w:lvlJc w:val="left"/>
      <w:pPr>
        <w:ind w:left="720" w:hanging="360"/>
      </w:pPr>
    </w:lvl>
    <w:lvl w:ilvl="1" w:tplc="B0A2C4F2" w:tentative="1">
      <w:start w:val="1"/>
      <w:numFmt w:val="lowerLetter"/>
      <w:lvlText w:val="%2."/>
      <w:lvlJc w:val="left"/>
      <w:pPr>
        <w:ind w:left="1440" w:hanging="360"/>
      </w:pPr>
    </w:lvl>
    <w:lvl w:ilvl="2" w:tplc="2DAEBD98" w:tentative="1">
      <w:start w:val="1"/>
      <w:numFmt w:val="lowerRoman"/>
      <w:lvlText w:val="%3."/>
      <w:lvlJc w:val="right"/>
      <w:pPr>
        <w:ind w:left="2160" w:hanging="180"/>
      </w:pPr>
    </w:lvl>
    <w:lvl w:ilvl="3" w:tplc="23B8C266" w:tentative="1">
      <w:start w:val="1"/>
      <w:numFmt w:val="decimal"/>
      <w:lvlText w:val="%4."/>
      <w:lvlJc w:val="left"/>
      <w:pPr>
        <w:ind w:left="2880" w:hanging="360"/>
      </w:pPr>
    </w:lvl>
    <w:lvl w:ilvl="4" w:tplc="491AC6C4" w:tentative="1">
      <w:start w:val="1"/>
      <w:numFmt w:val="lowerLetter"/>
      <w:lvlText w:val="%5."/>
      <w:lvlJc w:val="left"/>
      <w:pPr>
        <w:ind w:left="3600" w:hanging="360"/>
      </w:pPr>
    </w:lvl>
    <w:lvl w:ilvl="5" w:tplc="E4926652" w:tentative="1">
      <w:start w:val="1"/>
      <w:numFmt w:val="lowerRoman"/>
      <w:lvlText w:val="%6."/>
      <w:lvlJc w:val="right"/>
      <w:pPr>
        <w:ind w:left="4320" w:hanging="180"/>
      </w:pPr>
    </w:lvl>
    <w:lvl w:ilvl="6" w:tplc="BA027C96" w:tentative="1">
      <w:start w:val="1"/>
      <w:numFmt w:val="decimal"/>
      <w:lvlText w:val="%7."/>
      <w:lvlJc w:val="left"/>
      <w:pPr>
        <w:ind w:left="5040" w:hanging="360"/>
      </w:pPr>
    </w:lvl>
    <w:lvl w:ilvl="7" w:tplc="E954D466" w:tentative="1">
      <w:start w:val="1"/>
      <w:numFmt w:val="lowerLetter"/>
      <w:lvlText w:val="%8."/>
      <w:lvlJc w:val="left"/>
      <w:pPr>
        <w:ind w:left="5760" w:hanging="360"/>
      </w:pPr>
    </w:lvl>
    <w:lvl w:ilvl="8" w:tplc="D6E24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9561B"/>
    <w:multiLevelType w:val="hybridMultilevel"/>
    <w:tmpl w:val="18B64A92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CB0C81"/>
    <w:multiLevelType w:val="hybridMultilevel"/>
    <w:tmpl w:val="DA8EF928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B41F48"/>
    <w:multiLevelType w:val="hybridMultilevel"/>
    <w:tmpl w:val="8B444B3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05E7559"/>
    <w:multiLevelType w:val="hybridMultilevel"/>
    <w:tmpl w:val="231AF052"/>
    <w:lvl w:ilvl="0" w:tplc="3FAC1B9C">
      <w:start w:val="1"/>
      <w:numFmt w:val="decimal"/>
      <w:lvlText w:val="%1)"/>
      <w:lvlJc w:val="left"/>
      <w:pPr>
        <w:ind w:left="644" w:hanging="360"/>
      </w:pPr>
    </w:lvl>
    <w:lvl w:ilvl="1" w:tplc="90D823A0" w:tentative="1">
      <w:start w:val="1"/>
      <w:numFmt w:val="lowerLetter"/>
      <w:lvlText w:val="%2."/>
      <w:lvlJc w:val="left"/>
      <w:pPr>
        <w:ind w:left="1440" w:hanging="360"/>
      </w:pPr>
    </w:lvl>
    <w:lvl w:ilvl="2" w:tplc="06786B58" w:tentative="1">
      <w:start w:val="1"/>
      <w:numFmt w:val="lowerRoman"/>
      <w:lvlText w:val="%3."/>
      <w:lvlJc w:val="right"/>
      <w:pPr>
        <w:ind w:left="2160" w:hanging="180"/>
      </w:pPr>
    </w:lvl>
    <w:lvl w:ilvl="3" w:tplc="692AE6F0" w:tentative="1">
      <w:start w:val="1"/>
      <w:numFmt w:val="decimal"/>
      <w:lvlText w:val="%4."/>
      <w:lvlJc w:val="left"/>
      <w:pPr>
        <w:ind w:left="2880" w:hanging="360"/>
      </w:pPr>
    </w:lvl>
    <w:lvl w:ilvl="4" w:tplc="1D3A8014" w:tentative="1">
      <w:start w:val="1"/>
      <w:numFmt w:val="lowerLetter"/>
      <w:lvlText w:val="%5."/>
      <w:lvlJc w:val="left"/>
      <w:pPr>
        <w:ind w:left="3600" w:hanging="360"/>
      </w:pPr>
    </w:lvl>
    <w:lvl w:ilvl="5" w:tplc="0FBC1E8C" w:tentative="1">
      <w:start w:val="1"/>
      <w:numFmt w:val="lowerRoman"/>
      <w:lvlText w:val="%6."/>
      <w:lvlJc w:val="right"/>
      <w:pPr>
        <w:ind w:left="4320" w:hanging="180"/>
      </w:pPr>
    </w:lvl>
    <w:lvl w:ilvl="6" w:tplc="3DAAFF10" w:tentative="1">
      <w:start w:val="1"/>
      <w:numFmt w:val="decimal"/>
      <w:lvlText w:val="%7."/>
      <w:lvlJc w:val="left"/>
      <w:pPr>
        <w:ind w:left="5040" w:hanging="360"/>
      </w:pPr>
    </w:lvl>
    <w:lvl w:ilvl="7" w:tplc="8F482806" w:tentative="1">
      <w:start w:val="1"/>
      <w:numFmt w:val="lowerLetter"/>
      <w:lvlText w:val="%8."/>
      <w:lvlJc w:val="left"/>
      <w:pPr>
        <w:ind w:left="5760" w:hanging="360"/>
      </w:pPr>
    </w:lvl>
    <w:lvl w:ilvl="8" w:tplc="DCDC8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927D1"/>
    <w:multiLevelType w:val="hybridMultilevel"/>
    <w:tmpl w:val="929E62F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62A4644"/>
    <w:multiLevelType w:val="hybridMultilevel"/>
    <w:tmpl w:val="DB06F4AE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8254867"/>
    <w:multiLevelType w:val="hybridMultilevel"/>
    <w:tmpl w:val="DA6A989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5456429"/>
    <w:multiLevelType w:val="multilevel"/>
    <w:tmpl w:val="F324577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4">
    <w:nsid w:val="68857418"/>
    <w:multiLevelType w:val="hybridMultilevel"/>
    <w:tmpl w:val="6D8864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A7244"/>
    <w:multiLevelType w:val="hybridMultilevel"/>
    <w:tmpl w:val="B0B6B6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D4FC6"/>
    <w:multiLevelType w:val="hybridMultilevel"/>
    <w:tmpl w:val="4ABC604C"/>
    <w:lvl w:ilvl="0" w:tplc="1A2ED348">
      <w:start w:val="1"/>
      <w:numFmt w:val="decimal"/>
      <w:lvlText w:val="%1."/>
      <w:lvlJc w:val="left"/>
      <w:pPr>
        <w:ind w:left="720" w:hanging="360"/>
      </w:pPr>
    </w:lvl>
    <w:lvl w:ilvl="1" w:tplc="FAEA6610" w:tentative="1">
      <w:start w:val="1"/>
      <w:numFmt w:val="lowerLetter"/>
      <w:lvlText w:val="%2."/>
      <w:lvlJc w:val="left"/>
      <w:pPr>
        <w:ind w:left="1440" w:hanging="360"/>
      </w:pPr>
    </w:lvl>
    <w:lvl w:ilvl="2" w:tplc="0D8E756C" w:tentative="1">
      <w:start w:val="1"/>
      <w:numFmt w:val="lowerRoman"/>
      <w:lvlText w:val="%3."/>
      <w:lvlJc w:val="right"/>
      <w:pPr>
        <w:ind w:left="2160" w:hanging="180"/>
      </w:pPr>
    </w:lvl>
    <w:lvl w:ilvl="3" w:tplc="281AF17C" w:tentative="1">
      <w:start w:val="1"/>
      <w:numFmt w:val="decimal"/>
      <w:lvlText w:val="%4."/>
      <w:lvlJc w:val="left"/>
      <w:pPr>
        <w:ind w:left="2880" w:hanging="360"/>
      </w:pPr>
    </w:lvl>
    <w:lvl w:ilvl="4" w:tplc="B2BEC61A" w:tentative="1">
      <w:start w:val="1"/>
      <w:numFmt w:val="lowerLetter"/>
      <w:lvlText w:val="%5."/>
      <w:lvlJc w:val="left"/>
      <w:pPr>
        <w:ind w:left="3600" w:hanging="360"/>
      </w:pPr>
    </w:lvl>
    <w:lvl w:ilvl="5" w:tplc="57CA5EE8" w:tentative="1">
      <w:start w:val="1"/>
      <w:numFmt w:val="lowerRoman"/>
      <w:lvlText w:val="%6."/>
      <w:lvlJc w:val="right"/>
      <w:pPr>
        <w:ind w:left="4320" w:hanging="180"/>
      </w:pPr>
    </w:lvl>
    <w:lvl w:ilvl="6" w:tplc="5B1CC8FC" w:tentative="1">
      <w:start w:val="1"/>
      <w:numFmt w:val="decimal"/>
      <w:lvlText w:val="%7."/>
      <w:lvlJc w:val="left"/>
      <w:pPr>
        <w:ind w:left="5040" w:hanging="360"/>
      </w:pPr>
    </w:lvl>
    <w:lvl w:ilvl="7" w:tplc="E24E7176" w:tentative="1">
      <w:start w:val="1"/>
      <w:numFmt w:val="lowerLetter"/>
      <w:lvlText w:val="%8."/>
      <w:lvlJc w:val="left"/>
      <w:pPr>
        <w:ind w:left="5760" w:hanging="360"/>
      </w:pPr>
    </w:lvl>
    <w:lvl w:ilvl="8" w:tplc="33CC6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7"/>
  </w:num>
  <w:num w:numId="5">
    <w:abstractNumId w:val="13"/>
  </w:num>
  <w:num w:numId="6">
    <w:abstractNumId w:val="16"/>
  </w:num>
  <w:num w:numId="7">
    <w:abstractNumId w:val="9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15"/>
  </w:num>
  <w:num w:numId="13">
    <w:abstractNumId w:val="14"/>
  </w:num>
  <w:num w:numId="14">
    <w:abstractNumId w:val="0"/>
  </w:num>
  <w:num w:numId="15">
    <w:abstractNumId w:val="5"/>
  </w:num>
  <w:num w:numId="16">
    <w:abstractNumId w:val="4"/>
  </w:num>
  <w:num w:numId="17">
    <w:abstractNumId w:val="11"/>
  </w:num>
  <w:num w:numId="1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10210"/>
    <w:rsid w:val="00012D66"/>
    <w:rsid w:val="000131A1"/>
    <w:rsid w:val="00015ADA"/>
    <w:rsid w:val="00020C99"/>
    <w:rsid w:val="0002707B"/>
    <w:rsid w:val="0005148E"/>
    <w:rsid w:val="000547F0"/>
    <w:rsid w:val="000759E5"/>
    <w:rsid w:val="0007601C"/>
    <w:rsid w:val="00084AC6"/>
    <w:rsid w:val="00091608"/>
    <w:rsid w:val="00092F92"/>
    <w:rsid w:val="0009333C"/>
    <w:rsid w:val="00096508"/>
    <w:rsid w:val="0009704F"/>
    <w:rsid w:val="00097605"/>
    <w:rsid w:val="000A0F11"/>
    <w:rsid w:val="000A125A"/>
    <w:rsid w:val="000A228F"/>
    <w:rsid w:val="000A57CD"/>
    <w:rsid w:val="000B3758"/>
    <w:rsid w:val="000B7681"/>
    <w:rsid w:val="000B7B42"/>
    <w:rsid w:val="000C02B7"/>
    <w:rsid w:val="000C2814"/>
    <w:rsid w:val="000C451B"/>
    <w:rsid w:val="000C5342"/>
    <w:rsid w:val="000C706A"/>
    <w:rsid w:val="000D2887"/>
    <w:rsid w:val="000D6D63"/>
    <w:rsid w:val="000D706B"/>
    <w:rsid w:val="000D7810"/>
    <w:rsid w:val="000E0081"/>
    <w:rsid w:val="000E07CF"/>
    <w:rsid w:val="0010071A"/>
    <w:rsid w:val="00100BEF"/>
    <w:rsid w:val="0011498E"/>
    <w:rsid w:val="00117A45"/>
    <w:rsid w:val="001224AE"/>
    <w:rsid w:val="00123035"/>
    <w:rsid w:val="001337D4"/>
    <w:rsid w:val="001340EA"/>
    <w:rsid w:val="001453F2"/>
    <w:rsid w:val="00147C12"/>
    <w:rsid w:val="001527A1"/>
    <w:rsid w:val="001530DC"/>
    <w:rsid w:val="00154989"/>
    <w:rsid w:val="00155A9F"/>
    <w:rsid w:val="0015684F"/>
    <w:rsid w:val="00160262"/>
    <w:rsid w:val="0016186F"/>
    <w:rsid w:val="0016281C"/>
    <w:rsid w:val="0016433A"/>
    <w:rsid w:val="0016780A"/>
    <w:rsid w:val="001713FA"/>
    <w:rsid w:val="00173EBF"/>
    <w:rsid w:val="001765DA"/>
    <w:rsid w:val="001842A2"/>
    <w:rsid w:val="00187FA8"/>
    <w:rsid w:val="001922D0"/>
    <w:rsid w:val="00192F5E"/>
    <w:rsid w:val="00197772"/>
    <w:rsid w:val="001A51C8"/>
    <w:rsid w:val="001B472B"/>
    <w:rsid w:val="001B4CA8"/>
    <w:rsid w:val="001C4F3D"/>
    <w:rsid w:val="001D0CDC"/>
    <w:rsid w:val="001D1D82"/>
    <w:rsid w:val="001E1182"/>
    <w:rsid w:val="001F0E8B"/>
    <w:rsid w:val="00200944"/>
    <w:rsid w:val="00202C90"/>
    <w:rsid w:val="00213DE8"/>
    <w:rsid w:val="00215938"/>
    <w:rsid w:val="00216118"/>
    <w:rsid w:val="002209AB"/>
    <w:rsid w:val="002251E3"/>
    <w:rsid w:val="00227A95"/>
    <w:rsid w:val="002316BD"/>
    <w:rsid w:val="002336F3"/>
    <w:rsid w:val="002473FC"/>
    <w:rsid w:val="00252E3C"/>
    <w:rsid w:val="00262198"/>
    <w:rsid w:val="00285F1B"/>
    <w:rsid w:val="00292B81"/>
    <w:rsid w:val="0029322E"/>
    <w:rsid w:val="00293F6D"/>
    <w:rsid w:val="00296477"/>
    <w:rsid w:val="002974BC"/>
    <w:rsid w:val="002A3142"/>
    <w:rsid w:val="002B18AE"/>
    <w:rsid w:val="002B3BFA"/>
    <w:rsid w:val="002B67D3"/>
    <w:rsid w:val="002C1C93"/>
    <w:rsid w:val="002C5066"/>
    <w:rsid w:val="002D4AAC"/>
    <w:rsid w:val="002D6C33"/>
    <w:rsid w:val="002F045A"/>
    <w:rsid w:val="0030039D"/>
    <w:rsid w:val="00300715"/>
    <w:rsid w:val="0030326F"/>
    <w:rsid w:val="00310701"/>
    <w:rsid w:val="00315980"/>
    <w:rsid w:val="00316F7F"/>
    <w:rsid w:val="00320162"/>
    <w:rsid w:val="003218E8"/>
    <w:rsid w:val="00330DCE"/>
    <w:rsid w:val="00331E11"/>
    <w:rsid w:val="00334761"/>
    <w:rsid w:val="00337EBC"/>
    <w:rsid w:val="00341DCD"/>
    <w:rsid w:val="0034504D"/>
    <w:rsid w:val="0034563E"/>
    <w:rsid w:val="003504CC"/>
    <w:rsid w:val="003518D6"/>
    <w:rsid w:val="00351A17"/>
    <w:rsid w:val="0035460C"/>
    <w:rsid w:val="003556BD"/>
    <w:rsid w:val="00365147"/>
    <w:rsid w:val="003655AB"/>
    <w:rsid w:val="0037016E"/>
    <w:rsid w:val="00370E55"/>
    <w:rsid w:val="00372908"/>
    <w:rsid w:val="00376457"/>
    <w:rsid w:val="00381917"/>
    <w:rsid w:val="00383020"/>
    <w:rsid w:val="003835F0"/>
    <w:rsid w:val="003975FD"/>
    <w:rsid w:val="003A0593"/>
    <w:rsid w:val="003B60CC"/>
    <w:rsid w:val="003C1B25"/>
    <w:rsid w:val="003C2443"/>
    <w:rsid w:val="003C31E0"/>
    <w:rsid w:val="003C5DA3"/>
    <w:rsid w:val="003D4BCD"/>
    <w:rsid w:val="003E01D8"/>
    <w:rsid w:val="003E2100"/>
    <w:rsid w:val="003F6F5B"/>
    <w:rsid w:val="00402C2F"/>
    <w:rsid w:val="0040342D"/>
    <w:rsid w:val="00403FB9"/>
    <w:rsid w:val="0041192D"/>
    <w:rsid w:val="0041275D"/>
    <w:rsid w:val="00413374"/>
    <w:rsid w:val="00413EE1"/>
    <w:rsid w:val="0042128E"/>
    <w:rsid w:val="00421AEB"/>
    <w:rsid w:val="0042465A"/>
    <w:rsid w:val="00432B60"/>
    <w:rsid w:val="00440698"/>
    <w:rsid w:val="004540E2"/>
    <w:rsid w:val="00454454"/>
    <w:rsid w:val="00467924"/>
    <w:rsid w:val="004712A5"/>
    <w:rsid w:val="0047266F"/>
    <w:rsid w:val="00473D9A"/>
    <w:rsid w:val="00476D6B"/>
    <w:rsid w:val="0049013A"/>
    <w:rsid w:val="00492C16"/>
    <w:rsid w:val="004A0678"/>
    <w:rsid w:val="004A48A3"/>
    <w:rsid w:val="004B0D92"/>
    <w:rsid w:val="004B0EC0"/>
    <w:rsid w:val="004B66F1"/>
    <w:rsid w:val="004C3B7B"/>
    <w:rsid w:val="004C3EA0"/>
    <w:rsid w:val="004F7169"/>
    <w:rsid w:val="00500D66"/>
    <w:rsid w:val="005036A6"/>
    <w:rsid w:val="00514C8E"/>
    <w:rsid w:val="00517F35"/>
    <w:rsid w:val="00523ED3"/>
    <w:rsid w:val="00531DBF"/>
    <w:rsid w:val="005337FC"/>
    <w:rsid w:val="00545759"/>
    <w:rsid w:val="00545BE0"/>
    <w:rsid w:val="00554C6A"/>
    <w:rsid w:val="00562E85"/>
    <w:rsid w:val="0056332F"/>
    <w:rsid w:val="00576273"/>
    <w:rsid w:val="00581C39"/>
    <w:rsid w:val="00584F6B"/>
    <w:rsid w:val="005903B6"/>
    <w:rsid w:val="00592B20"/>
    <w:rsid w:val="005A0247"/>
    <w:rsid w:val="005A126E"/>
    <w:rsid w:val="005A452F"/>
    <w:rsid w:val="005B140D"/>
    <w:rsid w:val="005C1FEA"/>
    <w:rsid w:val="005C3495"/>
    <w:rsid w:val="005E3DFC"/>
    <w:rsid w:val="005E60AF"/>
    <w:rsid w:val="005E7B4E"/>
    <w:rsid w:val="005F1DEA"/>
    <w:rsid w:val="00602FCB"/>
    <w:rsid w:val="00607FC9"/>
    <w:rsid w:val="00610955"/>
    <w:rsid w:val="006145D5"/>
    <w:rsid w:val="0061490C"/>
    <w:rsid w:val="00622FE1"/>
    <w:rsid w:val="0062521C"/>
    <w:rsid w:val="00627EEF"/>
    <w:rsid w:val="00630A2B"/>
    <w:rsid w:val="00632DC7"/>
    <w:rsid w:val="00633896"/>
    <w:rsid w:val="006357FB"/>
    <w:rsid w:val="006406FC"/>
    <w:rsid w:val="0064407B"/>
    <w:rsid w:val="00646122"/>
    <w:rsid w:val="00653E16"/>
    <w:rsid w:val="00657220"/>
    <w:rsid w:val="0066104B"/>
    <w:rsid w:val="00661419"/>
    <w:rsid w:val="00662299"/>
    <w:rsid w:val="006655EE"/>
    <w:rsid w:val="00667C10"/>
    <w:rsid w:val="00667EF4"/>
    <w:rsid w:val="00672B85"/>
    <w:rsid w:val="00674E59"/>
    <w:rsid w:val="00675C07"/>
    <w:rsid w:val="00676FCA"/>
    <w:rsid w:val="00677177"/>
    <w:rsid w:val="0068612E"/>
    <w:rsid w:val="00687C92"/>
    <w:rsid w:val="0069534E"/>
    <w:rsid w:val="00696365"/>
    <w:rsid w:val="0069669C"/>
    <w:rsid w:val="006A1200"/>
    <w:rsid w:val="006A2C5A"/>
    <w:rsid w:val="006A4F4E"/>
    <w:rsid w:val="006B14DB"/>
    <w:rsid w:val="006B21C4"/>
    <w:rsid w:val="006C4A1A"/>
    <w:rsid w:val="006D0393"/>
    <w:rsid w:val="006D1A83"/>
    <w:rsid w:val="006E1CFE"/>
    <w:rsid w:val="006E31A2"/>
    <w:rsid w:val="006F10C4"/>
    <w:rsid w:val="006F40E9"/>
    <w:rsid w:val="006F5603"/>
    <w:rsid w:val="00701400"/>
    <w:rsid w:val="007037CF"/>
    <w:rsid w:val="00703BB8"/>
    <w:rsid w:val="00716583"/>
    <w:rsid w:val="007167C0"/>
    <w:rsid w:val="00720481"/>
    <w:rsid w:val="00725142"/>
    <w:rsid w:val="00727C18"/>
    <w:rsid w:val="00727E2F"/>
    <w:rsid w:val="00733193"/>
    <w:rsid w:val="00737CBA"/>
    <w:rsid w:val="00752EEA"/>
    <w:rsid w:val="00754C17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2D61"/>
    <w:rsid w:val="0078761B"/>
    <w:rsid w:val="00791024"/>
    <w:rsid w:val="00794818"/>
    <w:rsid w:val="007A2573"/>
    <w:rsid w:val="007A3B9C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12584"/>
    <w:rsid w:val="00824863"/>
    <w:rsid w:val="00833CF7"/>
    <w:rsid w:val="008377DA"/>
    <w:rsid w:val="00845601"/>
    <w:rsid w:val="00846EF1"/>
    <w:rsid w:val="00855C5C"/>
    <w:rsid w:val="0086233C"/>
    <w:rsid w:val="00865CFA"/>
    <w:rsid w:val="00883CE7"/>
    <w:rsid w:val="008A187F"/>
    <w:rsid w:val="008A3C96"/>
    <w:rsid w:val="008B0BBA"/>
    <w:rsid w:val="008B4019"/>
    <w:rsid w:val="008B505F"/>
    <w:rsid w:val="008B65C9"/>
    <w:rsid w:val="008C2D4A"/>
    <w:rsid w:val="008C6A05"/>
    <w:rsid w:val="008C7DBB"/>
    <w:rsid w:val="008D3900"/>
    <w:rsid w:val="008D6E1D"/>
    <w:rsid w:val="008D6EDB"/>
    <w:rsid w:val="008E36FE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42662"/>
    <w:rsid w:val="00947507"/>
    <w:rsid w:val="0095179B"/>
    <w:rsid w:val="00952DDF"/>
    <w:rsid w:val="00952EC4"/>
    <w:rsid w:val="009812D4"/>
    <w:rsid w:val="00982653"/>
    <w:rsid w:val="0098671F"/>
    <w:rsid w:val="009873F4"/>
    <w:rsid w:val="009920D8"/>
    <w:rsid w:val="009A371F"/>
    <w:rsid w:val="009B38BE"/>
    <w:rsid w:val="009C3D0F"/>
    <w:rsid w:val="009D6232"/>
    <w:rsid w:val="009E1B19"/>
    <w:rsid w:val="009F35E2"/>
    <w:rsid w:val="009F65F9"/>
    <w:rsid w:val="009F68BA"/>
    <w:rsid w:val="00A06277"/>
    <w:rsid w:val="00A079DC"/>
    <w:rsid w:val="00A10BAB"/>
    <w:rsid w:val="00A111C2"/>
    <w:rsid w:val="00A17C39"/>
    <w:rsid w:val="00A238AA"/>
    <w:rsid w:val="00A338E7"/>
    <w:rsid w:val="00A35CAA"/>
    <w:rsid w:val="00A36E7F"/>
    <w:rsid w:val="00A41E65"/>
    <w:rsid w:val="00A43E0A"/>
    <w:rsid w:val="00A46247"/>
    <w:rsid w:val="00A46632"/>
    <w:rsid w:val="00A530C7"/>
    <w:rsid w:val="00A55F5B"/>
    <w:rsid w:val="00A60185"/>
    <w:rsid w:val="00A661EA"/>
    <w:rsid w:val="00A70A6C"/>
    <w:rsid w:val="00A830E5"/>
    <w:rsid w:val="00A87135"/>
    <w:rsid w:val="00A93280"/>
    <w:rsid w:val="00A951EA"/>
    <w:rsid w:val="00A961A6"/>
    <w:rsid w:val="00A973E1"/>
    <w:rsid w:val="00AA1C65"/>
    <w:rsid w:val="00AA21EE"/>
    <w:rsid w:val="00AA2548"/>
    <w:rsid w:val="00AA3B6E"/>
    <w:rsid w:val="00AA58C4"/>
    <w:rsid w:val="00AB11C8"/>
    <w:rsid w:val="00AC08A8"/>
    <w:rsid w:val="00AD56C8"/>
    <w:rsid w:val="00AD58F2"/>
    <w:rsid w:val="00AF5EA3"/>
    <w:rsid w:val="00AF6AA2"/>
    <w:rsid w:val="00B0512A"/>
    <w:rsid w:val="00B0529F"/>
    <w:rsid w:val="00B05D52"/>
    <w:rsid w:val="00B1418B"/>
    <w:rsid w:val="00B17C0D"/>
    <w:rsid w:val="00B21195"/>
    <w:rsid w:val="00B22B3D"/>
    <w:rsid w:val="00B24B22"/>
    <w:rsid w:val="00B25310"/>
    <w:rsid w:val="00B32F8F"/>
    <w:rsid w:val="00B47C42"/>
    <w:rsid w:val="00B510B1"/>
    <w:rsid w:val="00B54DE9"/>
    <w:rsid w:val="00B553EC"/>
    <w:rsid w:val="00B55870"/>
    <w:rsid w:val="00B73FEF"/>
    <w:rsid w:val="00B77732"/>
    <w:rsid w:val="00B80D6D"/>
    <w:rsid w:val="00B9154F"/>
    <w:rsid w:val="00B93DD0"/>
    <w:rsid w:val="00B97732"/>
    <w:rsid w:val="00BA0206"/>
    <w:rsid w:val="00BA65A8"/>
    <w:rsid w:val="00BA6D19"/>
    <w:rsid w:val="00BA7461"/>
    <w:rsid w:val="00BA7DA9"/>
    <w:rsid w:val="00BC4215"/>
    <w:rsid w:val="00BD0396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0941"/>
    <w:rsid w:val="00C5504F"/>
    <w:rsid w:val="00C55991"/>
    <w:rsid w:val="00C63376"/>
    <w:rsid w:val="00C66CB4"/>
    <w:rsid w:val="00C74F97"/>
    <w:rsid w:val="00C76A08"/>
    <w:rsid w:val="00C8276E"/>
    <w:rsid w:val="00C83AD1"/>
    <w:rsid w:val="00C842AC"/>
    <w:rsid w:val="00C93FD9"/>
    <w:rsid w:val="00C951F3"/>
    <w:rsid w:val="00C96688"/>
    <w:rsid w:val="00CA0723"/>
    <w:rsid w:val="00CA4542"/>
    <w:rsid w:val="00CB1690"/>
    <w:rsid w:val="00CB1FB6"/>
    <w:rsid w:val="00CC4365"/>
    <w:rsid w:val="00CD11B0"/>
    <w:rsid w:val="00CD5E0E"/>
    <w:rsid w:val="00CE71C2"/>
    <w:rsid w:val="00CF3964"/>
    <w:rsid w:val="00CF42D5"/>
    <w:rsid w:val="00CF4EDA"/>
    <w:rsid w:val="00D021CB"/>
    <w:rsid w:val="00D0758C"/>
    <w:rsid w:val="00D10F1A"/>
    <w:rsid w:val="00D116F8"/>
    <w:rsid w:val="00D17596"/>
    <w:rsid w:val="00D22640"/>
    <w:rsid w:val="00D26D3A"/>
    <w:rsid w:val="00D45C91"/>
    <w:rsid w:val="00D45EE3"/>
    <w:rsid w:val="00D50618"/>
    <w:rsid w:val="00D509E9"/>
    <w:rsid w:val="00D53B1C"/>
    <w:rsid w:val="00D652C8"/>
    <w:rsid w:val="00D656FF"/>
    <w:rsid w:val="00D83615"/>
    <w:rsid w:val="00DA1B12"/>
    <w:rsid w:val="00DA54C9"/>
    <w:rsid w:val="00DA6739"/>
    <w:rsid w:val="00DA6CAE"/>
    <w:rsid w:val="00DB1A9E"/>
    <w:rsid w:val="00DB31D6"/>
    <w:rsid w:val="00DB3296"/>
    <w:rsid w:val="00DB4005"/>
    <w:rsid w:val="00DB59DE"/>
    <w:rsid w:val="00DB61F1"/>
    <w:rsid w:val="00DC34EB"/>
    <w:rsid w:val="00DC78C0"/>
    <w:rsid w:val="00DE67FB"/>
    <w:rsid w:val="00DF14C9"/>
    <w:rsid w:val="00DF1E5B"/>
    <w:rsid w:val="00DF2275"/>
    <w:rsid w:val="00DF3F5E"/>
    <w:rsid w:val="00DF5653"/>
    <w:rsid w:val="00E0596E"/>
    <w:rsid w:val="00E06061"/>
    <w:rsid w:val="00E06F66"/>
    <w:rsid w:val="00E2111A"/>
    <w:rsid w:val="00E23410"/>
    <w:rsid w:val="00E356E5"/>
    <w:rsid w:val="00E36F81"/>
    <w:rsid w:val="00E378A8"/>
    <w:rsid w:val="00E40B9B"/>
    <w:rsid w:val="00E45765"/>
    <w:rsid w:val="00E5098C"/>
    <w:rsid w:val="00E60213"/>
    <w:rsid w:val="00E661B2"/>
    <w:rsid w:val="00E74D29"/>
    <w:rsid w:val="00E806FF"/>
    <w:rsid w:val="00E83C74"/>
    <w:rsid w:val="00E83CEE"/>
    <w:rsid w:val="00E91F18"/>
    <w:rsid w:val="00E9226D"/>
    <w:rsid w:val="00EA416C"/>
    <w:rsid w:val="00EA5941"/>
    <w:rsid w:val="00EA6308"/>
    <w:rsid w:val="00EB60CE"/>
    <w:rsid w:val="00EB7D53"/>
    <w:rsid w:val="00EC596B"/>
    <w:rsid w:val="00EE13C5"/>
    <w:rsid w:val="00EE3146"/>
    <w:rsid w:val="00EF50BB"/>
    <w:rsid w:val="00EF71E4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37C48"/>
    <w:rsid w:val="00F477BD"/>
    <w:rsid w:val="00F50333"/>
    <w:rsid w:val="00F53491"/>
    <w:rsid w:val="00F54656"/>
    <w:rsid w:val="00F60181"/>
    <w:rsid w:val="00F65A1C"/>
    <w:rsid w:val="00F66F50"/>
    <w:rsid w:val="00F709D3"/>
    <w:rsid w:val="00F77432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C20F8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rsid w:val="00E060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rivas.canberra.edu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1836</Words>
  <Characters>10467</Characters>
  <Application>Microsoft Office Word</Application>
  <DocSecurity>0</DocSecurity>
  <Lines>87</Lines>
  <Paragraphs>24</Paragraphs>
  <ScaleCrop>false</ScaleCrop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seam gas project, Santos Future Gas Supply Area Project</dc:title>
  <dc:creator/>
  <cp:lastModifiedBy/>
  <cp:revision>1</cp:revision>
  <dcterms:created xsi:type="dcterms:W3CDTF">2012-08-29T04:54:00Z</dcterms:created>
  <dcterms:modified xsi:type="dcterms:W3CDTF">2012-08-29T04:54:00Z</dcterms:modified>
</cp:coreProperties>
</file>