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 to decision maker on coal mining 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2974BC">
        <w:rPr>
          <w:rFonts w:ascii="Arial" w:hAnsi="Arial" w:cs="Arial"/>
          <w:b/>
          <w:sz w:val="20"/>
          <w:lang w:eastAsia="en-AU"/>
        </w:rPr>
        <w:t xml:space="preserve"> </w:t>
      </w:r>
      <w:r w:rsidR="00703BB8">
        <w:rPr>
          <w:rFonts w:ascii="Arial" w:hAnsi="Arial" w:cs="Arial"/>
          <w:b/>
          <w:sz w:val="20"/>
          <w:lang w:eastAsia="en-AU"/>
        </w:rPr>
        <w:t>Coal Mine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29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C018FC" w:rsidP="00A462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June</w:t>
            </w:r>
            <w:r w:rsidR="00A10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8E36FE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791557" w:rsidRDefault="00C71A80" w:rsidP="006772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>M</w:t>
            </w:r>
            <w:r w:rsidR="00791557">
              <w:rPr>
                <w:rFonts w:ascii="Arial" w:hAnsi="Arial" w:cs="Arial"/>
                <w:b/>
                <w:sz w:val="20"/>
                <w:lang w:eastAsia="en-AU"/>
              </w:rPr>
              <w:t>IDDLEMOUNT COAL PROJECT STAGE 2, MIDDLEMOUNT, QUEEN</w:t>
            </w:r>
            <w:r w:rsidR="00677246">
              <w:rPr>
                <w:rFonts w:ascii="Arial" w:hAnsi="Arial" w:cs="Arial"/>
                <w:b/>
                <w:sz w:val="20"/>
                <w:lang w:eastAsia="en-AU"/>
              </w:rPr>
              <w:t>S</w:t>
            </w:r>
            <w:r w:rsidR="00791557">
              <w:rPr>
                <w:rFonts w:ascii="Arial" w:hAnsi="Arial" w:cs="Arial"/>
                <w:b/>
                <w:sz w:val="20"/>
                <w:lang w:eastAsia="en-AU"/>
              </w:rPr>
              <w:t xml:space="preserve">LAND </w:t>
            </w:r>
            <w:r w:rsidR="00E40B9B" w:rsidRPr="00791557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(EPBC </w:t>
            </w:r>
            <w:r w:rsidRPr="00791557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2010/5394)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3D5A2F" w:rsidRDefault="001765DA" w:rsidP="003D5A2F">
            <w:pPr>
              <w:pStyle w:val="Default"/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of Sustainability, Environment, Water, Population </w:t>
            </w:r>
            <w:r w:rsidR="002974BC"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and</w:t>
            </w:r>
            <w:r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Communities (the department) has assessed proposed projects in accordance with the provisions of the </w:t>
            </w:r>
            <w:r w:rsidR="00F33C04" w:rsidRPr="00F33C04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eastAsia="en-US"/>
              </w:rPr>
              <w:t>Environment Protection and Biodiversity Conservation Act 1999</w:t>
            </w:r>
            <w:r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:rsidR="003D5A2F" w:rsidRPr="003D5A2F" w:rsidRDefault="00703BB8" w:rsidP="00377789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advises the Interim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Coal Mining (the </w:t>
            </w:r>
            <w:r w:rsidR="00377789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ommittee)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a</w:t>
            </w:r>
            <w:r w:rsidR="00A10BA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3D5A2F"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draft environmental impact statement and </w:t>
            </w:r>
            <w:r w:rsidR="00C426C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proposed </w:t>
            </w:r>
            <w:r w:rsidR="003D5A2F"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approval conditions. Specifically, the department seeks the advice of the </w:t>
            </w:r>
            <w:r w:rsidR="0039002A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="003D5A2F"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 whether:</w:t>
            </w:r>
          </w:p>
          <w:p w:rsidR="00377789" w:rsidRDefault="003D5A2F" w:rsidP="00C71A80">
            <w:pPr>
              <w:pStyle w:val="ListNumber"/>
              <w:rPr>
                <w:rFonts w:ascii="Arial" w:hAnsi="Arial" w:cs="Arial"/>
                <w:sz w:val="20"/>
                <w:szCs w:val="20"/>
              </w:rPr>
            </w:pPr>
            <w:r w:rsidRPr="00377789">
              <w:rPr>
                <w:rFonts w:ascii="Arial" w:hAnsi="Arial" w:cs="Arial"/>
                <w:sz w:val="20"/>
                <w:szCs w:val="20"/>
              </w:rPr>
              <w:t>there are likely to be significant water-related impacts on matters of national environmental significance (MNES) species - Ornamental Snake (</w:t>
            </w:r>
            <w:proofErr w:type="spellStart"/>
            <w:r w:rsidRPr="00377789">
              <w:rPr>
                <w:rFonts w:ascii="Arial" w:hAnsi="Arial" w:cs="Arial"/>
                <w:i/>
                <w:sz w:val="20"/>
                <w:szCs w:val="20"/>
              </w:rPr>
              <w:t>Denisonia</w:t>
            </w:r>
            <w:proofErr w:type="spellEnd"/>
            <w:r w:rsidRPr="00377789">
              <w:rPr>
                <w:rFonts w:ascii="Arial" w:hAnsi="Arial" w:cs="Arial"/>
                <w:i/>
                <w:sz w:val="20"/>
                <w:szCs w:val="20"/>
              </w:rPr>
              <w:t xml:space="preserve"> maculate</w:t>
            </w:r>
            <w:r w:rsidRPr="00377789">
              <w:rPr>
                <w:rFonts w:ascii="Arial" w:hAnsi="Arial" w:cs="Arial"/>
                <w:sz w:val="20"/>
                <w:szCs w:val="20"/>
              </w:rPr>
              <w:t>), Squatter Pigeon (</w:t>
            </w:r>
            <w:proofErr w:type="spellStart"/>
            <w:r w:rsidRPr="00377789">
              <w:rPr>
                <w:rFonts w:ascii="Arial" w:hAnsi="Arial" w:cs="Arial"/>
                <w:i/>
                <w:sz w:val="20"/>
                <w:szCs w:val="20"/>
              </w:rPr>
              <w:t>Geophaps</w:t>
            </w:r>
            <w:proofErr w:type="spellEnd"/>
            <w:r w:rsidRPr="003777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77789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Pr="003777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77789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Pr="00377789">
              <w:rPr>
                <w:rFonts w:ascii="Arial" w:hAnsi="Arial" w:cs="Arial"/>
                <w:sz w:val="20"/>
                <w:szCs w:val="20"/>
              </w:rPr>
              <w:t>) and threatened ecological community Brigalow (</w:t>
            </w:r>
            <w:r w:rsidRPr="00377789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Pr="00377789">
              <w:rPr>
                <w:rFonts w:ascii="Arial" w:hAnsi="Arial" w:cs="Arial"/>
                <w:i/>
                <w:sz w:val="20"/>
                <w:szCs w:val="20"/>
              </w:rPr>
              <w:t>harpophylla</w:t>
            </w:r>
            <w:proofErr w:type="spellEnd"/>
            <w:r w:rsidRPr="00377789">
              <w:rPr>
                <w:rFonts w:ascii="Arial" w:hAnsi="Arial" w:cs="Arial"/>
                <w:sz w:val="20"/>
                <w:szCs w:val="20"/>
              </w:rPr>
              <w:t>)</w:t>
            </w:r>
            <w:r w:rsidR="0039002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77789">
              <w:rPr>
                <w:rFonts w:ascii="Arial" w:hAnsi="Arial" w:cs="Arial"/>
                <w:sz w:val="20"/>
                <w:szCs w:val="20"/>
              </w:rPr>
              <w:t>a</w:t>
            </w:r>
            <w:r w:rsidR="0039002A">
              <w:rPr>
                <w:rFonts w:ascii="Arial" w:hAnsi="Arial" w:cs="Arial"/>
                <w:sz w:val="20"/>
                <w:szCs w:val="20"/>
              </w:rPr>
              <w:t>nd</w:t>
            </w:r>
          </w:p>
          <w:p w:rsidR="00A10BAB" w:rsidRPr="00377789" w:rsidRDefault="003D5A2F" w:rsidP="00C71A80">
            <w:pPr>
              <w:pStyle w:val="ListNumb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7789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377789">
              <w:rPr>
                <w:rFonts w:ascii="Arial" w:hAnsi="Arial" w:cs="Arial"/>
                <w:sz w:val="20"/>
                <w:szCs w:val="20"/>
              </w:rPr>
              <w:t xml:space="preserve"> proposal includes sufficient measures to mitigate potential impacts to MNES</w:t>
            </w:r>
            <w:r w:rsidR="00C426C1" w:rsidRPr="00377789">
              <w:rPr>
                <w:rFonts w:ascii="Arial" w:hAnsi="Arial" w:cs="Arial"/>
                <w:sz w:val="20"/>
                <w:szCs w:val="20"/>
              </w:rPr>
              <w:t>,</w:t>
            </w:r>
            <w:r w:rsidRPr="00377789">
              <w:rPr>
                <w:rFonts w:ascii="Arial" w:hAnsi="Arial" w:cs="Arial"/>
                <w:sz w:val="20"/>
                <w:szCs w:val="20"/>
              </w:rPr>
              <w:t xml:space="preserve"> including downstream of the action. </w:t>
            </w:r>
          </w:p>
          <w:p w:rsidR="00C71A80" w:rsidRDefault="00C71A80" w:rsidP="006F2A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F2A2D" w:rsidRPr="006F2A2D" w:rsidRDefault="006F2A2D" w:rsidP="006F2A2D">
            <w:pPr>
              <w:rPr>
                <w:rFonts w:ascii="Arial" w:hAnsi="Arial" w:cs="Arial"/>
                <w:sz w:val="20"/>
                <w:szCs w:val="20"/>
              </w:rPr>
            </w:pPr>
            <w:r w:rsidRPr="006F2A2D">
              <w:rPr>
                <w:rFonts w:ascii="Arial" w:hAnsi="Arial" w:cs="Arial"/>
                <w:sz w:val="20"/>
                <w:szCs w:val="20"/>
              </w:rPr>
              <w:t xml:space="preserve">An approval decision is expected by early August 2012 and the department has provided the committee </w:t>
            </w:r>
            <w:r w:rsidR="0039002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6F2A2D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C426C1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Pr="006F2A2D">
              <w:rPr>
                <w:rFonts w:ascii="Arial" w:hAnsi="Arial" w:cs="Arial"/>
                <w:sz w:val="20"/>
                <w:szCs w:val="20"/>
              </w:rPr>
              <w:t xml:space="preserve">conditions (Attachment A to the department’s request for advice). The department’s assessment clock stopped </w:t>
            </w:r>
            <w:r w:rsidR="00C426C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6F2A2D">
              <w:rPr>
                <w:rFonts w:ascii="Arial" w:hAnsi="Arial" w:cs="Arial"/>
                <w:sz w:val="20"/>
                <w:szCs w:val="20"/>
              </w:rPr>
              <w:t>July to seek addition</w:t>
            </w:r>
            <w:r w:rsidR="00C426C1">
              <w:rPr>
                <w:rFonts w:ascii="Arial" w:hAnsi="Arial" w:cs="Arial"/>
                <w:sz w:val="20"/>
                <w:szCs w:val="20"/>
              </w:rPr>
              <w:t>al</w:t>
            </w:r>
            <w:r w:rsidRPr="006F2A2D">
              <w:rPr>
                <w:rFonts w:ascii="Arial" w:hAnsi="Arial" w:cs="Arial"/>
                <w:sz w:val="20"/>
                <w:szCs w:val="20"/>
              </w:rPr>
              <w:t xml:space="preserve"> information from the proponent on details of proposed offsets, impacts on habitat and management measures for threatened EPBC species – vulnerable listed Ornamental Snake </w:t>
            </w:r>
            <w:r w:rsidRPr="006F2A2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6F2A2D">
              <w:rPr>
                <w:rFonts w:ascii="Arial" w:hAnsi="Arial" w:cs="Arial"/>
                <w:i/>
                <w:sz w:val="20"/>
                <w:szCs w:val="20"/>
              </w:rPr>
              <w:t>Denisonia</w:t>
            </w:r>
            <w:proofErr w:type="spellEnd"/>
            <w:r w:rsidRPr="006F2A2D">
              <w:rPr>
                <w:rFonts w:ascii="Arial" w:hAnsi="Arial" w:cs="Arial"/>
                <w:i/>
                <w:sz w:val="20"/>
                <w:szCs w:val="20"/>
              </w:rPr>
              <w:t xml:space="preserve"> maculate</w:t>
            </w:r>
            <w:r w:rsidRPr="006F2A2D">
              <w:rPr>
                <w:rFonts w:ascii="Arial" w:hAnsi="Arial" w:cs="Arial"/>
                <w:sz w:val="20"/>
                <w:szCs w:val="20"/>
              </w:rPr>
              <w:t>), Squatter Pigeon (</w:t>
            </w:r>
            <w:proofErr w:type="spellStart"/>
            <w:r w:rsidRPr="006F2A2D">
              <w:rPr>
                <w:rFonts w:ascii="Arial" w:hAnsi="Arial" w:cs="Arial"/>
                <w:i/>
                <w:sz w:val="20"/>
                <w:szCs w:val="20"/>
              </w:rPr>
              <w:t>Geophaps</w:t>
            </w:r>
            <w:proofErr w:type="spellEnd"/>
            <w:r w:rsidRPr="006F2A2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A2D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Pr="006F2A2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A2D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Pr="006F2A2D">
              <w:rPr>
                <w:rFonts w:ascii="Arial" w:hAnsi="Arial" w:cs="Arial"/>
                <w:sz w:val="20"/>
                <w:szCs w:val="20"/>
              </w:rPr>
              <w:t>) and threatened ecological community Brigalow (</w:t>
            </w:r>
            <w:r w:rsidRPr="006F2A2D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Pr="006F2A2D">
              <w:rPr>
                <w:rFonts w:ascii="Arial" w:hAnsi="Arial" w:cs="Arial"/>
                <w:i/>
                <w:sz w:val="20"/>
                <w:szCs w:val="20"/>
              </w:rPr>
              <w:t>harpophylla</w:t>
            </w:r>
            <w:proofErr w:type="spellEnd"/>
            <w:r w:rsidRPr="006F2A2D"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A2D">
              <w:rPr>
                <w:rFonts w:ascii="Arial" w:hAnsi="Arial" w:cs="Arial"/>
                <w:sz w:val="20"/>
                <w:szCs w:val="20"/>
              </w:rPr>
              <w:t xml:space="preserve">However, this additional information had not been received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6F2A2D">
              <w:rPr>
                <w:rFonts w:ascii="Arial" w:hAnsi="Arial" w:cs="Arial"/>
                <w:sz w:val="20"/>
                <w:szCs w:val="20"/>
              </w:rPr>
              <w:t xml:space="preserve"> time of preparing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9002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ommittee’s advice</w:t>
            </w:r>
            <w:r w:rsidRPr="006F2A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2B65" w:rsidRDefault="00232B65" w:rsidP="0039002A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  <w:p w:rsidR="00C71A80" w:rsidRPr="003D5A2F" w:rsidRDefault="00C71A80" w:rsidP="0039002A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requests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advice 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by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30 July 2012.</w:t>
            </w:r>
            <w:r w:rsidRPr="003D5A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65DA" w:rsidRDefault="008D7F46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778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ommittee advises that </w:t>
            </w:r>
            <w:r w:rsidR="00377789">
              <w:rPr>
                <w:rFonts w:ascii="Arial" w:hAnsi="Arial" w:cs="Arial"/>
                <w:sz w:val="20"/>
                <w:szCs w:val="20"/>
              </w:rPr>
              <w:t>matters of national environmental significance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impacted by the project. </w:t>
            </w:r>
          </w:p>
          <w:p w:rsidR="00ED3F29" w:rsidRPr="00377789" w:rsidRDefault="008D7F46" w:rsidP="00377789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377789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ommittee notes that th</w:t>
            </w:r>
            <w:r w:rsidR="00ED3F29">
              <w:rPr>
                <w:rFonts w:ascii="Arial" w:hAnsi="Arial" w:cs="Arial"/>
                <w:sz w:val="20"/>
                <w:szCs w:val="20"/>
              </w:rPr>
              <w:t xml:space="preserve">e draft conditions provide for </w:t>
            </w:r>
            <w:r w:rsidR="00ED3F29" w:rsidRPr="00ED3F29">
              <w:rPr>
                <w:rFonts w:ascii="Arial" w:hAnsi="Arial" w:cs="Arial"/>
                <w:sz w:val="20"/>
                <w:szCs w:val="20"/>
              </w:rPr>
              <w:t>an offset Management Plan for the Ornamental Snake (</w:t>
            </w:r>
            <w:proofErr w:type="spellStart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>Denisonia</w:t>
            </w:r>
            <w:proofErr w:type="spellEnd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 xml:space="preserve"> maculate</w:t>
            </w:r>
            <w:r w:rsidR="00ED3F29" w:rsidRPr="00ED3F29">
              <w:rPr>
                <w:rFonts w:ascii="Arial" w:hAnsi="Arial" w:cs="Arial"/>
                <w:sz w:val="20"/>
                <w:szCs w:val="20"/>
              </w:rPr>
              <w:t xml:space="preserve">) and restrictions to the clearance of suitable habitat for the Ornamental Snake; </w:t>
            </w:r>
            <w:r w:rsidR="00030A2A" w:rsidRPr="00ED3F29">
              <w:rPr>
                <w:rFonts w:ascii="Arial" w:hAnsi="Arial" w:cs="Arial"/>
                <w:sz w:val="20"/>
                <w:szCs w:val="20"/>
              </w:rPr>
              <w:t xml:space="preserve">restrictions to the clearance of </w:t>
            </w:r>
            <w:r w:rsidR="00ED3F29" w:rsidRPr="00ED3F29">
              <w:rPr>
                <w:rFonts w:ascii="Arial" w:hAnsi="Arial" w:cs="Arial"/>
                <w:sz w:val="20"/>
                <w:szCs w:val="20"/>
              </w:rPr>
              <w:t>suitable habitat for the Squatter Pigeon (</w:t>
            </w:r>
            <w:proofErr w:type="spellStart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>Geophaps</w:t>
            </w:r>
            <w:proofErr w:type="spellEnd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3F29" w:rsidRPr="00ED3F29">
              <w:rPr>
                <w:rFonts w:ascii="Arial" w:hAnsi="Arial" w:cs="Arial"/>
                <w:i/>
                <w:sz w:val="20"/>
                <w:szCs w:val="20"/>
              </w:rPr>
              <w:t>scripta</w:t>
            </w:r>
            <w:proofErr w:type="spellEnd"/>
            <w:r w:rsidR="00ED3F29" w:rsidRPr="00ED3F29">
              <w:rPr>
                <w:rFonts w:ascii="Arial" w:hAnsi="Arial" w:cs="Arial"/>
                <w:sz w:val="20"/>
                <w:szCs w:val="20"/>
              </w:rPr>
              <w:t>), the Brigalow endangered ecological community (</w:t>
            </w:r>
            <w:r w:rsidR="00ED3F29" w:rsidRPr="006F755F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="00ED3F29" w:rsidRPr="006F755F">
              <w:rPr>
                <w:rFonts w:ascii="Arial" w:hAnsi="Arial" w:cs="Arial"/>
                <w:i/>
                <w:sz w:val="20"/>
                <w:szCs w:val="20"/>
              </w:rPr>
              <w:t>harpophylla</w:t>
            </w:r>
            <w:proofErr w:type="spellEnd"/>
            <w:r w:rsidR="00ED3F29" w:rsidRPr="00ED3F29">
              <w:rPr>
                <w:rFonts w:ascii="Arial" w:hAnsi="Arial" w:cs="Arial"/>
                <w:sz w:val="20"/>
                <w:szCs w:val="20"/>
              </w:rPr>
              <w:t xml:space="preserve"> dominant and co-dominant), and Natural Grasslands of the Queensland Central Highlands and the </w:t>
            </w:r>
            <w:r w:rsidR="00ED3F29" w:rsidRPr="00ED3F29">
              <w:rPr>
                <w:rFonts w:ascii="Arial" w:hAnsi="Arial" w:cs="Arial"/>
                <w:sz w:val="20"/>
                <w:szCs w:val="20"/>
              </w:rPr>
              <w:lastRenderedPageBreak/>
              <w:t>northern Fit</w:t>
            </w:r>
            <w:r w:rsidR="00377789">
              <w:rPr>
                <w:rFonts w:ascii="Arial" w:hAnsi="Arial" w:cs="Arial"/>
                <w:sz w:val="20"/>
                <w:szCs w:val="20"/>
              </w:rPr>
              <w:t>zroy Basin ecological community</w:t>
            </w:r>
            <w:r w:rsidR="0039002A">
              <w:rPr>
                <w:rFonts w:ascii="Arial" w:hAnsi="Arial" w:cs="Arial"/>
                <w:sz w:val="20"/>
                <w:szCs w:val="20"/>
              </w:rPr>
              <w:t xml:space="preserve">. The committee also </w:t>
            </w:r>
            <w:r w:rsidR="00ED3F29" w:rsidRPr="00377789">
              <w:rPr>
                <w:rFonts w:ascii="Arial" w:hAnsi="Arial" w:cs="Arial"/>
                <w:sz w:val="20"/>
                <w:szCs w:val="20"/>
              </w:rPr>
              <w:t>notes that the department has stopped the assessment clock</w:t>
            </w:r>
            <w:r w:rsidR="00B93915" w:rsidRPr="00377789">
              <w:rPr>
                <w:rFonts w:ascii="Arial" w:hAnsi="Arial" w:cs="Arial"/>
                <w:sz w:val="20"/>
                <w:szCs w:val="20"/>
              </w:rPr>
              <w:t xml:space="preserve"> to seek addition</w:t>
            </w:r>
            <w:r w:rsidR="00E029CE" w:rsidRPr="00377789">
              <w:rPr>
                <w:rFonts w:ascii="Arial" w:hAnsi="Arial" w:cs="Arial"/>
                <w:sz w:val="20"/>
                <w:szCs w:val="20"/>
              </w:rPr>
              <w:t>al</w:t>
            </w:r>
            <w:r w:rsidR="00B93915" w:rsidRPr="00377789">
              <w:rPr>
                <w:rFonts w:ascii="Arial" w:hAnsi="Arial" w:cs="Arial"/>
                <w:sz w:val="20"/>
                <w:szCs w:val="20"/>
              </w:rPr>
              <w:t xml:space="preserve"> information from the proponent on details of proposed offsets, impacts on habitat and management measures for</w:t>
            </w:r>
            <w:r w:rsidR="00E029CE" w:rsidRPr="00377789">
              <w:rPr>
                <w:rFonts w:ascii="Arial" w:hAnsi="Arial" w:cs="Arial"/>
                <w:sz w:val="20"/>
                <w:szCs w:val="20"/>
              </w:rPr>
              <w:t xml:space="preserve"> the species.</w:t>
            </w:r>
          </w:p>
          <w:p w:rsidR="000733FD" w:rsidRDefault="000733FD" w:rsidP="000733FD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778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advises that the cumulative impacts on</w:t>
            </w:r>
            <w:r w:rsidRPr="00ED3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downstream water quality are not sufficiently understood</w:t>
            </w:r>
            <w:r w:rsidR="00647CF6">
              <w:rPr>
                <w:rFonts w:ascii="Arial" w:hAnsi="Arial" w:cs="Arial"/>
                <w:sz w:val="20"/>
                <w:szCs w:val="20"/>
              </w:rPr>
              <w:t xml:space="preserve"> as the information provided was inadequate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7CF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35A15">
              <w:rPr>
                <w:rFonts w:ascii="Arial" w:hAnsi="Arial" w:cs="Arial"/>
                <w:sz w:val="20"/>
                <w:szCs w:val="20"/>
              </w:rPr>
              <w:t>more thorough assessment</w:t>
            </w:r>
            <w:r w:rsidR="00512605" w:rsidRPr="00535A15">
              <w:rPr>
                <w:rFonts w:ascii="Arial" w:hAnsi="Arial" w:cs="Arial"/>
                <w:sz w:val="20"/>
                <w:szCs w:val="20"/>
              </w:rPr>
              <w:t xml:space="preserve"> of th</w:t>
            </w:r>
            <w:r w:rsidR="00512605">
              <w:rPr>
                <w:rFonts w:ascii="Arial" w:hAnsi="Arial" w:cs="Arial"/>
                <w:sz w:val="20"/>
                <w:szCs w:val="20"/>
              </w:rPr>
              <w:t>e cumulative impacts</w:t>
            </w:r>
            <w:r w:rsidRPr="00535A15">
              <w:rPr>
                <w:rFonts w:ascii="Arial" w:hAnsi="Arial" w:cs="Arial"/>
                <w:sz w:val="20"/>
                <w:szCs w:val="20"/>
              </w:rPr>
              <w:t xml:space="preserve"> should be</w:t>
            </w:r>
            <w:r w:rsidR="00030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9CE">
              <w:rPr>
                <w:rFonts w:ascii="Arial" w:hAnsi="Arial" w:cs="Arial"/>
                <w:sz w:val="20"/>
                <w:szCs w:val="20"/>
              </w:rPr>
              <w:t>undertaken</w:t>
            </w:r>
            <w:r>
              <w:rPr>
                <w:rFonts w:ascii="Arial" w:hAnsi="Arial" w:cs="Arial"/>
                <w:sz w:val="20"/>
                <w:szCs w:val="20"/>
              </w:rPr>
              <w:t xml:space="preserve">. An ongoing water quality monitoring program and management responses to water quality </w:t>
            </w:r>
            <w:r w:rsidR="00647CF6">
              <w:rPr>
                <w:rFonts w:ascii="Arial" w:hAnsi="Arial" w:cs="Arial"/>
                <w:sz w:val="20"/>
                <w:szCs w:val="20"/>
              </w:rPr>
              <w:t>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127E">
              <w:rPr>
                <w:rFonts w:ascii="Arial" w:hAnsi="Arial" w:cs="Arial"/>
                <w:sz w:val="20"/>
                <w:szCs w:val="20"/>
              </w:rPr>
              <w:t>including consideration of water run-off from the final landform consistent with</w:t>
            </w:r>
            <w:r w:rsidR="00652ACF">
              <w:rPr>
                <w:rFonts w:ascii="Arial" w:hAnsi="Arial" w:cs="Arial"/>
                <w:sz w:val="20"/>
                <w:szCs w:val="20"/>
              </w:rPr>
              <w:t xml:space="preserve"> Managing Acid and </w:t>
            </w:r>
            <w:proofErr w:type="spellStart"/>
            <w:r w:rsidR="00652ACF">
              <w:rPr>
                <w:rFonts w:ascii="Arial" w:hAnsi="Arial" w:cs="Arial"/>
                <w:sz w:val="20"/>
                <w:szCs w:val="20"/>
              </w:rPr>
              <w:t>Metalliferous</w:t>
            </w:r>
            <w:proofErr w:type="spellEnd"/>
            <w:r w:rsidR="00652ACF">
              <w:rPr>
                <w:rFonts w:ascii="Arial" w:hAnsi="Arial" w:cs="Arial"/>
                <w:sz w:val="20"/>
                <w:szCs w:val="20"/>
              </w:rPr>
              <w:t xml:space="preserve"> Drainage</w:t>
            </w:r>
            <w:bookmarkStart w:id="0" w:name="_GoBack"/>
            <w:bookmarkEnd w:id="0"/>
            <w:r w:rsidR="0013127E">
              <w:rPr>
                <w:rFonts w:ascii="Arial" w:hAnsi="Arial" w:cs="Arial"/>
                <w:sz w:val="20"/>
                <w:szCs w:val="20"/>
              </w:rPr>
              <w:t xml:space="preserve"> guidelines </w:t>
            </w:r>
            <w:r>
              <w:rPr>
                <w:rFonts w:ascii="Arial" w:hAnsi="Arial" w:cs="Arial"/>
                <w:sz w:val="20"/>
                <w:szCs w:val="20"/>
              </w:rPr>
              <w:t xml:space="preserve">should be considered as part of the Environmental Management Plan for the </w:t>
            </w:r>
            <w:r w:rsidR="002D07A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roject.</w:t>
            </w:r>
          </w:p>
          <w:p w:rsidR="00A10BAB" w:rsidRDefault="00B93915" w:rsidP="00232B65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7789">
              <w:rPr>
                <w:rFonts w:ascii="Arial" w:hAnsi="Arial" w:cs="Arial"/>
                <w:sz w:val="20"/>
                <w:szCs w:val="20"/>
              </w:rPr>
              <w:t>c</w:t>
            </w:r>
            <w:r w:rsidR="00160E7E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>
              <w:rPr>
                <w:rFonts w:ascii="Arial" w:hAnsi="Arial" w:cs="Arial"/>
                <w:sz w:val="20"/>
                <w:szCs w:val="20"/>
              </w:rPr>
              <w:t>advises that</w:t>
            </w:r>
            <w:r w:rsidR="009F3538">
              <w:rPr>
                <w:rFonts w:ascii="Arial" w:hAnsi="Arial" w:cs="Arial"/>
                <w:sz w:val="20"/>
                <w:szCs w:val="20"/>
              </w:rPr>
              <w:t xml:space="preserve"> the groundwater</w:t>
            </w:r>
            <w:r>
              <w:rPr>
                <w:rFonts w:ascii="Arial" w:hAnsi="Arial" w:cs="Arial"/>
                <w:sz w:val="20"/>
                <w:szCs w:val="20"/>
              </w:rPr>
              <w:t xml:space="preserve"> impacts are </w:t>
            </w:r>
            <w:r w:rsidR="000733FD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>not sufficiently understood</w:t>
            </w:r>
            <w:r w:rsidR="00924B08">
              <w:rPr>
                <w:rFonts w:ascii="Arial" w:hAnsi="Arial" w:cs="Arial"/>
                <w:sz w:val="20"/>
                <w:szCs w:val="20"/>
              </w:rPr>
              <w:t xml:space="preserve"> as the information provided was inadequate</w:t>
            </w:r>
            <w:r w:rsidR="002B7B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3D19">
              <w:rPr>
                <w:rFonts w:ascii="Arial" w:hAnsi="Arial" w:cs="Arial"/>
                <w:sz w:val="20"/>
                <w:szCs w:val="20"/>
              </w:rPr>
              <w:t>par</w:t>
            </w:r>
            <w:r w:rsidR="00160E7E">
              <w:rPr>
                <w:rFonts w:ascii="Arial" w:hAnsi="Arial" w:cs="Arial"/>
                <w:sz w:val="20"/>
                <w:szCs w:val="20"/>
              </w:rPr>
              <w:t>ticularly in relation to</w:t>
            </w:r>
            <w:r w:rsidR="00440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134">
              <w:rPr>
                <w:rFonts w:ascii="Arial" w:hAnsi="Arial" w:cs="Arial"/>
                <w:sz w:val="20"/>
                <w:szCs w:val="20"/>
              </w:rPr>
              <w:t xml:space="preserve">the connectivity of surface water to </w:t>
            </w:r>
            <w:r w:rsidR="00160E7E">
              <w:rPr>
                <w:rFonts w:ascii="Arial" w:hAnsi="Arial" w:cs="Arial"/>
                <w:sz w:val="20"/>
                <w:szCs w:val="20"/>
              </w:rPr>
              <w:t>ground</w:t>
            </w:r>
            <w:r w:rsidR="00BD3D19">
              <w:rPr>
                <w:rFonts w:ascii="Arial" w:hAnsi="Arial" w:cs="Arial"/>
                <w:sz w:val="20"/>
                <w:szCs w:val="20"/>
              </w:rPr>
              <w:t>water</w:t>
            </w:r>
            <w:r w:rsidR="00D17576">
              <w:rPr>
                <w:rFonts w:ascii="Arial" w:hAnsi="Arial" w:cs="Arial"/>
                <w:sz w:val="20"/>
                <w:szCs w:val="20"/>
              </w:rPr>
              <w:t xml:space="preserve">, groundwater flow directions and </w:t>
            </w:r>
            <w:r w:rsidR="003C3134">
              <w:rPr>
                <w:rFonts w:ascii="Arial" w:hAnsi="Arial" w:cs="Arial"/>
                <w:sz w:val="20"/>
                <w:szCs w:val="20"/>
              </w:rPr>
              <w:t>connectivity between aquifers</w:t>
            </w:r>
            <w:r w:rsidR="00160E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24B0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7789">
              <w:rPr>
                <w:rFonts w:ascii="Arial" w:hAnsi="Arial" w:cs="Arial"/>
                <w:sz w:val="20"/>
                <w:szCs w:val="20"/>
              </w:rPr>
              <w:t>c</w:t>
            </w:r>
            <w:r w:rsidR="00924B08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2F3B21">
              <w:rPr>
                <w:rFonts w:ascii="Arial" w:hAnsi="Arial" w:cs="Arial"/>
                <w:sz w:val="20"/>
                <w:szCs w:val="20"/>
              </w:rPr>
              <w:t>recommend</w:t>
            </w:r>
            <w:r w:rsidR="00924B0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8691D">
              <w:rPr>
                <w:rFonts w:ascii="Arial" w:hAnsi="Arial" w:cs="Arial"/>
                <w:sz w:val="20"/>
                <w:szCs w:val="20"/>
              </w:rPr>
              <w:t xml:space="preserve">a comprehensive monitoring program of </w:t>
            </w:r>
            <w:r w:rsidR="00232B65">
              <w:rPr>
                <w:rFonts w:ascii="Arial" w:hAnsi="Arial" w:cs="Arial"/>
                <w:sz w:val="20"/>
                <w:szCs w:val="20"/>
              </w:rPr>
              <w:t xml:space="preserve">surface water and groundwater impacts </w:t>
            </w:r>
            <w:r w:rsidR="00A8691D">
              <w:rPr>
                <w:rFonts w:ascii="Arial" w:hAnsi="Arial" w:cs="Arial"/>
                <w:sz w:val="20"/>
                <w:szCs w:val="20"/>
              </w:rPr>
              <w:t>should be an important condition of any approval</w:t>
            </w:r>
            <w:r w:rsidR="00232B65">
              <w:rPr>
                <w:rFonts w:ascii="Arial" w:hAnsi="Arial" w:cs="Arial"/>
                <w:sz w:val="20"/>
                <w:szCs w:val="20"/>
              </w:rPr>
              <w:t>, and if necessary</w:t>
            </w:r>
            <w:r w:rsidR="009D2A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33FD">
              <w:rPr>
                <w:rFonts w:ascii="Arial" w:hAnsi="Arial" w:cs="Arial"/>
                <w:sz w:val="20"/>
                <w:szCs w:val="20"/>
              </w:rPr>
              <w:t xml:space="preserve">the project’s water management strategy include comprehensive details on how the proponent will address </w:t>
            </w:r>
            <w:r w:rsidR="00123C8B"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="000733FD">
              <w:rPr>
                <w:rFonts w:ascii="Arial" w:hAnsi="Arial" w:cs="Arial"/>
                <w:sz w:val="20"/>
                <w:szCs w:val="20"/>
              </w:rPr>
              <w:t xml:space="preserve">water impacts during, and post, mining operations. </w:t>
            </w:r>
          </w:p>
          <w:p w:rsidR="00440EFA" w:rsidRDefault="00440EFA" w:rsidP="00440EFA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64AC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440EFA">
              <w:rPr>
                <w:rFonts w:ascii="Arial" w:hAnsi="Arial" w:cs="Arial"/>
                <w:sz w:val="20"/>
                <w:szCs w:val="20"/>
              </w:rPr>
              <w:t>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notes that the </w:t>
            </w:r>
            <w:r w:rsidR="00123846">
              <w:rPr>
                <w:rFonts w:ascii="Arial" w:hAnsi="Arial" w:cs="Arial"/>
                <w:sz w:val="20"/>
                <w:szCs w:val="20"/>
              </w:rPr>
              <w:t xml:space="preserve">modelled </w:t>
            </w:r>
            <w:r>
              <w:rPr>
                <w:rFonts w:ascii="Arial" w:hAnsi="Arial" w:cs="Arial"/>
                <w:sz w:val="20"/>
                <w:szCs w:val="20"/>
              </w:rPr>
              <w:t xml:space="preserve">flooding impact along the western boundary </w:t>
            </w:r>
            <w:r w:rsidR="00123846">
              <w:rPr>
                <w:rFonts w:ascii="Arial" w:hAnsi="Arial" w:cs="Arial"/>
                <w:sz w:val="20"/>
                <w:szCs w:val="20"/>
              </w:rPr>
              <w:t>of the project area is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proposed to be mitigated by the installation of a nominal 600</w:t>
            </w:r>
            <w:r w:rsidR="00A6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mm pipe which will allow the area to drain within 24 hours. The </w:t>
            </w:r>
            <w:r w:rsidR="00A64AC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advises that this mitigation measure appears adequate, but requires ongoing monitoring to ensure effectiveness</w:t>
            </w:r>
            <w:r w:rsidR="001238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E4BC6" w:rsidRDefault="00123846" w:rsidP="008A16D1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64AC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ommittee notes that diversion of multiple streams is proposed in the project, and advises that </w:t>
            </w:r>
            <w:r w:rsidR="002D07A4">
              <w:rPr>
                <w:rFonts w:ascii="Arial" w:hAnsi="Arial" w:cs="Arial"/>
                <w:sz w:val="20"/>
                <w:szCs w:val="20"/>
              </w:rPr>
              <w:t xml:space="preserve">each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diversions should undergo detailed </w:t>
            </w:r>
            <w:r w:rsidR="00A64AC1"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>
              <w:rPr>
                <w:rFonts w:ascii="Arial" w:hAnsi="Arial" w:cs="Arial"/>
                <w:sz w:val="20"/>
                <w:szCs w:val="20"/>
              </w:rPr>
              <w:t>design to ensure potential erosion is minimised.</w:t>
            </w:r>
            <w:r w:rsidR="00F21DD3">
              <w:rPr>
                <w:rFonts w:ascii="Arial" w:hAnsi="Arial" w:cs="Arial"/>
                <w:sz w:val="20"/>
                <w:szCs w:val="20"/>
              </w:rPr>
              <w:t xml:space="preserve"> In particular, the </w:t>
            </w:r>
            <w:r w:rsidR="00A64AC1">
              <w:rPr>
                <w:rFonts w:ascii="Arial" w:hAnsi="Arial" w:cs="Arial"/>
                <w:sz w:val="20"/>
                <w:szCs w:val="20"/>
              </w:rPr>
              <w:t xml:space="preserve">committee notes </w:t>
            </w:r>
            <w:r w:rsidR="002D07A4">
              <w:rPr>
                <w:rFonts w:ascii="Arial" w:hAnsi="Arial" w:cs="Arial"/>
                <w:sz w:val="20"/>
                <w:szCs w:val="20"/>
              </w:rPr>
              <w:t xml:space="preserve">erosion </w:t>
            </w:r>
            <w:r w:rsidR="00A64AC1">
              <w:rPr>
                <w:rFonts w:ascii="Arial" w:hAnsi="Arial" w:cs="Arial"/>
                <w:sz w:val="20"/>
                <w:szCs w:val="20"/>
              </w:rPr>
              <w:t>from</w:t>
            </w:r>
            <w:r w:rsidR="002D07A4">
              <w:rPr>
                <w:rFonts w:ascii="Arial" w:hAnsi="Arial" w:cs="Arial"/>
                <w:sz w:val="20"/>
                <w:szCs w:val="20"/>
              </w:rPr>
              <w:t xml:space="preserve"> adjacent mines</w:t>
            </w:r>
            <w:r w:rsidR="00A64AC1">
              <w:rPr>
                <w:rFonts w:ascii="Arial" w:hAnsi="Arial" w:cs="Arial"/>
                <w:sz w:val="20"/>
                <w:szCs w:val="20"/>
              </w:rPr>
              <w:t xml:space="preserve"> may contribute to sediment loads in the Fitzroy catchment.</w:t>
            </w:r>
          </w:p>
          <w:p w:rsidR="002D07A4" w:rsidRPr="008A16D1" w:rsidRDefault="000555B9" w:rsidP="005E4BC6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6D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64AC1" w:rsidRPr="008A16D1">
              <w:rPr>
                <w:rFonts w:ascii="Arial" w:hAnsi="Arial" w:cs="Arial"/>
                <w:sz w:val="20"/>
                <w:szCs w:val="20"/>
              </w:rPr>
              <w:t>c</w:t>
            </w:r>
            <w:r w:rsidRPr="008A16D1">
              <w:rPr>
                <w:rFonts w:ascii="Arial" w:hAnsi="Arial" w:cs="Arial"/>
                <w:sz w:val="20"/>
                <w:szCs w:val="20"/>
              </w:rPr>
              <w:t>ommittee suggests</w:t>
            </w:r>
            <w:r w:rsidR="005E4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D1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5E4BC6">
              <w:rPr>
                <w:rFonts w:ascii="Arial" w:hAnsi="Arial" w:cs="Arial"/>
                <w:sz w:val="20"/>
                <w:szCs w:val="20"/>
              </w:rPr>
              <w:t>any</w:t>
            </w:r>
            <w:r w:rsidR="005E4BC6" w:rsidRPr="008A1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D1">
              <w:rPr>
                <w:rFonts w:ascii="Arial" w:hAnsi="Arial" w:cs="Arial"/>
                <w:sz w:val="20"/>
                <w:szCs w:val="20"/>
              </w:rPr>
              <w:t xml:space="preserve">Environmental Management Plan for the project include information relating to an assessment of regional cumulative impacts (covering a site and regional water balance and solute balance). </w:t>
            </w:r>
          </w:p>
          <w:p w:rsidR="00EF14B8" w:rsidRDefault="002D07A4" w:rsidP="008A16D1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07A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64AC1">
              <w:rPr>
                <w:rFonts w:ascii="Arial" w:hAnsi="Arial" w:cs="Arial"/>
                <w:sz w:val="20"/>
                <w:szCs w:val="20"/>
              </w:rPr>
              <w:t>c</w:t>
            </w:r>
            <w:r w:rsidRPr="002D07A4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652ACF">
              <w:rPr>
                <w:rFonts w:ascii="Arial" w:hAnsi="Arial" w:cs="Arial"/>
                <w:sz w:val="20"/>
                <w:szCs w:val="20"/>
              </w:rPr>
              <w:t>suggests that t</w:t>
            </w:r>
            <w:r w:rsidRPr="002D07A4">
              <w:rPr>
                <w:rFonts w:ascii="Arial" w:hAnsi="Arial" w:cs="Arial"/>
                <w:sz w:val="20"/>
                <w:szCs w:val="20"/>
              </w:rPr>
              <w:t>he risks posed by the project including</w:t>
            </w:r>
            <w:r w:rsidR="0013127E" w:rsidRPr="002D07A4">
              <w:rPr>
                <w:rFonts w:ascii="Arial" w:hAnsi="Arial" w:cs="Arial"/>
                <w:sz w:val="20"/>
                <w:szCs w:val="20"/>
              </w:rPr>
              <w:t xml:space="preserve"> surface water, groundwater, </w:t>
            </w:r>
            <w:proofErr w:type="gramStart"/>
            <w:r w:rsidR="0013127E" w:rsidRPr="002D07A4">
              <w:rPr>
                <w:rFonts w:ascii="Arial" w:hAnsi="Arial" w:cs="Arial"/>
                <w:sz w:val="20"/>
                <w:szCs w:val="20"/>
              </w:rPr>
              <w:t>acid</w:t>
            </w:r>
            <w:proofErr w:type="gramEnd"/>
            <w:r w:rsidR="0013127E" w:rsidRPr="002D07A4">
              <w:rPr>
                <w:rFonts w:ascii="Arial" w:hAnsi="Arial" w:cs="Arial"/>
                <w:sz w:val="20"/>
                <w:szCs w:val="20"/>
              </w:rPr>
              <w:t xml:space="preserve"> water drainage, </w:t>
            </w:r>
            <w:proofErr w:type="spellStart"/>
            <w:r w:rsidR="0013127E" w:rsidRPr="002D07A4">
              <w:rPr>
                <w:rFonts w:ascii="Arial" w:hAnsi="Arial" w:cs="Arial"/>
                <w:sz w:val="20"/>
                <w:szCs w:val="20"/>
              </w:rPr>
              <w:t>geomorphological</w:t>
            </w:r>
            <w:proofErr w:type="spellEnd"/>
            <w:r w:rsidR="0013127E" w:rsidRPr="002D07A4">
              <w:rPr>
                <w:rFonts w:ascii="Arial" w:hAnsi="Arial" w:cs="Arial"/>
                <w:sz w:val="20"/>
                <w:szCs w:val="20"/>
              </w:rPr>
              <w:t>, hydrological</w:t>
            </w:r>
            <w:r w:rsidR="0002147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3127E" w:rsidRPr="002D07A4">
              <w:rPr>
                <w:rFonts w:ascii="Arial" w:hAnsi="Arial" w:cs="Arial"/>
                <w:sz w:val="20"/>
                <w:szCs w:val="20"/>
              </w:rPr>
              <w:t xml:space="preserve"> ecological impacts</w:t>
            </w:r>
            <w:r>
              <w:rPr>
                <w:rFonts w:ascii="Arial" w:hAnsi="Arial" w:cs="Arial"/>
                <w:sz w:val="20"/>
                <w:szCs w:val="20"/>
              </w:rPr>
              <w:t xml:space="preserve"> be assessed</w:t>
            </w:r>
            <w:r w:rsidR="00A64AC1">
              <w:rPr>
                <w:rFonts w:ascii="Arial" w:hAnsi="Arial" w:cs="Arial"/>
                <w:sz w:val="20"/>
                <w:szCs w:val="20"/>
              </w:rPr>
              <w:t xml:space="preserve"> and mitigation measures be implemented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F14B8" w:rsidRPr="005E4BC6" w:rsidRDefault="005E4BC6" w:rsidP="005E4BC6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summary, t</w:t>
            </w:r>
            <w:r w:rsidRPr="008A16D1">
              <w:rPr>
                <w:rFonts w:ascii="Arial" w:hAnsi="Arial" w:cs="Arial"/>
                <w:sz w:val="20"/>
                <w:szCs w:val="20"/>
              </w:rPr>
              <w:t>he committee notes the scale of the proposed Middlemount mine extension and other operating mines in the region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16D1" w:rsidRPr="005E4BC6">
              <w:rPr>
                <w:rFonts w:ascii="Arial" w:hAnsi="Arial" w:cs="Arial"/>
                <w:sz w:val="20"/>
                <w:szCs w:val="20"/>
              </w:rPr>
              <w:t>As such, t</w:t>
            </w:r>
            <w:r w:rsidR="002F3B21" w:rsidRPr="005E4BC6">
              <w:rPr>
                <w:rFonts w:ascii="Arial" w:hAnsi="Arial" w:cs="Arial"/>
                <w:sz w:val="20"/>
                <w:szCs w:val="20"/>
              </w:rPr>
              <w:t>he committee recommends that a risk-</w:t>
            </w:r>
            <w:r w:rsidR="00EF14B8" w:rsidRPr="005E4BC6">
              <w:rPr>
                <w:rFonts w:ascii="Arial" w:hAnsi="Arial" w:cs="Arial"/>
                <w:sz w:val="20"/>
                <w:szCs w:val="20"/>
              </w:rPr>
              <w:t>based assessment of impacts to water resources be undertaken at both the site and regional scale as a matter of priority. The risk based assessment should include, but not be limited to:  </w:t>
            </w:r>
          </w:p>
          <w:p w:rsidR="00EF14B8" w:rsidRDefault="00EF14B8" w:rsidP="00507127">
            <w:pPr>
              <w:pStyle w:val="ListNumber"/>
              <w:numPr>
                <w:ilvl w:val="0"/>
                <w:numId w:val="11"/>
              </w:numPr>
              <w:ind w:left="113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the measured hydrogeological data, and model parameters, uncertainti</w:t>
            </w:r>
            <w:r w:rsidR="002F3B21">
              <w:rPr>
                <w:rFonts w:ascii="Arial" w:hAnsi="Arial" w:cs="Arial"/>
                <w:sz w:val="20"/>
                <w:szCs w:val="20"/>
              </w:rPr>
              <w:t>es, and confidence/ reliability</w:t>
            </w:r>
          </w:p>
          <w:p w:rsidR="00EF14B8" w:rsidRDefault="00EF14B8" w:rsidP="00EF14B8">
            <w:pPr>
              <w:pStyle w:val="ListNumber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site and regional water balance which provides basin and catchment scale conte</w:t>
            </w:r>
            <w:r w:rsidR="002F3B21">
              <w:rPr>
                <w:rFonts w:ascii="Arial" w:hAnsi="Arial" w:cs="Arial"/>
                <w:sz w:val="20"/>
                <w:szCs w:val="20"/>
              </w:rPr>
              <w:t>xt for the proposed 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14B8" w:rsidRDefault="00EF14B8" w:rsidP="00EF14B8">
            <w:pPr>
              <w:pStyle w:val="ListNumber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surface </w:t>
            </w:r>
            <w:r w:rsidR="002F3B21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>
              <w:rPr>
                <w:rFonts w:ascii="Arial" w:hAnsi="Arial" w:cs="Arial"/>
                <w:sz w:val="20"/>
                <w:szCs w:val="20"/>
              </w:rPr>
              <w:t>and groundwater quantity and quality fluxes, including impacts of the proposal on the water resource, w</w:t>
            </w:r>
            <w:r w:rsidR="002F3B21">
              <w:rPr>
                <w:rFonts w:ascii="Arial" w:hAnsi="Arial" w:cs="Arial"/>
                <w:sz w:val="20"/>
                <w:szCs w:val="20"/>
              </w:rPr>
              <w:t>ater balance and solute balance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14B8" w:rsidRDefault="00EF14B8" w:rsidP="00EF14B8">
            <w:pPr>
              <w:pStyle w:val="ListNumber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 cumulative impacts (covering surface water, groundwater,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geomorphological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hydrological and ecological impacts); and</w:t>
            </w:r>
          </w:p>
          <w:p w:rsidR="00EF14B8" w:rsidRDefault="00EF14B8" w:rsidP="00EF14B8">
            <w:pPr>
              <w:pStyle w:val="ListNumber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mitigation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management measures to appropriately address these identified risks.</w:t>
            </w:r>
          </w:p>
          <w:p w:rsidR="00EF14B8" w:rsidRDefault="00EF14B8" w:rsidP="00EF14B8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F14B8" w:rsidRDefault="00EF14B8" w:rsidP="00EF14B8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proposed models should also be peer reviewed and publicly released.</w:t>
            </w:r>
          </w:p>
          <w:p w:rsidR="00377789" w:rsidRDefault="00377789">
            <w:pPr>
              <w:pStyle w:val="ListNumber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0D7810" w:rsidP="00C2275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5C">
              <w:rPr>
                <w:rFonts w:ascii="Arial" w:hAnsi="Arial" w:cs="Arial"/>
                <w:sz w:val="20"/>
                <w:szCs w:val="20"/>
              </w:rPr>
              <w:t>31</w:t>
            </w:r>
            <w:r w:rsidR="00A10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6D9">
              <w:rPr>
                <w:rFonts w:ascii="Arial" w:hAnsi="Arial" w:cs="Arial"/>
                <w:sz w:val="20"/>
                <w:szCs w:val="20"/>
              </w:rPr>
              <w:t>July 2012</w:t>
            </w:r>
          </w:p>
        </w:tc>
      </w:tr>
    </w:tbl>
    <w:p w:rsidR="006B14DB" w:rsidRPr="00EA416C" w:rsidRDefault="006B14DB" w:rsidP="00C2275C"/>
    <w:sectPr w:rsidR="006B14DB" w:rsidRPr="00EA416C" w:rsidSect="00FA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C6" w:rsidRDefault="005E4BC6" w:rsidP="00A60185">
      <w:r>
        <w:separator/>
      </w:r>
    </w:p>
  </w:endnote>
  <w:endnote w:type="continuationSeparator" w:id="0">
    <w:p w:rsidR="005E4BC6" w:rsidRDefault="005E4BC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5E4B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251843">
    <w:pPr>
      <w:pStyle w:val="Footer"/>
      <w:jc w:val="center"/>
    </w:pPr>
    <w:fldSimple w:instr=" PAGE   \* MERGEFORMAT ">
      <w:r w:rsidR="000D196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5E4B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C6" w:rsidRDefault="005E4BC6" w:rsidP="00A60185">
      <w:r>
        <w:separator/>
      </w:r>
    </w:p>
  </w:footnote>
  <w:footnote w:type="continuationSeparator" w:id="0">
    <w:p w:rsidR="005E4BC6" w:rsidRDefault="005E4BC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5E4BC6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5E4B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6" w:rsidRDefault="005E4BC6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F48"/>
    <w:multiLevelType w:val="hybridMultilevel"/>
    <w:tmpl w:val="8B444B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7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5ADA"/>
    <w:rsid w:val="000175AA"/>
    <w:rsid w:val="00020C99"/>
    <w:rsid w:val="0002147D"/>
    <w:rsid w:val="0002707B"/>
    <w:rsid w:val="00030A2A"/>
    <w:rsid w:val="0005148E"/>
    <w:rsid w:val="000547F0"/>
    <w:rsid w:val="000555B9"/>
    <w:rsid w:val="000661B1"/>
    <w:rsid w:val="000733FD"/>
    <w:rsid w:val="000759E5"/>
    <w:rsid w:val="0007601C"/>
    <w:rsid w:val="00084AC6"/>
    <w:rsid w:val="00091608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196B"/>
    <w:rsid w:val="000D2887"/>
    <w:rsid w:val="000D6D63"/>
    <w:rsid w:val="000D706B"/>
    <w:rsid w:val="000D7810"/>
    <w:rsid w:val="000E0081"/>
    <w:rsid w:val="000E07CF"/>
    <w:rsid w:val="000F6482"/>
    <w:rsid w:val="00100BEF"/>
    <w:rsid w:val="0011498E"/>
    <w:rsid w:val="00117A45"/>
    <w:rsid w:val="001224AE"/>
    <w:rsid w:val="00123035"/>
    <w:rsid w:val="00123846"/>
    <w:rsid w:val="00123C8B"/>
    <w:rsid w:val="0013127E"/>
    <w:rsid w:val="001337D4"/>
    <w:rsid w:val="001340EA"/>
    <w:rsid w:val="00147C12"/>
    <w:rsid w:val="001527A1"/>
    <w:rsid w:val="001530DC"/>
    <w:rsid w:val="00154989"/>
    <w:rsid w:val="00155A9F"/>
    <w:rsid w:val="0015684F"/>
    <w:rsid w:val="00160262"/>
    <w:rsid w:val="00160E7E"/>
    <w:rsid w:val="0016186F"/>
    <w:rsid w:val="0016281C"/>
    <w:rsid w:val="0016433A"/>
    <w:rsid w:val="0016780A"/>
    <w:rsid w:val="001713F7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3014"/>
    <w:rsid w:val="001B472B"/>
    <w:rsid w:val="001B4CA8"/>
    <w:rsid w:val="001C4F3D"/>
    <w:rsid w:val="001D0CDC"/>
    <w:rsid w:val="001D1D82"/>
    <w:rsid w:val="001E1182"/>
    <w:rsid w:val="001E2DCF"/>
    <w:rsid w:val="001F0E8B"/>
    <w:rsid w:val="00200944"/>
    <w:rsid w:val="00202C90"/>
    <w:rsid w:val="00213DE8"/>
    <w:rsid w:val="00216118"/>
    <w:rsid w:val="002209AB"/>
    <w:rsid w:val="002251E3"/>
    <w:rsid w:val="00227A95"/>
    <w:rsid w:val="002316BD"/>
    <w:rsid w:val="00232B65"/>
    <w:rsid w:val="002336F3"/>
    <w:rsid w:val="002473FC"/>
    <w:rsid w:val="00250993"/>
    <w:rsid w:val="00251843"/>
    <w:rsid w:val="002524FF"/>
    <w:rsid w:val="00252DD0"/>
    <w:rsid w:val="00252E3C"/>
    <w:rsid w:val="00260E6B"/>
    <w:rsid w:val="00262198"/>
    <w:rsid w:val="00285F1B"/>
    <w:rsid w:val="0029150C"/>
    <w:rsid w:val="00292B81"/>
    <w:rsid w:val="0029322E"/>
    <w:rsid w:val="00296477"/>
    <w:rsid w:val="002974BC"/>
    <w:rsid w:val="002B18AE"/>
    <w:rsid w:val="002B67D3"/>
    <w:rsid w:val="002B7BCD"/>
    <w:rsid w:val="002C1C93"/>
    <w:rsid w:val="002C5066"/>
    <w:rsid w:val="002D07A4"/>
    <w:rsid w:val="002D22FE"/>
    <w:rsid w:val="002D4AAC"/>
    <w:rsid w:val="002D6C33"/>
    <w:rsid w:val="002F045A"/>
    <w:rsid w:val="002F2375"/>
    <w:rsid w:val="002F3B21"/>
    <w:rsid w:val="0030039D"/>
    <w:rsid w:val="00300715"/>
    <w:rsid w:val="0030326F"/>
    <w:rsid w:val="00310701"/>
    <w:rsid w:val="00315980"/>
    <w:rsid w:val="00316F7F"/>
    <w:rsid w:val="00320162"/>
    <w:rsid w:val="003218E8"/>
    <w:rsid w:val="00330DCE"/>
    <w:rsid w:val="00331E11"/>
    <w:rsid w:val="00334761"/>
    <w:rsid w:val="00337EBC"/>
    <w:rsid w:val="00341DCD"/>
    <w:rsid w:val="0034504D"/>
    <w:rsid w:val="0034563E"/>
    <w:rsid w:val="00346F0D"/>
    <w:rsid w:val="003504CC"/>
    <w:rsid w:val="003518D6"/>
    <w:rsid w:val="0035460C"/>
    <w:rsid w:val="003556BD"/>
    <w:rsid w:val="00365147"/>
    <w:rsid w:val="0037016E"/>
    <w:rsid w:val="00370E55"/>
    <w:rsid w:val="00372908"/>
    <w:rsid w:val="00376457"/>
    <w:rsid w:val="00377789"/>
    <w:rsid w:val="00381917"/>
    <w:rsid w:val="00383020"/>
    <w:rsid w:val="00386092"/>
    <w:rsid w:val="0039002A"/>
    <w:rsid w:val="003975FD"/>
    <w:rsid w:val="003A0593"/>
    <w:rsid w:val="003B60CC"/>
    <w:rsid w:val="003C1B25"/>
    <w:rsid w:val="003C2443"/>
    <w:rsid w:val="003C3134"/>
    <w:rsid w:val="003C31E0"/>
    <w:rsid w:val="003C5DA3"/>
    <w:rsid w:val="003D4BCD"/>
    <w:rsid w:val="003D5A2F"/>
    <w:rsid w:val="003E01D8"/>
    <w:rsid w:val="003E2100"/>
    <w:rsid w:val="003F6F5B"/>
    <w:rsid w:val="00402552"/>
    <w:rsid w:val="0040342D"/>
    <w:rsid w:val="00403FB9"/>
    <w:rsid w:val="0041192D"/>
    <w:rsid w:val="0041275D"/>
    <w:rsid w:val="00413EE1"/>
    <w:rsid w:val="0042128E"/>
    <w:rsid w:val="0042465A"/>
    <w:rsid w:val="00432B60"/>
    <w:rsid w:val="00440698"/>
    <w:rsid w:val="00440EFA"/>
    <w:rsid w:val="00444BE9"/>
    <w:rsid w:val="004540E2"/>
    <w:rsid w:val="00454454"/>
    <w:rsid w:val="00467924"/>
    <w:rsid w:val="004712A5"/>
    <w:rsid w:val="0047266F"/>
    <w:rsid w:val="00476D6B"/>
    <w:rsid w:val="0049013A"/>
    <w:rsid w:val="00492C16"/>
    <w:rsid w:val="004A0678"/>
    <w:rsid w:val="004A48A3"/>
    <w:rsid w:val="004B0D92"/>
    <w:rsid w:val="004B0EC0"/>
    <w:rsid w:val="004B66F1"/>
    <w:rsid w:val="004C3B7B"/>
    <w:rsid w:val="004C3EA0"/>
    <w:rsid w:val="004F7169"/>
    <w:rsid w:val="00500D66"/>
    <w:rsid w:val="005036A6"/>
    <w:rsid w:val="00507127"/>
    <w:rsid w:val="00512605"/>
    <w:rsid w:val="00514C8E"/>
    <w:rsid w:val="00517F35"/>
    <w:rsid w:val="00523ED3"/>
    <w:rsid w:val="00531DBF"/>
    <w:rsid w:val="005337FC"/>
    <w:rsid w:val="00535A15"/>
    <w:rsid w:val="00545759"/>
    <w:rsid w:val="00545BE0"/>
    <w:rsid w:val="00554C6A"/>
    <w:rsid w:val="00562E85"/>
    <w:rsid w:val="0056332F"/>
    <w:rsid w:val="00581C39"/>
    <w:rsid w:val="00584F6B"/>
    <w:rsid w:val="005903B6"/>
    <w:rsid w:val="00592B20"/>
    <w:rsid w:val="005A0247"/>
    <w:rsid w:val="005A126E"/>
    <w:rsid w:val="005A452F"/>
    <w:rsid w:val="005B140D"/>
    <w:rsid w:val="005C1FEA"/>
    <w:rsid w:val="005C3495"/>
    <w:rsid w:val="005E3DFC"/>
    <w:rsid w:val="005E4BC6"/>
    <w:rsid w:val="005E60AF"/>
    <w:rsid w:val="005E7B4E"/>
    <w:rsid w:val="005F1DEA"/>
    <w:rsid w:val="005F555F"/>
    <w:rsid w:val="006011E7"/>
    <w:rsid w:val="00602FCB"/>
    <w:rsid w:val="00607FC9"/>
    <w:rsid w:val="00610955"/>
    <w:rsid w:val="0061490C"/>
    <w:rsid w:val="00622FE1"/>
    <w:rsid w:val="00624DA8"/>
    <w:rsid w:val="0062521C"/>
    <w:rsid w:val="00630A2B"/>
    <w:rsid w:val="00632DC7"/>
    <w:rsid w:val="00633896"/>
    <w:rsid w:val="006357FB"/>
    <w:rsid w:val="006406FC"/>
    <w:rsid w:val="0064407B"/>
    <w:rsid w:val="00646122"/>
    <w:rsid w:val="00647CF6"/>
    <w:rsid w:val="00652ACF"/>
    <w:rsid w:val="00653E16"/>
    <w:rsid w:val="00655501"/>
    <w:rsid w:val="00657220"/>
    <w:rsid w:val="00660DA4"/>
    <w:rsid w:val="0066104B"/>
    <w:rsid w:val="00661419"/>
    <w:rsid w:val="006655EE"/>
    <w:rsid w:val="00667C10"/>
    <w:rsid w:val="00667EF4"/>
    <w:rsid w:val="00672B85"/>
    <w:rsid w:val="00674477"/>
    <w:rsid w:val="00674E59"/>
    <w:rsid w:val="0067665B"/>
    <w:rsid w:val="00676FCA"/>
    <w:rsid w:val="00677177"/>
    <w:rsid w:val="00677246"/>
    <w:rsid w:val="0067729A"/>
    <w:rsid w:val="0068612E"/>
    <w:rsid w:val="00687C92"/>
    <w:rsid w:val="0069534E"/>
    <w:rsid w:val="00696365"/>
    <w:rsid w:val="0069669C"/>
    <w:rsid w:val="006A1200"/>
    <w:rsid w:val="006A2C5A"/>
    <w:rsid w:val="006A4F4E"/>
    <w:rsid w:val="006B14DB"/>
    <w:rsid w:val="006B21C4"/>
    <w:rsid w:val="006C3DEC"/>
    <w:rsid w:val="006C4A1A"/>
    <w:rsid w:val="006C748B"/>
    <w:rsid w:val="006D0393"/>
    <w:rsid w:val="006D1A83"/>
    <w:rsid w:val="006E1CFE"/>
    <w:rsid w:val="006E31A2"/>
    <w:rsid w:val="006F10C4"/>
    <w:rsid w:val="006F2A2D"/>
    <w:rsid w:val="006F40E9"/>
    <w:rsid w:val="006F52FA"/>
    <w:rsid w:val="006F5603"/>
    <w:rsid w:val="006F755F"/>
    <w:rsid w:val="00701400"/>
    <w:rsid w:val="007037CF"/>
    <w:rsid w:val="00703BB8"/>
    <w:rsid w:val="00716583"/>
    <w:rsid w:val="007167C0"/>
    <w:rsid w:val="00720481"/>
    <w:rsid w:val="00727C18"/>
    <w:rsid w:val="00727E2F"/>
    <w:rsid w:val="00733193"/>
    <w:rsid w:val="00737CBA"/>
    <w:rsid w:val="00754C17"/>
    <w:rsid w:val="0075732A"/>
    <w:rsid w:val="007578C6"/>
    <w:rsid w:val="00760262"/>
    <w:rsid w:val="0076310C"/>
    <w:rsid w:val="007667D0"/>
    <w:rsid w:val="0076744F"/>
    <w:rsid w:val="00767BCE"/>
    <w:rsid w:val="00767EFC"/>
    <w:rsid w:val="007707DE"/>
    <w:rsid w:val="00770B5D"/>
    <w:rsid w:val="007722EE"/>
    <w:rsid w:val="007752F1"/>
    <w:rsid w:val="00776768"/>
    <w:rsid w:val="00782D61"/>
    <w:rsid w:val="00791024"/>
    <w:rsid w:val="00791557"/>
    <w:rsid w:val="00794818"/>
    <w:rsid w:val="007A2573"/>
    <w:rsid w:val="007A3B9C"/>
    <w:rsid w:val="007B106C"/>
    <w:rsid w:val="007B1A4E"/>
    <w:rsid w:val="007B3D05"/>
    <w:rsid w:val="007B5503"/>
    <w:rsid w:val="007C6BB3"/>
    <w:rsid w:val="007D14B4"/>
    <w:rsid w:val="007D3AD7"/>
    <w:rsid w:val="007D745C"/>
    <w:rsid w:val="007E24F6"/>
    <w:rsid w:val="007E50BD"/>
    <w:rsid w:val="007F68D0"/>
    <w:rsid w:val="00800F64"/>
    <w:rsid w:val="00802F0B"/>
    <w:rsid w:val="00810A67"/>
    <w:rsid w:val="008201A0"/>
    <w:rsid w:val="00826F9B"/>
    <w:rsid w:val="00833CF7"/>
    <w:rsid w:val="00845601"/>
    <w:rsid w:val="00855C5C"/>
    <w:rsid w:val="0086233C"/>
    <w:rsid w:val="00865CFA"/>
    <w:rsid w:val="00875E17"/>
    <w:rsid w:val="00883CE7"/>
    <w:rsid w:val="008A16D1"/>
    <w:rsid w:val="008A187F"/>
    <w:rsid w:val="008A3C96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D7F46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24B08"/>
    <w:rsid w:val="00925D4A"/>
    <w:rsid w:val="00932291"/>
    <w:rsid w:val="0093408E"/>
    <w:rsid w:val="00947507"/>
    <w:rsid w:val="00952DDF"/>
    <w:rsid w:val="00952EC4"/>
    <w:rsid w:val="009674F1"/>
    <w:rsid w:val="009812D4"/>
    <w:rsid w:val="00982653"/>
    <w:rsid w:val="009873F4"/>
    <w:rsid w:val="009920D8"/>
    <w:rsid w:val="009A371F"/>
    <w:rsid w:val="009B38BE"/>
    <w:rsid w:val="009C3D0F"/>
    <w:rsid w:val="009D2AE7"/>
    <w:rsid w:val="009D6232"/>
    <w:rsid w:val="009E1B19"/>
    <w:rsid w:val="009F3538"/>
    <w:rsid w:val="009F35E2"/>
    <w:rsid w:val="009F65F9"/>
    <w:rsid w:val="009F68BA"/>
    <w:rsid w:val="00A06277"/>
    <w:rsid w:val="00A079DC"/>
    <w:rsid w:val="00A10BAB"/>
    <w:rsid w:val="00A111C2"/>
    <w:rsid w:val="00A17C39"/>
    <w:rsid w:val="00A238AA"/>
    <w:rsid w:val="00A27C26"/>
    <w:rsid w:val="00A338E7"/>
    <w:rsid w:val="00A346D9"/>
    <w:rsid w:val="00A35CAA"/>
    <w:rsid w:val="00A36E7F"/>
    <w:rsid w:val="00A41E65"/>
    <w:rsid w:val="00A43E0A"/>
    <w:rsid w:val="00A46247"/>
    <w:rsid w:val="00A530C7"/>
    <w:rsid w:val="00A55F4B"/>
    <w:rsid w:val="00A55F5B"/>
    <w:rsid w:val="00A60185"/>
    <w:rsid w:val="00A64AC1"/>
    <w:rsid w:val="00A661EA"/>
    <w:rsid w:val="00A70A6C"/>
    <w:rsid w:val="00A830E5"/>
    <w:rsid w:val="00A8691D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C08A8"/>
    <w:rsid w:val="00AD56C8"/>
    <w:rsid w:val="00AD58F2"/>
    <w:rsid w:val="00AF5EA3"/>
    <w:rsid w:val="00B02C78"/>
    <w:rsid w:val="00B0512A"/>
    <w:rsid w:val="00B0529F"/>
    <w:rsid w:val="00B05D52"/>
    <w:rsid w:val="00B1418B"/>
    <w:rsid w:val="00B1736F"/>
    <w:rsid w:val="00B21195"/>
    <w:rsid w:val="00B22B3D"/>
    <w:rsid w:val="00B24B22"/>
    <w:rsid w:val="00B25310"/>
    <w:rsid w:val="00B32F8F"/>
    <w:rsid w:val="00B40EAF"/>
    <w:rsid w:val="00B47C42"/>
    <w:rsid w:val="00B510B1"/>
    <w:rsid w:val="00B54DE9"/>
    <w:rsid w:val="00B553EC"/>
    <w:rsid w:val="00B55870"/>
    <w:rsid w:val="00B6683B"/>
    <w:rsid w:val="00B77732"/>
    <w:rsid w:val="00B80D6D"/>
    <w:rsid w:val="00B9154F"/>
    <w:rsid w:val="00B93915"/>
    <w:rsid w:val="00B93DD0"/>
    <w:rsid w:val="00B97732"/>
    <w:rsid w:val="00BA65A8"/>
    <w:rsid w:val="00BA6D19"/>
    <w:rsid w:val="00BA7461"/>
    <w:rsid w:val="00BA7DA9"/>
    <w:rsid w:val="00BC4215"/>
    <w:rsid w:val="00BD0396"/>
    <w:rsid w:val="00BD1A6F"/>
    <w:rsid w:val="00BD3D19"/>
    <w:rsid w:val="00BE6D3C"/>
    <w:rsid w:val="00BE7852"/>
    <w:rsid w:val="00BF7CEE"/>
    <w:rsid w:val="00C018FC"/>
    <w:rsid w:val="00C03880"/>
    <w:rsid w:val="00C06559"/>
    <w:rsid w:val="00C135CF"/>
    <w:rsid w:val="00C22253"/>
    <w:rsid w:val="00C2275C"/>
    <w:rsid w:val="00C2683F"/>
    <w:rsid w:val="00C3184D"/>
    <w:rsid w:val="00C426C1"/>
    <w:rsid w:val="00C4714E"/>
    <w:rsid w:val="00C50941"/>
    <w:rsid w:val="00C5504F"/>
    <w:rsid w:val="00C55991"/>
    <w:rsid w:val="00C63376"/>
    <w:rsid w:val="00C66CB4"/>
    <w:rsid w:val="00C71A80"/>
    <w:rsid w:val="00C74F97"/>
    <w:rsid w:val="00C76A08"/>
    <w:rsid w:val="00C8276E"/>
    <w:rsid w:val="00C83AD1"/>
    <w:rsid w:val="00C842AC"/>
    <w:rsid w:val="00C93FD9"/>
    <w:rsid w:val="00C96688"/>
    <w:rsid w:val="00CA0723"/>
    <w:rsid w:val="00CA4542"/>
    <w:rsid w:val="00CB1690"/>
    <w:rsid w:val="00CC2CA7"/>
    <w:rsid w:val="00CC4365"/>
    <w:rsid w:val="00CD11B0"/>
    <w:rsid w:val="00CD5E0E"/>
    <w:rsid w:val="00CE71C2"/>
    <w:rsid w:val="00CF42D5"/>
    <w:rsid w:val="00CF4EDA"/>
    <w:rsid w:val="00D021CB"/>
    <w:rsid w:val="00D10F1A"/>
    <w:rsid w:val="00D116F8"/>
    <w:rsid w:val="00D12162"/>
    <w:rsid w:val="00D13565"/>
    <w:rsid w:val="00D16E2B"/>
    <w:rsid w:val="00D17576"/>
    <w:rsid w:val="00D17596"/>
    <w:rsid w:val="00D22640"/>
    <w:rsid w:val="00D26D3A"/>
    <w:rsid w:val="00D45C91"/>
    <w:rsid w:val="00D45EE3"/>
    <w:rsid w:val="00D50618"/>
    <w:rsid w:val="00D509E9"/>
    <w:rsid w:val="00D53B1C"/>
    <w:rsid w:val="00D652C8"/>
    <w:rsid w:val="00D656FF"/>
    <w:rsid w:val="00D83615"/>
    <w:rsid w:val="00DA1B12"/>
    <w:rsid w:val="00DA54C9"/>
    <w:rsid w:val="00DA6739"/>
    <w:rsid w:val="00DA6CAE"/>
    <w:rsid w:val="00DB1A9E"/>
    <w:rsid w:val="00DB31D6"/>
    <w:rsid w:val="00DB3296"/>
    <w:rsid w:val="00DB4005"/>
    <w:rsid w:val="00DB5E34"/>
    <w:rsid w:val="00DB61F1"/>
    <w:rsid w:val="00DC2DF8"/>
    <w:rsid w:val="00DC34EB"/>
    <w:rsid w:val="00DC78C0"/>
    <w:rsid w:val="00DF14C9"/>
    <w:rsid w:val="00DF1E5B"/>
    <w:rsid w:val="00DF2275"/>
    <w:rsid w:val="00DF3F5E"/>
    <w:rsid w:val="00DF5653"/>
    <w:rsid w:val="00E00B11"/>
    <w:rsid w:val="00E029CE"/>
    <w:rsid w:val="00E0596E"/>
    <w:rsid w:val="00E06F66"/>
    <w:rsid w:val="00E2111A"/>
    <w:rsid w:val="00E356E5"/>
    <w:rsid w:val="00E36F81"/>
    <w:rsid w:val="00E378A8"/>
    <w:rsid w:val="00E40B9B"/>
    <w:rsid w:val="00E43F2B"/>
    <w:rsid w:val="00E45765"/>
    <w:rsid w:val="00E5098C"/>
    <w:rsid w:val="00E60213"/>
    <w:rsid w:val="00E661B2"/>
    <w:rsid w:val="00E74D29"/>
    <w:rsid w:val="00E806FF"/>
    <w:rsid w:val="00E83C74"/>
    <w:rsid w:val="00E83CEE"/>
    <w:rsid w:val="00E91F18"/>
    <w:rsid w:val="00E9226D"/>
    <w:rsid w:val="00EA416C"/>
    <w:rsid w:val="00EA5941"/>
    <w:rsid w:val="00EB60CE"/>
    <w:rsid w:val="00EB7D53"/>
    <w:rsid w:val="00EC0161"/>
    <w:rsid w:val="00EC596B"/>
    <w:rsid w:val="00ED0606"/>
    <w:rsid w:val="00ED3F29"/>
    <w:rsid w:val="00EE13C5"/>
    <w:rsid w:val="00EE3146"/>
    <w:rsid w:val="00EF14B8"/>
    <w:rsid w:val="00EF38B5"/>
    <w:rsid w:val="00EF50BB"/>
    <w:rsid w:val="00EF71E4"/>
    <w:rsid w:val="00F00192"/>
    <w:rsid w:val="00F01DF6"/>
    <w:rsid w:val="00F0340D"/>
    <w:rsid w:val="00F059A6"/>
    <w:rsid w:val="00F21DD3"/>
    <w:rsid w:val="00F23756"/>
    <w:rsid w:val="00F2523A"/>
    <w:rsid w:val="00F25FFA"/>
    <w:rsid w:val="00F310D2"/>
    <w:rsid w:val="00F33C04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20F8"/>
    <w:rsid w:val="00FC5E0A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E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E34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E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E34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4</DocSecurity>
  <Lines>43</Lines>
  <Paragraphs>12</Paragraphs>
  <ScaleCrop>false</ScaleCrop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project, Middlemount coal project stage 2</dc:title>
  <dc:creator/>
  <cp:lastModifiedBy/>
  <cp:revision>1</cp:revision>
  <dcterms:created xsi:type="dcterms:W3CDTF">2012-09-27T02:51:00Z</dcterms:created>
  <dcterms:modified xsi:type="dcterms:W3CDTF">2012-09-27T02:51:00Z</dcterms:modified>
</cp:coreProperties>
</file>