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852E19" w:rsidP="001765DA">
      <w:pPr>
        <w:pStyle w:val="Header"/>
        <w:keepLines/>
        <w:tabs>
          <w:tab w:val="left" w:pos="2835"/>
        </w:tabs>
        <w:ind w:left="-360" w:right="-289"/>
        <w:rPr>
          <w:rFonts w:ascii="Arial" w:hAnsi="Arial" w:cs="Arial"/>
          <w:b/>
        </w:rPr>
      </w:pPr>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-881380</wp:posOffset>
            </wp:positionH>
            <wp:positionV relativeFrom="paragraph">
              <wp:posOffset>-871855</wp:posOffset>
            </wp:positionV>
            <wp:extent cx="7535545" cy="2552700"/>
            <wp:effectExtent l="19050" t="0" r="8255" b="0"/>
            <wp:wrapThrough wrapText="bothSides">
              <wp:wrapPolygon edited="0">
                <wp:start x="-55" y="0"/>
                <wp:lineTo x="-55" y="21439"/>
                <wp:lineTo x="21624" y="21439"/>
                <wp:lineTo x="21624"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35545" cy="2552700"/>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bookmarkStart w:id="0" w:name="OLE_LINK1"/>
      <w:bookmarkStart w:id="1" w:name="OLE_LINK2"/>
      <w:r>
        <w:rPr>
          <w:rFonts w:ascii="Arial" w:hAnsi="Arial" w:cs="Arial"/>
          <w:b/>
        </w:rPr>
        <w:t>Advice to decision maker on coal mining project</w:t>
      </w:r>
    </w:p>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w:t>
      </w:r>
      <w:r w:rsidR="002974BC">
        <w:rPr>
          <w:rFonts w:ascii="Arial" w:hAnsi="Arial" w:cs="Arial"/>
          <w:b/>
          <w:sz w:val="20"/>
          <w:lang w:eastAsia="en-AU"/>
        </w:rPr>
        <w:t xml:space="preserve"> </w:t>
      </w:r>
      <w:r w:rsidR="008870AC">
        <w:rPr>
          <w:rFonts w:ascii="Arial" w:hAnsi="Arial" w:cs="Arial"/>
          <w:b/>
          <w:bCs/>
          <w:sz w:val="20"/>
          <w:lang w:eastAsia="en-AU"/>
        </w:rPr>
        <w:t>Boggabri Coal Mine Extension</w:t>
      </w:r>
      <w:r w:rsidR="005E7BE5" w:rsidRPr="005E7BE5">
        <w:rPr>
          <w:rFonts w:ascii="Arial" w:hAnsi="Arial" w:cs="Arial"/>
          <w:b/>
          <w:bCs/>
          <w:sz w:val="20"/>
          <w:lang w:eastAsia="en-AU"/>
        </w:rPr>
        <w:t xml:space="preserve"> (200</w:t>
      </w:r>
      <w:r w:rsidR="00F150F8">
        <w:rPr>
          <w:rFonts w:ascii="Arial" w:hAnsi="Arial" w:cs="Arial"/>
          <w:b/>
          <w:bCs/>
          <w:sz w:val="20"/>
          <w:lang w:eastAsia="en-AU"/>
        </w:rPr>
        <w:t>9/5256</w:t>
      </w:r>
      <w:r w:rsidR="005E7BE5" w:rsidRPr="005E7BE5">
        <w:rPr>
          <w:rFonts w:ascii="Arial" w:hAnsi="Arial" w:cs="Arial"/>
          <w:b/>
          <w:bCs/>
          <w:sz w:val="20"/>
          <w:lang w:eastAsia="en-AU"/>
        </w:rPr>
        <w:t>)</w:t>
      </w:r>
    </w:p>
    <w:bookmarkEnd w:id="0"/>
    <w:bookmarkEnd w:id="1"/>
    <w:p w:rsidR="008C6A05" w:rsidRPr="00B451D3" w:rsidRDefault="008C6A05" w:rsidP="001765DA">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1827AD">
        <w:trPr>
          <w:trHeight w:val="19"/>
        </w:trPr>
        <w:tc>
          <w:tcPr>
            <w:tcW w:w="1526" w:type="dxa"/>
            <w:tcBorders>
              <w:top w:val="single" w:sz="4" w:space="0" w:color="auto"/>
              <w:bottom w:val="single" w:sz="4" w:space="0" w:color="auto"/>
            </w:tcBorders>
          </w:tcPr>
          <w:p w:rsidR="001765DA" w:rsidRPr="00B451D3" w:rsidRDefault="001765DA" w:rsidP="00B8572C">
            <w:pPr>
              <w:pStyle w:val="tablelabel"/>
              <w:spacing w:after="200"/>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1765DA" w:rsidRPr="00B451D3" w:rsidRDefault="001765DA" w:rsidP="00B8572C">
            <w:pPr>
              <w:spacing w:after="200"/>
              <w:rPr>
                <w:rFonts w:ascii="Arial" w:hAnsi="Arial" w:cs="Arial"/>
                <w:sz w:val="20"/>
                <w:szCs w:val="20"/>
              </w:rPr>
            </w:pPr>
            <w:r>
              <w:rPr>
                <w:rFonts w:ascii="Arial" w:hAnsi="Arial" w:cs="Arial"/>
                <w:sz w:val="20"/>
                <w:szCs w:val="20"/>
              </w:rPr>
              <w:t xml:space="preserve">Department of Sustainability, Environment, Water, Population </w:t>
            </w:r>
            <w:r w:rsidR="002974BC">
              <w:rPr>
                <w:rFonts w:ascii="Arial" w:hAnsi="Arial" w:cs="Arial"/>
                <w:sz w:val="20"/>
                <w:szCs w:val="20"/>
              </w:rPr>
              <w:t>and</w:t>
            </w:r>
            <w:r>
              <w:rPr>
                <w:rFonts w:ascii="Arial" w:hAnsi="Arial" w:cs="Arial"/>
                <w:sz w:val="20"/>
                <w:szCs w:val="20"/>
              </w:rPr>
              <w:t xml:space="preserve"> Communities</w:t>
            </w:r>
          </w:p>
        </w:tc>
      </w:tr>
      <w:tr w:rsidR="001765DA" w:rsidRPr="00B451D3" w:rsidTr="001827AD">
        <w:trPr>
          <w:trHeight w:val="19"/>
        </w:trPr>
        <w:tc>
          <w:tcPr>
            <w:tcW w:w="1526" w:type="dxa"/>
            <w:tcBorders>
              <w:top w:val="single" w:sz="4" w:space="0" w:color="auto"/>
              <w:bottom w:val="single" w:sz="4" w:space="0" w:color="auto"/>
            </w:tcBorders>
          </w:tcPr>
          <w:p w:rsidR="001765DA" w:rsidRDefault="001765DA" w:rsidP="00B8572C">
            <w:pPr>
              <w:pStyle w:val="tablelabel"/>
              <w:spacing w:after="200"/>
              <w:rPr>
                <w:rFonts w:cs="Arial"/>
                <w:sz w:val="20"/>
              </w:rPr>
            </w:pPr>
            <w:r>
              <w:rPr>
                <w:rFonts w:cs="Arial"/>
                <w:sz w:val="20"/>
              </w:rPr>
              <w:t>Date of request</w:t>
            </w:r>
          </w:p>
        </w:tc>
        <w:tc>
          <w:tcPr>
            <w:tcW w:w="8283" w:type="dxa"/>
            <w:tcBorders>
              <w:top w:val="single" w:sz="4" w:space="0" w:color="auto"/>
              <w:bottom w:val="single" w:sz="4" w:space="0" w:color="auto"/>
            </w:tcBorders>
          </w:tcPr>
          <w:p w:rsidR="001765DA" w:rsidRPr="00B451D3" w:rsidRDefault="00F150F8" w:rsidP="00B8572C">
            <w:pPr>
              <w:spacing w:after="200"/>
              <w:rPr>
                <w:rFonts w:ascii="Arial" w:hAnsi="Arial" w:cs="Arial"/>
                <w:sz w:val="20"/>
                <w:szCs w:val="20"/>
              </w:rPr>
            </w:pPr>
            <w:r>
              <w:rPr>
                <w:rFonts w:ascii="Arial" w:hAnsi="Arial" w:cs="Arial"/>
                <w:sz w:val="20"/>
                <w:szCs w:val="20"/>
              </w:rPr>
              <w:t>29 August 20</w:t>
            </w:r>
            <w:r w:rsidR="00FF7714">
              <w:rPr>
                <w:rFonts w:ascii="Arial" w:hAnsi="Arial" w:cs="Arial"/>
                <w:sz w:val="20"/>
                <w:szCs w:val="20"/>
              </w:rPr>
              <w:t>12</w:t>
            </w:r>
          </w:p>
        </w:tc>
      </w:tr>
      <w:tr w:rsidR="00B8572C" w:rsidRPr="00B451D3" w:rsidTr="00727E2F">
        <w:tc>
          <w:tcPr>
            <w:tcW w:w="1526" w:type="dxa"/>
            <w:tcBorders>
              <w:top w:val="single" w:sz="4" w:space="0" w:color="auto"/>
              <w:bottom w:val="single" w:sz="4" w:space="0" w:color="auto"/>
            </w:tcBorders>
          </w:tcPr>
          <w:p w:rsidR="00B8572C" w:rsidRDefault="00B8572C" w:rsidP="00B8572C">
            <w:pPr>
              <w:pStyle w:val="tablelabel"/>
              <w:spacing w:after="200"/>
              <w:rPr>
                <w:rFonts w:cs="Arial"/>
                <w:sz w:val="20"/>
              </w:rPr>
            </w:pPr>
            <w:r>
              <w:rPr>
                <w:rFonts w:cs="Arial"/>
                <w:sz w:val="20"/>
              </w:rPr>
              <w:t>Date request received</w:t>
            </w:r>
          </w:p>
        </w:tc>
        <w:tc>
          <w:tcPr>
            <w:tcW w:w="8283" w:type="dxa"/>
            <w:tcBorders>
              <w:top w:val="single" w:sz="4" w:space="0" w:color="auto"/>
              <w:bottom w:val="single" w:sz="4" w:space="0" w:color="auto"/>
            </w:tcBorders>
          </w:tcPr>
          <w:p w:rsidR="00B8572C" w:rsidRDefault="00B8572C" w:rsidP="00B8572C">
            <w:pPr>
              <w:spacing w:after="200"/>
              <w:rPr>
                <w:rFonts w:ascii="Arial" w:hAnsi="Arial" w:cs="Arial"/>
                <w:sz w:val="20"/>
                <w:szCs w:val="20"/>
              </w:rPr>
            </w:pPr>
            <w:r>
              <w:rPr>
                <w:rFonts w:ascii="Arial" w:hAnsi="Arial" w:cs="Arial"/>
                <w:sz w:val="20"/>
                <w:szCs w:val="20"/>
              </w:rPr>
              <w:t>29 August 2012</w:t>
            </w:r>
          </w:p>
        </w:tc>
      </w:tr>
      <w:tr w:rsidR="001765DA" w:rsidRPr="00B451D3" w:rsidTr="001827AD">
        <w:trPr>
          <w:trHeight w:val="19"/>
        </w:trPr>
        <w:tc>
          <w:tcPr>
            <w:tcW w:w="1526" w:type="dxa"/>
            <w:tcBorders>
              <w:top w:val="single" w:sz="4" w:space="0" w:color="auto"/>
              <w:bottom w:val="single" w:sz="4" w:space="0" w:color="auto"/>
            </w:tcBorders>
          </w:tcPr>
          <w:p w:rsidR="001765DA" w:rsidRPr="00B451D3" w:rsidRDefault="001765DA" w:rsidP="00B8572C">
            <w:pPr>
              <w:pStyle w:val="tablelabel"/>
              <w:spacing w:after="200"/>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1765DA" w:rsidRPr="00B8572C" w:rsidRDefault="00FF7714" w:rsidP="00B8572C">
            <w:pPr>
              <w:autoSpaceDE w:val="0"/>
              <w:autoSpaceDN w:val="0"/>
              <w:adjustRightInd w:val="0"/>
              <w:spacing w:after="200"/>
              <w:rPr>
                <w:rFonts w:ascii="Arial" w:hAnsi="Arial" w:cs="Arial"/>
                <w:bCs/>
                <w:sz w:val="20"/>
                <w:szCs w:val="20"/>
              </w:rPr>
            </w:pPr>
            <w:r w:rsidRPr="00FF7714">
              <w:rPr>
                <w:rFonts w:ascii="Arial" w:hAnsi="Arial" w:cs="Arial"/>
                <w:bCs/>
                <w:sz w:val="20"/>
                <w:szCs w:val="20"/>
              </w:rPr>
              <w:t>Boggabri Coal Mine Extension (2009/5256)</w:t>
            </w:r>
          </w:p>
        </w:tc>
      </w:tr>
      <w:tr w:rsidR="001765DA" w:rsidRPr="00B451D3" w:rsidTr="00727E2F">
        <w:trPr>
          <w:trHeight w:val="283"/>
        </w:trPr>
        <w:tc>
          <w:tcPr>
            <w:tcW w:w="1526" w:type="dxa"/>
            <w:tcBorders>
              <w:top w:val="single" w:sz="4" w:space="0" w:color="auto"/>
              <w:bottom w:val="single" w:sz="4" w:space="0" w:color="auto"/>
            </w:tcBorders>
          </w:tcPr>
          <w:p w:rsidR="001765DA" w:rsidRPr="00B451D3" w:rsidRDefault="001765DA" w:rsidP="00B8572C">
            <w:pPr>
              <w:pStyle w:val="tablelabel"/>
              <w:spacing w:after="200"/>
              <w:rPr>
                <w:rFonts w:cs="Arial"/>
                <w:sz w:val="20"/>
              </w:rPr>
            </w:pPr>
            <w:r>
              <w:rPr>
                <w:rFonts w:cs="Arial"/>
                <w:sz w:val="20"/>
              </w:rPr>
              <w:t>Summary of request</w:t>
            </w:r>
          </w:p>
        </w:tc>
        <w:tc>
          <w:tcPr>
            <w:tcW w:w="8283" w:type="dxa"/>
            <w:tcBorders>
              <w:top w:val="single" w:sz="4" w:space="0" w:color="auto"/>
              <w:bottom w:val="single" w:sz="4" w:space="0" w:color="auto"/>
            </w:tcBorders>
          </w:tcPr>
          <w:p w:rsidR="00925236" w:rsidRPr="00925236" w:rsidRDefault="00925236" w:rsidP="00B8572C">
            <w:pPr>
              <w:tabs>
                <w:tab w:val="left" w:pos="425"/>
              </w:tabs>
              <w:spacing w:after="200"/>
              <w:rPr>
                <w:rFonts w:ascii="Arial" w:hAnsi="Arial" w:cs="Arial"/>
                <w:sz w:val="20"/>
                <w:szCs w:val="20"/>
              </w:rPr>
            </w:pPr>
            <w:r w:rsidRPr="00925236">
              <w:rPr>
                <w:rFonts w:ascii="Arial" w:hAnsi="Arial" w:cs="Arial"/>
                <w:sz w:val="20"/>
                <w:szCs w:val="20"/>
              </w:rPr>
              <w:t xml:space="preserve">The </w:t>
            </w:r>
            <w:r w:rsidR="00AF7648">
              <w:rPr>
                <w:rFonts w:ascii="Arial" w:hAnsi="Arial" w:cs="Arial"/>
                <w:sz w:val="20"/>
                <w:szCs w:val="20"/>
              </w:rPr>
              <w:t>Department of Sustainability, Environment, Water, Population and Communities</w:t>
            </w:r>
            <w:r w:rsidR="00AF7648" w:rsidRPr="00925236">
              <w:rPr>
                <w:rFonts w:ascii="Arial" w:hAnsi="Arial" w:cs="Arial"/>
                <w:sz w:val="20"/>
                <w:szCs w:val="20"/>
              </w:rPr>
              <w:t xml:space="preserve"> </w:t>
            </w:r>
            <w:r w:rsidR="00AF7648">
              <w:rPr>
                <w:rFonts w:ascii="Arial" w:hAnsi="Arial" w:cs="Arial"/>
                <w:sz w:val="20"/>
                <w:szCs w:val="20"/>
              </w:rPr>
              <w:t xml:space="preserve">(the </w:t>
            </w:r>
            <w:r w:rsidRPr="00925236">
              <w:rPr>
                <w:rFonts w:ascii="Arial" w:hAnsi="Arial" w:cs="Arial"/>
                <w:sz w:val="20"/>
                <w:szCs w:val="20"/>
              </w:rPr>
              <w:t>department</w:t>
            </w:r>
            <w:r w:rsidR="00AF7648">
              <w:rPr>
                <w:rFonts w:ascii="Arial" w:hAnsi="Arial" w:cs="Arial"/>
                <w:sz w:val="20"/>
                <w:szCs w:val="20"/>
              </w:rPr>
              <w:t>)</w:t>
            </w:r>
            <w:r w:rsidRPr="00925236">
              <w:rPr>
                <w:rFonts w:ascii="Arial" w:hAnsi="Arial" w:cs="Arial"/>
                <w:sz w:val="20"/>
                <w:szCs w:val="20"/>
              </w:rPr>
              <w:t xml:space="preserve"> advises the </w:t>
            </w:r>
            <w:bookmarkStart w:id="2" w:name="OLE_LINK3"/>
            <w:bookmarkStart w:id="3" w:name="OLE_LINK4"/>
            <w:r w:rsidR="00AF7648">
              <w:rPr>
                <w:rFonts w:ascii="Arial" w:hAnsi="Arial" w:cs="Arial"/>
                <w:sz w:val="20"/>
                <w:szCs w:val="20"/>
              </w:rPr>
              <w:t>Interim Independent Expert Scientific Committee on Coal Seam Gas and Coal Mining</w:t>
            </w:r>
            <w:bookmarkEnd w:id="2"/>
            <w:bookmarkEnd w:id="3"/>
            <w:r w:rsidR="00AF7648">
              <w:rPr>
                <w:rFonts w:ascii="Arial" w:hAnsi="Arial" w:cs="Arial"/>
                <w:sz w:val="20"/>
                <w:szCs w:val="20"/>
              </w:rPr>
              <w:t xml:space="preserve"> (the </w:t>
            </w:r>
            <w:r w:rsidRPr="00925236">
              <w:rPr>
                <w:rFonts w:ascii="Arial" w:hAnsi="Arial" w:cs="Arial"/>
                <w:sz w:val="20"/>
                <w:szCs w:val="20"/>
              </w:rPr>
              <w:t>interim committee</w:t>
            </w:r>
            <w:r w:rsidR="00AF7648">
              <w:rPr>
                <w:rFonts w:ascii="Arial" w:hAnsi="Arial" w:cs="Arial"/>
                <w:sz w:val="20"/>
                <w:szCs w:val="20"/>
              </w:rPr>
              <w:t>)</w:t>
            </w:r>
            <w:r w:rsidRPr="00925236">
              <w:rPr>
                <w:rFonts w:ascii="Arial" w:hAnsi="Arial" w:cs="Arial"/>
                <w:sz w:val="20"/>
                <w:szCs w:val="20"/>
              </w:rPr>
              <w:t xml:space="preserve"> of an opportunity to comment on the proposed decision brief</w:t>
            </w:r>
            <w:r w:rsidRPr="00925236">
              <w:rPr>
                <w:rFonts w:ascii="Arial" w:hAnsi="Arial" w:cs="Arial"/>
                <w:bCs/>
                <w:sz w:val="20"/>
                <w:szCs w:val="20"/>
              </w:rPr>
              <w:t xml:space="preserve">. Specifically, the </w:t>
            </w:r>
            <w:r w:rsidR="00AF7648">
              <w:rPr>
                <w:rFonts w:ascii="Arial" w:hAnsi="Arial" w:cs="Arial"/>
                <w:sz w:val="20"/>
                <w:szCs w:val="20"/>
              </w:rPr>
              <w:t xml:space="preserve">department seeks – taking </w:t>
            </w:r>
            <w:r w:rsidRPr="00925236">
              <w:rPr>
                <w:rFonts w:ascii="Arial" w:hAnsi="Arial" w:cs="Arial"/>
                <w:sz w:val="20"/>
                <w:szCs w:val="20"/>
              </w:rPr>
              <w:t xml:space="preserve">into account the recent release of the </w:t>
            </w:r>
            <w:r w:rsidR="00AF7648">
              <w:rPr>
                <w:rFonts w:ascii="Arial" w:hAnsi="Arial" w:cs="Arial"/>
                <w:i/>
                <w:sz w:val="20"/>
                <w:szCs w:val="20"/>
              </w:rPr>
              <w:t>Namoi Catchment Water Study:</w:t>
            </w:r>
            <w:r w:rsidRPr="00925236">
              <w:rPr>
                <w:rFonts w:ascii="Arial" w:hAnsi="Arial" w:cs="Arial"/>
                <w:i/>
                <w:sz w:val="20"/>
                <w:szCs w:val="20"/>
              </w:rPr>
              <w:t xml:space="preserve"> Independent Expert Final Study Report</w:t>
            </w:r>
            <w:r w:rsidRPr="00925236">
              <w:rPr>
                <w:rFonts w:ascii="Arial" w:hAnsi="Arial" w:cs="Arial"/>
                <w:sz w:val="20"/>
                <w:szCs w:val="20"/>
              </w:rPr>
              <w:t xml:space="preserve"> (July 2012), and the NSW Planning Assessment Commission’s review report of February 2012 for the Boggabri Coal Project Section</w:t>
            </w:r>
            <w:r w:rsidR="00AF7648">
              <w:rPr>
                <w:rFonts w:ascii="Arial" w:hAnsi="Arial" w:cs="Arial"/>
                <w:sz w:val="20"/>
                <w:szCs w:val="20"/>
              </w:rPr>
              <w:t xml:space="preserve"> – the a</w:t>
            </w:r>
            <w:r w:rsidRPr="00925236">
              <w:rPr>
                <w:rFonts w:ascii="Arial" w:hAnsi="Arial" w:cs="Arial"/>
                <w:sz w:val="20"/>
                <w:szCs w:val="20"/>
              </w:rPr>
              <w:t>dvice of the interim committee on:</w:t>
            </w:r>
          </w:p>
          <w:p w:rsidR="00925236" w:rsidRPr="00925236" w:rsidRDefault="00925236" w:rsidP="00B8572C">
            <w:pPr>
              <w:pStyle w:val="ListBullet"/>
              <w:numPr>
                <w:ilvl w:val="0"/>
                <w:numId w:val="7"/>
              </w:numPr>
              <w:spacing w:after="200"/>
              <w:rPr>
                <w:rFonts w:ascii="Arial" w:eastAsia="Calibri" w:hAnsi="Arial" w:cs="Arial"/>
                <w:bCs/>
                <w:color w:val="000000"/>
                <w:sz w:val="20"/>
                <w:szCs w:val="20"/>
                <w:lang w:eastAsia="en-AU"/>
              </w:rPr>
            </w:pPr>
            <w:r w:rsidRPr="00925236">
              <w:rPr>
                <w:rFonts w:ascii="Arial" w:eastAsia="Calibri" w:hAnsi="Arial" w:cs="Arial"/>
                <w:bCs/>
                <w:color w:val="000000"/>
                <w:sz w:val="20"/>
                <w:szCs w:val="20"/>
                <w:lang w:eastAsia="en-AU"/>
              </w:rPr>
              <w:t>Does the</w:t>
            </w:r>
            <w:r w:rsidR="00AF7648">
              <w:rPr>
                <w:rFonts w:ascii="Arial" w:eastAsia="Calibri" w:hAnsi="Arial" w:cs="Arial"/>
                <w:bCs/>
                <w:color w:val="000000"/>
                <w:sz w:val="20"/>
                <w:szCs w:val="20"/>
                <w:lang w:eastAsia="en-AU"/>
              </w:rPr>
              <w:t xml:space="preserve"> interim</w:t>
            </w:r>
            <w:r w:rsidRPr="00925236">
              <w:rPr>
                <w:rFonts w:ascii="Arial" w:eastAsia="Calibri" w:hAnsi="Arial" w:cs="Arial"/>
                <w:bCs/>
                <w:color w:val="000000"/>
                <w:sz w:val="20"/>
                <w:szCs w:val="20"/>
                <w:lang w:eastAsia="en-AU"/>
              </w:rPr>
              <w:t xml:space="preserve"> committee consider there will be any significant impacts on matters of national environmental significance that are dependent on water resources, including as a result of cumulative impacts; and</w:t>
            </w:r>
          </w:p>
          <w:p w:rsidR="008B71AF" w:rsidRPr="00B8572C" w:rsidRDefault="00925236" w:rsidP="00B8572C">
            <w:pPr>
              <w:pStyle w:val="ListBullet"/>
              <w:numPr>
                <w:ilvl w:val="0"/>
                <w:numId w:val="7"/>
              </w:numPr>
              <w:spacing w:after="200"/>
              <w:rPr>
                <w:rFonts w:ascii="Arial" w:eastAsia="Calibri" w:hAnsi="Arial" w:cs="Arial"/>
                <w:bCs/>
                <w:color w:val="000000"/>
                <w:sz w:val="20"/>
                <w:szCs w:val="20"/>
                <w:lang w:eastAsia="en-AU"/>
              </w:rPr>
            </w:pPr>
            <w:r w:rsidRPr="00925236">
              <w:rPr>
                <w:rFonts w:ascii="Arial" w:eastAsia="Calibri" w:hAnsi="Arial" w:cs="Arial"/>
                <w:bCs/>
                <w:color w:val="000000"/>
                <w:sz w:val="20"/>
                <w:szCs w:val="20"/>
                <w:lang w:eastAsia="en-AU"/>
              </w:rPr>
              <w:t xml:space="preserve">Does the </w:t>
            </w:r>
            <w:r w:rsidR="00AF7648">
              <w:rPr>
                <w:rFonts w:ascii="Arial" w:eastAsia="Calibri" w:hAnsi="Arial" w:cs="Arial"/>
                <w:bCs/>
                <w:color w:val="000000"/>
                <w:sz w:val="20"/>
                <w:szCs w:val="20"/>
                <w:lang w:eastAsia="en-AU"/>
              </w:rPr>
              <w:t xml:space="preserve">interim </w:t>
            </w:r>
            <w:r w:rsidRPr="00925236">
              <w:rPr>
                <w:rFonts w:ascii="Arial" w:eastAsia="Calibri" w:hAnsi="Arial" w:cs="Arial"/>
                <w:bCs/>
                <w:color w:val="000000"/>
                <w:sz w:val="20"/>
                <w:szCs w:val="20"/>
                <w:lang w:eastAsia="en-AU"/>
              </w:rPr>
              <w:t>committee believe that the construction of a crossing over the Namoi River will have any impact on matter</w:t>
            </w:r>
            <w:r w:rsidR="00AF7648">
              <w:rPr>
                <w:rFonts w:ascii="Arial" w:eastAsia="Calibri" w:hAnsi="Arial" w:cs="Arial"/>
                <w:bCs/>
                <w:color w:val="000000"/>
                <w:sz w:val="20"/>
                <w:szCs w:val="20"/>
                <w:lang w:eastAsia="en-AU"/>
              </w:rPr>
              <w:t>s</w:t>
            </w:r>
            <w:r w:rsidRPr="00925236">
              <w:rPr>
                <w:rFonts w:ascii="Arial" w:eastAsia="Calibri" w:hAnsi="Arial" w:cs="Arial"/>
                <w:bCs/>
                <w:color w:val="000000"/>
                <w:sz w:val="20"/>
                <w:szCs w:val="20"/>
                <w:lang w:eastAsia="en-AU"/>
              </w:rPr>
              <w:t xml:space="preserve"> of national environmental significance?</w:t>
            </w:r>
          </w:p>
        </w:tc>
      </w:tr>
      <w:tr w:rsidR="001765DA" w:rsidRPr="00C83AD1" w:rsidTr="00727E2F">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Pr="00B8572C" w:rsidRDefault="001765DA" w:rsidP="001827AD">
            <w:pPr>
              <w:pStyle w:val="tablelabel"/>
              <w:spacing w:before="120" w:after="200"/>
              <w:rPr>
                <w:rFonts w:cs="Arial"/>
                <w:sz w:val="20"/>
              </w:rPr>
            </w:pPr>
            <w:r w:rsidRPr="00C83AD1">
              <w:rPr>
                <w:rFonts w:cs="Arial"/>
                <w:sz w:val="20"/>
              </w:rPr>
              <w:t>Advice</w:t>
            </w:r>
          </w:p>
          <w:p w:rsidR="005C55DD" w:rsidRPr="00625DD6" w:rsidRDefault="005C55DD" w:rsidP="00B8572C">
            <w:pPr>
              <w:pStyle w:val="ListNumber"/>
              <w:numPr>
                <w:ilvl w:val="0"/>
                <w:numId w:val="3"/>
              </w:numPr>
              <w:spacing w:after="200"/>
              <w:ind w:left="369" w:hanging="369"/>
              <w:rPr>
                <w:rFonts w:ascii="Arial" w:hAnsi="Arial" w:cs="Arial"/>
                <w:bCs/>
                <w:sz w:val="20"/>
                <w:szCs w:val="20"/>
              </w:rPr>
            </w:pPr>
            <w:r w:rsidRPr="00625DD6">
              <w:rPr>
                <w:rFonts w:ascii="Arial" w:hAnsi="Arial" w:cs="Arial"/>
                <w:bCs/>
                <w:sz w:val="20"/>
                <w:szCs w:val="20"/>
              </w:rPr>
              <w:t>T</w:t>
            </w:r>
            <w:r w:rsidR="003D01BE" w:rsidRPr="00625DD6">
              <w:rPr>
                <w:rFonts w:ascii="Arial" w:hAnsi="Arial" w:cs="Arial"/>
                <w:bCs/>
                <w:sz w:val="20"/>
                <w:szCs w:val="20"/>
              </w:rPr>
              <w:t xml:space="preserve">he </w:t>
            </w:r>
            <w:r w:rsidR="00AF7648">
              <w:rPr>
                <w:rFonts w:ascii="Arial" w:hAnsi="Arial" w:cs="Arial"/>
                <w:bCs/>
                <w:sz w:val="20"/>
                <w:szCs w:val="20"/>
              </w:rPr>
              <w:t xml:space="preserve">interim </w:t>
            </w:r>
            <w:r w:rsidR="002C0047">
              <w:rPr>
                <w:rFonts w:ascii="Arial" w:hAnsi="Arial" w:cs="Arial"/>
                <w:bCs/>
                <w:sz w:val="20"/>
                <w:szCs w:val="20"/>
              </w:rPr>
              <w:t>c</w:t>
            </w:r>
            <w:r w:rsidR="002C0047" w:rsidRPr="00625DD6">
              <w:rPr>
                <w:rFonts w:ascii="Arial" w:hAnsi="Arial" w:cs="Arial"/>
                <w:bCs/>
                <w:sz w:val="20"/>
                <w:szCs w:val="20"/>
              </w:rPr>
              <w:t xml:space="preserve">ommittee </w:t>
            </w:r>
            <w:r w:rsidR="003D01BE" w:rsidRPr="00625DD6">
              <w:rPr>
                <w:rFonts w:ascii="Arial" w:hAnsi="Arial" w:cs="Arial"/>
                <w:bCs/>
                <w:sz w:val="20"/>
                <w:szCs w:val="20"/>
              </w:rPr>
              <w:t>notes that the</w:t>
            </w:r>
            <w:r w:rsidRPr="00625DD6">
              <w:rPr>
                <w:rFonts w:ascii="Arial" w:hAnsi="Arial" w:cs="Arial"/>
                <w:bCs/>
                <w:sz w:val="20"/>
                <w:szCs w:val="20"/>
              </w:rPr>
              <w:t xml:space="preserve"> New South Wales Project Approval for the </w:t>
            </w:r>
            <w:r w:rsidR="00186BC5">
              <w:rPr>
                <w:rFonts w:ascii="Arial" w:hAnsi="Arial" w:cs="Arial"/>
                <w:bCs/>
                <w:sz w:val="20"/>
                <w:szCs w:val="20"/>
              </w:rPr>
              <w:t xml:space="preserve">extension of the </w:t>
            </w:r>
            <w:r w:rsidRPr="00625DD6">
              <w:rPr>
                <w:rFonts w:ascii="Arial" w:hAnsi="Arial" w:cs="Arial"/>
                <w:bCs/>
                <w:sz w:val="20"/>
                <w:szCs w:val="20"/>
              </w:rPr>
              <w:t>Boggabri Coal Mine includes approval conditions which require Boggabri Coal to prepare and implement a</w:t>
            </w:r>
            <w:r w:rsidR="00AF7648">
              <w:rPr>
                <w:rFonts w:ascii="Arial" w:hAnsi="Arial" w:cs="Arial"/>
                <w:bCs/>
                <w:sz w:val="20"/>
                <w:szCs w:val="20"/>
              </w:rPr>
              <w:t xml:space="preserve"> S</w:t>
            </w:r>
            <w:r w:rsidR="00E77521">
              <w:rPr>
                <w:rFonts w:ascii="Arial" w:hAnsi="Arial" w:cs="Arial"/>
                <w:bCs/>
                <w:sz w:val="20"/>
                <w:szCs w:val="20"/>
              </w:rPr>
              <w:t>urface</w:t>
            </w:r>
            <w:r w:rsidRPr="00625DD6">
              <w:rPr>
                <w:rFonts w:ascii="Arial" w:hAnsi="Arial" w:cs="Arial"/>
                <w:bCs/>
                <w:sz w:val="20"/>
                <w:szCs w:val="20"/>
              </w:rPr>
              <w:t xml:space="preserve"> Water Management Plan </w:t>
            </w:r>
            <w:r w:rsidR="00E77521">
              <w:rPr>
                <w:rFonts w:ascii="Arial" w:hAnsi="Arial" w:cs="Arial"/>
                <w:bCs/>
                <w:sz w:val="20"/>
                <w:szCs w:val="20"/>
              </w:rPr>
              <w:t xml:space="preserve">and a </w:t>
            </w:r>
            <w:r w:rsidR="00257B01">
              <w:rPr>
                <w:rFonts w:ascii="Arial" w:hAnsi="Arial" w:cs="Arial"/>
                <w:bCs/>
                <w:sz w:val="20"/>
                <w:szCs w:val="20"/>
              </w:rPr>
              <w:t>separate</w:t>
            </w:r>
            <w:r w:rsidR="00AF7648">
              <w:rPr>
                <w:rFonts w:ascii="Arial" w:hAnsi="Arial" w:cs="Arial"/>
                <w:bCs/>
                <w:sz w:val="20"/>
                <w:szCs w:val="20"/>
              </w:rPr>
              <w:t xml:space="preserve"> G</w:t>
            </w:r>
            <w:r w:rsidR="00E77521">
              <w:rPr>
                <w:rFonts w:ascii="Arial" w:hAnsi="Arial" w:cs="Arial"/>
                <w:bCs/>
                <w:sz w:val="20"/>
                <w:szCs w:val="20"/>
              </w:rPr>
              <w:t xml:space="preserve">roundwater Management Plan </w:t>
            </w:r>
            <w:r w:rsidRPr="00625DD6">
              <w:rPr>
                <w:rFonts w:ascii="Arial" w:hAnsi="Arial" w:cs="Arial"/>
                <w:bCs/>
                <w:sz w:val="20"/>
                <w:szCs w:val="20"/>
              </w:rPr>
              <w:t>to the satisfaction of the Director-General. To ensure that significant impact on matters of national environmental significance that are dependent on water resources does not occur</w:t>
            </w:r>
            <w:r w:rsidR="00AF7648">
              <w:rPr>
                <w:rFonts w:ascii="Arial" w:hAnsi="Arial" w:cs="Arial"/>
                <w:bCs/>
                <w:sz w:val="20"/>
                <w:szCs w:val="20"/>
              </w:rPr>
              <w:t>,</w:t>
            </w:r>
            <w:r w:rsidRPr="00625DD6">
              <w:rPr>
                <w:rFonts w:ascii="Arial" w:hAnsi="Arial" w:cs="Arial"/>
                <w:bCs/>
                <w:sz w:val="20"/>
                <w:szCs w:val="20"/>
              </w:rPr>
              <w:t xml:space="preserve"> the </w:t>
            </w:r>
            <w:r w:rsidR="00AF7648">
              <w:rPr>
                <w:rFonts w:ascii="Arial" w:hAnsi="Arial" w:cs="Arial"/>
                <w:bCs/>
                <w:sz w:val="20"/>
                <w:szCs w:val="20"/>
              </w:rPr>
              <w:t xml:space="preserve">interim </w:t>
            </w:r>
            <w:r w:rsidR="003D01BE" w:rsidRPr="00625DD6">
              <w:rPr>
                <w:rFonts w:ascii="Arial" w:hAnsi="Arial" w:cs="Arial"/>
                <w:bCs/>
                <w:sz w:val="20"/>
                <w:szCs w:val="20"/>
              </w:rPr>
              <w:t xml:space="preserve">committee recommends that the </w:t>
            </w:r>
            <w:r w:rsidRPr="00625DD6">
              <w:rPr>
                <w:rFonts w:ascii="Arial" w:hAnsi="Arial" w:cs="Arial"/>
                <w:bCs/>
                <w:sz w:val="20"/>
                <w:szCs w:val="20"/>
              </w:rPr>
              <w:t>department consider strengthening these conditions by:</w:t>
            </w:r>
          </w:p>
          <w:p w:rsidR="005C55DD" w:rsidRPr="005C55DD" w:rsidRDefault="005C55DD" w:rsidP="00B8572C">
            <w:pPr>
              <w:pStyle w:val="ListNumber"/>
              <w:numPr>
                <w:ilvl w:val="1"/>
                <w:numId w:val="3"/>
              </w:numPr>
              <w:spacing w:after="200"/>
              <w:rPr>
                <w:rFonts w:ascii="Arial" w:hAnsi="Arial" w:cs="Arial"/>
                <w:sz w:val="20"/>
                <w:szCs w:val="20"/>
              </w:rPr>
            </w:pPr>
            <w:r w:rsidRPr="005C55DD">
              <w:rPr>
                <w:rFonts w:ascii="Arial" w:hAnsi="Arial" w:cs="Arial"/>
                <w:sz w:val="20"/>
                <w:szCs w:val="20"/>
              </w:rPr>
              <w:t>Including a condition which ensures that the water management plan</w:t>
            </w:r>
            <w:r w:rsidR="00E77521">
              <w:rPr>
                <w:rFonts w:ascii="Arial" w:hAnsi="Arial" w:cs="Arial"/>
                <w:sz w:val="20"/>
                <w:szCs w:val="20"/>
              </w:rPr>
              <w:t>s are</w:t>
            </w:r>
            <w:r w:rsidRPr="005C55DD">
              <w:rPr>
                <w:rFonts w:ascii="Arial" w:hAnsi="Arial" w:cs="Arial"/>
                <w:sz w:val="20"/>
                <w:szCs w:val="20"/>
              </w:rPr>
              <w:t xml:space="preserve"> </w:t>
            </w:r>
            <w:r w:rsidR="00F1254F">
              <w:rPr>
                <w:rFonts w:ascii="Arial" w:hAnsi="Arial" w:cs="Arial"/>
                <w:sz w:val="20"/>
                <w:szCs w:val="20"/>
              </w:rPr>
              <w:t xml:space="preserve">completed </w:t>
            </w:r>
            <w:r w:rsidRPr="005C55DD">
              <w:rPr>
                <w:rFonts w:ascii="Arial" w:hAnsi="Arial" w:cs="Arial"/>
                <w:sz w:val="20"/>
                <w:szCs w:val="20"/>
              </w:rPr>
              <w:t xml:space="preserve">to the satisfaction of the </w:t>
            </w:r>
            <w:r w:rsidR="00AF7648">
              <w:rPr>
                <w:rFonts w:ascii="Arial" w:hAnsi="Arial" w:cs="Arial"/>
                <w:sz w:val="20"/>
                <w:szCs w:val="20"/>
              </w:rPr>
              <w:t>federal environment m</w:t>
            </w:r>
            <w:r w:rsidR="002C0047" w:rsidRPr="005C55DD">
              <w:rPr>
                <w:rFonts w:ascii="Arial" w:hAnsi="Arial" w:cs="Arial"/>
                <w:sz w:val="20"/>
                <w:szCs w:val="20"/>
              </w:rPr>
              <w:t xml:space="preserve">inister </w:t>
            </w:r>
            <w:r w:rsidRPr="005C55DD">
              <w:rPr>
                <w:rFonts w:ascii="Arial" w:hAnsi="Arial" w:cs="Arial"/>
                <w:sz w:val="20"/>
                <w:szCs w:val="20"/>
              </w:rPr>
              <w:t>or his delegate</w:t>
            </w:r>
            <w:r w:rsidR="003D01BE">
              <w:rPr>
                <w:rFonts w:ascii="Arial" w:hAnsi="Arial" w:cs="Arial"/>
                <w:sz w:val="20"/>
                <w:szCs w:val="20"/>
              </w:rPr>
              <w:t>;</w:t>
            </w:r>
          </w:p>
          <w:p w:rsidR="005C55DD" w:rsidRPr="005C55DD" w:rsidRDefault="00186BC5" w:rsidP="00B8572C">
            <w:pPr>
              <w:pStyle w:val="ListNumber"/>
              <w:numPr>
                <w:ilvl w:val="1"/>
                <w:numId w:val="3"/>
              </w:numPr>
              <w:spacing w:after="200"/>
              <w:rPr>
                <w:rFonts w:ascii="Arial" w:hAnsi="Arial" w:cs="Arial"/>
                <w:sz w:val="20"/>
                <w:szCs w:val="20"/>
              </w:rPr>
            </w:pPr>
            <w:r w:rsidRPr="005C55DD">
              <w:rPr>
                <w:rFonts w:ascii="Arial" w:hAnsi="Arial" w:cs="Arial"/>
                <w:sz w:val="20"/>
                <w:szCs w:val="20"/>
              </w:rPr>
              <w:t>Includ</w:t>
            </w:r>
            <w:r>
              <w:rPr>
                <w:rFonts w:ascii="Arial" w:hAnsi="Arial" w:cs="Arial"/>
                <w:sz w:val="20"/>
                <w:szCs w:val="20"/>
              </w:rPr>
              <w:t>ing</w:t>
            </w:r>
            <w:r w:rsidRPr="005C55DD">
              <w:rPr>
                <w:rFonts w:ascii="Arial" w:hAnsi="Arial" w:cs="Arial"/>
                <w:sz w:val="20"/>
                <w:szCs w:val="20"/>
              </w:rPr>
              <w:t xml:space="preserve"> </w:t>
            </w:r>
            <w:r w:rsidR="005C55DD" w:rsidRPr="005C55DD">
              <w:rPr>
                <w:rFonts w:ascii="Arial" w:hAnsi="Arial" w:cs="Arial"/>
                <w:sz w:val="20"/>
                <w:szCs w:val="20"/>
              </w:rPr>
              <w:t xml:space="preserve">a condition which requires </w:t>
            </w:r>
            <w:r w:rsidR="003D01BE">
              <w:rPr>
                <w:rFonts w:ascii="Arial" w:hAnsi="Arial" w:cs="Arial"/>
                <w:sz w:val="20"/>
                <w:szCs w:val="20"/>
              </w:rPr>
              <w:t xml:space="preserve">that </w:t>
            </w:r>
            <w:r w:rsidR="005C55DD" w:rsidRPr="005C55DD">
              <w:rPr>
                <w:rFonts w:ascii="Arial" w:hAnsi="Arial" w:cs="Arial"/>
                <w:sz w:val="20"/>
                <w:szCs w:val="20"/>
              </w:rPr>
              <w:t>the water management plan</w:t>
            </w:r>
            <w:r w:rsidR="00E77521">
              <w:rPr>
                <w:rFonts w:ascii="Arial" w:hAnsi="Arial" w:cs="Arial"/>
                <w:sz w:val="20"/>
                <w:szCs w:val="20"/>
              </w:rPr>
              <w:t>s are</w:t>
            </w:r>
            <w:r w:rsidR="005C55DD" w:rsidRPr="005C55DD">
              <w:rPr>
                <w:rFonts w:ascii="Arial" w:hAnsi="Arial" w:cs="Arial"/>
                <w:sz w:val="20"/>
                <w:szCs w:val="20"/>
              </w:rPr>
              <w:t xml:space="preserve"> in accordance with the National Water Management Strategy</w:t>
            </w:r>
            <w:r w:rsidR="003D01BE">
              <w:rPr>
                <w:rFonts w:ascii="Arial" w:hAnsi="Arial" w:cs="Arial"/>
                <w:sz w:val="20"/>
                <w:szCs w:val="20"/>
              </w:rPr>
              <w:t>;</w:t>
            </w:r>
          </w:p>
          <w:p w:rsidR="00E77521" w:rsidRDefault="00186BC5" w:rsidP="00B8572C">
            <w:pPr>
              <w:pStyle w:val="ListNumber"/>
              <w:numPr>
                <w:ilvl w:val="1"/>
                <w:numId w:val="3"/>
              </w:numPr>
              <w:spacing w:after="200"/>
              <w:rPr>
                <w:rFonts w:ascii="Arial" w:hAnsi="Arial" w:cs="Arial"/>
                <w:sz w:val="20"/>
                <w:szCs w:val="20"/>
              </w:rPr>
            </w:pPr>
            <w:r w:rsidRPr="005C55DD">
              <w:rPr>
                <w:rFonts w:ascii="Arial" w:hAnsi="Arial" w:cs="Arial"/>
                <w:sz w:val="20"/>
                <w:szCs w:val="20"/>
              </w:rPr>
              <w:t>Includ</w:t>
            </w:r>
            <w:r>
              <w:rPr>
                <w:rFonts w:ascii="Arial" w:hAnsi="Arial" w:cs="Arial"/>
                <w:sz w:val="20"/>
                <w:szCs w:val="20"/>
              </w:rPr>
              <w:t>ing</w:t>
            </w:r>
            <w:r w:rsidRPr="005C55DD">
              <w:rPr>
                <w:rFonts w:ascii="Arial" w:hAnsi="Arial" w:cs="Arial"/>
                <w:sz w:val="20"/>
                <w:szCs w:val="20"/>
              </w:rPr>
              <w:t xml:space="preserve"> </w:t>
            </w:r>
            <w:r w:rsidR="003D01BE" w:rsidRPr="005C55DD">
              <w:rPr>
                <w:rFonts w:ascii="Arial" w:hAnsi="Arial" w:cs="Arial"/>
                <w:sz w:val="20"/>
                <w:szCs w:val="20"/>
              </w:rPr>
              <w:t xml:space="preserve">a condition </w:t>
            </w:r>
            <w:r w:rsidR="003D01BE">
              <w:rPr>
                <w:rFonts w:ascii="Arial" w:hAnsi="Arial" w:cs="Arial"/>
                <w:sz w:val="20"/>
                <w:szCs w:val="20"/>
              </w:rPr>
              <w:t>that</w:t>
            </w:r>
            <w:r w:rsidR="005C55DD" w:rsidRPr="005C55DD">
              <w:rPr>
                <w:rFonts w:ascii="Arial" w:hAnsi="Arial" w:cs="Arial"/>
                <w:sz w:val="20"/>
                <w:szCs w:val="20"/>
              </w:rPr>
              <w:t xml:space="preserve"> </w:t>
            </w:r>
            <w:r w:rsidR="007B6122">
              <w:rPr>
                <w:rFonts w:ascii="Arial" w:hAnsi="Arial" w:cs="Arial"/>
                <w:sz w:val="20"/>
                <w:szCs w:val="20"/>
              </w:rPr>
              <w:t xml:space="preserve">Boggabri Coal’s </w:t>
            </w:r>
            <w:r w:rsidR="005C55DD" w:rsidRPr="005C55DD">
              <w:rPr>
                <w:rFonts w:ascii="Arial" w:hAnsi="Arial" w:cs="Arial"/>
                <w:sz w:val="20"/>
                <w:szCs w:val="20"/>
              </w:rPr>
              <w:t>water monitoring</w:t>
            </w:r>
            <w:r w:rsidR="00E77521">
              <w:rPr>
                <w:rFonts w:ascii="Arial" w:hAnsi="Arial" w:cs="Arial"/>
                <w:sz w:val="20"/>
                <w:szCs w:val="20"/>
              </w:rPr>
              <w:t>, groundwater modelling and water</w:t>
            </w:r>
            <w:r w:rsidR="005C55DD" w:rsidRPr="005C55DD">
              <w:rPr>
                <w:rFonts w:ascii="Arial" w:hAnsi="Arial" w:cs="Arial"/>
                <w:sz w:val="20"/>
                <w:szCs w:val="20"/>
              </w:rPr>
              <w:t xml:space="preserve"> </w:t>
            </w:r>
            <w:r w:rsidR="005C55DD" w:rsidRPr="005C55DD">
              <w:rPr>
                <w:rFonts w:ascii="Arial" w:hAnsi="Arial" w:cs="Arial"/>
                <w:sz w:val="20"/>
                <w:szCs w:val="20"/>
              </w:rPr>
              <w:lastRenderedPageBreak/>
              <w:t xml:space="preserve">management </w:t>
            </w:r>
            <w:r w:rsidR="00547C88">
              <w:rPr>
                <w:rFonts w:ascii="Arial" w:hAnsi="Arial" w:cs="Arial"/>
                <w:sz w:val="20"/>
                <w:szCs w:val="20"/>
              </w:rPr>
              <w:t>regime is expanded</w:t>
            </w:r>
            <w:r>
              <w:rPr>
                <w:rFonts w:ascii="Arial" w:hAnsi="Arial" w:cs="Arial"/>
                <w:sz w:val="20"/>
                <w:szCs w:val="20"/>
              </w:rPr>
              <w:t xml:space="preserve"> to provide a greater regional context for the project expansion</w:t>
            </w:r>
            <w:r w:rsidR="00547C88">
              <w:rPr>
                <w:rFonts w:ascii="Arial" w:hAnsi="Arial" w:cs="Arial"/>
                <w:sz w:val="20"/>
                <w:szCs w:val="20"/>
              </w:rPr>
              <w:t xml:space="preserve"> </w:t>
            </w:r>
            <w:r w:rsidR="00AC14AB">
              <w:rPr>
                <w:rFonts w:ascii="Arial" w:hAnsi="Arial" w:cs="Arial"/>
                <w:sz w:val="20"/>
                <w:szCs w:val="20"/>
              </w:rPr>
              <w:t xml:space="preserve">to the satisfaction of </w:t>
            </w:r>
            <w:r w:rsidR="00D85B8C">
              <w:rPr>
                <w:rFonts w:ascii="Arial" w:hAnsi="Arial" w:cs="Arial"/>
                <w:sz w:val="20"/>
                <w:szCs w:val="20"/>
              </w:rPr>
              <w:t>the</w:t>
            </w:r>
            <w:r w:rsidR="00AF7648">
              <w:rPr>
                <w:rFonts w:ascii="Arial" w:hAnsi="Arial" w:cs="Arial"/>
                <w:sz w:val="20"/>
                <w:szCs w:val="20"/>
              </w:rPr>
              <w:t xml:space="preserve"> m</w:t>
            </w:r>
            <w:r w:rsidR="00AC14AB">
              <w:rPr>
                <w:rFonts w:ascii="Arial" w:hAnsi="Arial" w:cs="Arial"/>
                <w:sz w:val="20"/>
                <w:szCs w:val="20"/>
              </w:rPr>
              <w:t>inister or his delegate</w:t>
            </w:r>
            <w:r w:rsidR="00AF7648">
              <w:rPr>
                <w:rFonts w:ascii="Arial" w:hAnsi="Arial" w:cs="Arial"/>
                <w:sz w:val="20"/>
                <w:szCs w:val="20"/>
              </w:rPr>
              <w:t>,</w:t>
            </w:r>
            <w:r w:rsidR="00AC14AB">
              <w:rPr>
                <w:rFonts w:ascii="Arial" w:hAnsi="Arial" w:cs="Arial"/>
                <w:sz w:val="20"/>
                <w:szCs w:val="20"/>
              </w:rPr>
              <w:t xml:space="preserve"> and may</w:t>
            </w:r>
            <w:r w:rsidR="00547C88">
              <w:rPr>
                <w:rFonts w:ascii="Arial" w:hAnsi="Arial" w:cs="Arial"/>
                <w:sz w:val="20"/>
                <w:szCs w:val="20"/>
              </w:rPr>
              <w:t xml:space="preserve"> include a collaborative approach with the </w:t>
            </w:r>
            <w:r w:rsidR="005C55DD" w:rsidRPr="005C55DD">
              <w:rPr>
                <w:rFonts w:ascii="Arial" w:hAnsi="Arial" w:cs="Arial"/>
                <w:sz w:val="20"/>
                <w:szCs w:val="20"/>
              </w:rPr>
              <w:t>Tarrawonga Coal and Aston Coal (Maules Creek)</w:t>
            </w:r>
            <w:r w:rsidR="00547C88">
              <w:rPr>
                <w:rFonts w:ascii="Arial" w:hAnsi="Arial" w:cs="Arial"/>
                <w:sz w:val="20"/>
                <w:szCs w:val="20"/>
              </w:rPr>
              <w:t xml:space="preserve"> mines in the event that these mines </w:t>
            </w:r>
            <w:r w:rsidR="00AC14AB">
              <w:rPr>
                <w:rFonts w:ascii="Arial" w:hAnsi="Arial" w:cs="Arial"/>
                <w:sz w:val="20"/>
                <w:szCs w:val="20"/>
              </w:rPr>
              <w:t>were</w:t>
            </w:r>
            <w:r w:rsidR="00547C88">
              <w:rPr>
                <w:rFonts w:ascii="Arial" w:hAnsi="Arial" w:cs="Arial"/>
                <w:sz w:val="20"/>
                <w:szCs w:val="20"/>
              </w:rPr>
              <w:t xml:space="preserve"> approved</w:t>
            </w:r>
            <w:r w:rsidR="003D01BE">
              <w:rPr>
                <w:rFonts w:ascii="Arial" w:hAnsi="Arial" w:cs="Arial"/>
                <w:sz w:val="20"/>
                <w:szCs w:val="20"/>
              </w:rPr>
              <w:t xml:space="preserve">; </w:t>
            </w:r>
          </w:p>
          <w:p w:rsidR="005C55DD" w:rsidRPr="005C55DD" w:rsidRDefault="00186BC5" w:rsidP="00B8572C">
            <w:pPr>
              <w:pStyle w:val="ListNumber"/>
              <w:numPr>
                <w:ilvl w:val="1"/>
                <w:numId w:val="3"/>
              </w:numPr>
              <w:spacing w:after="200"/>
              <w:rPr>
                <w:rFonts w:ascii="Arial" w:hAnsi="Arial" w:cs="Arial"/>
                <w:sz w:val="20"/>
                <w:szCs w:val="20"/>
              </w:rPr>
            </w:pPr>
            <w:r>
              <w:rPr>
                <w:rFonts w:ascii="Arial" w:hAnsi="Arial" w:cs="Arial"/>
                <w:sz w:val="20"/>
                <w:szCs w:val="20"/>
              </w:rPr>
              <w:t>Including a condition related to the cumulative impacts on the White box- Yellow box- Blakerly’s Red Gum Woodland community in the Leard State Forrest</w:t>
            </w:r>
            <w:r w:rsidR="00FC13B7">
              <w:rPr>
                <w:rFonts w:ascii="Arial" w:hAnsi="Arial" w:cs="Arial"/>
                <w:sz w:val="20"/>
                <w:szCs w:val="20"/>
              </w:rPr>
              <w:t xml:space="preserve"> and Leard State Conservation Area that monitors the moisture stress on the vegetation community through remote sensing. The monitoring should be at a frequency and resolution that can take account of seasonal variations. Such a monitoring regime has the capacity to capture pre-mining conditions (pre 2006) including severe drought if appropriate remote sensing data is utilised</w:t>
            </w:r>
            <w:r w:rsidR="00257B01">
              <w:rPr>
                <w:rFonts w:ascii="Arial" w:hAnsi="Arial" w:cs="Arial"/>
                <w:sz w:val="20"/>
                <w:szCs w:val="20"/>
              </w:rPr>
              <w:t xml:space="preserve">; </w:t>
            </w:r>
            <w:r w:rsidR="003D01BE">
              <w:rPr>
                <w:rFonts w:ascii="Arial" w:hAnsi="Arial" w:cs="Arial"/>
                <w:sz w:val="20"/>
                <w:szCs w:val="20"/>
              </w:rPr>
              <w:t>and</w:t>
            </w:r>
          </w:p>
          <w:p w:rsidR="005C55DD" w:rsidRDefault="00186BC5" w:rsidP="00B8572C">
            <w:pPr>
              <w:pStyle w:val="ListNumber"/>
              <w:numPr>
                <w:ilvl w:val="1"/>
                <w:numId w:val="3"/>
              </w:numPr>
              <w:spacing w:after="200"/>
              <w:rPr>
                <w:rFonts w:ascii="Arial" w:hAnsi="Arial" w:cs="Arial"/>
                <w:sz w:val="20"/>
                <w:szCs w:val="20"/>
              </w:rPr>
            </w:pPr>
            <w:r w:rsidRPr="005C55DD">
              <w:rPr>
                <w:rFonts w:ascii="Arial" w:hAnsi="Arial" w:cs="Arial"/>
                <w:sz w:val="20"/>
                <w:szCs w:val="20"/>
              </w:rPr>
              <w:t>Includ</w:t>
            </w:r>
            <w:r>
              <w:rPr>
                <w:rFonts w:ascii="Arial" w:hAnsi="Arial" w:cs="Arial"/>
                <w:sz w:val="20"/>
                <w:szCs w:val="20"/>
              </w:rPr>
              <w:t>ing</w:t>
            </w:r>
            <w:r w:rsidRPr="005C55DD">
              <w:rPr>
                <w:rFonts w:ascii="Arial" w:hAnsi="Arial" w:cs="Arial"/>
                <w:sz w:val="20"/>
                <w:szCs w:val="20"/>
              </w:rPr>
              <w:t xml:space="preserve"> </w:t>
            </w:r>
            <w:r w:rsidR="003D01BE" w:rsidRPr="005C55DD">
              <w:rPr>
                <w:rFonts w:ascii="Arial" w:hAnsi="Arial" w:cs="Arial"/>
                <w:sz w:val="20"/>
                <w:szCs w:val="20"/>
              </w:rPr>
              <w:t xml:space="preserve">a condition </w:t>
            </w:r>
            <w:r w:rsidR="00AF7648">
              <w:rPr>
                <w:rFonts w:ascii="Arial" w:hAnsi="Arial" w:cs="Arial"/>
                <w:sz w:val="20"/>
                <w:szCs w:val="20"/>
              </w:rPr>
              <w:t>that a risk-</w:t>
            </w:r>
            <w:r w:rsidR="005C55DD" w:rsidRPr="005C55DD">
              <w:rPr>
                <w:rFonts w:ascii="Arial" w:hAnsi="Arial" w:cs="Arial"/>
                <w:sz w:val="20"/>
                <w:szCs w:val="20"/>
              </w:rPr>
              <w:t>based assessment of the disposal of mine</w:t>
            </w:r>
            <w:r w:rsidR="00F1254F">
              <w:rPr>
                <w:rFonts w:ascii="Arial" w:hAnsi="Arial" w:cs="Arial"/>
                <w:sz w:val="20"/>
                <w:szCs w:val="20"/>
              </w:rPr>
              <w:t xml:space="preserve"> water disposal by irrigation </w:t>
            </w:r>
            <w:r w:rsidR="00C86E54">
              <w:rPr>
                <w:rFonts w:ascii="Arial" w:hAnsi="Arial" w:cs="Arial"/>
                <w:sz w:val="20"/>
                <w:szCs w:val="20"/>
              </w:rPr>
              <w:t>be</w:t>
            </w:r>
            <w:r w:rsidR="00C86E54" w:rsidRPr="005C55DD">
              <w:rPr>
                <w:rFonts w:ascii="Arial" w:hAnsi="Arial" w:cs="Arial"/>
                <w:sz w:val="20"/>
                <w:szCs w:val="20"/>
              </w:rPr>
              <w:t xml:space="preserve"> </w:t>
            </w:r>
            <w:r w:rsidR="005C55DD" w:rsidRPr="005C55DD">
              <w:rPr>
                <w:rFonts w:ascii="Arial" w:hAnsi="Arial" w:cs="Arial"/>
                <w:sz w:val="20"/>
                <w:szCs w:val="20"/>
              </w:rPr>
              <w:t xml:space="preserve">assessed. </w:t>
            </w:r>
            <w:r w:rsidR="005C55DD" w:rsidRPr="003D01BE">
              <w:rPr>
                <w:rFonts w:ascii="Arial" w:hAnsi="Arial" w:cs="Arial"/>
                <w:sz w:val="20"/>
                <w:szCs w:val="20"/>
              </w:rPr>
              <w:t xml:space="preserve">The assessment should include the risk of metal and salinity accumulation in these soils. </w:t>
            </w:r>
            <w:r w:rsidR="003D01BE">
              <w:rPr>
                <w:rFonts w:ascii="Arial" w:hAnsi="Arial" w:cs="Arial"/>
                <w:sz w:val="20"/>
                <w:szCs w:val="20"/>
              </w:rPr>
              <w:t xml:space="preserve">The </w:t>
            </w:r>
            <w:r w:rsidR="00A20546">
              <w:rPr>
                <w:rFonts w:ascii="Arial" w:hAnsi="Arial" w:cs="Arial"/>
                <w:sz w:val="20"/>
                <w:szCs w:val="20"/>
              </w:rPr>
              <w:t xml:space="preserve">interim </w:t>
            </w:r>
            <w:r w:rsidR="003D01BE">
              <w:rPr>
                <w:rFonts w:ascii="Arial" w:hAnsi="Arial" w:cs="Arial"/>
                <w:sz w:val="20"/>
                <w:szCs w:val="20"/>
              </w:rPr>
              <w:t>committee recommends that the r</w:t>
            </w:r>
            <w:r w:rsidR="005C55DD" w:rsidRPr="003D01BE">
              <w:rPr>
                <w:rFonts w:ascii="Arial" w:hAnsi="Arial" w:cs="Arial"/>
                <w:sz w:val="20"/>
                <w:szCs w:val="20"/>
              </w:rPr>
              <w:t>isk to</w:t>
            </w:r>
            <w:r w:rsidR="00AF7648">
              <w:rPr>
                <w:rFonts w:ascii="Arial" w:hAnsi="Arial" w:cs="Arial"/>
                <w:sz w:val="20"/>
                <w:szCs w:val="20"/>
              </w:rPr>
              <w:t xml:space="preserve"> Murray-</w:t>
            </w:r>
            <w:r w:rsidR="007B6122">
              <w:rPr>
                <w:rFonts w:ascii="Arial" w:hAnsi="Arial" w:cs="Arial"/>
                <w:sz w:val="20"/>
                <w:szCs w:val="20"/>
              </w:rPr>
              <w:t>Darling Basin Authority’</w:t>
            </w:r>
            <w:r w:rsidR="005C55DD" w:rsidRPr="003D01BE">
              <w:rPr>
                <w:rFonts w:ascii="Arial" w:hAnsi="Arial" w:cs="Arial"/>
                <w:sz w:val="20"/>
                <w:szCs w:val="20"/>
              </w:rPr>
              <w:t>s end of valley salinity targets should also be assessed.</w:t>
            </w:r>
          </w:p>
          <w:p w:rsidR="002072FE" w:rsidRPr="00DE7215" w:rsidRDefault="002072FE" w:rsidP="00B8572C">
            <w:pPr>
              <w:pStyle w:val="ListNumber"/>
              <w:numPr>
                <w:ilvl w:val="0"/>
                <w:numId w:val="3"/>
              </w:numPr>
              <w:spacing w:after="200"/>
              <w:ind w:left="369" w:hanging="369"/>
              <w:rPr>
                <w:rFonts w:ascii="Arial" w:hAnsi="Arial" w:cs="Arial"/>
                <w:sz w:val="20"/>
                <w:szCs w:val="20"/>
              </w:rPr>
            </w:pPr>
            <w:r w:rsidRPr="00DE7215">
              <w:rPr>
                <w:rFonts w:ascii="Arial" w:hAnsi="Arial" w:cs="Arial"/>
                <w:sz w:val="20"/>
                <w:szCs w:val="20"/>
              </w:rPr>
              <w:t xml:space="preserve">The </w:t>
            </w:r>
            <w:r w:rsidR="0035295A">
              <w:rPr>
                <w:rFonts w:ascii="Arial" w:hAnsi="Arial" w:cs="Arial"/>
                <w:sz w:val="20"/>
                <w:szCs w:val="20"/>
              </w:rPr>
              <w:t xml:space="preserve">interim </w:t>
            </w:r>
            <w:r w:rsidR="00257B01">
              <w:rPr>
                <w:rFonts w:ascii="Arial" w:hAnsi="Arial" w:cs="Arial"/>
                <w:sz w:val="20"/>
                <w:szCs w:val="20"/>
              </w:rPr>
              <w:t>c</w:t>
            </w:r>
            <w:r w:rsidR="00257B01" w:rsidRPr="00DE7215">
              <w:rPr>
                <w:rFonts w:ascii="Arial" w:hAnsi="Arial" w:cs="Arial"/>
                <w:sz w:val="20"/>
                <w:szCs w:val="20"/>
              </w:rPr>
              <w:t xml:space="preserve">ommittee </w:t>
            </w:r>
            <w:r w:rsidRPr="00DE7215">
              <w:rPr>
                <w:rFonts w:ascii="Arial" w:hAnsi="Arial" w:cs="Arial"/>
                <w:sz w:val="20"/>
                <w:szCs w:val="20"/>
              </w:rPr>
              <w:t xml:space="preserve">considers that </w:t>
            </w:r>
            <w:r w:rsidR="00191318" w:rsidRPr="00DE7215">
              <w:rPr>
                <w:rFonts w:ascii="Arial" w:hAnsi="Arial" w:cs="Arial"/>
                <w:sz w:val="20"/>
                <w:szCs w:val="20"/>
              </w:rPr>
              <w:t xml:space="preserve">water related </w:t>
            </w:r>
            <w:r w:rsidRPr="00DE7215">
              <w:rPr>
                <w:rFonts w:ascii="Arial" w:hAnsi="Arial" w:cs="Arial"/>
                <w:sz w:val="20"/>
                <w:szCs w:val="20"/>
              </w:rPr>
              <w:t xml:space="preserve">impacts of the Boggabri mine </w:t>
            </w:r>
            <w:r w:rsidR="00191318" w:rsidRPr="00DE7215">
              <w:rPr>
                <w:rFonts w:ascii="Arial" w:hAnsi="Arial" w:cs="Arial"/>
                <w:sz w:val="20"/>
                <w:szCs w:val="20"/>
              </w:rPr>
              <w:t>should be reviewed</w:t>
            </w:r>
            <w:r w:rsidR="00F1254F">
              <w:rPr>
                <w:rFonts w:ascii="Arial" w:hAnsi="Arial" w:cs="Arial"/>
                <w:sz w:val="20"/>
                <w:szCs w:val="20"/>
              </w:rPr>
              <w:t>,</w:t>
            </w:r>
            <w:r w:rsidR="00191318" w:rsidRPr="00DE7215">
              <w:rPr>
                <w:rFonts w:ascii="Arial" w:hAnsi="Arial" w:cs="Arial"/>
                <w:sz w:val="20"/>
                <w:szCs w:val="20"/>
              </w:rPr>
              <w:t xml:space="preserve"> as far as possible</w:t>
            </w:r>
            <w:r w:rsidR="00F1254F">
              <w:rPr>
                <w:rFonts w:ascii="Arial" w:hAnsi="Arial" w:cs="Arial"/>
                <w:sz w:val="20"/>
                <w:szCs w:val="20"/>
              </w:rPr>
              <w:t>,</w:t>
            </w:r>
            <w:r w:rsidR="00191318" w:rsidRPr="00DE7215">
              <w:rPr>
                <w:rFonts w:ascii="Arial" w:hAnsi="Arial" w:cs="Arial"/>
                <w:sz w:val="20"/>
                <w:szCs w:val="20"/>
              </w:rPr>
              <w:t xml:space="preserve"> as part of a cumulative assessment process. The Namoi </w:t>
            </w:r>
            <w:r w:rsidR="00257B01">
              <w:rPr>
                <w:rFonts w:ascii="Arial" w:hAnsi="Arial" w:cs="Arial"/>
                <w:sz w:val="20"/>
                <w:szCs w:val="20"/>
              </w:rPr>
              <w:t xml:space="preserve">Catchment </w:t>
            </w:r>
            <w:r w:rsidR="00191318" w:rsidRPr="00DE7215">
              <w:rPr>
                <w:rFonts w:ascii="Arial" w:hAnsi="Arial" w:cs="Arial"/>
                <w:sz w:val="20"/>
                <w:szCs w:val="20"/>
              </w:rPr>
              <w:t xml:space="preserve">Water Study </w:t>
            </w:r>
            <w:r w:rsidR="00263F44" w:rsidRPr="00DE7215">
              <w:rPr>
                <w:rFonts w:ascii="Arial" w:hAnsi="Arial" w:cs="Arial"/>
                <w:sz w:val="20"/>
                <w:szCs w:val="20"/>
              </w:rPr>
              <w:t xml:space="preserve">enables </w:t>
            </w:r>
            <w:r w:rsidR="00840C16" w:rsidRPr="00DE7215">
              <w:rPr>
                <w:rFonts w:ascii="Arial" w:hAnsi="Arial" w:cs="Arial"/>
                <w:sz w:val="20"/>
                <w:szCs w:val="20"/>
              </w:rPr>
              <w:t>cumulative impact assessment on a catchment scale</w:t>
            </w:r>
            <w:r w:rsidR="00F1254F">
              <w:rPr>
                <w:rFonts w:ascii="Arial" w:hAnsi="Arial" w:cs="Arial"/>
                <w:sz w:val="20"/>
                <w:szCs w:val="20"/>
              </w:rPr>
              <w:t xml:space="preserve"> for the area in question</w:t>
            </w:r>
            <w:r w:rsidR="006F2395" w:rsidRPr="00DE7215">
              <w:rPr>
                <w:rFonts w:ascii="Arial" w:hAnsi="Arial" w:cs="Arial"/>
                <w:sz w:val="20"/>
                <w:szCs w:val="20"/>
              </w:rPr>
              <w:t xml:space="preserve">. </w:t>
            </w:r>
            <w:r w:rsidR="009B7CB1" w:rsidRPr="00DE7215">
              <w:rPr>
                <w:rFonts w:ascii="Arial" w:hAnsi="Arial" w:cs="Arial"/>
                <w:sz w:val="20"/>
                <w:szCs w:val="20"/>
              </w:rPr>
              <w:t>The</w:t>
            </w:r>
            <w:r w:rsidR="0035295A">
              <w:rPr>
                <w:rFonts w:ascii="Arial" w:hAnsi="Arial" w:cs="Arial"/>
                <w:sz w:val="20"/>
                <w:szCs w:val="20"/>
              </w:rPr>
              <w:t xml:space="preserve"> interim</w:t>
            </w:r>
            <w:r w:rsidR="009B7CB1" w:rsidRPr="00DE7215">
              <w:rPr>
                <w:rFonts w:ascii="Arial" w:hAnsi="Arial" w:cs="Arial"/>
                <w:sz w:val="20"/>
                <w:szCs w:val="20"/>
              </w:rPr>
              <w:t xml:space="preserve"> </w:t>
            </w:r>
            <w:r w:rsidR="00257B01">
              <w:rPr>
                <w:rFonts w:ascii="Arial" w:hAnsi="Arial" w:cs="Arial"/>
                <w:sz w:val="20"/>
                <w:szCs w:val="20"/>
              </w:rPr>
              <w:t>c</w:t>
            </w:r>
            <w:r w:rsidR="00257B01" w:rsidRPr="00DE7215">
              <w:rPr>
                <w:rFonts w:ascii="Arial" w:hAnsi="Arial" w:cs="Arial"/>
                <w:sz w:val="20"/>
                <w:szCs w:val="20"/>
              </w:rPr>
              <w:t xml:space="preserve">ommittee </w:t>
            </w:r>
            <w:r w:rsidR="009B7CB1" w:rsidRPr="00DE7215">
              <w:rPr>
                <w:rFonts w:ascii="Arial" w:hAnsi="Arial" w:cs="Arial"/>
                <w:sz w:val="20"/>
                <w:szCs w:val="20"/>
              </w:rPr>
              <w:t xml:space="preserve">notes </w:t>
            </w:r>
            <w:r w:rsidR="0035295A">
              <w:rPr>
                <w:rFonts w:ascii="Arial" w:hAnsi="Arial" w:cs="Arial"/>
                <w:sz w:val="20"/>
                <w:szCs w:val="20"/>
              </w:rPr>
              <w:t xml:space="preserve">that </w:t>
            </w:r>
            <w:r w:rsidR="009B7CB1" w:rsidRPr="00DE7215">
              <w:rPr>
                <w:rFonts w:ascii="Arial" w:hAnsi="Arial" w:cs="Arial"/>
                <w:sz w:val="20"/>
                <w:szCs w:val="20"/>
              </w:rPr>
              <w:t>f</w:t>
            </w:r>
            <w:r w:rsidR="00F1254F">
              <w:rPr>
                <w:rFonts w:ascii="Arial" w:hAnsi="Arial" w:cs="Arial"/>
                <w:sz w:val="20"/>
                <w:szCs w:val="20"/>
              </w:rPr>
              <w:t xml:space="preserve">or the </w:t>
            </w:r>
            <w:r w:rsidR="00840C16" w:rsidRPr="00DE7215">
              <w:rPr>
                <w:rFonts w:ascii="Arial" w:hAnsi="Arial" w:cs="Arial"/>
                <w:sz w:val="20"/>
                <w:szCs w:val="20"/>
              </w:rPr>
              <w:t xml:space="preserve">scenario </w:t>
            </w:r>
            <w:r w:rsidR="00F1254F">
              <w:rPr>
                <w:rFonts w:ascii="Arial" w:hAnsi="Arial" w:cs="Arial"/>
                <w:sz w:val="20"/>
                <w:szCs w:val="20"/>
              </w:rPr>
              <w:t>which includes a range of</w:t>
            </w:r>
            <w:r w:rsidR="00840C16" w:rsidRPr="00DE7215">
              <w:rPr>
                <w:rFonts w:ascii="Arial" w:hAnsi="Arial" w:cs="Arial"/>
                <w:sz w:val="20"/>
                <w:szCs w:val="20"/>
              </w:rPr>
              <w:t xml:space="preserve"> </w:t>
            </w:r>
            <w:r w:rsidR="006F2395" w:rsidRPr="00DE7215">
              <w:rPr>
                <w:rFonts w:ascii="Arial" w:hAnsi="Arial" w:cs="Arial"/>
                <w:sz w:val="20"/>
                <w:szCs w:val="20"/>
              </w:rPr>
              <w:t>current and future projects (scenario 3)</w:t>
            </w:r>
            <w:r w:rsidR="00F1254F">
              <w:rPr>
                <w:rFonts w:ascii="Arial" w:hAnsi="Arial" w:cs="Arial"/>
                <w:sz w:val="20"/>
                <w:szCs w:val="20"/>
              </w:rPr>
              <w:t>,</w:t>
            </w:r>
            <w:r w:rsidR="006F2395" w:rsidRPr="00DE7215">
              <w:rPr>
                <w:rFonts w:ascii="Arial" w:hAnsi="Arial" w:cs="Arial"/>
                <w:sz w:val="20"/>
                <w:szCs w:val="20"/>
              </w:rPr>
              <w:t xml:space="preserve"> </w:t>
            </w:r>
            <w:r w:rsidR="009B7CB1" w:rsidRPr="00DE7215">
              <w:rPr>
                <w:rFonts w:ascii="Arial" w:hAnsi="Arial" w:cs="Arial"/>
                <w:sz w:val="20"/>
                <w:szCs w:val="20"/>
              </w:rPr>
              <w:t>the study predicts drawdown in some areas of the alluvial aquifer adjoining the site of</w:t>
            </w:r>
            <w:r w:rsidR="002C174D" w:rsidRPr="00DE7215">
              <w:rPr>
                <w:rFonts w:ascii="Arial" w:hAnsi="Arial" w:cs="Arial"/>
                <w:sz w:val="20"/>
                <w:szCs w:val="20"/>
              </w:rPr>
              <w:t>,</w:t>
            </w:r>
            <w:r w:rsidR="009B7CB1" w:rsidRPr="00DE7215">
              <w:rPr>
                <w:rFonts w:ascii="Arial" w:hAnsi="Arial" w:cs="Arial"/>
                <w:sz w:val="20"/>
                <w:szCs w:val="20"/>
              </w:rPr>
              <w:t xml:space="preserve"> in excess of 2m</w:t>
            </w:r>
            <w:r w:rsidR="00263F44" w:rsidRPr="00DE7215">
              <w:rPr>
                <w:rFonts w:ascii="Arial" w:hAnsi="Arial" w:cs="Arial"/>
                <w:sz w:val="20"/>
                <w:szCs w:val="20"/>
              </w:rPr>
              <w:t xml:space="preserve">. </w:t>
            </w:r>
            <w:r w:rsidR="0067223F" w:rsidRPr="00DE7215">
              <w:rPr>
                <w:rFonts w:ascii="Arial" w:hAnsi="Arial" w:cs="Arial"/>
                <w:sz w:val="20"/>
                <w:szCs w:val="20"/>
              </w:rPr>
              <w:t>This would represent as much as a 10</w:t>
            </w:r>
            <w:r w:rsidR="0035295A">
              <w:rPr>
                <w:rFonts w:ascii="Arial" w:hAnsi="Arial" w:cs="Arial"/>
                <w:sz w:val="20"/>
                <w:szCs w:val="20"/>
              </w:rPr>
              <w:t xml:space="preserve"> per cent</w:t>
            </w:r>
            <w:r w:rsidR="0067223F" w:rsidRPr="00DE7215">
              <w:rPr>
                <w:rFonts w:ascii="Arial" w:hAnsi="Arial" w:cs="Arial"/>
                <w:sz w:val="20"/>
                <w:szCs w:val="20"/>
              </w:rPr>
              <w:t xml:space="preserve"> reduction in the </w:t>
            </w:r>
            <w:r w:rsidR="005075FE" w:rsidRPr="00DE7215">
              <w:rPr>
                <w:rFonts w:ascii="Arial" w:hAnsi="Arial" w:cs="Arial"/>
                <w:sz w:val="20"/>
                <w:szCs w:val="20"/>
              </w:rPr>
              <w:t xml:space="preserve">average </w:t>
            </w:r>
            <w:r w:rsidR="0067223F" w:rsidRPr="00DE7215">
              <w:rPr>
                <w:rFonts w:ascii="Arial" w:hAnsi="Arial" w:cs="Arial"/>
                <w:sz w:val="20"/>
                <w:szCs w:val="20"/>
              </w:rPr>
              <w:t>saturated thickness of the aquifer</w:t>
            </w:r>
            <w:r w:rsidR="005075FE" w:rsidRPr="00DE7215">
              <w:rPr>
                <w:rFonts w:ascii="Arial" w:hAnsi="Arial" w:cs="Arial"/>
                <w:sz w:val="20"/>
                <w:szCs w:val="20"/>
              </w:rPr>
              <w:t xml:space="preserve"> in </w:t>
            </w:r>
            <w:r w:rsidR="00F1254F">
              <w:rPr>
                <w:rFonts w:ascii="Arial" w:hAnsi="Arial" w:cs="Arial"/>
                <w:sz w:val="20"/>
                <w:szCs w:val="20"/>
              </w:rPr>
              <w:t xml:space="preserve">Namoi </w:t>
            </w:r>
            <w:r w:rsidR="005075FE" w:rsidRPr="00DE7215">
              <w:rPr>
                <w:rFonts w:ascii="Arial" w:hAnsi="Arial" w:cs="Arial"/>
                <w:sz w:val="20"/>
                <w:szCs w:val="20"/>
              </w:rPr>
              <w:t>Groundwater Management Area 4</w:t>
            </w:r>
            <w:r w:rsidR="0067223F" w:rsidRPr="00DE7215">
              <w:rPr>
                <w:rFonts w:ascii="Arial" w:hAnsi="Arial" w:cs="Arial"/>
                <w:sz w:val="20"/>
                <w:szCs w:val="20"/>
              </w:rPr>
              <w:t xml:space="preserve">. </w:t>
            </w:r>
            <w:r w:rsidR="005075FE" w:rsidRPr="00DE7215">
              <w:rPr>
                <w:rFonts w:ascii="Arial" w:hAnsi="Arial" w:cs="Arial"/>
                <w:sz w:val="20"/>
                <w:szCs w:val="20"/>
              </w:rPr>
              <w:t xml:space="preserve">The Namoi </w:t>
            </w:r>
            <w:r w:rsidR="00257B01">
              <w:rPr>
                <w:rFonts w:ascii="Arial" w:hAnsi="Arial" w:cs="Arial"/>
                <w:sz w:val="20"/>
                <w:szCs w:val="20"/>
              </w:rPr>
              <w:t xml:space="preserve">Catchment </w:t>
            </w:r>
            <w:r w:rsidR="005075FE" w:rsidRPr="00DE7215">
              <w:rPr>
                <w:rFonts w:ascii="Arial" w:hAnsi="Arial" w:cs="Arial"/>
                <w:sz w:val="20"/>
                <w:szCs w:val="20"/>
              </w:rPr>
              <w:t>Water Study als</w:t>
            </w:r>
            <w:r w:rsidR="00015749">
              <w:rPr>
                <w:rFonts w:ascii="Arial" w:hAnsi="Arial" w:cs="Arial"/>
                <w:sz w:val="20"/>
                <w:szCs w:val="20"/>
              </w:rPr>
              <w:t>o indicates</w:t>
            </w:r>
            <w:r w:rsidR="0067223F" w:rsidRPr="00DE7215">
              <w:rPr>
                <w:rFonts w:ascii="Arial" w:hAnsi="Arial" w:cs="Arial"/>
                <w:sz w:val="20"/>
                <w:szCs w:val="20"/>
              </w:rPr>
              <w:t xml:space="preserve"> that the larger expected drawdown in the adjacent hard rock aquifer</w:t>
            </w:r>
            <w:r w:rsidR="0035295A">
              <w:rPr>
                <w:rFonts w:ascii="Arial" w:hAnsi="Arial" w:cs="Arial"/>
                <w:sz w:val="20"/>
                <w:szCs w:val="20"/>
              </w:rPr>
              <w:t>,</w:t>
            </w:r>
            <w:r w:rsidR="0067223F" w:rsidRPr="00DE7215">
              <w:rPr>
                <w:rFonts w:ascii="Arial" w:hAnsi="Arial" w:cs="Arial"/>
                <w:sz w:val="20"/>
                <w:szCs w:val="20"/>
              </w:rPr>
              <w:t xml:space="preserve"> where the mine is situated</w:t>
            </w:r>
            <w:r w:rsidR="0035295A">
              <w:rPr>
                <w:rFonts w:ascii="Arial" w:hAnsi="Arial" w:cs="Arial"/>
                <w:sz w:val="20"/>
                <w:szCs w:val="20"/>
              </w:rPr>
              <w:t>,</w:t>
            </w:r>
            <w:r w:rsidR="0067223F" w:rsidRPr="00DE7215">
              <w:rPr>
                <w:rFonts w:ascii="Arial" w:hAnsi="Arial" w:cs="Arial"/>
                <w:sz w:val="20"/>
                <w:szCs w:val="20"/>
              </w:rPr>
              <w:t xml:space="preserve"> may exacerbate the i</w:t>
            </w:r>
            <w:r w:rsidR="00927CBF" w:rsidRPr="00DE7215">
              <w:rPr>
                <w:rFonts w:ascii="Arial" w:hAnsi="Arial" w:cs="Arial"/>
                <w:sz w:val="20"/>
                <w:szCs w:val="20"/>
              </w:rPr>
              <w:t>m</w:t>
            </w:r>
            <w:r w:rsidR="0067223F" w:rsidRPr="00DE7215">
              <w:rPr>
                <w:rFonts w:ascii="Arial" w:hAnsi="Arial" w:cs="Arial"/>
                <w:sz w:val="20"/>
                <w:szCs w:val="20"/>
              </w:rPr>
              <w:t>pact on the alluvium</w:t>
            </w:r>
            <w:r w:rsidR="00927CBF" w:rsidRPr="00DE7215">
              <w:rPr>
                <w:rFonts w:ascii="Arial" w:hAnsi="Arial" w:cs="Arial"/>
                <w:sz w:val="20"/>
                <w:szCs w:val="20"/>
              </w:rPr>
              <w:t xml:space="preserve"> by altering the direction of groundwater flow</w:t>
            </w:r>
            <w:r w:rsidR="0067223F" w:rsidRPr="00DE7215">
              <w:rPr>
                <w:rFonts w:ascii="Arial" w:hAnsi="Arial" w:cs="Arial"/>
                <w:sz w:val="20"/>
                <w:szCs w:val="20"/>
              </w:rPr>
              <w:t xml:space="preserve">. </w:t>
            </w:r>
          </w:p>
          <w:p w:rsidR="00901AA5" w:rsidRDefault="00927CBF" w:rsidP="00B8572C">
            <w:pPr>
              <w:pStyle w:val="ListNumber"/>
              <w:numPr>
                <w:ilvl w:val="0"/>
                <w:numId w:val="0"/>
              </w:numPr>
              <w:spacing w:after="200"/>
              <w:ind w:left="369"/>
              <w:rPr>
                <w:rFonts w:ascii="Arial" w:hAnsi="Arial" w:cs="Arial"/>
                <w:sz w:val="20"/>
                <w:szCs w:val="20"/>
              </w:rPr>
            </w:pPr>
            <w:r w:rsidRPr="00DE7215">
              <w:rPr>
                <w:rFonts w:ascii="Arial" w:hAnsi="Arial" w:cs="Arial"/>
                <w:sz w:val="20"/>
                <w:szCs w:val="20"/>
              </w:rPr>
              <w:t xml:space="preserve">A further cumulative impact consideration </w:t>
            </w:r>
            <w:r w:rsidR="002C174D" w:rsidRPr="00DE7215">
              <w:rPr>
                <w:rFonts w:ascii="Arial" w:hAnsi="Arial" w:cs="Arial"/>
                <w:sz w:val="20"/>
                <w:szCs w:val="20"/>
              </w:rPr>
              <w:t>relates to the adjacent proposed Tarrawonga Coal Mine where a groundwater barrier is proposed to</w:t>
            </w:r>
            <w:r w:rsidR="005075FE" w:rsidRPr="00DE7215">
              <w:rPr>
                <w:rFonts w:ascii="Arial" w:hAnsi="Arial" w:cs="Arial"/>
                <w:sz w:val="20"/>
                <w:szCs w:val="20"/>
              </w:rPr>
              <w:t xml:space="preserve"> divert the groundwater flow from the Upper Namoi Alluvium</w:t>
            </w:r>
            <w:r w:rsidR="002C174D" w:rsidRPr="00DE7215">
              <w:rPr>
                <w:rFonts w:ascii="Arial" w:hAnsi="Arial" w:cs="Arial"/>
                <w:sz w:val="20"/>
                <w:szCs w:val="20"/>
              </w:rPr>
              <w:t xml:space="preserve"> </w:t>
            </w:r>
            <w:r w:rsidR="005075FE" w:rsidRPr="00DE7215">
              <w:rPr>
                <w:rFonts w:ascii="Arial" w:hAnsi="Arial" w:cs="Arial"/>
                <w:sz w:val="20"/>
                <w:szCs w:val="20"/>
              </w:rPr>
              <w:t>around the open pit. Such a barrier is likely to impede groundwater flow causing a buildup of groundwater upstream of the barrier and subsequent surface expression resulting in land salinity. The extent of this land salinisation and any downstream impacts need to be considered as</w:t>
            </w:r>
            <w:r w:rsidR="00901AA5" w:rsidRPr="00DE7215">
              <w:rPr>
                <w:rFonts w:ascii="Arial" w:hAnsi="Arial" w:cs="Arial"/>
                <w:sz w:val="20"/>
                <w:szCs w:val="20"/>
              </w:rPr>
              <w:t xml:space="preserve"> do the changes in groundwater flow and the impacts on the Boggabri mine.</w:t>
            </w:r>
          </w:p>
          <w:p w:rsidR="0003545A" w:rsidRPr="00DE7215" w:rsidRDefault="001A429E" w:rsidP="00B8572C">
            <w:pPr>
              <w:pStyle w:val="ListNumber"/>
              <w:numPr>
                <w:ilvl w:val="0"/>
                <w:numId w:val="0"/>
              </w:numPr>
              <w:spacing w:after="200"/>
              <w:ind w:left="369"/>
              <w:rPr>
                <w:rFonts w:ascii="Arial" w:hAnsi="Arial" w:cs="Arial"/>
                <w:sz w:val="20"/>
                <w:szCs w:val="20"/>
              </w:rPr>
            </w:pPr>
            <w:r>
              <w:rPr>
                <w:rFonts w:ascii="Arial" w:hAnsi="Arial" w:cs="Arial"/>
                <w:sz w:val="20"/>
                <w:szCs w:val="20"/>
              </w:rPr>
              <w:t xml:space="preserve">The </w:t>
            </w:r>
            <w:r w:rsidR="0035295A">
              <w:rPr>
                <w:rFonts w:ascii="Arial" w:hAnsi="Arial" w:cs="Arial"/>
                <w:sz w:val="20"/>
                <w:szCs w:val="20"/>
              </w:rPr>
              <w:t xml:space="preserve">interim </w:t>
            </w:r>
            <w:r>
              <w:rPr>
                <w:rFonts w:ascii="Arial" w:hAnsi="Arial" w:cs="Arial"/>
                <w:sz w:val="20"/>
                <w:szCs w:val="20"/>
              </w:rPr>
              <w:t>committee notes with regard to section 255A</w:t>
            </w:r>
            <w:r w:rsidR="002C0047">
              <w:rPr>
                <w:rFonts w:ascii="Arial" w:hAnsi="Arial" w:cs="Arial"/>
                <w:sz w:val="20"/>
                <w:szCs w:val="20"/>
              </w:rPr>
              <w:t>A</w:t>
            </w:r>
            <w:r>
              <w:rPr>
                <w:rFonts w:ascii="Arial" w:hAnsi="Arial" w:cs="Arial"/>
                <w:sz w:val="20"/>
                <w:szCs w:val="20"/>
              </w:rPr>
              <w:t xml:space="preserve"> of the Commonwealth </w:t>
            </w:r>
            <w:r w:rsidRPr="0035295A">
              <w:rPr>
                <w:rFonts w:ascii="Arial" w:hAnsi="Arial" w:cs="Arial"/>
                <w:i/>
                <w:sz w:val="20"/>
                <w:szCs w:val="20"/>
              </w:rPr>
              <w:t>Water Act</w:t>
            </w:r>
            <w:r w:rsidR="0035295A" w:rsidRPr="0035295A">
              <w:rPr>
                <w:rFonts w:ascii="Arial" w:hAnsi="Arial" w:cs="Arial"/>
                <w:i/>
                <w:sz w:val="20"/>
                <w:szCs w:val="20"/>
              </w:rPr>
              <w:t xml:space="preserve"> 2007</w:t>
            </w:r>
            <w:r>
              <w:rPr>
                <w:rFonts w:ascii="Arial" w:hAnsi="Arial" w:cs="Arial"/>
                <w:sz w:val="20"/>
                <w:szCs w:val="20"/>
              </w:rPr>
              <w:t>, relating to mining operations on floodplains of the Murray-Darling system</w:t>
            </w:r>
            <w:r w:rsidR="00660FC2">
              <w:rPr>
                <w:rFonts w:ascii="Arial" w:hAnsi="Arial" w:cs="Arial"/>
                <w:sz w:val="20"/>
                <w:szCs w:val="20"/>
              </w:rPr>
              <w:t xml:space="preserve"> inflows</w:t>
            </w:r>
            <w:r>
              <w:rPr>
                <w:rFonts w:ascii="Arial" w:hAnsi="Arial" w:cs="Arial"/>
                <w:sz w:val="20"/>
                <w:szCs w:val="20"/>
              </w:rPr>
              <w:t xml:space="preserve">, that the Namoi </w:t>
            </w:r>
            <w:r w:rsidR="002C0047">
              <w:rPr>
                <w:rFonts w:ascii="Arial" w:hAnsi="Arial" w:cs="Arial"/>
                <w:sz w:val="20"/>
                <w:szCs w:val="20"/>
              </w:rPr>
              <w:t xml:space="preserve">Catchment </w:t>
            </w:r>
            <w:r>
              <w:rPr>
                <w:rFonts w:ascii="Arial" w:hAnsi="Arial" w:cs="Arial"/>
                <w:sz w:val="20"/>
                <w:szCs w:val="20"/>
              </w:rPr>
              <w:t>Water Study constitutes the required independent expert study required by this section of the Act.</w:t>
            </w:r>
          </w:p>
          <w:p w:rsidR="00625DD6" w:rsidRPr="005C55DD" w:rsidRDefault="00625DD6" w:rsidP="00B8572C">
            <w:pPr>
              <w:pStyle w:val="ListNumber"/>
              <w:numPr>
                <w:ilvl w:val="0"/>
                <w:numId w:val="3"/>
              </w:numPr>
              <w:spacing w:after="200"/>
              <w:ind w:left="369" w:hanging="369"/>
              <w:rPr>
                <w:rFonts w:ascii="Arial" w:hAnsi="Arial" w:cs="Arial"/>
                <w:sz w:val="20"/>
                <w:szCs w:val="20"/>
              </w:rPr>
            </w:pPr>
            <w:r>
              <w:rPr>
                <w:rFonts w:ascii="Arial" w:hAnsi="Arial" w:cs="Arial"/>
                <w:sz w:val="20"/>
                <w:szCs w:val="20"/>
              </w:rPr>
              <w:t xml:space="preserve">The </w:t>
            </w:r>
            <w:r w:rsidR="0035295A">
              <w:rPr>
                <w:rFonts w:ascii="Arial" w:hAnsi="Arial" w:cs="Arial"/>
                <w:sz w:val="20"/>
                <w:szCs w:val="20"/>
              </w:rPr>
              <w:t xml:space="preserve">interim </w:t>
            </w:r>
            <w:r>
              <w:rPr>
                <w:rFonts w:ascii="Arial" w:hAnsi="Arial" w:cs="Arial"/>
                <w:sz w:val="20"/>
                <w:szCs w:val="20"/>
              </w:rPr>
              <w:t>committee notes that t</w:t>
            </w:r>
            <w:r w:rsidRPr="005C55DD">
              <w:rPr>
                <w:rFonts w:ascii="Arial" w:hAnsi="Arial" w:cs="Arial"/>
                <w:sz w:val="20"/>
                <w:szCs w:val="20"/>
              </w:rPr>
              <w:t xml:space="preserve">he New South Wales Project Approval for the Boggabri Coal Mine includes approval conditions which require Boggabri Coal </w:t>
            </w:r>
            <w:r w:rsidR="008C50B7">
              <w:rPr>
                <w:rFonts w:ascii="Arial" w:hAnsi="Arial" w:cs="Arial"/>
                <w:sz w:val="20"/>
                <w:szCs w:val="20"/>
              </w:rPr>
              <w:t xml:space="preserve">to </w:t>
            </w:r>
            <w:r w:rsidRPr="005C55DD">
              <w:rPr>
                <w:rFonts w:ascii="Arial" w:hAnsi="Arial" w:cs="Arial"/>
                <w:sz w:val="20"/>
                <w:szCs w:val="20"/>
              </w:rPr>
              <w:t>design and construct the rail spur line, rail spur support bridges and any upgrade to the haul roads so that they minimise impacts from flooding. The condition appears appropriate and adequate to protect matters of national environmental significance.</w:t>
            </w:r>
          </w:p>
          <w:p w:rsidR="00C71525" w:rsidRPr="00B8572C" w:rsidRDefault="003D01BE" w:rsidP="00B8572C">
            <w:pPr>
              <w:pStyle w:val="ListNumber"/>
              <w:numPr>
                <w:ilvl w:val="0"/>
                <w:numId w:val="3"/>
              </w:numPr>
              <w:spacing w:after="200"/>
              <w:ind w:left="369" w:hanging="369"/>
              <w:rPr>
                <w:rFonts w:ascii="Arial" w:hAnsi="Arial" w:cs="Arial"/>
                <w:sz w:val="20"/>
                <w:szCs w:val="20"/>
              </w:rPr>
            </w:pPr>
            <w:r>
              <w:rPr>
                <w:rFonts w:ascii="Arial" w:hAnsi="Arial" w:cs="Arial"/>
                <w:sz w:val="20"/>
                <w:szCs w:val="20"/>
              </w:rPr>
              <w:t xml:space="preserve">The </w:t>
            </w:r>
            <w:r w:rsidR="0035295A">
              <w:rPr>
                <w:rFonts w:ascii="Arial" w:hAnsi="Arial" w:cs="Arial"/>
                <w:sz w:val="20"/>
                <w:szCs w:val="20"/>
              </w:rPr>
              <w:t xml:space="preserve">interim </w:t>
            </w:r>
            <w:r>
              <w:rPr>
                <w:rFonts w:ascii="Arial" w:hAnsi="Arial" w:cs="Arial"/>
                <w:sz w:val="20"/>
                <w:szCs w:val="20"/>
              </w:rPr>
              <w:t>committee notes that the</w:t>
            </w:r>
            <w:r w:rsidR="005C55DD" w:rsidRPr="005C55DD">
              <w:rPr>
                <w:rFonts w:ascii="Arial" w:hAnsi="Arial" w:cs="Arial"/>
                <w:sz w:val="20"/>
                <w:szCs w:val="20"/>
              </w:rPr>
              <w:t xml:space="preserve"> Nagero Creek appears to run thro</w:t>
            </w:r>
            <w:r w:rsidR="00625DD6">
              <w:rPr>
                <w:rFonts w:ascii="Arial" w:hAnsi="Arial" w:cs="Arial"/>
                <w:sz w:val="20"/>
                <w:szCs w:val="20"/>
              </w:rPr>
              <w:t xml:space="preserve">ugh the centre of the mine pit and that </w:t>
            </w:r>
            <w:r w:rsidR="005C55DD" w:rsidRPr="005C55DD">
              <w:rPr>
                <w:rFonts w:ascii="Arial" w:hAnsi="Arial" w:cs="Arial"/>
                <w:sz w:val="20"/>
                <w:szCs w:val="20"/>
              </w:rPr>
              <w:t xml:space="preserve">the upstream surface water monitoring site </w:t>
            </w:r>
            <w:r w:rsidR="00625DD6">
              <w:rPr>
                <w:rFonts w:ascii="Arial" w:hAnsi="Arial" w:cs="Arial"/>
                <w:sz w:val="20"/>
                <w:szCs w:val="20"/>
              </w:rPr>
              <w:t xml:space="preserve">will </w:t>
            </w:r>
            <w:r w:rsidR="005C55DD" w:rsidRPr="005C55DD">
              <w:rPr>
                <w:rFonts w:ascii="Arial" w:hAnsi="Arial" w:cs="Arial"/>
                <w:sz w:val="20"/>
                <w:szCs w:val="20"/>
              </w:rPr>
              <w:t xml:space="preserve">no longer </w:t>
            </w:r>
            <w:r w:rsidR="008C50B7">
              <w:rPr>
                <w:rFonts w:ascii="Arial" w:hAnsi="Arial" w:cs="Arial"/>
                <w:sz w:val="20"/>
                <w:szCs w:val="20"/>
              </w:rPr>
              <w:t>be viable</w:t>
            </w:r>
            <w:r w:rsidR="005C55DD" w:rsidRPr="005C55DD">
              <w:rPr>
                <w:rFonts w:ascii="Arial" w:hAnsi="Arial" w:cs="Arial"/>
                <w:sz w:val="20"/>
                <w:szCs w:val="20"/>
              </w:rPr>
              <w:t xml:space="preserve"> after 5 years of operatio</w:t>
            </w:r>
            <w:r w:rsidR="00625DD6">
              <w:rPr>
                <w:rFonts w:ascii="Arial" w:hAnsi="Arial" w:cs="Arial"/>
                <w:sz w:val="20"/>
                <w:szCs w:val="20"/>
              </w:rPr>
              <w:t>n. As there was no discussion of this potential creek diversion</w:t>
            </w:r>
            <w:r w:rsidR="005C55DD" w:rsidRPr="005C55DD">
              <w:rPr>
                <w:rFonts w:ascii="Arial" w:hAnsi="Arial" w:cs="Arial"/>
                <w:sz w:val="20"/>
                <w:szCs w:val="20"/>
              </w:rPr>
              <w:t xml:space="preserve"> within the Environmental Assessment it was not possible to adequately undertake a risk based assessment of this aspect of the mining operation. </w:t>
            </w:r>
          </w:p>
        </w:tc>
      </w:tr>
      <w:tr w:rsidR="001765DA" w:rsidRPr="00B451D3" w:rsidTr="0035295A">
        <w:trPr>
          <w:trHeight w:val="723"/>
        </w:trPr>
        <w:tc>
          <w:tcPr>
            <w:tcW w:w="1526" w:type="dxa"/>
            <w:tcBorders>
              <w:top w:val="single" w:sz="4" w:space="0" w:color="auto"/>
              <w:bottom w:val="single" w:sz="4" w:space="0" w:color="auto"/>
            </w:tcBorders>
            <w:vAlign w:val="center"/>
          </w:tcPr>
          <w:p w:rsidR="00747BBC" w:rsidRDefault="001765DA" w:rsidP="00B8572C">
            <w:pPr>
              <w:pStyle w:val="tablelabel"/>
              <w:spacing w:after="200"/>
              <w:rPr>
                <w:rFonts w:cs="Arial"/>
                <w:sz w:val="20"/>
              </w:rPr>
            </w:pPr>
            <w:r>
              <w:rPr>
                <w:rFonts w:cs="Arial"/>
                <w:sz w:val="20"/>
              </w:rPr>
              <w:lastRenderedPageBreak/>
              <w:t>Date of advice</w:t>
            </w:r>
          </w:p>
        </w:tc>
        <w:tc>
          <w:tcPr>
            <w:tcW w:w="8283" w:type="dxa"/>
            <w:tcBorders>
              <w:top w:val="single" w:sz="4" w:space="0" w:color="auto"/>
              <w:bottom w:val="single" w:sz="4" w:space="0" w:color="auto"/>
            </w:tcBorders>
            <w:vAlign w:val="center"/>
          </w:tcPr>
          <w:p w:rsidR="001765DA" w:rsidRPr="00B451D3" w:rsidRDefault="0035295A" w:rsidP="00B8572C">
            <w:pPr>
              <w:spacing w:after="200"/>
              <w:rPr>
                <w:rFonts w:ascii="Arial" w:hAnsi="Arial" w:cs="Arial"/>
                <w:sz w:val="20"/>
                <w:szCs w:val="20"/>
              </w:rPr>
            </w:pPr>
            <w:r>
              <w:rPr>
                <w:rFonts w:ascii="Arial" w:hAnsi="Arial" w:cs="Arial"/>
                <w:sz w:val="20"/>
                <w:szCs w:val="20"/>
              </w:rPr>
              <w:t>9 October 2012</w:t>
            </w:r>
          </w:p>
        </w:tc>
      </w:tr>
    </w:tbl>
    <w:p w:rsidR="001765DA" w:rsidRPr="004940D9" w:rsidRDefault="001765DA" w:rsidP="00B8572C">
      <w:pPr>
        <w:spacing w:after="200" w:line="276" w:lineRule="auto"/>
        <w:rPr>
          <w:rFonts w:ascii="Arial" w:hAnsi="Arial" w:cs="Arial"/>
          <w:sz w:val="18"/>
          <w:szCs w:val="18"/>
        </w:rPr>
      </w:pPr>
    </w:p>
    <w:p w:rsidR="001765DA" w:rsidRDefault="001765DA" w:rsidP="00B8572C">
      <w:pPr>
        <w:spacing w:after="200" w:line="276" w:lineRule="auto"/>
      </w:pPr>
    </w:p>
    <w:p w:rsidR="006B14DB" w:rsidRPr="00EA416C" w:rsidRDefault="006B14DB" w:rsidP="00B8572C">
      <w:pPr>
        <w:spacing w:after="200" w:line="276" w:lineRule="auto"/>
      </w:pPr>
    </w:p>
    <w:sectPr w:rsidR="006B14DB" w:rsidRPr="00EA416C" w:rsidSect="00FA4CF0">
      <w:headerReference w:type="even" r:id="rId8"/>
      <w:footerReference w:type="default" r:id="rId9"/>
      <w:headerReference w:type="first" r:id="rId10"/>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72C" w:rsidRDefault="00B8572C" w:rsidP="00A60185">
      <w:r>
        <w:separator/>
      </w:r>
    </w:p>
  </w:endnote>
  <w:endnote w:type="continuationSeparator" w:id="0">
    <w:p w:rsidR="00B8572C" w:rsidRDefault="00B8572C"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2C" w:rsidRPr="001827AD" w:rsidRDefault="00864D1D">
    <w:pPr>
      <w:pStyle w:val="Footer"/>
      <w:jc w:val="center"/>
      <w:rPr>
        <w:rFonts w:ascii="Arial" w:hAnsi="Arial" w:cs="Arial"/>
        <w:sz w:val="20"/>
        <w:szCs w:val="20"/>
      </w:rPr>
    </w:pPr>
    <w:r w:rsidRPr="001827AD">
      <w:rPr>
        <w:rFonts w:ascii="Arial" w:hAnsi="Arial" w:cs="Arial"/>
        <w:sz w:val="20"/>
        <w:szCs w:val="20"/>
      </w:rPr>
      <w:fldChar w:fldCharType="begin"/>
    </w:r>
    <w:r w:rsidR="00B8572C" w:rsidRPr="001827AD">
      <w:rPr>
        <w:rFonts w:ascii="Arial" w:hAnsi="Arial" w:cs="Arial"/>
        <w:sz w:val="20"/>
        <w:szCs w:val="20"/>
      </w:rPr>
      <w:instrText xml:space="preserve"> PAGE   \* MERGEFORMAT </w:instrText>
    </w:r>
    <w:r w:rsidRPr="001827AD">
      <w:rPr>
        <w:rFonts w:ascii="Arial" w:hAnsi="Arial" w:cs="Arial"/>
        <w:sz w:val="20"/>
        <w:szCs w:val="20"/>
      </w:rPr>
      <w:fldChar w:fldCharType="separate"/>
    </w:r>
    <w:r w:rsidR="00323725">
      <w:rPr>
        <w:rFonts w:ascii="Arial" w:hAnsi="Arial" w:cs="Arial"/>
        <w:noProof/>
        <w:sz w:val="20"/>
        <w:szCs w:val="20"/>
      </w:rPr>
      <w:t>2</w:t>
    </w:r>
    <w:r w:rsidRPr="001827AD">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72C" w:rsidRDefault="00B8572C" w:rsidP="00A60185">
      <w:r>
        <w:separator/>
      </w:r>
    </w:p>
  </w:footnote>
  <w:footnote w:type="continuationSeparator" w:id="0">
    <w:p w:rsidR="00B8572C" w:rsidRDefault="00B8572C"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2C" w:rsidRDefault="00B8572C"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2C" w:rsidRDefault="00B8572C"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259E7BC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nsid w:val="30225151"/>
    <w:multiLevelType w:val="multilevel"/>
    <w:tmpl w:val="6BFABA92"/>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F3245776"/>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2"/>
  </w:num>
  <w:num w:numId="4">
    <w:abstractNumId w:val="4"/>
  </w:num>
  <w:num w:numId="5">
    <w:abstractNumId w:val="3"/>
  </w:num>
  <w:num w:numId="6">
    <w:abstractNumId w:val="5"/>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rsids>
    <w:rsidRoot w:val="0041275D"/>
    <w:rsid w:val="00004AEE"/>
    <w:rsid w:val="00005CAA"/>
    <w:rsid w:val="00010210"/>
    <w:rsid w:val="00012D66"/>
    <w:rsid w:val="00015749"/>
    <w:rsid w:val="00015ADA"/>
    <w:rsid w:val="00020C99"/>
    <w:rsid w:val="0002707B"/>
    <w:rsid w:val="0003545A"/>
    <w:rsid w:val="00044BD9"/>
    <w:rsid w:val="00050001"/>
    <w:rsid w:val="0005148E"/>
    <w:rsid w:val="00057E2D"/>
    <w:rsid w:val="000759E5"/>
    <w:rsid w:val="0007601C"/>
    <w:rsid w:val="00084AC6"/>
    <w:rsid w:val="00090A1F"/>
    <w:rsid w:val="00091608"/>
    <w:rsid w:val="0009333C"/>
    <w:rsid w:val="0009704F"/>
    <w:rsid w:val="000A0F11"/>
    <w:rsid w:val="000A125A"/>
    <w:rsid w:val="000A1EC5"/>
    <w:rsid w:val="000A228F"/>
    <w:rsid w:val="000A57CD"/>
    <w:rsid w:val="000B3758"/>
    <w:rsid w:val="000B7681"/>
    <w:rsid w:val="000B7B42"/>
    <w:rsid w:val="000C02B7"/>
    <w:rsid w:val="000C2814"/>
    <w:rsid w:val="000C451B"/>
    <w:rsid w:val="000C5342"/>
    <w:rsid w:val="000C706A"/>
    <w:rsid w:val="000D2887"/>
    <w:rsid w:val="000D4C95"/>
    <w:rsid w:val="000D5C73"/>
    <w:rsid w:val="000D6D63"/>
    <w:rsid w:val="000E0081"/>
    <w:rsid w:val="000E07CF"/>
    <w:rsid w:val="00100BEF"/>
    <w:rsid w:val="001061C8"/>
    <w:rsid w:val="0011498E"/>
    <w:rsid w:val="00117A45"/>
    <w:rsid w:val="001224AE"/>
    <w:rsid w:val="00123035"/>
    <w:rsid w:val="001337D4"/>
    <w:rsid w:val="00136CA6"/>
    <w:rsid w:val="00147C12"/>
    <w:rsid w:val="001527A1"/>
    <w:rsid w:val="001530DC"/>
    <w:rsid w:val="00154989"/>
    <w:rsid w:val="00155A9F"/>
    <w:rsid w:val="0015684F"/>
    <w:rsid w:val="00160262"/>
    <w:rsid w:val="0016433A"/>
    <w:rsid w:val="00164F30"/>
    <w:rsid w:val="0016780A"/>
    <w:rsid w:val="001713FA"/>
    <w:rsid w:val="00173EBF"/>
    <w:rsid w:val="001765DA"/>
    <w:rsid w:val="001827AD"/>
    <w:rsid w:val="001842A2"/>
    <w:rsid w:val="00186BC5"/>
    <w:rsid w:val="00187FA8"/>
    <w:rsid w:val="00191318"/>
    <w:rsid w:val="001922D0"/>
    <w:rsid w:val="00192F5E"/>
    <w:rsid w:val="00197772"/>
    <w:rsid w:val="001A429E"/>
    <w:rsid w:val="001A51C8"/>
    <w:rsid w:val="001B472B"/>
    <w:rsid w:val="001B4CA8"/>
    <w:rsid w:val="001C4F3D"/>
    <w:rsid w:val="001D0CDC"/>
    <w:rsid w:val="001D1D82"/>
    <w:rsid w:val="001E1182"/>
    <w:rsid w:val="001F0E8B"/>
    <w:rsid w:val="00200944"/>
    <w:rsid w:val="00202C90"/>
    <w:rsid w:val="002072FE"/>
    <w:rsid w:val="00213DE8"/>
    <w:rsid w:val="00216118"/>
    <w:rsid w:val="002209AB"/>
    <w:rsid w:val="002251E3"/>
    <w:rsid w:val="00227A95"/>
    <w:rsid w:val="002316BD"/>
    <w:rsid w:val="002336F3"/>
    <w:rsid w:val="002473FC"/>
    <w:rsid w:val="00252E3C"/>
    <w:rsid w:val="00257B01"/>
    <w:rsid w:val="00262198"/>
    <w:rsid w:val="00263F44"/>
    <w:rsid w:val="00285F1B"/>
    <w:rsid w:val="00292B81"/>
    <w:rsid w:val="002974BC"/>
    <w:rsid w:val="002B18AE"/>
    <w:rsid w:val="002C0047"/>
    <w:rsid w:val="002C174D"/>
    <w:rsid w:val="002C1C93"/>
    <w:rsid w:val="002C5066"/>
    <w:rsid w:val="002C5415"/>
    <w:rsid w:val="002D4AAC"/>
    <w:rsid w:val="002D6C33"/>
    <w:rsid w:val="002D786E"/>
    <w:rsid w:val="002F045A"/>
    <w:rsid w:val="0030039D"/>
    <w:rsid w:val="00300715"/>
    <w:rsid w:val="0030326F"/>
    <w:rsid w:val="00310701"/>
    <w:rsid w:val="00311A9A"/>
    <w:rsid w:val="00315980"/>
    <w:rsid w:val="00316F7F"/>
    <w:rsid w:val="00320162"/>
    <w:rsid w:val="003218E8"/>
    <w:rsid w:val="00323725"/>
    <w:rsid w:val="00330DCE"/>
    <w:rsid w:val="00331E11"/>
    <w:rsid w:val="00334761"/>
    <w:rsid w:val="00337EBC"/>
    <w:rsid w:val="00341DCD"/>
    <w:rsid w:val="0034504D"/>
    <w:rsid w:val="0034563E"/>
    <w:rsid w:val="003518D6"/>
    <w:rsid w:val="00352921"/>
    <w:rsid w:val="0035295A"/>
    <w:rsid w:val="0035460C"/>
    <w:rsid w:val="003556BD"/>
    <w:rsid w:val="0036162C"/>
    <w:rsid w:val="00365147"/>
    <w:rsid w:val="0037016E"/>
    <w:rsid w:val="00370E55"/>
    <w:rsid w:val="00371E57"/>
    <w:rsid w:val="00372908"/>
    <w:rsid w:val="00381917"/>
    <w:rsid w:val="00383020"/>
    <w:rsid w:val="003975FD"/>
    <w:rsid w:val="003A56D7"/>
    <w:rsid w:val="003B0435"/>
    <w:rsid w:val="003B60CC"/>
    <w:rsid w:val="003C1B25"/>
    <w:rsid w:val="003C2443"/>
    <w:rsid w:val="003C5DA3"/>
    <w:rsid w:val="003D01BE"/>
    <w:rsid w:val="003D163C"/>
    <w:rsid w:val="003D4BCD"/>
    <w:rsid w:val="003E01D8"/>
    <w:rsid w:val="003E16C2"/>
    <w:rsid w:val="003E2100"/>
    <w:rsid w:val="003E62FA"/>
    <w:rsid w:val="003F6F5B"/>
    <w:rsid w:val="0040342D"/>
    <w:rsid w:val="0041192D"/>
    <w:rsid w:val="0041275D"/>
    <w:rsid w:val="00413EE1"/>
    <w:rsid w:val="0042128E"/>
    <w:rsid w:val="00432B60"/>
    <w:rsid w:val="00440698"/>
    <w:rsid w:val="00443FFE"/>
    <w:rsid w:val="004540E2"/>
    <w:rsid w:val="00454454"/>
    <w:rsid w:val="00467924"/>
    <w:rsid w:val="004712A5"/>
    <w:rsid w:val="0047266F"/>
    <w:rsid w:val="00474712"/>
    <w:rsid w:val="00476D6B"/>
    <w:rsid w:val="00487DE7"/>
    <w:rsid w:val="00492C16"/>
    <w:rsid w:val="004A0678"/>
    <w:rsid w:val="004A48A3"/>
    <w:rsid w:val="004B00E0"/>
    <w:rsid w:val="004B0D92"/>
    <w:rsid w:val="004B0EC0"/>
    <w:rsid w:val="004B66F1"/>
    <w:rsid w:val="004C3EA0"/>
    <w:rsid w:val="004E6314"/>
    <w:rsid w:val="004F3393"/>
    <w:rsid w:val="004F7169"/>
    <w:rsid w:val="00500D66"/>
    <w:rsid w:val="005036A6"/>
    <w:rsid w:val="005075FE"/>
    <w:rsid w:val="00514C8E"/>
    <w:rsid w:val="00517F35"/>
    <w:rsid w:val="00523ED3"/>
    <w:rsid w:val="00531DBF"/>
    <w:rsid w:val="005337FC"/>
    <w:rsid w:val="00533BC2"/>
    <w:rsid w:val="00537114"/>
    <w:rsid w:val="00545759"/>
    <w:rsid w:val="00545BE0"/>
    <w:rsid w:val="00547C88"/>
    <w:rsid w:val="005525BA"/>
    <w:rsid w:val="00554C6A"/>
    <w:rsid w:val="0055579E"/>
    <w:rsid w:val="00562E85"/>
    <w:rsid w:val="0056332F"/>
    <w:rsid w:val="005664C8"/>
    <w:rsid w:val="00581152"/>
    <w:rsid w:val="00581C39"/>
    <w:rsid w:val="005903B6"/>
    <w:rsid w:val="005A0247"/>
    <w:rsid w:val="005A126E"/>
    <w:rsid w:val="005A452F"/>
    <w:rsid w:val="005A7EB5"/>
    <w:rsid w:val="005B140D"/>
    <w:rsid w:val="005C1FEA"/>
    <w:rsid w:val="005C3495"/>
    <w:rsid w:val="005C55DD"/>
    <w:rsid w:val="005E1DB7"/>
    <w:rsid w:val="005E3DFC"/>
    <w:rsid w:val="005E60AF"/>
    <w:rsid w:val="005E7B4E"/>
    <w:rsid w:val="005E7BE5"/>
    <w:rsid w:val="005F1DEA"/>
    <w:rsid w:val="00607FC9"/>
    <w:rsid w:val="0061490C"/>
    <w:rsid w:val="00622FE1"/>
    <w:rsid w:val="0062521C"/>
    <w:rsid w:val="00625DD6"/>
    <w:rsid w:val="00627899"/>
    <w:rsid w:val="00630A2B"/>
    <w:rsid w:val="00632DC7"/>
    <w:rsid w:val="00633896"/>
    <w:rsid w:val="00633D0D"/>
    <w:rsid w:val="006357FB"/>
    <w:rsid w:val="006406FC"/>
    <w:rsid w:val="0064407B"/>
    <w:rsid w:val="00646122"/>
    <w:rsid w:val="00653E16"/>
    <w:rsid w:val="00657220"/>
    <w:rsid w:val="00660FC2"/>
    <w:rsid w:val="0066104B"/>
    <w:rsid w:val="006655EE"/>
    <w:rsid w:val="00667C10"/>
    <w:rsid w:val="00667EF4"/>
    <w:rsid w:val="0067223F"/>
    <w:rsid w:val="00676FCA"/>
    <w:rsid w:val="00677177"/>
    <w:rsid w:val="006774C7"/>
    <w:rsid w:val="0068612E"/>
    <w:rsid w:val="00687C92"/>
    <w:rsid w:val="0069534E"/>
    <w:rsid w:val="0069669C"/>
    <w:rsid w:val="006A1200"/>
    <w:rsid w:val="006A2C5A"/>
    <w:rsid w:val="006A4F4E"/>
    <w:rsid w:val="006B14DB"/>
    <w:rsid w:val="006B21C4"/>
    <w:rsid w:val="006C2F76"/>
    <w:rsid w:val="006C4A1A"/>
    <w:rsid w:val="006D0393"/>
    <w:rsid w:val="006D0CEC"/>
    <w:rsid w:val="006D1A83"/>
    <w:rsid w:val="006E1CFE"/>
    <w:rsid w:val="006E31A2"/>
    <w:rsid w:val="006E7FFD"/>
    <w:rsid w:val="006F10C4"/>
    <w:rsid w:val="006F2395"/>
    <w:rsid w:val="006F31CB"/>
    <w:rsid w:val="006F40E9"/>
    <w:rsid w:val="006F5603"/>
    <w:rsid w:val="00701400"/>
    <w:rsid w:val="007037CF"/>
    <w:rsid w:val="00716583"/>
    <w:rsid w:val="007167C0"/>
    <w:rsid w:val="00720481"/>
    <w:rsid w:val="00727C18"/>
    <w:rsid w:val="00727E2F"/>
    <w:rsid w:val="00731999"/>
    <w:rsid w:val="00733193"/>
    <w:rsid w:val="00733C1E"/>
    <w:rsid w:val="00737CBA"/>
    <w:rsid w:val="00747BBC"/>
    <w:rsid w:val="00754C17"/>
    <w:rsid w:val="0075732A"/>
    <w:rsid w:val="00760262"/>
    <w:rsid w:val="0076310C"/>
    <w:rsid w:val="0076744F"/>
    <w:rsid w:val="00767BCE"/>
    <w:rsid w:val="00767EFC"/>
    <w:rsid w:val="007707DE"/>
    <w:rsid w:val="00770B5D"/>
    <w:rsid w:val="007752F1"/>
    <w:rsid w:val="00776768"/>
    <w:rsid w:val="00782D61"/>
    <w:rsid w:val="007874AF"/>
    <w:rsid w:val="00794818"/>
    <w:rsid w:val="007A2573"/>
    <w:rsid w:val="007A3B9C"/>
    <w:rsid w:val="007B106C"/>
    <w:rsid w:val="007B1A4E"/>
    <w:rsid w:val="007B3D05"/>
    <w:rsid w:val="007B5503"/>
    <w:rsid w:val="007B6122"/>
    <w:rsid w:val="007C6BB3"/>
    <w:rsid w:val="007D14B4"/>
    <w:rsid w:val="007D3AD7"/>
    <w:rsid w:val="007E24F6"/>
    <w:rsid w:val="007F15DF"/>
    <w:rsid w:val="00800F64"/>
    <w:rsid w:val="00802F0B"/>
    <w:rsid w:val="00810A67"/>
    <w:rsid w:val="008244A5"/>
    <w:rsid w:val="008310BB"/>
    <w:rsid w:val="008337F4"/>
    <w:rsid w:val="00833CF7"/>
    <w:rsid w:val="00840C16"/>
    <w:rsid w:val="00842D98"/>
    <w:rsid w:val="00845601"/>
    <w:rsid w:val="00852723"/>
    <w:rsid w:val="00852E19"/>
    <w:rsid w:val="00855C5C"/>
    <w:rsid w:val="0086233C"/>
    <w:rsid w:val="00864D1D"/>
    <w:rsid w:val="00865CFA"/>
    <w:rsid w:val="008870AC"/>
    <w:rsid w:val="008A3C96"/>
    <w:rsid w:val="008A756F"/>
    <w:rsid w:val="008B0BBA"/>
    <w:rsid w:val="008B4019"/>
    <w:rsid w:val="008B505F"/>
    <w:rsid w:val="008B65C9"/>
    <w:rsid w:val="008B71AF"/>
    <w:rsid w:val="008C2D4A"/>
    <w:rsid w:val="008C50B7"/>
    <w:rsid w:val="008C6A05"/>
    <w:rsid w:val="008C7DBB"/>
    <w:rsid w:val="008D033E"/>
    <w:rsid w:val="008D3900"/>
    <w:rsid w:val="008D6E1D"/>
    <w:rsid w:val="008E36FE"/>
    <w:rsid w:val="008F39B4"/>
    <w:rsid w:val="008F4162"/>
    <w:rsid w:val="009019CB"/>
    <w:rsid w:val="00901AA5"/>
    <w:rsid w:val="00903E02"/>
    <w:rsid w:val="00913175"/>
    <w:rsid w:val="00916EDB"/>
    <w:rsid w:val="00920861"/>
    <w:rsid w:val="00922B13"/>
    <w:rsid w:val="009242EF"/>
    <w:rsid w:val="00925236"/>
    <w:rsid w:val="00927CBF"/>
    <w:rsid w:val="00932291"/>
    <w:rsid w:val="0093408E"/>
    <w:rsid w:val="00947507"/>
    <w:rsid w:val="00952DDF"/>
    <w:rsid w:val="009812D4"/>
    <w:rsid w:val="009873F4"/>
    <w:rsid w:val="009920D8"/>
    <w:rsid w:val="009A371F"/>
    <w:rsid w:val="009B36B9"/>
    <w:rsid w:val="009B38BE"/>
    <w:rsid w:val="009B4B6E"/>
    <w:rsid w:val="009B7CB1"/>
    <w:rsid w:val="009C3D0F"/>
    <w:rsid w:val="009C6CFA"/>
    <w:rsid w:val="009D1D58"/>
    <w:rsid w:val="009E1B19"/>
    <w:rsid w:val="009E2BF4"/>
    <w:rsid w:val="009F1D44"/>
    <w:rsid w:val="009F35E2"/>
    <w:rsid w:val="009F65F9"/>
    <w:rsid w:val="009F68BA"/>
    <w:rsid w:val="009F6E64"/>
    <w:rsid w:val="00A06277"/>
    <w:rsid w:val="00A079DC"/>
    <w:rsid w:val="00A07A4D"/>
    <w:rsid w:val="00A111C2"/>
    <w:rsid w:val="00A17C39"/>
    <w:rsid w:val="00A20546"/>
    <w:rsid w:val="00A238AA"/>
    <w:rsid w:val="00A2638D"/>
    <w:rsid w:val="00A338E7"/>
    <w:rsid w:val="00A35CAA"/>
    <w:rsid w:val="00A36E7F"/>
    <w:rsid w:val="00A41E65"/>
    <w:rsid w:val="00A43E0A"/>
    <w:rsid w:val="00A530C7"/>
    <w:rsid w:val="00A55F5B"/>
    <w:rsid w:val="00A60185"/>
    <w:rsid w:val="00A661EA"/>
    <w:rsid w:val="00A70A6C"/>
    <w:rsid w:val="00A73D60"/>
    <w:rsid w:val="00A830E5"/>
    <w:rsid w:val="00A87135"/>
    <w:rsid w:val="00A93280"/>
    <w:rsid w:val="00A951EA"/>
    <w:rsid w:val="00A961A6"/>
    <w:rsid w:val="00A973E1"/>
    <w:rsid w:val="00AA1C65"/>
    <w:rsid w:val="00AA2548"/>
    <w:rsid w:val="00AA3B6E"/>
    <w:rsid w:val="00AA58C4"/>
    <w:rsid w:val="00AB11C8"/>
    <w:rsid w:val="00AC08A8"/>
    <w:rsid w:val="00AC14AB"/>
    <w:rsid w:val="00AC404E"/>
    <w:rsid w:val="00AD4328"/>
    <w:rsid w:val="00AD56C8"/>
    <w:rsid w:val="00AD58F2"/>
    <w:rsid w:val="00AF7648"/>
    <w:rsid w:val="00B0512A"/>
    <w:rsid w:val="00B0529F"/>
    <w:rsid w:val="00B05D52"/>
    <w:rsid w:val="00B1026D"/>
    <w:rsid w:val="00B1418B"/>
    <w:rsid w:val="00B14F8D"/>
    <w:rsid w:val="00B15A53"/>
    <w:rsid w:val="00B21195"/>
    <w:rsid w:val="00B24B22"/>
    <w:rsid w:val="00B25310"/>
    <w:rsid w:val="00B32F8F"/>
    <w:rsid w:val="00B47C42"/>
    <w:rsid w:val="00B510B1"/>
    <w:rsid w:val="00B54DE9"/>
    <w:rsid w:val="00B553EC"/>
    <w:rsid w:val="00B55870"/>
    <w:rsid w:val="00B55D6D"/>
    <w:rsid w:val="00B7023C"/>
    <w:rsid w:val="00B80D6D"/>
    <w:rsid w:val="00B8572C"/>
    <w:rsid w:val="00B91600"/>
    <w:rsid w:val="00B93DD0"/>
    <w:rsid w:val="00B97732"/>
    <w:rsid w:val="00B9796F"/>
    <w:rsid w:val="00BA459D"/>
    <w:rsid w:val="00BA641C"/>
    <w:rsid w:val="00BA65A8"/>
    <w:rsid w:val="00BA6D19"/>
    <w:rsid w:val="00BA7461"/>
    <w:rsid w:val="00BA7DA9"/>
    <w:rsid w:val="00BC4215"/>
    <w:rsid w:val="00BD0396"/>
    <w:rsid w:val="00BD1A6F"/>
    <w:rsid w:val="00BD528B"/>
    <w:rsid w:val="00BE6D3C"/>
    <w:rsid w:val="00BE7852"/>
    <w:rsid w:val="00BF7CEE"/>
    <w:rsid w:val="00C03880"/>
    <w:rsid w:val="00C135CF"/>
    <w:rsid w:val="00C14279"/>
    <w:rsid w:val="00C2213F"/>
    <w:rsid w:val="00C2683F"/>
    <w:rsid w:val="00C3184D"/>
    <w:rsid w:val="00C4714E"/>
    <w:rsid w:val="00C50941"/>
    <w:rsid w:val="00C5504F"/>
    <w:rsid w:val="00C55991"/>
    <w:rsid w:val="00C63376"/>
    <w:rsid w:val="00C66CB4"/>
    <w:rsid w:val="00C71525"/>
    <w:rsid w:val="00C74F97"/>
    <w:rsid w:val="00C76A08"/>
    <w:rsid w:val="00C8276E"/>
    <w:rsid w:val="00C83AD1"/>
    <w:rsid w:val="00C842AC"/>
    <w:rsid w:val="00C86E54"/>
    <w:rsid w:val="00C93FD9"/>
    <w:rsid w:val="00C94416"/>
    <w:rsid w:val="00C96688"/>
    <w:rsid w:val="00CA0723"/>
    <w:rsid w:val="00CA4542"/>
    <w:rsid w:val="00CB1690"/>
    <w:rsid w:val="00CC4365"/>
    <w:rsid w:val="00CD11B0"/>
    <w:rsid w:val="00CE71C2"/>
    <w:rsid w:val="00CF0C4B"/>
    <w:rsid w:val="00CF42D5"/>
    <w:rsid w:val="00CF4EDA"/>
    <w:rsid w:val="00D021CB"/>
    <w:rsid w:val="00D10F1A"/>
    <w:rsid w:val="00D116F8"/>
    <w:rsid w:val="00D17596"/>
    <w:rsid w:val="00D22640"/>
    <w:rsid w:val="00D26D3A"/>
    <w:rsid w:val="00D45C91"/>
    <w:rsid w:val="00D45EE3"/>
    <w:rsid w:val="00D50618"/>
    <w:rsid w:val="00D509E9"/>
    <w:rsid w:val="00D53B1C"/>
    <w:rsid w:val="00D652C8"/>
    <w:rsid w:val="00D83615"/>
    <w:rsid w:val="00D85B8C"/>
    <w:rsid w:val="00DA1B12"/>
    <w:rsid w:val="00DA54C9"/>
    <w:rsid w:val="00DA6739"/>
    <w:rsid w:val="00DA6CAE"/>
    <w:rsid w:val="00DB1A9E"/>
    <w:rsid w:val="00DB31D6"/>
    <w:rsid w:val="00DB4005"/>
    <w:rsid w:val="00DC34EB"/>
    <w:rsid w:val="00DE56D7"/>
    <w:rsid w:val="00DE7215"/>
    <w:rsid w:val="00DF1E5B"/>
    <w:rsid w:val="00DF2275"/>
    <w:rsid w:val="00DF3F5E"/>
    <w:rsid w:val="00DF5653"/>
    <w:rsid w:val="00E0596E"/>
    <w:rsid w:val="00E0664B"/>
    <w:rsid w:val="00E06F66"/>
    <w:rsid w:val="00E356E5"/>
    <w:rsid w:val="00E36F81"/>
    <w:rsid w:val="00E378A8"/>
    <w:rsid w:val="00E45765"/>
    <w:rsid w:val="00E5098C"/>
    <w:rsid w:val="00E51C68"/>
    <w:rsid w:val="00E57466"/>
    <w:rsid w:val="00E60213"/>
    <w:rsid w:val="00E661B2"/>
    <w:rsid w:val="00E74D29"/>
    <w:rsid w:val="00E77521"/>
    <w:rsid w:val="00E83C74"/>
    <w:rsid w:val="00E83CEE"/>
    <w:rsid w:val="00E91F18"/>
    <w:rsid w:val="00E9226D"/>
    <w:rsid w:val="00E9595F"/>
    <w:rsid w:val="00EA416C"/>
    <w:rsid w:val="00EA5941"/>
    <w:rsid w:val="00EB60CE"/>
    <w:rsid w:val="00EB7D53"/>
    <w:rsid w:val="00EC41F8"/>
    <w:rsid w:val="00EE3146"/>
    <w:rsid w:val="00EF50BB"/>
    <w:rsid w:val="00EF71E4"/>
    <w:rsid w:val="00F00192"/>
    <w:rsid w:val="00F01DF6"/>
    <w:rsid w:val="00F0340D"/>
    <w:rsid w:val="00F059A6"/>
    <w:rsid w:val="00F1254F"/>
    <w:rsid w:val="00F150F8"/>
    <w:rsid w:val="00F23756"/>
    <w:rsid w:val="00F2523A"/>
    <w:rsid w:val="00F25FFA"/>
    <w:rsid w:val="00F310D2"/>
    <w:rsid w:val="00F36F3D"/>
    <w:rsid w:val="00F36F68"/>
    <w:rsid w:val="00F45322"/>
    <w:rsid w:val="00F477BD"/>
    <w:rsid w:val="00F50333"/>
    <w:rsid w:val="00F53491"/>
    <w:rsid w:val="00F54656"/>
    <w:rsid w:val="00F60181"/>
    <w:rsid w:val="00F654FB"/>
    <w:rsid w:val="00F65A1C"/>
    <w:rsid w:val="00F66F50"/>
    <w:rsid w:val="00F72C55"/>
    <w:rsid w:val="00F77432"/>
    <w:rsid w:val="00F82FF8"/>
    <w:rsid w:val="00F8330D"/>
    <w:rsid w:val="00F84305"/>
    <w:rsid w:val="00F8485C"/>
    <w:rsid w:val="00F87149"/>
    <w:rsid w:val="00F87FFE"/>
    <w:rsid w:val="00F954C9"/>
    <w:rsid w:val="00FA4CF0"/>
    <w:rsid w:val="00FA61AA"/>
    <w:rsid w:val="00FA69A4"/>
    <w:rsid w:val="00FB1279"/>
    <w:rsid w:val="00FB1495"/>
    <w:rsid w:val="00FC13B7"/>
    <w:rsid w:val="00FC20F8"/>
    <w:rsid w:val="00FD1694"/>
    <w:rsid w:val="00FD4173"/>
    <w:rsid w:val="00FD7636"/>
    <w:rsid w:val="00FE3229"/>
    <w:rsid w:val="00FE74C3"/>
    <w:rsid w:val="00FF215C"/>
    <w:rsid w:val="00FF49E8"/>
    <w:rsid w:val="00FF672F"/>
    <w:rsid w:val="00FF771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526290566">
      <w:bodyDiv w:val="1"/>
      <w:marLeft w:val="0"/>
      <w:marRight w:val="0"/>
      <w:marTop w:val="0"/>
      <w:marBottom w:val="0"/>
      <w:divBdr>
        <w:top w:val="none" w:sz="0" w:space="0" w:color="auto"/>
        <w:left w:val="none" w:sz="0" w:space="0" w:color="auto"/>
        <w:bottom w:val="none" w:sz="0" w:space="0" w:color="auto"/>
        <w:right w:val="none" w:sz="0" w:space="0" w:color="auto"/>
      </w:divBdr>
    </w:div>
    <w:div w:id="16007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Boggabri Coal Mine Extension (2009/5256)</dc:title>
  <dc:creator/>
  <cp:lastModifiedBy/>
  <cp:revision>1</cp:revision>
  <dcterms:created xsi:type="dcterms:W3CDTF">2014-04-16T08:36:00Z</dcterms:created>
  <dcterms:modified xsi:type="dcterms:W3CDTF">2014-04-16T08:36:00Z</dcterms:modified>
</cp:coreProperties>
</file>