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82" w:rsidRDefault="00313582" w:rsidP="00313582">
      <w:pPr>
        <w:pStyle w:val="Header"/>
        <w:keepLines/>
        <w:tabs>
          <w:tab w:val="left" w:pos="2835"/>
        </w:tabs>
        <w:ind w:left="-360" w:right="706"/>
        <w:rPr>
          <w:rFonts w:ascii="Arial" w:hAnsi="Arial" w:cs="Arial"/>
          <w:b/>
          <w:sz w:val="16"/>
          <w:szCs w:val="16"/>
        </w:rPr>
      </w:pPr>
      <w:r w:rsidRPr="00BD64A6">
        <w:rPr>
          <w:rFonts w:ascii="Arial" w:hAnsi="Arial" w:cs="Arial"/>
          <w:b/>
          <w:noProof/>
          <w:lang w:eastAsia="en-AU"/>
        </w:rPr>
        <w:drawing>
          <wp:inline distT="0" distB="0" distL="0" distR="0">
            <wp:extent cx="2904998" cy="1143000"/>
            <wp:effectExtent l="19050" t="0" r="0" b="0"/>
            <wp:docPr id="1" name="Picture 7" descr="G:\Office of Water Science\COMMUNICATIONS\Templates\iIECS logo tag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Office of Water Science\COMMUNICATIONS\Templates\iIECS logo taglin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21" cy="114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82" w:rsidRPr="00FC6F7C" w:rsidRDefault="00313582" w:rsidP="00313582">
      <w:pPr>
        <w:pStyle w:val="Header"/>
        <w:keepLines/>
        <w:tabs>
          <w:tab w:val="left" w:pos="2835"/>
        </w:tabs>
        <w:ind w:left="-360" w:right="706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4A442A" w:themeColor="background2" w:themeShade="40"/>
          <w:left w:val="none" w:sz="0" w:space="0" w:color="auto"/>
          <w:bottom w:val="single" w:sz="24" w:space="0" w:color="00B0F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/>
      </w:tblPr>
      <w:tblGrid>
        <w:gridCol w:w="9848"/>
      </w:tblGrid>
      <w:tr w:rsidR="00313582" w:rsidRPr="00B612DD" w:rsidTr="00542B24">
        <w:trPr>
          <w:cnfStyle w:val="100000000000"/>
          <w:trHeight w:val="35"/>
        </w:trPr>
        <w:tc>
          <w:tcPr>
            <w:tcW w:w="9848" w:type="dxa"/>
            <w:shd w:val="clear" w:color="auto" w:fill="00B0F0"/>
          </w:tcPr>
          <w:p w:rsidR="00313582" w:rsidRPr="00B612DD" w:rsidRDefault="00313582" w:rsidP="00313582">
            <w:pPr>
              <w:pStyle w:val="Header"/>
              <w:keepLines/>
              <w:tabs>
                <w:tab w:val="left" w:pos="2835"/>
              </w:tabs>
              <w:ind w:right="706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460CC8" w:rsidRDefault="00460CC8" w:rsidP="00313582">
      <w:pPr>
        <w:pStyle w:val="Header"/>
        <w:keepLines/>
        <w:tabs>
          <w:tab w:val="left" w:pos="2835"/>
        </w:tabs>
        <w:ind w:left="-360" w:right="706"/>
        <w:rPr>
          <w:rFonts w:ascii="Arial" w:hAnsi="Arial" w:cs="Arial"/>
          <w:b/>
        </w:rPr>
      </w:pPr>
    </w:p>
    <w:p w:rsidR="00BD64A6" w:rsidRDefault="00BD64A6" w:rsidP="00313582">
      <w:pPr>
        <w:pStyle w:val="Header"/>
        <w:keepLines/>
        <w:tabs>
          <w:tab w:val="left" w:pos="2835"/>
        </w:tabs>
        <w:ind w:left="-360" w:right="706"/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t>Advice to decision maker on coal seam gas project</w:t>
      </w:r>
    </w:p>
    <w:bookmarkEnd w:id="0"/>
    <w:bookmarkEnd w:id="1"/>
    <w:p w:rsidR="00BD64A6" w:rsidRDefault="00BD64A6" w:rsidP="00313582">
      <w:pPr>
        <w:pStyle w:val="Header"/>
        <w:keepLines/>
        <w:tabs>
          <w:tab w:val="left" w:pos="2835"/>
        </w:tabs>
        <w:ind w:left="-360" w:right="706"/>
        <w:jc w:val="center"/>
        <w:rPr>
          <w:rFonts w:ascii="Arial" w:hAnsi="Arial" w:cs="Arial"/>
          <w:b/>
        </w:rPr>
      </w:pPr>
    </w:p>
    <w:tbl>
      <w:tblPr>
        <w:tblW w:w="10456" w:type="dxa"/>
        <w:tblBorders>
          <w:insideH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/>
      </w:tblPr>
      <w:tblGrid>
        <w:gridCol w:w="2235"/>
        <w:gridCol w:w="343"/>
        <w:gridCol w:w="7535"/>
        <w:gridCol w:w="343"/>
      </w:tblGrid>
      <w:tr w:rsidR="00BD64A6" w:rsidRPr="00B451D3" w:rsidTr="00D45B0B">
        <w:trPr>
          <w:gridAfter w:val="1"/>
          <w:wAfter w:w="343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BD64A6" w:rsidRPr="00B451D3" w:rsidRDefault="00BD64A6" w:rsidP="00313582">
            <w:pPr>
              <w:pStyle w:val="tablelabel"/>
              <w:spacing w:line="276" w:lineRule="auto"/>
              <w:ind w:right="706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</w:rPr>
              <w:t>Requesting agency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6" w:rsidRPr="00B451D3" w:rsidRDefault="00BD64A6" w:rsidP="00D45B0B">
            <w:pPr>
              <w:spacing w:line="276" w:lineRule="auto"/>
              <w:ind w:left="-108" w:right="7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of Sustainability, Environment, Water, Population &amp; Communities</w:t>
            </w:r>
          </w:p>
        </w:tc>
      </w:tr>
      <w:tr w:rsidR="00BD64A6" w:rsidRPr="00B451D3" w:rsidTr="00D45B0B">
        <w:trPr>
          <w:gridAfter w:val="1"/>
          <w:wAfter w:w="343" w:type="dxa"/>
          <w:trHeight w:val="57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BD64A6" w:rsidRDefault="00BD64A6" w:rsidP="00313582">
            <w:pPr>
              <w:pStyle w:val="tablelabel"/>
              <w:ind w:right="70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request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6" w:rsidRPr="00B451D3" w:rsidRDefault="00702E7C" w:rsidP="00D45B0B">
            <w:pPr>
              <w:spacing w:after="240"/>
              <w:ind w:right="7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March 2012</w:t>
            </w:r>
          </w:p>
        </w:tc>
      </w:tr>
      <w:tr w:rsidR="00BD64A6" w:rsidRPr="00B451D3" w:rsidTr="00D45B0B">
        <w:trPr>
          <w:gridAfter w:val="1"/>
          <w:wAfter w:w="343" w:type="dxa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BD64A6" w:rsidRPr="00B451D3" w:rsidRDefault="00BD64A6" w:rsidP="00313582">
            <w:pPr>
              <w:pStyle w:val="tablelabel"/>
              <w:ind w:right="706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 xml:space="preserve">Project title: 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451" w:rsidRPr="00365451" w:rsidRDefault="00365451" w:rsidP="00D45B0B">
            <w:pPr>
              <w:ind w:left="-108" w:right="7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Apex Illawarra</w:t>
            </w:r>
            <w:r w:rsidR="00702E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5451">
              <w:rPr>
                <w:rFonts w:ascii="Arial" w:hAnsi="Arial" w:cs="Arial"/>
                <w:sz w:val="20"/>
                <w:szCs w:val="20"/>
              </w:rPr>
              <w:t>Coal Seam Gas Exploration Drilling and Gas Monitoring Prog</w:t>
            </w:r>
            <w:r>
              <w:rPr>
                <w:rFonts w:ascii="Arial" w:hAnsi="Arial" w:cs="Arial"/>
                <w:sz w:val="20"/>
                <w:szCs w:val="20"/>
              </w:rPr>
              <w:t>ram, Southern Sydney Basin, NSW</w:t>
            </w:r>
          </w:p>
          <w:p w:rsidR="00BD64A6" w:rsidRPr="00B451D3" w:rsidRDefault="00BD64A6" w:rsidP="00D45B0B">
            <w:pPr>
              <w:ind w:left="-108" w:right="706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BD64A6" w:rsidRPr="00B451D3" w:rsidTr="00D45B0B">
        <w:trPr>
          <w:gridAfter w:val="1"/>
          <w:wAfter w:w="343" w:type="dxa"/>
          <w:trHeight w:val="28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BD64A6" w:rsidRPr="00B451D3" w:rsidRDefault="00BD64A6" w:rsidP="00313582">
            <w:pPr>
              <w:pStyle w:val="tablelabel"/>
              <w:ind w:right="70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Summary of request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451" w:rsidRDefault="0016322D" w:rsidP="00D45B0B">
            <w:pPr>
              <w:pStyle w:val="Header"/>
              <w:keepLines/>
              <w:tabs>
                <w:tab w:val="clear" w:pos="9026"/>
                <w:tab w:val="left" w:pos="2835"/>
                <w:tab w:val="right" w:pos="8113"/>
              </w:tabs>
              <w:ind w:left="-108" w:righ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proponent is seeking approval under the </w:t>
            </w:r>
            <w:r w:rsidRPr="0016322D">
              <w:rPr>
                <w:rFonts w:ascii="Arial" w:hAnsi="Arial" w:cs="Arial"/>
                <w:i/>
                <w:sz w:val="20"/>
                <w:szCs w:val="20"/>
              </w:rPr>
              <w:t>Environment Protection and Biodiversity Conservation Act 1999</w:t>
            </w:r>
            <w:r>
              <w:rPr>
                <w:rFonts w:ascii="Arial" w:hAnsi="Arial" w:cs="Arial"/>
                <w:sz w:val="20"/>
                <w:szCs w:val="20"/>
              </w:rPr>
              <w:t xml:space="preserve"> to drill </w:t>
            </w:r>
            <w:r w:rsidR="00365451" w:rsidRPr="00365451">
              <w:rPr>
                <w:rFonts w:ascii="Arial" w:hAnsi="Arial" w:cs="Arial"/>
                <w:sz w:val="20"/>
                <w:szCs w:val="20"/>
              </w:rPr>
              <w:t>16 borehole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65451" w:rsidRPr="003654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for the purpose of coal seam gas exploration </w:t>
            </w:r>
            <w:r w:rsidR="00365451" w:rsidRPr="00365451">
              <w:rPr>
                <w:rFonts w:ascii="Arial" w:hAnsi="Arial" w:cs="Arial"/>
                <w:sz w:val="20"/>
                <w:szCs w:val="20"/>
              </w:rPr>
              <w:t>within the Wollongong L</w:t>
            </w:r>
            <w:r w:rsidR="00702E7C">
              <w:rPr>
                <w:rFonts w:ascii="Arial" w:hAnsi="Arial" w:cs="Arial"/>
                <w:sz w:val="20"/>
                <w:szCs w:val="20"/>
              </w:rPr>
              <w:t xml:space="preserve">ocal </w:t>
            </w:r>
            <w:r w:rsidR="00365451" w:rsidRPr="00365451">
              <w:rPr>
                <w:rFonts w:ascii="Arial" w:hAnsi="Arial" w:cs="Arial"/>
                <w:sz w:val="20"/>
                <w:szCs w:val="20"/>
              </w:rPr>
              <w:t>G</w:t>
            </w:r>
            <w:r w:rsidR="00702E7C">
              <w:rPr>
                <w:rFonts w:ascii="Arial" w:hAnsi="Arial" w:cs="Arial"/>
                <w:sz w:val="20"/>
                <w:szCs w:val="20"/>
              </w:rPr>
              <w:t xml:space="preserve">overnment </w:t>
            </w:r>
            <w:r w:rsidR="00365451" w:rsidRPr="00365451">
              <w:rPr>
                <w:rFonts w:ascii="Arial" w:hAnsi="Arial" w:cs="Arial"/>
                <w:sz w:val="20"/>
                <w:szCs w:val="20"/>
              </w:rPr>
              <w:t>A</w:t>
            </w:r>
            <w:r w:rsidR="00702E7C">
              <w:rPr>
                <w:rFonts w:ascii="Arial" w:hAnsi="Arial" w:cs="Arial"/>
                <w:sz w:val="20"/>
                <w:szCs w:val="20"/>
              </w:rPr>
              <w:t>rea of the southern Sydney b</w:t>
            </w:r>
            <w:r w:rsidR="00365451" w:rsidRPr="00365451">
              <w:rPr>
                <w:rFonts w:ascii="Arial" w:hAnsi="Arial" w:cs="Arial"/>
                <w:sz w:val="20"/>
                <w:szCs w:val="20"/>
              </w:rPr>
              <w:t xml:space="preserve">asin. The </w:t>
            </w:r>
            <w:r w:rsidR="00702E7C">
              <w:rPr>
                <w:rFonts w:ascii="Arial" w:hAnsi="Arial" w:cs="Arial"/>
                <w:sz w:val="20"/>
                <w:szCs w:val="20"/>
              </w:rPr>
              <w:t>study a</w:t>
            </w:r>
            <w:r w:rsidR="00365451" w:rsidRPr="00365451">
              <w:rPr>
                <w:rFonts w:ascii="Arial" w:hAnsi="Arial" w:cs="Arial"/>
                <w:sz w:val="20"/>
                <w:szCs w:val="20"/>
              </w:rPr>
              <w:t xml:space="preserve">rea occurs above the escarpment and extends from west of Stanwell Park in the north to west of Coledale in the south, primarily around the Darkes Forest region. </w:t>
            </w:r>
          </w:p>
          <w:p w:rsidR="00365451" w:rsidRPr="00365451" w:rsidRDefault="00365451" w:rsidP="00D45B0B">
            <w:pPr>
              <w:pStyle w:val="Header"/>
              <w:keepLines/>
              <w:tabs>
                <w:tab w:val="left" w:pos="2835"/>
              </w:tabs>
              <w:ind w:left="-108" w:right="317"/>
              <w:rPr>
                <w:rFonts w:ascii="Arial" w:hAnsi="Arial" w:cs="Arial"/>
                <w:sz w:val="20"/>
                <w:szCs w:val="20"/>
              </w:rPr>
            </w:pPr>
          </w:p>
          <w:p w:rsidR="00365451" w:rsidRPr="00615783" w:rsidRDefault="00BD64A6" w:rsidP="00D45B0B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-108" w:righ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Department of Sustainability, Environment, Water, Population &amp; Communities (the </w:t>
            </w:r>
            <w:r w:rsidR="007A0C2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epartment) has </w:t>
            </w:r>
            <w:r w:rsidR="00365451" w:rsidRPr="00365451">
              <w:rPr>
                <w:rFonts w:ascii="Arial" w:hAnsi="Arial" w:cs="Arial"/>
                <w:sz w:val="20"/>
                <w:szCs w:val="20"/>
              </w:rPr>
              <w:t xml:space="preserve">requested </w:t>
            </w:r>
            <w:r w:rsidR="007A0C2F">
              <w:rPr>
                <w:rFonts w:ascii="Arial" w:hAnsi="Arial" w:cs="Arial"/>
                <w:sz w:val="20"/>
                <w:szCs w:val="20"/>
              </w:rPr>
              <w:t xml:space="preserve">the Interim Independent Expert Scientific Committee on Coal Seam Gas and Coal Mining (the interim committee) </w:t>
            </w:r>
            <w:r w:rsidR="00615783">
              <w:rPr>
                <w:rFonts w:ascii="Arial" w:hAnsi="Arial" w:cs="Arial"/>
                <w:sz w:val="20"/>
                <w:szCs w:val="20"/>
              </w:rPr>
              <w:t xml:space="preserve">to provide advice on </w:t>
            </w:r>
            <w:r w:rsidR="00365451" w:rsidRPr="00365451">
              <w:rPr>
                <w:rFonts w:ascii="Arial" w:hAnsi="Arial" w:cs="Arial"/>
                <w:sz w:val="20"/>
                <w:szCs w:val="20"/>
              </w:rPr>
              <w:t xml:space="preserve">whether the proposed action, if </w:t>
            </w:r>
            <w:r w:rsidR="00365451" w:rsidRPr="00615783">
              <w:rPr>
                <w:rFonts w:ascii="Arial" w:hAnsi="Arial" w:cs="Arial"/>
                <w:sz w:val="20"/>
                <w:szCs w:val="20"/>
              </w:rPr>
              <w:t>undertaken in accordance with the N</w:t>
            </w:r>
            <w:r w:rsidR="007A0C2F">
              <w:rPr>
                <w:rFonts w:ascii="Arial" w:hAnsi="Arial" w:cs="Arial"/>
                <w:sz w:val="20"/>
                <w:szCs w:val="20"/>
              </w:rPr>
              <w:t xml:space="preserve">ew </w:t>
            </w:r>
            <w:r w:rsidR="00365451" w:rsidRPr="00615783">
              <w:rPr>
                <w:rFonts w:ascii="Arial" w:hAnsi="Arial" w:cs="Arial"/>
                <w:sz w:val="20"/>
                <w:szCs w:val="20"/>
              </w:rPr>
              <w:t>S</w:t>
            </w:r>
            <w:r w:rsidR="007A0C2F">
              <w:rPr>
                <w:rFonts w:ascii="Arial" w:hAnsi="Arial" w:cs="Arial"/>
                <w:sz w:val="20"/>
                <w:szCs w:val="20"/>
              </w:rPr>
              <w:t xml:space="preserve">outh </w:t>
            </w:r>
            <w:r w:rsidR="00365451" w:rsidRPr="00615783">
              <w:rPr>
                <w:rFonts w:ascii="Arial" w:hAnsi="Arial" w:cs="Arial"/>
                <w:sz w:val="20"/>
                <w:szCs w:val="20"/>
              </w:rPr>
              <w:t>W</w:t>
            </w:r>
            <w:r w:rsidR="007A0C2F">
              <w:rPr>
                <w:rFonts w:ascii="Arial" w:hAnsi="Arial" w:cs="Arial"/>
                <w:sz w:val="20"/>
                <w:szCs w:val="20"/>
              </w:rPr>
              <w:t>ales</w:t>
            </w:r>
            <w:r w:rsidR="00365451" w:rsidRPr="00615783">
              <w:rPr>
                <w:rFonts w:ascii="Arial" w:hAnsi="Arial" w:cs="Arial"/>
                <w:sz w:val="20"/>
                <w:szCs w:val="20"/>
              </w:rPr>
              <w:t xml:space="preserve"> Government approval conditions will sufficiently reduce</w:t>
            </w:r>
            <w:r w:rsidR="001632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0C2F">
              <w:rPr>
                <w:rFonts w:ascii="Arial" w:hAnsi="Arial" w:cs="Arial"/>
                <w:sz w:val="20"/>
                <w:szCs w:val="20"/>
              </w:rPr>
              <w:t>water-</w:t>
            </w:r>
            <w:r w:rsidR="00365451" w:rsidRPr="00615783">
              <w:rPr>
                <w:rFonts w:ascii="Arial" w:hAnsi="Arial" w:cs="Arial"/>
                <w:sz w:val="20"/>
                <w:szCs w:val="20"/>
              </w:rPr>
              <w:t xml:space="preserve">related impacts on matters of national environmental significance, specifically  the vulnerable plant species </w:t>
            </w:r>
            <w:proofErr w:type="spellStart"/>
            <w:r w:rsidR="00365451" w:rsidRPr="00615783">
              <w:rPr>
                <w:rFonts w:ascii="Arial" w:hAnsi="Arial" w:cs="Arial"/>
                <w:i/>
                <w:sz w:val="20"/>
                <w:szCs w:val="20"/>
              </w:rPr>
              <w:t>Pultenaea</w:t>
            </w:r>
            <w:proofErr w:type="spellEnd"/>
            <w:r w:rsidR="00365451" w:rsidRPr="0061578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65451" w:rsidRPr="00615783">
              <w:rPr>
                <w:rFonts w:ascii="Arial" w:hAnsi="Arial" w:cs="Arial"/>
                <w:i/>
                <w:sz w:val="20"/>
                <w:szCs w:val="20"/>
              </w:rPr>
              <w:t>aristata</w:t>
            </w:r>
            <w:proofErr w:type="spellEnd"/>
            <w:r w:rsidR="00365451" w:rsidRPr="00615783">
              <w:rPr>
                <w:rFonts w:ascii="Arial" w:hAnsi="Arial" w:cs="Arial"/>
                <w:sz w:val="20"/>
                <w:szCs w:val="20"/>
              </w:rPr>
              <w:t xml:space="preserve"> (Prickly Bush Pea).</w:t>
            </w:r>
          </w:p>
          <w:p w:rsidR="00BD64A6" w:rsidRPr="007A6E89" w:rsidRDefault="00BD64A6" w:rsidP="00D45B0B">
            <w:pPr>
              <w:tabs>
                <w:tab w:val="left" w:pos="425"/>
              </w:tabs>
              <w:spacing w:before="240" w:after="120"/>
              <w:ind w:left="-108" w:right="317"/>
              <w:rPr>
                <w:rFonts w:ascii="Arial" w:hAnsi="Arial" w:cs="Arial"/>
                <w:sz w:val="22"/>
                <w:szCs w:val="22"/>
              </w:rPr>
            </w:pPr>
            <w:r w:rsidRPr="00615783">
              <w:rPr>
                <w:rFonts w:ascii="Arial" w:hAnsi="Arial" w:cs="Arial"/>
                <w:sz w:val="20"/>
                <w:szCs w:val="20"/>
              </w:rPr>
              <w:t>As a final decision</w:t>
            </w:r>
            <w:r>
              <w:rPr>
                <w:rFonts w:ascii="Arial" w:hAnsi="Arial" w:cs="Arial"/>
                <w:sz w:val="20"/>
                <w:szCs w:val="20"/>
              </w:rPr>
              <w:t xml:space="preserve"> on the proposed action</w:t>
            </w:r>
            <w:bookmarkStart w:id="2" w:name="_GoBack"/>
            <w:bookmarkEnd w:id="2"/>
            <w:r w:rsidR="00365451">
              <w:rPr>
                <w:rFonts w:ascii="Arial" w:hAnsi="Arial" w:cs="Arial"/>
                <w:sz w:val="20"/>
                <w:szCs w:val="20"/>
              </w:rPr>
              <w:t xml:space="preserve"> is due as soon as possible</w:t>
            </w:r>
            <w:r w:rsidR="007A0C2F">
              <w:rPr>
                <w:rFonts w:ascii="Arial" w:hAnsi="Arial" w:cs="Arial"/>
                <w:sz w:val="20"/>
                <w:szCs w:val="20"/>
              </w:rPr>
              <w:t>, the interim c</w:t>
            </w:r>
            <w:r>
              <w:rPr>
                <w:rFonts w:ascii="Arial" w:hAnsi="Arial" w:cs="Arial"/>
                <w:sz w:val="20"/>
                <w:szCs w:val="20"/>
              </w:rPr>
              <w:t>ommittee was requested to provide its urgent advice as soon as possible to minimise the period this decision may be late.</w:t>
            </w:r>
          </w:p>
        </w:tc>
      </w:tr>
      <w:tr w:rsidR="00BD64A6" w:rsidRPr="0016322D" w:rsidTr="00D45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64A6" w:rsidRPr="0016322D" w:rsidRDefault="00BD64A6" w:rsidP="00313582">
            <w:pPr>
              <w:ind w:right="706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D64A6" w:rsidRPr="0016322D" w:rsidRDefault="00BD64A6" w:rsidP="00D45B0B">
            <w:pPr>
              <w:spacing w:after="240"/>
              <w:ind w:right="317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16322D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Advice</w:t>
            </w:r>
          </w:p>
          <w:p w:rsidR="00702E7C" w:rsidRPr="0016322D" w:rsidRDefault="00BD64A6" w:rsidP="00D45B0B">
            <w:pPr>
              <w:pStyle w:val="ListBullet"/>
              <w:numPr>
                <w:ilvl w:val="0"/>
                <w:numId w:val="6"/>
              </w:numPr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16322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A0C2F">
              <w:rPr>
                <w:rFonts w:ascii="Arial" w:hAnsi="Arial" w:cs="Arial"/>
                <w:sz w:val="20"/>
                <w:szCs w:val="20"/>
              </w:rPr>
              <w:t>interim c</w:t>
            </w:r>
            <w:r w:rsidRPr="0016322D">
              <w:rPr>
                <w:rFonts w:ascii="Arial" w:hAnsi="Arial" w:cs="Arial"/>
                <w:sz w:val="20"/>
                <w:szCs w:val="20"/>
              </w:rPr>
              <w:t>ommittee notes that</w:t>
            </w:r>
            <w:r w:rsidR="002D5910" w:rsidRPr="0016322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702E7C" w:rsidRPr="0016322D">
              <w:rPr>
                <w:rFonts w:ascii="Arial" w:hAnsi="Arial" w:cs="Arial"/>
                <w:sz w:val="20"/>
                <w:szCs w:val="20"/>
              </w:rPr>
              <w:t xml:space="preserve">lthough not specifically designed to address water impacts on the </w:t>
            </w:r>
            <w:r w:rsidR="009647CF" w:rsidRPr="0016322D">
              <w:rPr>
                <w:rFonts w:ascii="Arial" w:hAnsi="Arial" w:cs="Arial"/>
                <w:sz w:val="20"/>
                <w:szCs w:val="20"/>
              </w:rPr>
              <w:t xml:space="preserve">nationally vulnerable plant species </w:t>
            </w:r>
            <w:proofErr w:type="spellStart"/>
            <w:r w:rsidR="009647CF" w:rsidRPr="0016322D">
              <w:rPr>
                <w:rFonts w:ascii="Arial" w:hAnsi="Arial" w:cs="Arial"/>
                <w:i/>
                <w:sz w:val="20"/>
                <w:szCs w:val="20"/>
              </w:rPr>
              <w:t>Pultenaea</w:t>
            </w:r>
            <w:proofErr w:type="spellEnd"/>
            <w:r w:rsidR="009647CF" w:rsidRPr="0016322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647CF" w:rsidRPr="0016322D">
              <w:rPr>
                <w:rFonts w:ascii="Arial" w:hAnsi="Arial" w:cs="Arial"/>
                <w:i/>
                <w:sz w:val="20"/>
                <w:szCs w:val="20"/>
              </w:rPr>
              <w:t>aristata</w:t>
            </w:r>
            <w:proofErr w:type="spellEnd"/>
            <w:r w:rsidR="009647CF" w:rsidRPr="0016322D">
              <w:rPr>
                <w:rFonts w:ascii="Arial" w:hAnsi="Arial" w:cs="Arial"/>
                <w:sz w:val="20"/>
                <w:szCs w:val="20"/>
              </w:rPr>
              <w:t xml:space="preserve"> (Prickly Bush Pea),</w:t>
            </w:r>
            <w:r w:rsidR="00702E7C" w:rsidRPr="0016322D">
              <w:rPr>
                <w:rFonts w:ascii="Arial" w:hAnsi="Arial" w:cs="Arial"/>
                <w:sz w:val="20"/>
                <w:szCs w:val="20"/>
              </w:rPr>
              <w:t xml:space="preserve"> the N</w:t>
            </w:r>
            <w:r w:rsidR="009647CF" w:rsidRPr="0016322D">
              <w:rPr>
                <w:rFonts w:ascii="Arial" w:hAnsi="Arial" w:cs="Arial"/>
                <w:sz w:val="20"/>
                <w:szCs w:val="20"/>
              </w:rPr>
              <w:t xml:space="preserve">ew </w:t>
            </w:r>
            <w:r w:rsidR="00702E7C" w:rsidRPr="0016322D">
              <w:rPr>
                <w:rFonts w:ascii="Arial" w:hAnsi="Arial" w:cs="Arial"/>
                <w:sz w:val="20"/>
                <w:szCs w:val="20"/>
              </w:rPr>
              <w:t>S</w:t>
            </w:r>
            <w:r w:rsidR="009647CF" w:rsidRPr="0016322D">
              <w:rPr>
                <w:rFonts w:ascii="Arial" w:hAnsi="Arial" w:cs="Arial"/>
                <w:sz w:val="20"/>
                <w:szCs w:val="20"/>
              </w:rPr>
              <w:t xml:space="preserve">outh </w:t>
            </w:r>
            <w:r w:rsidR="00702E7C" w:rsidRPr="0016322D">
              <w:rPr>
                <w:rFonts w:ascii="Arial" w:hAnsi="Arial" w:cs="Arial"/>
                <w:sz w:val="20"/>
                <w:szCs w:val="20"/>
              </w:rPr>
              <w:t>W</w:t>
            </w:r>
            <w:r w:rsidR="009647CF" w:rsidRPr="0016322D">
              <w:rPr>
                <w:rFonts w:ascii="Arial" w:hAnsi="Arial" w:cs="Arial"/>
                <w:sz w:val="20"/>
                <w:szCs w:val="20"/>
              </w:rPr>
              <w:t>ales</w:t>
            </w:r>
            <w:r w:rsidR="00702E7C" w:rsidRPr="0016322D">
              <w:rPr>
                <w:rFonts w:ascii="Arial" w:hAnsi="Arial" w:cs="Arial"/>
                <w:sz w:val="20"/>
                <w:szCs w:val="20"/>
              </w:rPr>
              <w:t xml:space="preserve"> Government</w:t>
            </w:r>
            <w:r w:rsidR="009647CF" w:rsidRPr="0016322D">
              <w:rPr>
                <w:rFonts w:ascii="Arial" w:hAnsi="Arial" w:cs="Arial"/>
                <w:sz w:val="20"/>
                <w:szCs w:val="20"/>
              </w:rPr>
              <w:t>’s</w:t>
            </w:r>
            <w:r w:rsidR="00702E7C" w:rsidRPr="0016322D">
              <w:rPr>
                <w:rFonts w:ascii="Arial" w:hAnsi="Arial" w:cs="Arial"/>
                <w:sz w:val="20"/>
                <w:szCs w:val="20"/>
              </w:rPr>
              <w:t xml:space="preserve"> approval conditions require the proponent to implement a number of general measures to protect the species during construction and operation of the </w:t>
            </w:r>
            <w:r w:rsidR="009647CF" w:rsidRPr="0016322D">
              <w:rPr>
                <w:rFonts w:ascii="Arial" w:hAnsi="Arial" w:cs="Arial"/>
                <w:sz w:val="20"/>
                <w:szCs w:val="20"/>
              </w:rPr>
              <w:t xml:space="preserve">No. 16 exploration </w:t>
            </w:r>
            <w:r w:rsidR="00702E7C" w:rsidRPr="0016322D">
              <w:rPr>
                <w:rFonts w:ascii="Arial" w:hAnsi="Arial" w:cs="Arial"/>
                <w:sz w:val="20"/>
                <w:szCs w:val="20"/>
              </w:rPr>
              <w:t>drill hole</w:t>
            </w:r>
            <w:r w:rsidR="007A0C2F">
              <w:rPr>
                <w:rFonts w:ascii="Arial" w:hAnsi="Arial" w:cs="Arial"/>
                <w:sz w:val="20"/>
                <w:szCs w:val="20"/>
              </w:rPr>
              <w:t>. These general measures include</w:t>
            </w:r>
            <w:r w:rsidR="00702E7C" w:rsidRPr="0016322D">
              <w:rPr>
                <w:rFonts w:ascii="Arial" w:hAnsi="Arial" w:cs="Arial"/>
                <w:sz w:val="20"/>
                <w:szCs w:val="20"/>
              </w:rPr>
              <w:t xml:space="preserve"> ‘avoiding all impacts on the species’ and having a ‘suitably qualified expert on site during construction and preparation of the drill hole site’ to </w:t>
            </w:r>
            <w:proofErr w:type="gramStart"/>
            <w:r w:rsidR="00702E7C" w:rsidRPr="0016322D">
              <w:rPr>
                <w:rFonts w:ascii="Arial" w:hAnsi="Arial" w:cs="Arial"/>
                <w:sz w:val="20"/>
                <w:szCs w:val="20"/>
              </w:rPr>
              <w:t>advise</w:t>
            </w:r>
            <w:proofErr w:type="gramEnd"/>
            <w:r w:rsidR="00702E7C" w:rsidRPr="0016322D">
              <w:rPr>
                <w:rFonts w:ascii="Arial" w:hAnsi="Arial" w:cs="Arial"/>
                <w:sz w:val="20"/>
                <w:szCs w:val="20"/>
              </w:rPr>
              <w:t xml:space="preserve"> on ways to minimise impact to the plant. </w:t>
            </w:r>
          </w:p>
          <w:p w:rsidR="00702E7C" w:rsidRPr="0016322D" w:rsidRDefault="00702E7C" w:rsidP="00D45B0B">
            <w:pPr>
              <w:autoSpaceDE w:val="0"/>
              <w:autoSpaceDN w:val="0"/>
              <w:adjustRightInd w:val="0"/>
              <w:ind w:right="317"/>
              <w:rPr>
                <w:rFonts w:ascii="Arial" w:hAnsi="Arial" w:cs="Arial"/>
                <w:sz w:val="20"/>
                <w:szCs w:val="20"/>
              </w:rPr>
            </w:pPr>
          </w:p>
          <w:p w:rsidR="00702E7C" w:rsidRPr="0016322D" w:rsidRDefault="002D5910" w:rsidP="00D45B0B">
            <w:pPr>
              <w:pStyle w:val="ListBullet"/>
              <w:numPr>
                <w:ilvl w:val="0"/>
                <w:numId w:val="6"/>
              </w:numPr>
              <w:ind w:right="317"/>
              <w:rPr>
                <w:rFonts w:ascii="Arial" w:hAnsi="Arial" w:cs="Arial"/>
                <w:sz w:val="20"/>
                <w:szCs w:val="20"/>
              </w:rPr>
            </w:pPr>
            <w:r w:rsidRPr="0016322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A0C2F">
              <w:rPr>
                <w:rFonts w:ascii="Arial" w:hAnsi="Arial" w:cs="Arial"/>
                <w:sz w:val="20"/>
                <w:szCs w:val="20"/>
              </w:rPr>
              <w:t>interim c</w:t>
            </w:r>
            <w:r w:rsidRPr="0016322D">
              <w:rPr>
                <w:rFonts w:ascii="Arial" w:hAnsi="Arial" w:cs="Arial"/>
                <w:sz w:val="20"/>
                <w:szCs w:val="20"/>
              </w:rPr>
              <w:t>ommittee further noted that i</w:t>
            </w:r>
            <w:r w:rsidR="00702E7C" w:rsidRPr="0016322D">
              <w:rPr>
                <w:rFonts w:ascii="Arial" w:hAnsi="Arial" w:cs="Arial"/>
                <w:sz w:val="20"/>
                <w:szCs w:val="20"/>
              </w:rPr>
              <w:t>n the</w:t>
            </w:r>
            <w:r w:rsidR="00B435FE" w:rsidRPr="0016322D">
              <w:rPr>
                <w:rFonts w:ascii="Arial" w:hAnsi="Arial" w:cs="Arial"/>
                <w:sz w:val="20"/>
                <w:szCs w:val="20"/>
              </w:rPr>
              <w:t>ir</w:t>
            </w:r>
            <w:r w:rsidR="00702E7C" w:rsidRPr="0016322D">
              <w:rPr>
                <w:rFonts w:ascii="Arial" w:hAnsi="Arial" w:cs="Arial"/>
                <w:sz w:val="20"/>
                <w:szCs w:val="20"/>
              </w:rPr>
              <w:t xml:space="preserve"> Vegetation Clearing and Rehabilitation Management Plan, Apex have</w:t>
            </w:r>
            <w:r w:rsidR="00615783" w:rsidRPr="0016322D">
              <w:rPr>
                <w:rFonts w:ascii="Arial" w:hAnsi="Arial" w:cs="Arial"/>
                <w:sz w:val="20"/>
                <w:szCs w:val="20"/>
              </w:rPr>
              <w:t xml:space="preserve"> agreed </w:t>
            </w:r>
            <w:r w:rsidR="00B435FE" w:rsidRPr="0016322D"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="00615783" w:rsidRPr="0016322D">
              <w:rPr>
                <w:rFonts w:ascii="Arial" w:hAnsi="Arial" w:cs="Arial"/>
                <w:sz w:val="20"/>
                <w:szCs w:val="20"/>
              </w:rPr>
              <w:t>to employ a botanist to oversee construction and preparation of the drill hole site</w:t>
            </w:r>
            <w:r w:rsidRPr="0016322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A0C2F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16322D">
              <w:rPr>
                <w:rFonts w:ascii="Arial" w:hAnsi="Arial" w:cs="Arial"/>
                <w:sz w:val="20"/>
                <w:szCs w:val="20"/>
              </w:rPr>
              <w:t xml:space="preserve">to remove </w:t>
            </w:r>
            <w:r w:rsidR="00B435FE" w:rsidRPr="0016322D">
              <w:rPr>
                <w:rFonts w:ascii="Arial" w:hAnsi="Arial" w:cs="Arial"/>
                <w:sz w:val="20"/>
                <w:szCs w:val="20"/>
              </w:rPr>
              <w:t>a</w:t>
            </w:r>
            <w:r w:rsidR="00702E7C" w:rsidRPr="0016322D">
              <w:rPr>
                <w:rFonts w:ascii="Arial" w:hAnsi="Arial" w:cs="Arial"/>
                <w:sz w:val="20"/>
                <w:szCs w:val="20"/>
              </w:rPr>
              <w:t xml:space="preserve">ny superfluous drill </w:t>
            </w:r>
            <w:r w:rsidR="00615783" w:rsidRPr="0016322D">
              <w:rPr>
                <w:rFonts w:ascii="Arial" w:hAnsi="Arial" w:cs="Arial"/>
                <w:sz w:val="20"/>
                <w:szCs w:val="20"/>
              </w:rPr>
              <w:t xml:space="preserve">water </w:t>
            </w:r>
            <w:r w:rsidRPr="0016322D">
              <w:rPr>
                <w:rFonts w:ascii="Arial" w:hAnsi="Arial" w:cs="Arial"/>
                <w:sz w:val="20"/>
                <w:szCs w:val="20"/>
              </w:rPr>
              <w:t>f</w:t>
            </w:r>
            <w:r w:rsidR="00615783" w:rsidRPr="0016322D">
              <w:rPr>
                <w:rFonts w:ascii="Arial" w:hAnsi="Arial" w:cs="Arial"/>
                <w:sz w:val="20"/>
                <w:szCs w:val="20"/>
              </w:rPr>
              <w:t>rom the c</w:t>
            </w:r>
            <w:r w:rsidR="00702E7C" w:rsidRPr="0016322D">
              <w:rPr>
                <w:rFonts w:ascii="Arial" w:hAnsi="Arial" w:cs="Arial"/>
                <w:sz w:val="20"/>
                <w:szCs w:val="20"/>
              </w:rPr>
              <w:t xml:space="preserve">atchment area </w:t>
            </w:r>
            <w:r w:rsidRPr="0016322D">
              <w:rPr>
                <w:rFonts w:ascii="Arial" w:hAnsi="Arial" w:cs="Arial"/>
                <w:sz w:val="20"/>
                <w:szCs w:val="20"/>
              </w:rPr>
              <w:t>for</w:t>
            </w:r>
            <w:r w:rsidR="00702E7C" w:rsidRPr="0016322D">
              <w:rPr>
                <w:rFonts w:ascii="Arial" w:hAnsi="Arial" w:cs="Arial"/>
                <w:sz w:val="20"/>
                <w:szCs w:val="20"/>
              </w:rPr>
              <w:t xml:space="preserve"> dispos</w:t>
            </w:r>
            <w:r w:rsidRPr="0016322D">
              <w:rPr>
                <w:rFonts w:ascii="Arial" w:hAnsi="Arial" w:cs="Arial"/>
                <w:sz w:val="20"/>
                <w:szCs w:val="20"/>
              </w:rPr>
              <w:t>al</w:t>
            </w:r>
            <w:r w:rsidR="00702E7C" w:rsidRPr="0016322D">
              <w:rPr>
                <w:rFonts w:ascii="Arial" w:hAnsi="Arial" w:cs="Arial"/>
                <w:sz w:val="20"/>
                <w:szCs w:val="20"/>
              </w:rPr>
              <w:t xml:space="preserve"> at an appropriate site. </w:t>
            </w:r>
            <w:r w:rsidRPr="0016322D">
              <w:rPr>
                <w:rFonts w:ascii="Arial" w:hAnsi="Arial" w:cs="Arial"/>
                <w:sz w:val="20"/>
                <w:szCs w:val="20"/>
              </w:rPr>
              <w:t>Specifically, the proponent has undertaken not to discharge d</w:t>
            </w:r>
            <w:r w:rsidR="00702E7C" w:rsidRPr="0016322D">
              <w:rPr>
                <w:rFonts w:ascii="Arial" w:hAnsi="Arial" w:cs="Arial"/>
                <w:sz w:val="20"/>
                <w:szCs w:val="20"/>
              </w:rPr>
              <w:t>irty water into vegetation adjacent to the borehole site (Niche 2012).</w:t>
            </w:r>
          </w:p>
          <w:p w:rsidR="00702E7C" w:rsidRPr="0016322D" w:rsidRDefault="00702E7C" w:rsidP="00D45B0B">
            <w:pPr>
              <w:pStyle w:val="ListBullet"/>
              <w:numPr>
                <w:ilvl w:val="0"/>
                <w:numId w:val="0"/>
              </w:numPr>
              <w:ind w:right="317"/>
              <w:rPr>
                <w:rFonts w:ascii="Arial" w:hAnsi="Arial" w:cs="Arial"/>
                <w:sz w:val="20"/>
                <w:szCs w:val="20"/>
              </w:rPr>
            </w:pPr>
          </w:p>
          <w:p w:rsidR="009647CF" w:rsidRPr="0016322D" w:rsidRDefault="00744017" w:rsidP="00D45B0B">
            <w:pPr>
              <w:pStyle w:val="ListBullet"/>
              <w:numPr>
                <w:ilvl w:val="0"/>
                <w:numId w:val="6"/>
              </w:numPr>
              <w:ind w:righ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interim c</w:t>
            </w:r>
            <w:r w:rsidR="009647CF" w:rsidRPr="0016322D">
              <w:rPr>
                <w:rFonts w:ascii="Arial" w:hAnsi="Arial" w:cs="Arial"/>
                <w:sz w:val="20"/>
                <w:szCs w:val="20"/>
              </w:rPr>
              <w:t>ommittee concludes that although the N</w:t>
            </w:r>
            <w:r>
              <w:rPr>
                <w:rFonts w:ascii="Arial" w:hAnsi="Arial" w:cs="Arial"/>
                <w:sz w:val="20"/>
                <w:szCs w:val="20"/>
              </w:rPr>
              <w:t xml:space="preserve">ew </w:t>
            </w:r>
            <w:r w:rsidR="009647CF" w:rsidRPr="0016322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outh </w:t>
            </w:r>
            <w:r w:rsidR="009647CF" w:rsidRPr="0016322D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ales</w:t>
            </w:r>
            <w:r w:rsidR="009647CF" w:rsidRPr="0016322D">
              <w:rPr>
                <w:rFonts w:ascii="Arial" w:hAnsi="Arial" w:cs="Arial"/>
                <w:sz w:val="20"/>
                <w:szCs w:val="20"/>
              </w:rPr>
              <w:t xml:space="preserve"> Government approval conditions do not specifically cover water related impacts on </w:t>
            </w:r>
            <w:proofErr w:type="spellStart"/>
            <w:r w:rsidR="009647CF" w:rsidRPr="0016322D">
              <w:rPr>
                <w:rFonts w:ascii="Arial" w:hAnsi="Arial" w:cs="Arial"/>
                <w:i/>
                <w:sz w:val="20"/>
                <w:szCs w:val="20"/>
              </w:rPr>
              <w:t>Pultenaea</w:t>
            </w:r>
            <w:proofErr w:type="spellEnd"/>
            <w:r w:rsidR="009647CF" w:rsidRPr="0016322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647CF" w:rsidRPr="0016322D">
              <w:rPr>
                <w:rFonts w:ascii="Arial" w:hAnsi="Arial" w:cs="Arial"/>
                <w:i/>
                <w:sz w:val="20"/>
                <w:szCs w:val="20"/>
              </w:rPr>
              <w:t>aristata</w:t>
            </w:r>
            <w:proofErr w:type="spellEnd"/>
            <w:r w:rsidR="009647CF" w:rsidRPr="0016322D">
              <w:rPr>
                <w:rFonts w:ascii="Arial" w:hAnsi="Arial" w:cs="Arial"/>
                <w:sz w:val="20"/>
                <w:szCs w:val="20"/>
              </w:rPr>
              <w:t xml:space="preserve"> (particularly groundwater impacts)</w:t>
            </w:r>
            <w:r w:rsidRPr="0016322D">
              <w:rPr>
                <w:rFonts w:ascii="Arial" w:hAnsi="Arial" w:cs="Arial"/>
                <w:sz w:val="20"/>
                <w:szCs w:val="20"/>
              </w:rPr>
              <w:t>;</w:t>
            </w:r>
            <w:r w:rsidR="009647CF" w:rsidRPr="0016322D">
              <w:rPr>
                <w:rFonts w:ascii="Arial" w:hAnsi="Arial" w:cs="Arial"/>
                <w:sz w:val="20"/>
                <w:szCs w:val="20"/>
              </w:rPr>
              <w:t xml:space="preserve"> on balance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647CF" w:rsidRPr="0016322D">
              <w:rPr>
                <w:rFonts w:ascii="Arial" w:hAnsi="Arial" w:cs="Arial"/>
                <w:sz w:val="20"/>
                <w:szCs w:val="20"/>
              </w:rPr>
              <w:t xml:space="preserve"> it is likely that the N</w:t>
            </w:r>
            <w:r>
              <w:rPr>
                <w:rFonts w:ascii="Arial" w:hAnsi="Arial" w:cs="Arial"/>
                <w:sz w:val="20"/>
                <w:szCs w:val="20"/>
              </w:rPr>
              <w:t xml:space="preserve">ew </w:t>
            </w:r>
            <w:r w:rsidR="009647CF" w:rsidRPr="0016322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outh </w:t>
            </w:r>
            <w:r w:rsidR="009647CF" w:rsidRPr="0016322D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ales</w:t>
            </w:r>
            <w:r w:rsidR="009647CF" w:rsidRPr="0016322D">
              <w:rPr>
                <w:rFonts w:ascii="Arial" w:hAnsi="Arial" w:cs="Arial"/>
                <w:sz w:val="20"/>
                <w:szCs w:val="20"/>
              </w:rPr>
              <w:t xml:space="preserve"> Government approval conditions will sufficiently reduce water related impacts on the vulnerable plant species. </w:t>
            </w:r>
          </w:p>
          <w:p w:rsidR="009647CF" w:rsidRDefault="009647CF" w:rsidP="00D45B0B">
            <w:pPr>
              <w:pStyle w:val="ListNumber"/>
              <w:numPr>
                <w:ilvl w:val="0"/>
                <w:numId w:val="0"/>
              </w:numPr>
              <w:ind w:right="317"/>
            </w:pPr>
          </w:p>
          <w:p w:rsidR="00D45B0B" w:rsidRDefault="00D45B0B" w:rsidP="00D45B0B">
            <w:pPr>
              <w:pStyle w:val="ListNumber"/>
              <w:numPr>
                <w:ilvl w:val="0"/>
                <w:numId w:val="0"/>
              </w:numPr>
              <w:ind w:right="317"/>
            </w:pPr>
          </w:p>
          <w:p w:rsidR="00D45B0B" w:rsidRDefault="00D45B0B" w:rsidP="00D45B0B">
            <w:pPr>
              <w:pStyle w:val="ListNumber"/>
              <w:numPr>
                <w:ilvl w:val="0"/>
                <w:numId w:val="0"/>
              </w:numPr>
              <w:ind w:right="317"/>
            </w:pPr>
          </w:p>
          <w:p w:rsidR="00D45B0B" w:rsidRPr="0016322D" w:rsidRDefault="00D45B0B" w:rsidP="00D45B0B">
            <w:pPr>
              <w:pStyle w:val="ListNumber"/>
              <w:numPr>
                <w:ilvl w:val="0"/>
                <w:numId w:val="0"/>
              </w:numPr>
              <w:ind w:right="317"/>
            </w:pPr>
          </w:p>
          <w:p w:rsidR="007370A2" w:rsidRDefault="00744017" w:rsidP="00D45B0B">
            <w:pPr>
              <w:pStyle w:val="ListBullet"/>
              <w:numPr>
                <w:ilvl w:val="0"/>
                <w:numId w:val="6"/>
              </w:numPr>
              <w:ind w:righ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interim c</w:t>
            </w:r>
            <w:r w:rsidR="002D5910" w:rsidRPr="0016322D">
              <w:rPr>
                <w:rFonts w:ascii="Arial" w:hAnsi="Arial" w:cs="Arial"/>
                <w:sz w:val="20"/>
                <w:szCs w:val="20"/>
              </w:rPr>
              <w:t xml:space="preserve">ommittee </w:t>
            </w:r>
            <w:r w:rsidR="0016322D" w:rsidRPr="0016322D">
              <w:rPr>
                <w:rFonts w:ascii="Arial" w:hAnsi="Arial" w:cs="Arial"/>
                <w:sz w:val="20"/>
                <w:szCs w:val="20"/>
              </w:rPr>
              <w:t xml:space="preserve">notes that given the New South Wales Government has already approved the project and the Australian Government is limited to considering potential impacts on matters of national environmental significance, it </w:t>
            </w:r>
            <w:r w:rsidR="007370A2">
              <w:rPr>
                <w:rFonts w:ascii="Arial" w:hAnsi="Arial" w:cs="Arial"/>
                <w:sz w:val="20"/>
                <w:szCs w:val="20"/>
              </w:rPr>
              <w:t xml:space="preserve">had not been </w:t>
            </w:r>
            <w:r w:rsidR="002D5910" w:rsidRPr="0016322D">
              <w:rPr>
                <w:rFonts w:ascii="Arial" w:hAnsi="Arial" w:cs="Arial"/>
                <w:sz w:val="20"/>
                <w:szCs w:val="20"/>
              </w:rPr>
              <w:t>requested to consider water related impacts associated with the proposed project more generally such as potential impacts on the Sydney Water Catchment</w:t>
            </w:r>
            <w:r w:rsidR="0016322D" w:rsidRPr="0016322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13582" w:rsidRDefault="00313582" w:rsidP="00D45B0B">
            <w:pPr>
              <w:pStyle w:val="ListBullet"/>
              <w:numPr>
                <w:ilvl w:val="0"/>
                <w:numId w:val="0"/>
              </w:numPr>
              <w:ind w:left="369" w:right="317" w:hanging="369"/>
              <w:rPr>
                <w:rFonts w:ascii="Arial" w:hAnsi="Arial" w:cs="Arial"/>
                <w:sz w:val="20"/>
                <w:szCs w:val="20"/>
              </w:rPr>
            </w:pPr>
          </w:p>
          <w:p w:rsidR="00702E7C" w:rsidRPr="0016322D" w:rsidRDefault="007370A2" w:rsidP="00D45B0B">
            <w:pPr>
              <w:pStyle w:val="ListBullet"/>
              <w:numPr>
                <w:ilvl w:val="0"/>
                <w:numId w:val="6"/>
              </w:numPr>
              <w:ind w:righ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44017">
              <w:rPr>
                <w:rFonts w:ascii="Arial" w:hAnsi="Arial" w:cs="Arial"/>
                <w:sz w:val="20"/>
                <w:szCs w:val="20"/>
              </w:rPr>
              <w:t>interim c</w:t>
            </w:r>
            <w:r>
              <w:rPr>
                <w:rFonts w:ascii="Arial" w:hAnsi="Arial" w:cs="Arial"/>
                <w:sz w:val="20"/>
                <w:szCs w:val="20"/>
              </w:rPr>
              <w:t>ommittee expressed a view that potential impacts on water would require careful consideration should the proponent wish to seek additional approval for activities associated with coal seam gas production</w:t>
            </w:r>
            <w:r w:rsidR="00702E7C" w:rsidRPr="0016322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02E7C" w:rsidRPr="0016322D" w:rsidRDefault="00702E7C" w:rsidP="00313582">
            <w:pPr>
              <w:pStyle w:val="ListBullet"/>
              <w:numPr>
                <w:ilvl w:val="0"/>
                <w:numId w:val="0"/>
              </w:numPr>
              <w:ind w:right="706"/>
              <w:rPr>
                <w:rFonts w:ascii="Arial" w:hAnsi="Arial" w:cs="Arial"/>
                <w:sz w:val="20"/>
                <w:szCs w:val="20"/>
              </w:rPr>
            </w:pPr>
          </w:p>
          <w:p w:rsidR="00BD64A6" w:rsidRPr="0016322D" w:rsidRDefault="00BD64A6" w:rsidP="00313582">
            <w:pPr>
              <w:ind w:right="7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4A6" w:rsidRPr="00B451D3" w:rsidTr="00D45B0B">
        <w:tc>
          <w:tcPr>
            <w:tcW w:w="2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4A6" w:rsidRDefault="00BD64A6" w:rsidP="00313582">
            <w:pPr>
              <w:pStyle w:val="tablelabel"/>
              <w:ind w:right="70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Date of advice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6" w:rsidRPr="00B451D3" w:rsidRDefault="00615783" w:rsidP="00D45B0B">
            <w:pPr>
              <w:spacing w:after="240"/>
              <w:ind w:right="7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March 2012</w:t>
            </w:r>
          </w:p>
        </w:tc>
      </w:tr>
    </w:tbl>
    <w:p w:rsidR="00BD64A6" w:rsidRPr="004940D9" w:rsidRDefault="00BD64A6" w:rsidP="00313582">
      <w:pPr>
        <w:spacing w:after="120"/>
        <w:ind w:right="706"/>
        <w:rPr>
          <w:rFonts w:ascii="Arial" w:hAnsi="Arial" w:cs="Arial"/>
          <w:sz w:val="18"/>
          <w:szCs w:val="18"/>
        </w:rPr>
      </w:pPr>
    </w:p>
    <w:p w:rsidR="00BD64A6" w:rsidRDefault="00BD64A6" w:rsidP="00313582">
      <w:pPr>
        <w:ind w:right="706"/>
      </w:pPr>
    </w:p>
    <w:p w:rsidR="00043770" w:rsidRPr="00EA416C" w:rsidRDefault="00043770" w:rsidP="00313582">
      <w:pPr>
        <w:pStyle w:val="Header"/>
        <w:keepLines/>
        <w:tabs>
          <w:tab w:val="left" w:pos="2835"/>
        </w:tabs>
        <w:ind w:left="-360" w:right="706"/>
      </w:pPr>
    </w:p>
    <w:sectPr w:rsidR="00043770" w:rsidRPr="00EA416C" w:rsidSect="00313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1" w:bottom="993" w:left="851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4D8" w:rsidRDefault="000274D8" w:rsidP="00A60185">
      <w:r>
        <w:separator/>
      </w:r>
    </w:p>
  </w:endnote>
  <w:endnote w:type="continuationSeparator" w:id="0">
    <w:p w:rsidR="000274D8" w:rsidRDefault="000274D8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1E" w:rsidRDefault="00E047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9644"/>
      <w:docPartObj>
        <w:docPartGallery w:val="Page Numbers (Bottom of Page)"/>
        <w:docPartUnique/>
      </w:docPartObj>
    </w:sdtPr>
    <w:sdtContent>
      <w:p w:rsidR="00D45B0B" w:rsidRDefault="007B3249">
        <w:pPr>
          <w:pStyle w:val="Footer"/>
          <w:jc w:val="center"/>
        </w:pPr>
        <w:fldSimple w:instr=" PAGE   \* MERGEFORMAT ">
          <w:r w:rsidR="00E0471E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1E" w:rsidRDefault="00E047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4D8" w:rsidRDefault="000274D8" w:rsidP="00A60185">
      <w:r>
        <w:separator/>
      </w:r>
    </w:p>
  </w:footnote>
  <w:footnote w:type="continuationSeparator" w:id="0">
    <w:p w:rsidR="000274D8" w:rsidRDefault="000274D8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0B" w:rsidRDefault="007B3249" w:rsidP="00E45765">
    <w:pPr>
      <w:pStyle w:val="Classification"/>
    </w:pPr>
    <w:r>
      <w:fldChar w:fldCharType="begin"/>
    </w:r>
    <w:r w:rsidR="00D45B0B">
      <w:instrText xml:space="preserve"> DOCPROPERTY SecurityClassification \* MERGEFORMAT </w:instrText>
    </w:r>
    <w:r>
      <w:fldChar w:fldCharType="separate"/>
    </w:r>
    <w:r w:rsidR="00D45B0B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1E" w:rsidRDefault="00E047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1E" w:rsidRDefault="00E047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71078B1"/>
    <w:multiLevelType w:val="hybridMultilevel"/>
    <w:tmpl w:val="F1C8282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1F902149"/>
    <w:multiLevelType w:val="multilevel"/>
    <w:tmpl w:val="9B8E0548"/>
    <w:numStyleLink w:val="KeyPoints"/>
  </w:abstractNum>
  <w:abstractNum w:abstractNumId="4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9052559"/>
    <w:multiLevelType w:val="hybridMultilevel"/>
    <w:tmpl w:val="FAD0C552"/>
    <w:lvl w:ilvl="0" w:tplc="0C090019">
      <w:start w:val="1"/>
      <w:numFmt w:val="lowerLetter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4A57C73"/>
    <w:multiLevelType w:val="hybridMultilevel"/>
    <w:tmpl w:val="22DA8A7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964D5"/>
    <w:multiLevelType w:val="multilevel"/>
    <w:tmpl w:val="9B8E0548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2"/>
  </w:num>
  <w:num w:numId="12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702E7C"/>
    <w:rsid w:val="00004AEE"/>
    <w:rsid w:val="00005CAA"/>
    <w:rsid w:val="00010210"/>
    <w:rsid w:val="00012D66"/>
    <w:rsid w:val="00015ADA"/>
    <w:rsid w:val="00020C99"/>
    <w:rsid w:val="0002707B"/>
    <w:rsid w:val="000274D8"/>
    <w:rsid w:val="00043770"/>
    <w:rsid w:val="0005148E"/>
    <w:rsid w:val="00071A13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322D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B7255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D5910"/>
    <w:rsid w:val="002F045A"/>
    <w:rsid w:val="0030039D"/>
    <w:rsid w:val="0030326F"/>
    <w:rsid w:val="00310701"/>
    <w:rsid w:val="00313582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65451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2F0"/>
    <w:rsid w:val="00454454"/>
    <w:rsid w:val="00460CC8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2B24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15783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2E7C"/>
    <w:rsid w:val="007037CF"/>
    <w:rsid w:val="00707A47"/>
    <w:rsid w:val="007167C0"/>
    <w:rsid w:val="00720481"/>
    <w:rsid w:val="00733193"/>
    <w:rsid w:val="007370A2"/>
    <w:rsid w:val="00744017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0C2F"/>
    <w:rsid w:val="007A2573"/>
    <w:rsid w:val="007B106C"/>
    <w:rsid w:val="007B1A4E"/>
    <w:rsid w:val="007B3249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1791"/>
    <w:rsid w:val="008D3900"/>
    <w:rsid w:val="008D6E1D"/>
    <w:rsid w:val="008F39B4"/>
    <w:rsid w:val="008F4162"/>
    <w:rsid w:val="008F49F2"/>
    <w:rsid w:val="00903E02"/>
    <w:rsid w:val="00913175"/>
    <w:rsid w:val="00916EDB"/>
    <w:rsid w:val="00920861"/>
    <w:rsid w:val="00922B13"/>
    <w:rsid w:val="009242EF"/>
    <w:rsid w:val="00927319"/>
    <w:rsid w:val="00932291"/>
    <w:rsid w:val="0093408E"/>
    <w:rsid w:val="00952DDF"/>
    <w:rsid w:val="009647CF"/>
    <w:rsid w:val="009731C4"/>
    <w:rsid w:val="009812D4"/>
    <w:rsid w:val="009920D8"/>
    <w:rsid w:val="00997606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661C"/>
    <w:rsid w:val="00A87135"/>
    <w:rsid w:val="00A93280"/>
    <w:rsid w:val="00A951EA"/>
    <w:rsid w:val="00AA2548"/>
    <w:rsid w:val="00AA440A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435FE"/>
    <w:rsid w:val="00B54DE9"/>
    <w:rsid w:val="00B553EC"/>
    <w:rsid w:val="00B612DD"/>
    <w:rsid w:val="00B832EB"/>
    <w:rsid w:val="00B93DD0"/>
    <w:rsid w:val="00B97732"/>
    <w:rsid w:val="00BA65A8"/>
    <w:rsid w:val="00BA6D19"/>
    <w:rsid w:val="00BA7461"/>
    <w:rsid w:val="00BA7DA9"/>
    <w:rsid w:val="00BC4215"/>
    <w:rsid w:val="00BD1A6F"/>
    <w:rsid w:val="00BD64A6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05BBA"/>
    <w:rsid w:val="00D10F1A"/>
    <w:rsid w:val="00D116F8"/>
    <w:rsid w:val="00D17596"/>
    <w:rsid w:val="00D22640"/>
    <w:rsid w:val="00D26D3A"/>
    <w:rsid w:val="00D27402"/>
    <w:rsid w:val="00D45B0B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DF6459"/>
    <w:rsid w:val="00E0471E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1728"/>
    <w:rsid w:val="00EB60CE"/>
    <w:rsid w:val="00EB7D53"/>
    <w:rsid w:val="00EE3146"/>
    <w:rsid w:val="00EE3BEF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557F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C6F7C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iPriority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5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5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5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5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5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qFormat/>
    <w:rsid w:val="00005CAA"/>
    <w:pPr>
      <w:numPr>
        <w:numId w:val="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DF6459"/>
    <w:rPr>
      <w:rFonts w:ascii="Arial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to decision maker on coal seam gas project</dc:title>
  <dc:subject>Advice to decision maker on coal seam gas project</dc:subject>
  <dc:creator/>
  <cp:keywords/>
  <cp:lastModifiedBy/>
  <cp:revision>1</cp:revision>
  <dcterms:created xsi:type="dcterms:W3CDTF">2012-04-03T23:47:00Z</dcterms:created>
  <dcterms:modified xsi:type="dcterms:W3CDTF">2012-04-03T23:48:00Z</dcterms:modified>
</cp:coreProperties>
</file>