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01E4CF73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B622EE">
        <w:rPr>
          <w:rFonts w:asciiTheme="minorHAnsi" w:hAnsiTheme="minorHAnsi" w:cstheme="minorHAnsi"/>
          <w:b/>
          <w:color w:val="auto"/>
        </w:rPr>
        <w:t>8</w:t>
      </w:r>
      <w:r w:rsidR="007B2E31">
        <w:rPr>
          <w:rFonts w:asciiTheme="minorHAnsi" w:hAnsiTheme="minorHAnsi" w:cstheme="minorHAnsi"/>
          <w:b/>
          <w:color w:val="auto"/>
        </w:rPr>
        <w:t>2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2C2450">
        <w:rPr>
          <w:rFonts w:asciiTheme="minorHAnsi" w:hAnsiTheme="minorHAnsi" w:cstheme="minorHAnsi"/>
          <w:b/>
          <w:color w:val="auto"/>
        </w:rPr>
        <w:t>1</w:t>
      </w:r>
      <w:r w:rsidR="007B2E31">
        <w:rPr>
          <w:rFonts w:asciiTheme="minorHAnsi" w:hAnsiTheme="minorHAnsi" w:cstheme="minorHAnsi"/>
          <w:b/>
          <w:color w:val="auto"/>
        </w:rPr>
        <w:t>5 Dec</w:t>
      </w:r>
      <w:r w:rsidR="002C2450">
        <w:rPr>
          <w:rFonts w:asciiTheme="minorHAnsi" w:hAnsiTheme="minorHAnsi" w:cstheme="minorHAnsi"/>
          <w:b/>
          <w:color w:val="auto"/>
        </w:rPr>
        <w:t>ember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6A46E5">
        <w:rPr>
          <w:rFonts w:asciiTheme="minorHAnsi" w:hAnsiTheme="minorHAnsi" w:cstheme="minorHAnsi"/>
          <w:b/>
          <w:color w:val="auto"/>
        </w:rPr>
        <w:t>1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3B4CC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3B4CC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3B4CC6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40568DC" w:rsidR="00157044" w:rsidRPr="0070566F" w:rsidRDefault="00157044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  <w:vAlign w:val="center"/>
          </w:tcPr>
          <w:p w14:paraId="2F9804D1" w14:textId="54161301" w:rsidR="00157044" w:rsidRPr="0092782B" w:rsidRDefault="007B2E31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2693" w:type="dxa"/>
            <w:vAlign w:val="center"/>
          </w:tcPr>
          <w:p w14:paraId="75FDA59B" w14:textId="41F716A4" w:rsidR="00157044" w:rsidRPr="0070566F" w:rsidRDefault="00157044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3145606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905F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0DE26FB8" w:rsidR="00905F4F" w:rsidRPr="0092782B" w:rsidRDefault="007B2E31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7B2E31">
              <w:rPr>
                <w:rFonts w:asciiTheme="minorHAnsi" w:hAnsiTheme="minorHAnsi"/>
              </w:rPr>
              <w:t>GMDSI Discussion on Current Groundwater Regulatory Framework and Guidelines that Support It</w:t>
            </w:r>
          </w:p>
        </w:tc>
        <w:tc>
          <w:tcPr>
            <w:tcW w:w="2693" w:type="dxa"/>
            <w:vAlign w:val="center"/>
          </w:tcPr>
          <w:p w14:paraId="595EBA45" w14:textId="719A8AAB" w:rsidR="00905F4F" w:rsidRPr="007B2E31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B622EE" w:rsidRPr="007B2E31">
              <w:rPr>
                <w:rFonts w:asciiTheme="minorHAnsi" w:hAnsiTheme="minorHAnsi" w:cstheme="minorHAnsi"/>
              </w:rPr>
              <w:t>Discussion</w:t>
            </w:r>
          </w:p>
        </w:tc>
      </w:tr>
      <w:tr w:rsidR="00B622EE" w:rsidRPr="0070566F" w14:paraId="65BF872E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25DB388" w:rsidR="00B622EE" w:rsidRDefault="00B622EE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6DBAA9F5" w14:textId="76E5B528" w:rsidR="00B622EE" w:rsidRDefault="007B2E31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7B2E31">
              <w:rPr>
                <w:rFonts w:asciiTheme="minorHAnsi" w:hAnsiTheme="minorHAnsi"/>
              </w:rPr>
              <w:t>GMDSI Discussion on Early Engagement on Water Resources</w:t>
            </w:r>
          </w:p>
        </w:tc>
        <w:tc>
          <w:tcPr>
            <w:tcW w:w="2693" w:type="dxa"/>
            <w:vAlign w:val="center"/>
          </w:tcPr>
          <w:p w14:paraId="2D16FB9D" w14:textId="6B978849" w:rsidR="00B622EE" w:rsidRPr="007B2E31" w:rsidRDefault="007B2E31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C105F8" w:rsidRPr="0070566F" w14:paraId="4BD1FD3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ECBA53D" w14:textId="5D7EF590" w:rsidR="00C105F8" w:rsidRDefault="00C105F8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058EE1BE" w14:textId="2D8EAA0B" w:rsidR="00C105F8" w:rsidRPr="00941A16" w:rsidRDefault="007B2E31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7B2E31">
              <w:rPr>
                <w:rFonts w:asciiTheme="minorHAnsi" w:hAnsiTheme="minorHAnsi"/>
              </w:rPr>
              <w:t>Ongoing Development and Use of Conceptual Models in the IESC Advice Process</w:t>
            </w:r>
          </w:p>
        </w:tc>
        <w:tc>
          <w:tcPr>
            <w:tcW w:w="2693" w:type="dxa"/>
            <w:vAlign w:val="center"/>
          </w:tcPr>
          <w:p w14:paraId="5576DB90" w14:textId="4EA667F1" w:rsidR="00C105F8" w:rsidRPr="007B2E31" w:rsidRDefault="007B2E31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B622EE" w:rsidRPr="0070566F" w14:paraId="6D018D56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3B8FEB1" w14:textId="5DE55161" w:rsidR="00B622EE" w:rsidRPr="00FC187D" w:rsidRDefault="00B622EE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87D">
              <w:rPr>
                <w:rFonts w:asciiTheme="minorHAnsi" w:hAnsiTheme="minorHAnsi" w:cstheme="minorHAnsi"/>
              </w:rPr>
              <w:t>3.</w:t>
            </w:r>
            <w:r w:rsidR="00FA48A0" w:rsidRPr="00FC187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57" w:type="dxa"/>
            <w:vAlign w:val="center"/>
          </w:tcPr>
          <w:p w14:paraId="0B0FA086" w14:textId="1193D883" w:rsidR="00B622EE" w:rsidRPr="00FC187D" w:rsidRDefault="007B2E31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7B2E31">
              <w:rPr>
                <w:rFonts w:asciiTheme="minorHAnsi" w:hAnsiTheme="minorHAnsi"/>
              </w:rPr>
              <w:t>Finalisation of the Explanatory Note on the Characterisation and Modelling of Geological Fault Zones</w:t>
            </w:r>
          </w:p>
        </w:tc>
        <w:tc>
          <w:tcPr>
            <w:tcW w:w="2693" w:type="dxa"/>
            <w:vAlign w:val="center"/>
          </w:tcPr>
          <w:p w14:paraId="718DEE72" w14:textId="737CF4D6" w:rsidR="00B622EE" w:rsidRPr="007B2E31" w:rsidRDefault="00B622EE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>For D</w:t>
            </w:r>
            <w:r w:rsidR="007B2E31" w:rsidRPr="007B2E31">
              <w:rPr>
                <w:rFonts w:asciiTheme="minorHAnsi" w:hAnsiTheme="minorHAnsi" w:cstheme="minorHAnsi"/>
              </w:rPr>
              <w:t>ecision</w:t>
            </w:r>
          </w:p>
        </w:tc>
      </w:tr>
      <w:tr w:rsidR="007B2E31" w:rsidRPr="0070566F" w14:paraId="0FA57532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5D05D8E" w14:textId="21D49DD4" w:rsidR="007B2E31" w:rsidRPr="00FC187D" w:rsidRDefault="007B2E31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6557" w:type="dxa"/>
            <w:vAlign w:val="center"/>
          </w:tcPr>
          <w:p w14:paraId="55A213A2" w14:textId="20312CBB" w:rsidR="007B2E31" w:rsidRPr="007B2E31" w:rsidRDefault="007B2E31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7B2E31">
              <w:rPr>
                <w:rFonts w:asciiTheme="minorHAnsi" w:hAnsiTheme="minorHAnsi"/>
              </w:rPr>
              <w:t>Applying Genomic Approaches to Groundwater Assessment: Phase 3 research project</w:t>
            </w:r>
          </w:p>
        </w:tc>
        <w:tc>
          <w:tcPr>
            <w:tcW w:w="2693" w:type="dxa"/>
            <w:vAlign w:val="center"/>
          </w:tcPr>
          <w:p w14:paraId="45D82237" w14:textId="61267283" w:rsidR="007B2E31" w:rsidRPr="007B2E31" w:rsidRDefault="007B2E31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>For Decision</w:t>
            </w:r>
          </w:p>
        </w:tc>
      </w:tr>
      <w:tr w:rsidR="00905F4F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059DFF1F" w14:textId="545D41BE" w:rsidR="00F700D8" w:rsidRPr="00F700D8" w:rsidRDefault="00F700D8" w:rsidP="00F700D8">
      <w:pPr>
        <w:tabs>
          <w:tab w:val="left" w:pos="9992"/>
        </w:tabs>
      </w:pPr>
    </w:p>
    <w:sectPr w:rsidR="00F700D8" w:rsidRPr="00F700D8" w:rsidSect="00183D60">
      <w:headerReference w:type="default" r:id="rId12"/>
      <w:footerReference w:type="first" r:id="rId13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765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A16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FCE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5CC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0D8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29CE2-B854-448A-99FF-9EEF62AA7509}"/>
</file>

<file path=customXml/itemProps2.xml><?xml version="1.0" encoding="utf-8"?>
<ds:datastoreItem xmlns:ds="http://schemas.openxmlformats.org/officeDocument/2006/customXml" ds:itemID="{A3F55FC9-97D1-44F4-BE9E-18B77CDF7DC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a3e7952-617a-4d1d-acc5-2dff72d3e0ca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Web agenda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00 - Web agenda</dc:title>
  <dc:creator>IESC</dc:creator>
  <cp:lastModifiedBy>Bec Durack</cp:lastModifiedBy>
  <cp:revision>2</cp:revision>
  <dcterms:created xsi:type="dcterms:W3CDTF">2022-01-05T23:50:00Z</dcterms:created>
  <dcterms:modified xsi:type="dcterms:W3CDTF">2022-01-05T23:50:00Z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{02d53f4b-ebbc-4166-ac08-503208af4328}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