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2D850" w14:textId="77777777" w:rsidR="00A431C1" w:rsidRPr="0094790E" w:rsidRDefault="00A431C1" w:rsidP="00A431C1">
      <w:pPr>
        <w:pStyle w:val="Header"/>
        <w:jc w:val="center"/>
        <w:rPr>
          <w:b/>
          <w:sz w:val="22"/>
          <w:szCs w:val="22"/>
        </w:rPr>
      </w:pPr>
      <w:r w:rsidRPr="0094790E">
        <w:rPr>
          <w:b/>
          <w:sz w:val="22"/>
          <w:szCs w:val="22"/>
        </w:rPr>
        <w:t>Independent Expert Scientific Committee on Coal Seam Gas and</w:t>
      </w:r>
    </w:p>
    <w:p w14:paraId="63515365" w14:textId="77777777" w:rsidR="00A431C1" w:rsidRPr="0094790E" w:rsidRDefault="00A431C1" w:rsidP="00A431C1">
      <w:pPr>
        <w:pStyle w:val="Header"/>
        <w:jc w:val="center"/>
        <w:rPr>
          <w:b/>
          <w:sz w:val="22"/>
          <w:szCs w:val="22"/>
        </w:rPr>
      </w:pPr>
      <w:r w:rsidRPr="0094790E">
        <w:rPr>
          <w:b/>
          <w:sz w:val="22"/>
          <w:szCs w:val="22"/>
        </w:rPr>
        <w:t>Large Coal Mining Development (IESC)</w:t>
      </w:r>
    </w:p>
    <w:p w14:paraId="41F93DD5" w14:textId="0DDD1FCE" w:rsidR="00A431C1" w:rsidRPr="0094790E" w:rsidRDefault="00A431C1" w:rsidP="00A431C1">
      <w:pPr>
        <w:pStyle w:val="Header"/>
        <w:jc w:val="center"/>
        <w:rPr>
          <w:b/>
          <w:sz w:val="22"/>
          <w:szCs w:val="22"/>
        </w:rPr>
      </w:pPr>
      <w:r w:rsidRPr="0094790E">
        <w:rPr>
          <w:b/>
          <w:sz w:val="22"/>
          <w:szCs w:val="22"/>
        </w:rPr>
        <w:t xml:space="preserve">Meeting </w:t>
      </w:r>
      <w:r w:rsidR="003A1941">
        <w:rPr>
          <w:b/>
          <w:sz w:val="22"/>
          <w:szCs w:val="22"/>
        </w:rPr>
        <w:t>72</w:t>
      </w:r>
      <w:r w:rsidRPr="0094790E">
        <w:rPr>
          <w:b/>
          <w:sz w:val="22"/>
          <w:szCs w:val="22"/>
        </w:rPr>
        <w:t xml:space="preserve">, </w:t>
      </w:r>
      <w:r w:rsidR="003A1941">
        <w:rPr>
          <w:b/>
          <w:sz w:val="22"/>
          <w:szCs w:val="22"/>
        </w:rPr>
        <w:t>8</w:t>
      </w:r>
      <w:r w:rsidRPr="0094790E">
        <w:rPr>
          <w:b/>
          <w:sz w:val="22"/>
          <w:szCs w:val="22"/>
        </w:rPr>
        <w:t>-</w:t>
      </w:r>
      <w:r w:rsidR="003A1941">
        <w:rPr>
          <w:b/>
          <w:sz w:val="22"/>
          <w:szCs w:val="22"/>
        </w:rPr>
        <w:t>10</w:t>
      </w:r>
      <w:r w:rsidRPr="0094790E">
        <w:rPr>
          <w:b/>
          <w:sz w:val="22"/>
          <w:szCs w:val="22"/>
        </w:rPr>
        <w:t xml:space="preserve"> </w:t>
      </w:r>
      <w:r w:rsidR="003A1941">
        <w:rPr>
          <w:b/>
          <w:sz w:val="22"/>
          <w:szCs w:val="22"/>
        </w:rPr>
        <w:t>December</w:t>
      </w:r>
      <w:r w:rsidRPr="0094790E">
        <w:rPr>
          <w:b/>
          <w:sz w:val="22"/>
          <w:szCs w:val="22"/>
        </w:rPr>
        <w:t xml:space="preserve"> 20</w:t>
      </w:r>
      <w:r>
        <w:rPr>
          <w:b/>
          <w:sz w:val="22"/>
          <w:szCs w:val="22"/>
        </w:rPr>
        <w:t>20</w:t>
      </w:r>
    </w:p>
    <w:p w14:paraId="11C5DCB0" w14:textId="77777777" w:rsidR="00A431C1" w:rsidRPr="0094790E" w:rsidRDefault="00A431C1" w:rsidP="00A431C1">
      <w:pPr>
        <w:pStyle w:val="Header"/>
        <w:tabs>
          <w:tab w:val="left" w:pos="426"/>
        </w:tabs>
        <w:jc w:val="center"/>
        <w:rPr>
          <w:rFonts w:cs="Arial"/>
          <w:b/>
          <w:sz w:val="22"/>
          <w:szCs w:val="22"/>
        </w:rPr>
      </w:pPr>
    </w:p>
    <w:p w14:paraId="6EB00A46" w14:textId="77777777" w:rsidR="00A431C1" w:rsidRPr="0094790E" w:rsidRDefault="00A431C1" w:rsidP="00A431C1">
      <w:pPr>
        <w:pStyle w:val="Header"/>
        <w:tabs>
          <w:tab w:val="left" w:pos="426"/>
        </w:tabs>
        <w:jc w:val="center"/>
        <w:rPr>
          <w:rFonts w:cs="Arial"/>
          <w:b/>
          <w:sz w:val="22"/>
          <w:szCs w:val="22"/>
        </w:rPr>
      </w:pPr>
      <w:r w:rsidRPr="0094790E">
        <w:rPr>
          <w:rFonts w:cs="Arial"/>
          <w:b/>
          <w:sz w:val="22"/>
          <w:szCs w:val="22"/>
        </w:rPr>
        <w:t>MINUTES</w:t>
      </w:r>
    </w:p>
    <w:p w14:paraId="7287246D" w14:textId="77777777" w:rsidR="00A431C1" w:rsidRPr="0094790E" w:rsidRDefault="00A431C1" w:rsidP="00A431C1">
      <w:pPr>
        <w:pStyle w:val="Header"/>
        <w:tabs>
          <w:tab w:val="left" w:pos="426"/>
        </w:tabs>
        <w:jc w:val="center"/>
        <w:rPr>
          <w:rFonts w:cs="Arial"/>
          <w:b/>
          <w:sz w:val="22"/>
          <w:szCs w:val="22"/>
        </w:rPr>
      </w:pPr>
      <w:r>
        <w:rPr>
          <w:rFonts w:cs="Arial"/>
          <w:b/>
          <w:sz w:val="22"/>
          <w:szCs w:val="22"/>
        </w:rPr>
        <w:t>Videoconference</w:t>
      </w:r>
    </w:p>
    <w:p w14:paraId="458D5352" w14:textId="77777777" w:rsidR="00A431C1" w:rsidRPr="0094790E" w:rsidRDefault="00B22115" w:rsidP="00A431C1">
      <w:pPr>
        <w:pStyle w:val="Header"/>
        <w:tabs>
          <w:tab w:val="left" w:pos="426"/>
        </w:tabs>
        <w:jc w:val="center"/>
        <w:rPr>
          <w:rFonts w:cs="Arial"/>
          <w:sz w:val="22"/>
          <w:szCs w:val="22"/>
        </w:rPr>
      </w:pPr>
      <w:r>
        <w:rPr>
          <w:rFonts w:cs="Arial"/>
          <w:sz w:val="22"/>
          <w:szCs w:val="22"/>
        </w:rPr>
        <w:pict w14:anchorId="58D49ACB">
          <v:rect id="_x0000_i1025" style="width:0;height:1.5pt" o:hralign="center" o:hrstd="t" o:hr="t" fillcolor="#a0a0a0" stroked="f"/>
        </w:pict>
      </w:r>
    </w:p>
    <w:p w14:paraId="59C25604" w14:textId="77777777" w:rsidR="00A431C1" w:rsidRPr="0094790E" w:rsidRDefault="00A431C1" w:rsidP="00A431C1">
      <w:pPr>
        <w:tabs>
          <w:tab w:val="left" w:pos="426"/>
        </w:tabs>
        <w:spacing w:before="120" w:after="120"/>
        <w:rPr>
          <w:rFonts w:cs="Arial"/>
          <w:b/>
          <w:sz w:val="22"/>
          <w:szCs w:val="22"/>
        </w:rPr>
      </w:pPr>
      <w:r w:rsidRPr="0094790E">
        <w:rPr>
          <w:rFonts w:cs="Arial"/>
          <w:b/>
          <w:sz w:val="22"/>
          <w:szCs w:val="22"/>
        </w:rPr>
        <w:t>ATTENDANCE AND APOLOGIES</w:t>
      </w:r>
    </w:p>
    <w:p w14:paraId="0F6AC082" w14:textId="77777777" w:rsidR="00A431C1" w:rsidRPr="0094790E" w:rsidRDefault="00A431C1" w:rsidP="00A431C1">
      <w:pPr>
        <w:tabs>
          <w:tab w:val="left" w:pos="426"/>
        </w:tabs>
        <w:spacing w:after="0"/>
        <w:rPr>
          <w:rFonts w:cs="Arial"/>
          <w:sz w:val="22"/>
          <w:szCs w:val="22"/>
        </w:rPr>
      </w:pPr>
      <w:r w:rsidRPr="0094790E">
        <w:rPr>
          <w:rFonts w:cs="Arial"/>
          <w:sz w:val="22"/>
          <w:szCs w:val="22"/>
        </w:rPr>
        <w:t>IN ATTENDANCE</w:t>
      </w:r>
    </w:p>
    <w:p w14:paraId="0D67E1AB" w14:textId="77777777" w:rsidR="00A431C1" w:rsidRPr="0094790E" w:rsidRDefault="00A431C1" w:rsidP="00A431C1">
      <w:pPr>
        <w:tabs>
          <w:tab w:val="left" w:pos="426"/>
        </w:tabs>
        <w:spacing w:after="0"/>
        <w:rPr>
          <w:rFonts w:cs="Arial"/>
          <w:sz w:val="22"/>
          <w:szCs w:val="22"/>
        </w:rPr>
      </w:pPr>
      <w:r w:rsidRPr="0094790E">
        <w:rPr>
          <w:rFonts w:cs="Arial"/>
          <w:sz w:val="22"/>
          <w:szCs w:val="22"/>
        </w:rPr>
        <w:t xml:space="preserve">Dr Chris </w:t>
      </w:r>
      <w:r>
        <w:rPr>
          <w:rFonts w:cs="Arial"/>
          <w:sz w:val="22"/>
          <w:szCs w:val="22"/>
        </w:rPr>
        <w:t>P</w:t>
      </w:r>
      <w:r w:rsidRPr="0094790E">
        <w:rPr>
          <w:rFonts w:cs="Arial"/>
          <w:sz w:val="22"/>
          <w:szCs w:val="22"/>
        </w:rPr>
        <w:t xml:space="preserve">igram (Chair) </w:t>
      </w:r>
    </w:p>
    <w:p w14:paraId="65491790" w14:textId="77777777" w:rsidR="00A431C1" w:rsidRPr="0094790E" w:rsidRDefault="00A431C1" w:rsidP="00A431C1">
      <w:pPr>
        <w:tabs>
          <w:tab w:val="left" w:pos="426"/>
        </w:tabs>
        <w:spacing w:after="0"/>
        <w:rPr>
          <w:rFonts w:cs="Arial"/>
          <w:sz w:val="22"/>
          <w:szCs w:val="22"/>
        </w:rPr>
      </w:pPr>
      <w:r w:rsidRPr="0094790E">
        <w:rPr>
          <w:rFonts w:cs="Arial"/>
          <w:sz w:val="22"/>
          <w:szCs w:val="22"/>
        </w:rPr>
        <w:t>Dr Andrew Boulton</w:t>
      </w:r>
    </w:p>
    <w:p w14:paraId="4019E33A" w14:textId="77777777" w:rsidR="00A431C1" w:rsidRPr="0094790E" w:rsidRDefault="00A431C1" w:rsidP="00A431C1">
      <w:pPr>
        <w:tabs>
          <w:tab w:val="left" w:pos="426"/>
        </w:tabs>
        <w:spacing w:after="0"/>
        <w:rPr>
          <w:rFonts w:cs="Arial"/>
          <w:sz w:val="22"/>
          <w:szCs w:val="22"/>
        </w:rPr>
      </w:pPr>
      <w:r w:rsidRPr="0094790E">
        <w:rPr>
          <w:rFonts w:cs="Arial"/>
          <w:sz w:val="22"/>
          <w:szCs w:val="22"/>
        </w:rPr>
        <w:t>Dr Catherine Moore</w:t>
      </w:r>
    </w:p>
    <w:p w14:paraId="72663971" w14:textId="77777777" w:rsidR="00A431C1" w:rsidRPr="0094790E" w:rsidRDefault="00A431C1" w:rsidP="00A431C1">
      <w:pPr>
        <w:tabs>
          <w:tab w:val="left" w:pos="426"/>
        </w:tabs>
        <w:spacing w:after="0"/>
        <w:rPr>
          <w:rFonts w:cs="Arial"/>
          <w:sz w:val="22"/>
          <w:szCs w:val="22"/>
        </w:rPr>
      </w:pPr>
      <w:r w:rsidRPr="0094790E">
        <w:rPr>
          <w:rFonts w:cs="Arial"/>
          <w:sz w:val="22"/>
          <w:szCs w:val="22"/>
        </w:rPr>
        <w:t>Professor Jenny Davis</w:t>
      </w:r>
    </w:p>
    <w:p w14:paraId="56B6A7EC" w14:textId="77777777" w:rsidR="00A431C1" w:rsidRPr="0094790E" w:rsidRDefault="00A431C1" w:rsidP="00A431C1">
      <w:pPr>
        <w:tabs>
          <w:tab w:val="left" w:pos="426"/>
        </w:tabs>
        <w:spacing w:after="0"/>
        <w:rPr>
          <w:rFonts w:cs="Arial"/>
          <w:sz w:val="22"/>
          <w:szCs w:val="22"/>
        </w:rPr>
      </w:pPr>
      <w:r w:rsidRPr="0094790E">
        <w:rPr>
          <w:rFonts w:cs="Arial"/>
          <w:sz w:val="22"/>
          <w:szCs w:val="22"/>
        </w:rPr>
        <w:t xml:space="preserve">Dr Jenny Stauber </w:t>
      </w:r>
    </w:p>
    <w:p w14:paraId="3854FCF3" w14:textId="4B00AA76" w:rsidR="00A431C1" w:rsidRPr="0094790E" w:rsidRDefault="003A1941" w:rsidP="00A431C1">
      <w:pPr>
        <w:tabs>
          <w:tab w:val="left" w:pos="426"/>
        </w:tabs>
        <w:spacing w:after="0"/>
        <w:rPr>
          <w:rFonts w:cs="Arial"/>
          <w:sz w:val="22"/>
          <w:szCs w:val="22"/>
        </w:rPr>
      </w:pPr>
      <w:r>
        <w:rPr>
          <w:rFonts w:cs="Arial"/>
          <w:sz w:val="22"/>
          <w:szCs w:val="22"/>
        </w:rPr>
        <w:t>Dr</w:t>
      </w:r>
      <w:r w:rsidR="00A431C1" w:rsidRPr="0094790E">
        <w:rPr>
          <w:rFonts w:cs="Arial"/>
          <w:sz w:val="22"/>
          <w:szCs w:val="22"/>
        </w:rPr>
        <w:t xml:space="preserve"> Rory Nathan</w:t>
      </w:r>
    </w:p>
    <w:p w14:paraId="2F78C58E" w14:textId="7B2431B5" w:rsidR="00A431C1" w:rsidRDefault="00A431C1" w:rsidP="00A431C1">
      <w:pPr>
        <w:tabs>
          <w:tab w:val="left" w:pos="426"/>
        </w:tabs>
        <w:spacing w:after="0"/>
        <w:rPr>
          <w:rFonts w:cs="Arial"/>
          <w:sz w:val="22"/>
          <w:szCs w:val="22"/>
        </w:rPr>
      </w:pPr>
      <w:r w:rsidRPr="0094790E">
        <w:rPr>
          <w:rFonts w:cs="Arial"/>
          <w:sz w:val="22"/>
          <w:szCs w:val="22"/>
        </w:rPr>
        <w:t>Professor Wendy Timms</w:t>
      </w:r>
    </w:p>
    <w:p w14:paraId="3693E04B" w14:textId="62107AAE" w:rsidR="004F33C7" w:rsidRDefault="004F33C7" w:rsidP="00A431C1">
      <w:pPr>
        <w:tabs>
          <w:tab w:val="left" w:pos="426"/>
        </w:tabs>
        <w:spacing w:after="0"/>
        <w:rPr>
          <w:rFonts w:cs="Arial"/>
          <w:sz w:val="22"/>
          <w:szCs w:val="22"/>
        </w:rPr>
      </w:pPr>
    </w:p>
    <w:p w14:paraId="2D3F5275" w14:textId="7A9D2D9A" w:rsidR="004F33C7" w:rsidRDefault="004F33C7" w:rsidP="00A431C1">
      <w:pPr>
        <w:tabs>
          <w:tab w:val="left" w:pos="426"/>
        </w:tabs>
        <w:spacing w:after="0"/>
        <w:rPr>
          <w:rFonts w:cs="Arial"/>
          <w:sz w:val="22"/>
          <w:szCs w:val="22"/>
        </w:rPr>
      </w:pPr>
      <w:r>
        <w:rPr>
          <w:rFonts w:cs="Arial"/>
          <w:sz w:val="22"/>
          <w:szCs w:val="22"/>
        </w:rPr>
        <w:t>APOLOGIES</w:t>
      </w:r>
    </w:p>
    <w:p w14:paraId="7AEB6C05" w14:textId="4D7A3D4F" w:rsidR="004F33C7" w:rsidRPr="0094790E" w:rsidRDefault="004F33C7" w:rsidP="00A431C1">
      <w:pPr>
        <w:tabs>
          <w:tab w:val="left" w:pos="426"/>
        </w:tabs>
        <w:spacing w:after="0"/>
        <w:rPr>
          <w:rFonts w:cs="Arial"/>
          <w:sz w:val="22"/>
          <w:szCs w:val="22"/>
        </w:rPr>
      </w:pPr>
      <w:r>
        <w:rPr>
          <w:rFonts w:cs="Arial"/>
          <w:sz w:val="22"/>
          <w:szCs w:val="22"/>
        </w:rPr>
        <w:t>Professor Craig Simmons</w:t>
      </w:r>
    </w:p>
    <w:p w14:paraId="473F92CE" w14:textId="77777777" w:rsidR="00A431C1" w:rsidRPr="0094790E" w:rsidRDefault="00A431C1" w:rsidP="00A431C1">
      <w:pPr>
        <w:tabs>
          <w:tab w:val="left" w:pos="426"/>
        </w:tabs>
        <w:spacing w:after="0"/>
        <w:rPr>
          <w:rFonts w:cs="Arial"/>
          <w:sz w:val="22"/>
          <w:szCs w:val="22"/>
          <w:highlight w:val="yellow"/>
        </w:rPr>
      </w:pPr>
    </w:p>
    <w:p w14:paraId="6CEFC7D8" w14:textId="77777777" w:rsidR="00A431C1" w:rsidRPr="0094790E" w:rsidRDefault="00A431C1" w:rsidP="00A431C1">
      <w:pPr>
        <w:tabs>
          <w:tab w:val="left" w:pos="426"/>
          <w:tab w:val="left" w:pos="5250"/>
        </w:tabs>
        <w:spacing w:after="0"/>
        <w:rPr>
          <w:rFonts w:cs="Arial"/>
          <w:sz w:val="22"/>
          <w:szCs w:val="22"/>
        </w:rPr>
      </w:pPr>
      <w:r w:rsidRPr="0094790E">
        <w:rPr>
          <w:rFonts w:cs="Arial"/>
          <w:sz w:val="22"/>
          <w:szCs w:val="22"/>
        </w:rPr>
        <w:t>OFFICE OF WATER SCIENCE</w:t>
      </w:r>
    </w:p>
    <w:p w14:paraId="45D28F99" w14:textId="624E2016" w:rsidR="00A431C1" w:rsidRDefault="00A431C1" w:rsidP="00A431C1">
      <w:pPr>
        <w:tabs>
          <w:tab w:val="left" w:pos="426"/>
        </w:tabs>
        <w:spacing w:after="0"/>
        <w:rPr>
          <w:rFonts w:cs="Arial"/>
          <w:sz w:val="22"/>
          <w:szCs w:val="22"/>
        </w:rPr>
      </w:pPr>
      <w:r w:rsidRPr="0094790E">
        <w:rPr>
          <w:rFonts w:cs="Arial"/>
          <w:sz w:val="22"/>
          <w:szCs w:val="22"/>
        </w:rPr>
        <w:t>Pet</w:t>
      </w:r>
      <w:r w:rsidR="003A1941">
        <w:rPr>
          <w:rFonts w:cs="Arial"/>
          <w:sz w:val="22"/>
          <w:szCs w:val="22"/>
        </w:rPr>
        <w:t>er Baker</w:t>
      </w:r>
    </w:p>
    <w:p w14:paraId="6425EFCF" w14:textId="3E522A36" w:rsidR="0098198A" w:rsidRDefault="0098198A" w:rsidP="00A431C1">
      <w:pPr>
        <w:tabs>
          <w:tab w:val="left" w:pos="426"/>
        </w:tabs>
        <w:spacing w:after="0"/>
        <w:rPr>
          <w:rFonts w:cs="Arial"/>
          <w:sz w:val="22"/>
          <w:szCs w:val="22"/>
        </w:rPr>
      </w:pPr>
      <w:r>
        <w:rPr>
          <w:rFonts w:cs="Arial"/>
          <w:sz w:val="22"/>
          <w:szCs w:val="22"/>
        </w:rPr>
        <w:t>James Rae</w:t>
      </w:r>
    </w:p>
    <w:p w14:paraId="39DBAA3D" w14:textId="3CE2CED7" w:rsidR="00A431C1" w:rsidRDefault="00A431C1" w:rsidP="00A431C1">
      <w:pPr>
        <w:tabs>
          <w:tab w:val="left" w:pos="426"/>
        </w:tabs>
        <w:spacing w:after="0"/>
        <w:rPr>
          <w:rFonts w:cs="Arial"/>
          <w:sz w:val="22"/>
          <w:szCs w:val="22"/>
        </w:rPr>
      </w:pPr>
      <w:r>
        <w:rPr>
          <w:rFonts w:cs="Arial"/>
          <w:sz w:val="22"/>
          <w:szCs w:val="22"/>
        </w:rPr>
        <w:t>Jason Smith</w:t>
      </w:r>
    </w:p>
    <w:p w14:paraId="152FC4B5" w14:textId="77777777" w:rsidR="0098198A" w:rsidRDefault="0098198A" w:rsidP="0098198A">
      <w:pPr>
        <w:tabs>
          <w:tab w:val="left" w:pos="426"/>
        </w:tabs>
        <w:spacing w:after="0"/>
        <w:rPr>
          <w:rFonts w:cs="Arial"/>
          <w:sz w:val="22"/>
          <w:szCs w:val="22"/>
        </w:rPr>
      </w:pPr>
      <w:r>
        <w:rPr>
          <w:rFonts w:cs="Arial"/>
          <w:sz w:val="22"/>
          <w:szCs w:val="22"/>
        </w:rPr>
        <w:t>Nicola Smillie</w:t>
      </w:r>
    </w:p>
    <w:p w14:paraId="3B1EAED7" w14:textId="7E54D20F" w:rsidR="00A431C1" w:rsidRDefault="00A431C1" w:rsidP="00A431C1">
      <w:pPr>
        <w:tabs>
          <w:tab w:val="left" w:pos="426"/>
        </w:tabs>
        <w:spacing w:after="0"/>
        <w:rPr>
          <w:rFonts w:cs="Arial"/>
          <w:sz w:val="22"/>
          <w:szCs w:val="22"/>
        </w:rPr>
      </w:pPr>
      <w:r>
        <w:rPr>
          <w:rFonts w:cs="Arial"/>
          <w:sz w:val="22"/>
          <w:szCs w:val="22"/>
        </w:rPr>
        <w:t>Praveen Sebastian</w:t>
      </w:r>
    </w:p>
    <w:p w14:paraId="6A945207" w14:textId="593AB4F4" w:rsidR="0098198A" w:rsidRPr="00B714FB" w:rsidRDefault="0098198A" w:rsidP="00A431C1">
      <w:pPr>
        <w:tabs>
          <w:tab w:val="left" w:pos="426"/>
        </w:tabs>
        <w:spacing w:after="0"/>
        <w:rPr>
          <w:rFonts w:cs="Arial"/>
          <w:sz w:val="22"/>
          <w:szCs w:val="22"/>
        </w:rPr>
      </w:pPr>
      <w:r>
        <w:rPr>
          <w:rFonts w:cs="Arial"/>
          <w:sz w:val="22"/>
          <w:szCs w:val="22"/>
        </w:rPr>
        <w:t xml:space="preserve">Alannah </w:t>
      </w:r>
      <w:r w:rsidRPr="00B714FB">
        <w:rPr>
          <w:rFonts w:cs="Arial"/>
          <w:sz w:val="22"/>
          <w:szCs w:val="22"/>
        </w:rPr>
        <w:t xml:space="preserve">Wood (Items </w:t>
      </w:r>
      <w:r w:rsidR="00973CE1" w:rsidRPr="00B714FB">
        <w:rPr>
          <w:rFonts w:cs="Arial"/>
          <w:sz w:val="22"/>
          <w:szCs w:val="22"/>
        </w:rPr>
        <w:t>1, 2</w:t>
      </w:r>
      <w:r w:rsidR="00B23BF0" w:rsidRPr="00B714FB">
        <w:rPr>
          <w:rFonts w:cs="Arial"/>
          <w:sz w:val="22"/>
          <w:szCs w:val="22"/>
        </w:rPr>
        <w:t xml:space="preserve">, </w:t>
      </w:r>
      <w:r w:rsidR="00973CE1" w:rsidRPr="00B714FB">
        <w:rPr>
          <w:rFonts w:cs="Arial"/>
          <w:sz w:val="22"/>
          <w:szCs w:val="22"/>
        </w:rPr>
        <w:t>3.1</w:t>
      </w:r>
      <w:r w:rsidR="00B23BF0" w:rsidRPr="00B714FB">
        <w:rPr>
          <w:rFonts w:cs="Arial"/>
          <w:sz w:val="22"/>
          <w:szCs w:val="22"/>
        </w:rPr>
        <w:t xml:space="preserve"> and 4</w:t>
      </w:r>
      <w:r w:rsidR="00973CE1" w:rsidRPr="00B714FB">
        <w:rPr>
          <w:rFonts w:cs="Arial"/>
          <w:sz w:val="22"/>
          <w:szCs w:val="22"/>
        </w:rPr>
        <w:t>)</w:t>
      </w:r>
    </w:p>
    <w:p w14:paraId="0F7BB38A" w14:textId="2168EAE3" w:rsidR="0098198A" w:rsidRPr="00B714FB" w:rsidRDefault="0098198A" w:rsidP="00A431C1">
      <w:pPr>
        <w:tabs>
          <w:tab w:val="left" w:pos="426"/>
        </w:tabs>
        <w:spacing w:after="0"/>
        <w:rPr>
          <w:rFonts w:cs="Arial"/>
          <w:sz w:val="22"/>
          <w:szCs w:val="22"/>
        </w:rPr>
      </w:pPr>
      <w:r w:rsidRPr="00B714FB">
        <w:rPr>
          <w:rFonts w:cs="Arial"/>
          <w:sz w:val="22"/>
          <w:szCs w:val="22"/>
        </w:rPr>
        <w:t>Alex Hannan-Joyner (Items</w:t>
      </w:r>
      <w:r w:rsidR="00973CE1" w:rsidRPr="00B714FB">
        <w:rPr>
          <w:rFonts w:cs="Arial"/>
          <w:sz w:val="22"/>
          <w:szCs w:val="22"/>
        </w:rPr>
        <w:t xml:space="preserve"> 2.2</w:t>
      </w:r>
      <w:r w:rsidR="0040487E" w:rsidRPr="00B714FB">
        <w:rPr>
          <w:rFonts w:cs="Arial"/>
          <w:sz w:val="22"/>
          <w:szCs w:val="22"/>
        </w:rPr>
        <w:t>,</w:t>
      </w:r>
      <w:r w:rsidR="00B23BF0" w:rsidRPr="00B714FB">
        <w:rPr>
          <w:rFonts w:cs="Arial"/>
          <w:sz w:val="22"/>
          <w:szCs w:val="22"/>
        </w:rPr>
        <w:t xml:space="preserve"> 4</w:t>
      </w:r>
      <w:r w:rsidR="00973CE1" w:rsidRPr="00B714FB">
        <w:rPr>
          <w:rFonts w:cs="Arial"/>
          <w:sz w:val="22"/>
          <w:szCs w:val="22"/>
        </w:rPr>
        <w:t xml:space="preserve"> </w:t>
      </w:r>
      <w:r w:rsidR="0040487E" w:rsidRPr="00B714FB">
        <w:rPr>
          <w:rFonts w:cs="Arial"/>
          <w:sz w:val="22"/>
          <w:szCs w:val="22"/>
        </w:rPr>
        <w:t xml:space="preserve">and </w:t>
      </w:r>
      <w:r w:rsidR="00973CE1" w:rsidRPr="00B714FB">
        <w:rPr>
          <w:rFonts w:cs="Arial"/>
          <w:sz w:val="22"/>
          <w:szCs w:val="22"/>
        </w:rPr>
        <w:t>Day 3 of 2.1)</w:t>
      </w:r>
    </w:p>
    <w:p w14:paraId="0E062D86" w14:textId="2B9CB3C1" w:rsidR="0098198A" w:rsidRPr="00B714FB" w:rsidRDefault="0098198A" w:rsidP="00A431C1">
      <w:pPr>
        <w:tabs>
          <w:tab w:val="left" w:pos="426"/>
        </w:tabs>
        <w:spacing w:after="0"/>
        <w:rPr>
          <w:rFonts w:cs="Arial"/>
          <w:sz w:val="22"/>
          <w:szCs w:val="22"/>
        </w:rPr>
      </w:pPr>
      <w:r w:rsidRPr="00B714FB">
        <w:rPr>
          <w:rFonts w:cs="Arial"/>
          <w:sz w:val="22"/>
          <w:szCs w:val="22"/>
        </w:rPr>
        <w:t>Benjamin Klug (Items</w:t>
      </w:r>
      <w:r w:rsidR="00973CE1" w:rsidRPr="00B714FB">
        <w:rPr>
          <w:rFonts w:cs="Arial"/>
          <w:sz w:val="22"/>
          <w:szCs w:val="22"/>
        </w:rPr>
        <w:t xml:space="preserve"> 2.2</w:t>
      </w:r>
      <w:r w:rsidR="00AD7E41" w:rsidRPr="00B714FB">
        <w:rPr>
          <w:rFonts w:cs="Arial"/>
          <w:sz w:val="22"/>
          <w:szCs w:val="22"/>
        </w:rPr>
        <w:t xml:space="preserve"> and </w:t>
      </w:r>
      <w:r w:rsidR="00973CE1" w:rsidRPr="00B714FB">
        <w:rPr>
          <w:rFonts w:cs="Arial"/>
          <w:sz w:val="22"/>
          <w:szCs w:val="22"/>
        </w:rPr>
        <w:t>3.2)</w:t>
      </w:r>
    </w:p>
    <w:p w14:paraId="257AB079" w14:textId="0D56A122" w:rsidR="0098198A" w:rsidRPr="00B714FB" w:rsidRDefault="0098198A" w:rsidP="00A431C1">
      <w:pPr>
        <w:tabs>
          <w:tab w:val="left" w:pos="426"/>
        </w:tabs>
        <w:spacing w:after="0"/>
        <w:rPr>
          <w:rFonts w:cs="Arial"/>
          <w:sz w:val="22"/>
          <w:szCs w:val="22"/>
        </w:rPr>
      </w:pPr>
      <w:r w:rsidRPr="00B714FB">
        <w:rPr>
          <w:rFonts w:cs="Arial"/>
          <w:sz w:val="22"/>
          <w:szCs w:val="22"/>
        </w:rPr>
        <w:t>Harrison Martin (Items</w:t>
      </w:r>
      <w:r w:rsidR="00973CE1" w:rsidRPr="00B714FB">
        <w:rPr>
          <w:rFonts w:cs="Arial"/>
          <w:sz w:val="22"/>
          <w:szCs w:val="22"/>
        </w:rPr>
        <w:t xml:space="preserve"> 2</w:t>
      </w:r>
      <w:r w:rsidR="00B23BF0" w:rsidRPr="00B714FB">
        <w:rPr>
          <w:rFonts w:cs="Arial"/>
          <w:sz w:val="22"/>
          <w:szCs w:val="22"/>
        </w:rPr>
        <w:t xml:space="preserve"> and 4</w:t>
      </w:r>
      <w:r w:rsidR="00973CE1" w:rsidRPr="00B714FB">
        <w:rPr>
          <w:rFonts w:cs="Arial"/>
          <w:sz w:val="22"/>
          <w:szCs w:val="22"/>
        </w:rPr>
        <w:t>)</w:t>
      </w:r>
    </w:p>
    <w:p w14:paraId="61AD38F3" w14:textId="74B0543E" w:rsidR="0098198A" w:rsidRPr="00B714FB" w:rsidRDefault="00A431C1" w:rsidP="00A431C1">
      <w:pPr>
        <w:tabs>
          <w:tab w:val="left" w:pos="426"/>
        </w:tabs>
        <w:spacing w:after="0"/>
        <w:rPr>
          <w:rFonts w:cs="Arial"/>
          <w:sz w:val="22"/>
          <w:szCs w:val="22"/>
        </w:rPr>
      </w:pPr>
      <w:r w:rsidRPr="00B714FB">
        <w:rPr>
          <w:rFonts w:cs="Arial"/>
          <w:sz w:val="22"/>
          <w:szCs w:val="22"/>
        </w:rPr>
        <w:t>Kelly Strike</w:t>
      </w:r>
      <w:r w:rsidR="0098198A" w:rsidRPr="00B714FB">
        <w:rPr>
          <w:rFonts w:cs="Arial"/>
          <w:sz w:val="22"/>
          <w:szCs w:val="22"/>
        </w:rPr>
        <w:t xml:space="preserve"> (Item</w:t>
      </w:r>
      <w:r w:rsidR="0040487E" w:rsidRPr="00B714FB">
        <w:rPr>
          <w:rFonts w:cs="Arial"/>
          <w:sz w:val="22"/>
          <w:szCs w:val="22"/>
        </w:rPr>
        <w:t>s</w:t>
      </w:r>
      <w:r w:rsidR="00973CE1" w:rsidRPr="00B714FB">
        <w:rPr>
          <w:rFonts w:cs="Arial"/>
          <w:sz w:val="22"/>
          <w:szCs w:val="22"/>
        </w:rPr>
        <w:t xml:space="preserve"> 2.2</w:t>
      </w:r>
      <w:r w:rsidR="00B23BF0" w:rsidRPr="00B714FB">
        <w:rPr>
          <w:rFonts w:cs="Arial"/>
          <w:sz w:val="22"/>
          <w:szCs w:val="22"/>
        </w:rPr>
        <w:t xml:space="preserve"> and 4</w:t>
      </w:r>
      <w:r w:rsidR="00973CE1" w:rsidRPr="00B714FB">
        <w:rPr>
          <w:rFonts w:cs="Arial"/>
          <w:sz w:val="22"/>
          <w:szCs w:val="22"/>
        </w:rPr>
        <w:t>)</w:t>
      </w:r>
    </w:p>
    <w:p w14:paraId="50833D2A" w14:textId="7CDB9622" w:rsidR="00A431C1" w:rsidRPr="00B714FB" w:rsidRDefault="00A431C1" w:rsidP="00A431C1">
      <w:pPr>
        <w:tabs>
          <w:tab w:val="left" w:pos="426"/>
        </w:tabs>
        <w:spacing w:after="0"/>
        <w:rPr>
          <w:rFonts w:cs="Arial"/>
          <w:sz w:val="22"/>
          <w:szCs w:val="22"/>
        </w:rPr>
      </w:pPr>
      <w:r w:rsidRPr="00B714FB">
        <w:rPr>
          <w:rFonts w:cs="Arial"/>
          <w:sz w:val="22"/>
          <w:szCs w:val="22"/>
        </w:rPr>
        <w:t>Mio Kuhnen</w:t>
      </w:r>
      <w:r w:rsidR="0098198A" w:rsidRPr="00B714FB">
        <w:rPr>
          <w:rFonts w:cs="Arial"/>
          <w:sz w:val="22"/>
          <w:szCs w:val="22"/>
        </w:rPr>
        <w:t xml:space="preserve"> (Item</w:t>
      </w:r>
      <w:r w:rsidR="0040487E" w:rsidRPr="00B714FB">
        <w:rPr>
          <w:rFonts w:cs="Arial"/>
          <w:sz w:val="22"/>
          <w:szCs w:val="22"/>
        </w:rPr>
        <w:t>s</w:t>
      </w:r>
      <w:r w:rsidR="00973CE1" w:rsidRPr="00B714FB">
        <w:rPr>
          <w:rFonts w:cs="Arial"/>
          <w:sz w:val="22"/>
          <w:szCs w:val="22"/>
        </w:rPr>
        <w:t xml:space="preserve"> 2.2</w:t>
      </w:r>
      <w:r w:rsidR="00B23BF0" w:rsidRPr="00B714FB">
        <w:rPr>
          <w:rFonts w:cs="Arial"/>
          <w:sz w:val="22"/>
          <w:szCs w:val="22"/>
        </w:rPr>
        <w:t xml:space="preserve"> and 4</w:t>
      </w:r>
      <w:r w:rsidR="00973CE1" w:rsidRPr="00B714FB">
        <w:rPr>
          <w:rFonts w:cs="Arial"/>
          <w:sz w:val="22"/>
          <w:szCs w:val="22"/>
        </w:rPr>
        <w:t>)</w:t>
      </w:r>
    </w:p>
    <w:p w14:paraId="0A8B225B" w14:textId="3D68B339" w:rsidR="0098198A" w:rsidRPr="00B714FB" w:rsidRDefault="0098198A" w:rsidP="00A431C1">
      <w:pPr>
        <w:tabs>
          <w:tab w:val="left" w:pos="426"/>
        </w:tabs>
        <w:spacing w:after="0"/>
        <w:rPr>
          <w:rFonts w:cs="Arial"/>
          <w:sz w:val="22"/>
          <w:szCs w:val="22"/>
        </w:rPr>
      </w:pPr>
      <w:r w:rsidRPr="00B714FB">
        <w:rPr>
          <w:rFonts w:cs="Arial"/>
          <w:sz w:val="22"/>
          <w:szCs w:val="22"/>
        </w:rPr>
        <w:t>Misty Dawn Thorose (Items</w:t>
      </w:r>
      <w:r w:rsidR="00973CE1" w:rsidRPr="00B714FB">
        <w:rPr>
          <w:rFonts w:cs="Arial"/>
          <w:sz w:val="22"/>
          <w:szCs w:val="22"/>
        </w:rPr>
        <w:t xml:space="preserve"> 1.1-1.</w:t>
      </w:r>
      <w:r w:rsidR="0040487E" w:rsidRPr="00B714FB">
        <w:rPr>
          <w:rFonts w:cs="Arial"/>
          <w:sz w:val="22"/>
          <w:szCs w:val="22"/>
        </w:rPr>
        <w:t>4</w:t>
      </w:r>
      <w:r w:rsidR="00B276CA" w:rsidRPr="00B714FB">
        <w:rPr>
          <w:rFonts w:cs="Arial"/>
          <w:sz w:val="22"/>
          <w:szCs w:val="22"/>
        </w:rPr>
        <w:t xml:space="preserve"> and</w:t>
      </w:r>
      <w:r w:rsidR="00973CE1" w:rsidRPr="00B714FB">
        <w:rPr>
          <w:rFonts w:cs="Arial"/>
          <w:sz w:val="22"/>
          <w:szCs w:val="22"/>
        </w:rPr>
        <w:t xml:space="preserve"> 2</w:t>
      </w:r>
      <w:r w:rsidR="00B276CA" w:rsidRPr="00B714FB">
        <w:rPr>
          <w:rFonts w:cs="Arial"/>
          <w:sz w:val="22"/>
          <w:szCs w:val="22"/>
        </w:rPr>
        <w:t>.1</w:t>
      </w:r>
      <w:r w:rsidR="00973CE1" w:rsidRPr="00B714FB">
        <w:rPr>
          <w:rFonts w:cs="Arial"/>
          <w:sz w:val="22"/>
          <w:szCs w:val="22"/>
        </w:rPr>
        <w:t>)</w:t>
      </w:r>
    </w:p>
    <w:p w14:paraId="0BB03E05" w14:textId="77777777" w:rsidR="00A431C1" w:rsidRPr="00B714FB" w:rsidRDefault="00A431C1" w:rsidP="00A431C1">
      <w:pPr>
        <w:spacing w:after="0"/>
        <w:rPr>
          <w:rFonts w:cs="Arial"/>
          <w:sz w:val="22"/>
          <w:szCs w:val="22"/>
        </w:rPr>
      </w:pPr>
    </w:p>
    <w:p w14:paraId="0347F4BA" w14:textId="43B01241" w:rsidR="00A431C1" w:rsidRPr="0094790E" w:rsidRDefault="00A431C1" w:rsidP="00A431C1">
      <w:pPr>
        <w:spacing w:after="0"/>
        <w:rPr>
          <w:rFonts w:cs="Arial"/>
          <w:sz w:val="22"/>
          <w:szCs w:val="22"/>
          <w:highlight w:val="yellow"/>
        </w:rPr>
      </w:pPr>
      <w:r w:rsidRPr="0094790E">
        <w:rPr>
          <w:rFonts w:cs="Arial"/>
          <w:sz w:val="22"/>
          <w:szCs w:val="22"/>
        </w:rPr>
        <w:t xml:space="preserve">The meeting commenced at </w:t>
      </w:r>
      <w:r w:rsidR="003A1941">
        <w:rPr>
          <w:rFonts w:cs="Arial"/>
          <w:sz w:val="22"/>
          <w:szCs w:val="22"/>
        </w:rPr>
        <w:t>9</w:t>
      </w:r>
      <w:r w:rsidRPr="0094790E">
        <w:rPr>
          <w:rFonts w:cs="Arial"/>
          <w:sz w:val="22"/>
          <w:szCs w:val="22"/>
        </w:rPr>
        <w:t>.</w:t>
      </w:r>
      <w:r>
        <w:rPr>
          <w:rFonts w:cs="Arial"/>
          <w:sz w:val="22"/>
          <w:szCs w:val="22"/>
        </w:rPr>
        <w:t>0</w:t>
      </w:r>
      <w:r w:rsidRPr="0094790E">
        <w:rPr>
          <w:rFonts w:cs="Arial"/>
          <w:sz w:val="22"/>
          <w:szCs w:val="22"/>
        </w:rPr>
        <w:t>0</w:t>
      </w:r>
      <w:r w:rsidR="003A1941">
        <w:rPr>
          <w:rFonts w:cs="Arial"/>
          <w:sz w:val="22"/>
          <w:szCs w:val="22"/>
        </w:rPr>
        <w:t xml:space="preserve"> a</w:t>
      </w:r>
      <w:r w:rsidRPr="0094790E">
        <w:rPr>
          <w:rFonts w:cs="Arial"/>
          <w:sz w:val="22"/>
          <w:szCs w:val="22"/>
        </w:rPr>
        <w:t xml:space="preserve">m on </w:t>
      </w:r>
      <w:r w:rsidR="003A1941">
        <w:rPr>
          <w:rFonts w:cs="Arial"/>
          <w:sz w:val="22"/>
          <w:szCs w:val="22"/>
        </w:rPr>
        <w:t>Tues</w:t>
      </w:r>
      <w:r w:rsidRPr="0094790E">
        <w:rPr>
          <w:rFonts w:cs="Arial"/>
          <w:sz w:val="22"/>
          <w:szCs w:val="22"/>
        </w:rPr>
        <w:t xml:space="preserve">day </w:t>
      </w:r>
      <w:r w:rsidR="003A1941">
        <w:rPr>
          <w:rFonts w:cs="Arial"/>
          <w:sz w:val="22"/>
          <w:szCs w:val="22"/>
        </w:rPr>
        <w:t>8 December</w:t>
      </w:r>
      <w:r w:rsidRPr="0094790E">
        <w:rPr>
          <w:rFonts w:cs="Arial"/>
          <w:sz w:val="22"/>
          <w:szCs w:val="22"/>
        </w:rPr>
        <w:t xml:space="preserve"> 20</w:t>
      </w:r>
      <w:r>
        <w:rPr>
          <w:rFonts w:cs="Arial"/>
          <w:sz w:val="22"/>
          <w:szCs w:val="22"/>
        </w:rPr>
        <w:t>20</w:t>
      </w:r>
      <w:r w:rsidRPr="0094790E">
        <w:rPr>
          <w:rFonts w:cs="Arial"/>
          <w:sz w:val="22"/>
          <w:szCs w:val="22"/>
        </w:rPr>
        <w:t>.</w:t>
      </w:r>
    </w:p>
    <w:p w14:paraId="7A842BCE" w14:textId="77777777" w:rsidR="00A431C1" w:rsidRPr="0094790E" w:rsidRDefault="00A431C1" w:rsidP="00A431C1">
      <w:pPr>
        <w:spacing w:after="0"/>
        <w:rPr>
          <w:rFonts w:cs="Arial"/>
          <w:sz w:val="22"/>
          <w:szCs w:val="22"/>
          <w:highlight w:val="yellow"/>
        </w:rPr>
      </w:pPr>
    </w:p>
    <w:p w14:paraId="3B916C6F" w14:textId="77777777" w:rsidR="00A431C1" w:rsidRPr="0094790E" w:rsidRDefault="00A431C1" w:rsidP="00A431C1">
      <w:pPr>
        <w:spacing w:after="0"/>
        <w:rPr>
          <w:rFonts w:cs="Arial"/>
          <w:b/>
          <w:sz w:val="22"/>
          <w:szCs w:val="22"/>
        </w:rPr>
      </w:pPr>
      <w:r w:rsidRPr="0094790E">
        <w:rPr>
          <w:rFonts w:cs="Arial"/>
          <w:b/>
          <w:sz w:val="22"/>
          <w:szCs w:val="22"/>
        </w:rPr>
        <w:br w:type="page"/>
      </w:r>
    </w:p>
    <w:p w14:paraId="54F9ACC6" w14:textId="77777777" w:rsidR="00A431C1" w:rsidRPr="0094790E" w:rsidRDefault="00A431C1" w:rsidP="00A431C1">
      <w:pPr>
        <w:spacing w:before="120" w:after="120"/>
        <w:rPr>
          <w:rFonts w:cs="Arial"/>
          <w:b/>
          <w:sz w:val="22"/>
          <w:szCs w:val="22"/>
        </w:rPr>
      </w:pPr>
      <w:r w:rsidRPr="0094790E">
        <w:rPr>
          <w:rFonts w:cs="Arial"/>
          <w:b/>
          <w:sz w:val="22"/>
          <w:szCs w:val="22"/>
        </w:rPr>
        <w:lastRenderedPageBreak/>
        <w:t>1. Welcome and Introductions</w:t>
      </w:r>
    </w:p>
    <w:p w14:paraId="09660897" w14:textId="77777777" w:rsidR="00A431C1" w:rsidRPr="0094790E" w:rsidRDefault="00A431C1" w:rsidP="00A431C1">
      <w:pPr>
        <w:spacing w:before="120" w:after="120"/>
        <w:rPr>
          <w:rFonts w:cs="Arial"/>
          <w:sz w:val="22"/>
          <w:szCs w:val="22"/>
        </w:rPr>
      </w:pPr>
      <w:r w:rsidRPr="0094790E">
        <w:rPr>
          <w:rFonts w:cs="Arial"/>
          <w:sz w:val="22"/>
          <w:szCs w:val="22"/>
        </w:rPr>
        <w:t>The Chair welcomed members of the Independent Expert Scientific Committee on Coal Seam Gas and Large Coal Mining Development (IESC) to the meeting.</w:t>
      </w:r>
    </w:p>
    <w:p w14:paraId="2A644879" w14:textId="27EC5320"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Pr="0094790E">
        <w:rPr>
          <w:rFonts w:cs="Arial"/>
          <w:sz w:val="22"/>
          <w:szCs w:val="22"/>
          <w:u w:val="single"/>
        </w:rPr>
        <w:t>Acknowledgement of Country</w:t>
      </w:r>
    </w:p>
    <w:p w14:paraId="643D0599" w14:textId="77777777" w:rsidR="00A431C1" w:rsidRPr="0094790E" w:rsidRDefault="00A431C1" w:rsidP="00A431C1">
      <w:pPr>
        <w:spacing w:before="120" w:after="120"/>
        <w:rPr>
          <w:rFonts w:cs="Arial"/>
          <w:sz w:val="22"/>
          <w:szCs w:val="22"/>
        </w:rPr>
      </w:pPr>
      <w:r w:rsidRPr="0094790E">
        <w:rPr>
          <w:rFonts w:cs="Arial"/>
          <w:sz w:val="22"/>
          <w:szCs w:val="22"/>
        </w:rPr>
        <w:t>The Chair acknowledged the traditional owners, past and present, on whose land this meeting was held.</w:t>
      </w:r>
    </w:p>
    <w:p w14:paraId="140CAEE7" w14:textId="303DC114"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1.2</w:t>
      </w:r>
      <w:r w:rsidRPr="0094790E">
        <w:rPr>
          <w:rFonts w:cs="Arial"/>
          <w:sz w:val="22"/>
          <w:szCs w:val="22"/>
        </w:rPr>
        <w:tab/>
      </w:r>
      <w:r w:rsidRPr="0094790E">
        <w:rPr>
          <w:rFonts w:cs="Arial"/>
          <w:sz w:val="22"/>
          <w:szCs w:val="22"/>
          <w:u w:val="single"/>
        </w:rPr>
        <w:t>Disclosure of Interests</w:t>
      </w:r>
    </w:p>
    <w:p w14:paraId="459E921C" w14:textId="349C6F6C" w:rsidR="00A431C1" w:rsidRPr="0094790E" w:rsidRDefault="00A431C1" w:rsidP="00A431C1">
      <w:pPr>
        <w:autoSpaceDE w:val="0"/>
        <w:autoSpaceDN w:val="0"/>
        <w:adjustRightInd w:val="0"/>
        <w:spacing w:before="120" w:after="120"/>
        <w:rPr>
          <w:rFonts w:cs="Arial"/>
          <w:sz w:val="22"/>
          <w:szCs w:val="22"/>
        </w:rPr>
      </w:pPr>
      <w:r w:rsidRPr="0094790E">
        <w:rPr>
          <w:rFonts w:cs="Arial"/>
          <w:sz w:val="22"/>
          <w:szCs w:val="22"/>
        </w:rPr>
        <w:t xml:space="preserve">Before the meeting commenced, Committee members completed the Meeting Specific Declaration of Interests and a project advice specific declaration for the </w:t>
      </w:r>
      <w:r w:rsidR="00364852">
        <w:rPr>
          <w:rFonts w:cs="Arial"/>
          <w:sz w:val="22"/>
          <w:szCs w:val="22"/>
        </w:rPr>
        <w:t>Narrabri Underground Mine Stage 3 Extension</w:t>
      </w:r>
      <w:r w:rsidRPr="0094790E">
        <w:rPr>
          <w:rFonts w:cs="Arial"/>
          <w:sz w:val="22"/>
          <w:szCs w:val="22"/>
        </w:rPr>
        <w:t xml:space="preserve"> Project</w:t>
      </w:r>
      <w:r>
        <w:rPr>
          <w:rFonts w:cs="Arial"/>
          <w:sz w:val="22"/>
          <w:szCs w:val="22"/>
        </w:rPr>
        <w:t xml:space="preserve"> </w:t>
      </w:r>
      <w:r w:rsidRPr="0094790E">
        <w:rPr>
          <w:rFonts w:cs="Arial"/>
          <w:sz w:val="22"/>
          <w:szCs w:val="22"/>
        </w:rPr>
        <w:t xml:space="preserve">and the </w:t>
      </w:r>
      <w:r w:rsidR="00364852">
        <w:rPr>
          <w:rFonts w:cs="Arial"/>
          <w:sz w:val="22"/>
          <w:szCs w:val="22"/>
        </w:rPr>
        <w:t>Central Queensland Coal</w:t>
      </w:r>
      <w:r w:rsidRPr="0094790E">
        <w:rPr>
          <w:rFonts w:cs="Arial"/>
          <w:sz w:val="22"/>
          <w:szCs w:val="22"/>
        </w:rPr>
        <w:t xml:space="preserve"> Project.</w:t>
      </w:r>
    </w:p>
    <w:p w14:paraId="1FF2928B" w14:textId="4C24D68F" w:rsidR="00A431C1" w:rsidRPr="0094790E" w:rsidRDefault="00A431C1" w:rsidP="001D41CF">
      <w:pPr>
        <w:tabs>
          <w:tab w:val="left" w:pos="426"/>
        </w:tabs>
        <w:spacing w:before="120" w:after="120"/>
        <w:rPr>
          <w:rFonts w:cs="Arial"/>
          <w:sz w:val="22"/>
          <w:szCs w:val="22"/>
        </w:rPr>
      </w:pPr>
      <w:r w:rsidRPr="0094790E">
        <w:rPr>
          <w:rFonts w:cs="Arial"/>
          <w:sz w:val="22"/>
          <w:szCs w:val="22"/>
        </w:rPr>
        <w:t>1.3</w:t>
      </w:r>
      <w:r w:rsidR="001D41CF">
        <w:rPr>
          <w:rFonts w:cs="Arial"/>
          <w:sz w:val="22"/>
          <w:szCs w:val="22"/>
        </w:rPr>
        <w:tab/>
      </w:r>
      <w:r w:rsidRPr="0094790E">
        <w:rPr>
          <w:rFonts w:cs="Arial"/>
          <w:sz w:val="22"/>
          <w:szCs w:val="22"/>
          <w:u w:val="single"/>
        </w:rPr>
        <w:t>Confirmation of Agenda</w:t>
      </w:r>
    </w:p>
    <w:p w14:paraId="37EC9592" w14:textId="5244AA7A" w:rsidR="00A431C1" w:rsidRPr="0094790E" w:rsidRDefault="00A431C1" w:rsidP="00A431C1">
      <w:pPr>
        <w:tabs>
          <w:tab w:val="left" w:pos="426"/>
          <w:tab w:val="left" w:pos="567"/>
        </w:tabs>
        <w:spacing w:before="120" w:after="120"/>
        <w:rPr>
          <w:rFonts w:cs="Arial"/>
          <w:sz w:val="22"/>
          <w:szCs w:val="22"/>
        </w:rPr>
      </w:pPr>
      <w:r w:rsidRPr="0094790E">
        <w:rPr>
          <w:rFonts w:cs="Arial"/>
          <w:sz w:val="22"/>
          <w:szCs w:val="22"/>
        </w:rPr>
        <w:t xml:space="preserve">The Committee endorsed the agenda for Meeting </w:t>
      </w:r>
      <w:r w:rsidR="00364852">
        <w:rPr>
          <w:rFonts w:cs="Arial"/>
          <w:sz w:val="22"/>
          <w:szCs w:val="22"/>
        </w:rPr>
        <w:t>72</w:t>
      </w:r>
      <w:r w:rsidRPr="0094790E">
        <w:rPr>
          <w:rFonts w:cs="Arial"/>
          <w:sz w:val="22"/>
          <w:szCs w:val="22"/>
        </w:rPr>
        <w:t>.</w:t>
      </w:r>
    </w:p>
    <w:p w14:paraId="0A32C8ED" w14:textId="3C4811ED"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u w:val="single"/>
        </w:rPr>
        <w:t>Confirmation of Out-of-Session decisions</w:t>
      </w:r>
    </w:p>
    <w:p w14:paraId="5952D921" w14:textId="77777777" w:rsidR="00A431C1" w:rsidRPr="0094790E" w:rsidRDefault="00A431C1" w:rsidP="00A431C1">
      <w:pPr>
        <w:tabs>
          <w:tab w:val="left" w:pos="426"/>
        </w:tabs>
        <w:spacing w:before="120" w:after="120"/>
        <w:rPr>
          <w:rFonts w:cs="Arial"/>
          <w:sz w:val="22"/>
          <w:szCs w:val="22"/>
          <w:u w:val="single"/>
        </w:rPr>
      </w:pPr>
      <w:r w:rsidRPr="0094790E">
        <w:rPr>
          <w:rFonts w:ascii="Calibri" w:hAnsi="Calibri" w:cs="Arial"/>
          <w:sz w:val="22"/>
          <w:szCs w:val="22"/>
        </w:rPr>
        <w:t>The Committee noted that:</w:t>
      </w:r>
    </w:p>
    <w:p w14:paraId="48FB0BB2" w14:textId="4502C727" w:rsidR="00A431C1" w:rsidRDefault="00A431C1" w:rsidP="00A431C1">
      <w:pPr>
        <w:pStyle w:val="ListParagraph"/>
        <w:numPr>
          <w:ilvl w:val="0"/>
          <w:numId w:val="4"/>
        </w:numPr>
        <w:spacing w:before="120" w:after="120"/>
        <w:ind w:left="714" w:hanging="357"/>
        <w:rPr>
          <w:sz w:val="22"/>
          <w:szCs w:val="22"/>
        </w:rPr>
      </w:pPr>
      <w:r>
        <w:rPr>
          <w:sz w:val="22"/>
          <w:szCs w:val="22"/>
        </w:rPr>
        <w:t>m</w:t>
      </w:r>
      <w:r w:rsidRPr="0094790E">
        <w:rPr>
          <w:sz w:val="22"/>
          <w:szCs w:val="22"/>
        </w:rPr>
        <w:t>inutes of the Committee’s s</w:t>
      </w:r>
      <w:r w:rsidR="00364852">
        <w:rPr>
          <w:sz w:val="22"/>
          <w:szCs w:val="22"/>
        </w:rPr>
        <w:t>event</w:t>
      </w:r>
      <w:r w:rsidRPr="0094790E">
        <w:rPr>
          <w:sz w:val="22"/>
          <w:szCs w:val="22"/>
        </w:rPr>
        <w:t>y-</w:t>
      </w:r>
      <w:r w:rsidR="00364852">
        <w:rPr>
          <w:sz w:val="22"/>
          <w:szCs w:val="22"/>
        </w:rPr>
        <w:t>first</w:t>
      </w:r>
      <w:r w:rsidRPr="0094790E">
        <w:rPr>
          <w:sz w:val="22"/>
          <w:szCs w:val="22"/>
        </w:rPr>
        <w:t xml:space="preserve"> meeting on </w:t>
      </w:r>
      <w:r w:rsidR="00364852">
        <w:rPr>
          <w:sz w:val="22"/>
          <w:szCs w:val="22"/>
        </w:rPr>
        <w:t>5 November</w:t>
      </w:r>
      <w:r w:rsidRPr="0094790E">
        <w:rPr>
          <w:sz w:val="22"/>
          <w:szCs w:val="22"/>
        </w:rPr>
        <w:t xml:space="preserve"> were agreed out-of-session and published.</w:t>
      </w:r>
    </w:p>
    <w:p w14:paraId="61FC8008" w14:textId="33E4931B" w:rsidR="00A431C1" w:rsidRPr="0094790E" w:rsidRDefault="00A431C1" w:rsidP="00A431C1">
      <w:pPr>
        <w:tabs>
          <w:tab w:val="left" w:pos="426"/>
        </w:tabs>
        <w:spacing w:before="120" w:after="120"/>
        <w:rPr>
          <w:rFonts w:cs="Arial"/>
          <w:sz w:val="22"/>
          <w:szCs w:val="22"/>
        </w:rPr>
      </w:pPr>
      <w:r w:rsidRPr="0094790E">
        <w:rPr>
          <w:rFonts w:cs="Arial"/>
          <w:sz w:val="22"/>
          <w:szCs w:val="22"/>
        </w:rPr>
        <w:t>1.5</w:t>
      </w:r>
      <w:r w:rsidRPr="0094790E">
        <w:rPr>
          <w:rFonts w:cs="Arial"/>
          <w:sz w:val="22"/>
          <w:szCs w:val="22"/>
        </w:rPr>
        <w:tab/>
      </w:r>
      <w:r w:rsidRPr="0094790E">
        <w:rPr>
          <w:rFonts w:cs="Arial"/>
          <w:sz w:val="22"/>
          <w:szCs w:val="22"/>
          <w:u w:val="single"/>
        </w:rPr>
        <w:t>Correspondence</w:t>
      </w:r>
    </w:p>
    <w:p w14:paraId="2EC8A0FA" w14:textId="2395BCEC" w:rsidR="00A431C1" w:rsidRPr="0094790E" w:rsidRDefault="00A431C1" w:rsidP="00A431C1">
      <w:pPr>
        <w:spacing w:before="120" w:after="120"/>
        <w:ind w:left="369" w:hanging="369"/>
        <w:rPr>
          <w:rFonts w:cs="Arial"/>
          <w:sz w:val="22"/>
          <w:szCs w:val="22"/>
          <w:highlight w:val="yellow"/>
        </w:rPr>
      </w:pPr>
      <w:r w:rsidRPr="0094790E">
        <w:rPr>
          <w:rFonts w:cs="Arial"/>
          <w:sz w:val="22"/>
          <w:szCs w:val="22"/>
        </w:rPr>
        <w:t xml:space="preserve">The Committee noted the status of correspondence to </w:t>
      </w:r>
      <w:r w:rsidR="002C1E6C">
        <w:rPr>
          <w:rFonts w:cs="Arial"/>
          <w:sz w:val="22"/>
          <w:szCs w:val="22"/>
        </w:rPr>
        <w:t>2</w:t>
      </w:r>
      <w:r w:rsidR="0020292B">
        <w:rPr>
          <w:rFonts w:cs="Arial"/>
          <w:sz w:val="22"/>
          <w:szCs w:val="22"/>
        </w:rPr>
        <w:t>6</w:t>
      </w:r>
      <w:r w:rsidRPr="0094790E">
        <w:rPr>
          <w:rFonts w:cs="Arial"/>
          <w:sz w:val="22"/>
          <w:szCs w:val="22"/>
        </w:rPr>
        <w:t xml:space="preserve"> </w:t>
      </w:r>
      <w:r w:rsidR="002C1E6C">
        <w:rPr>
          <w:rFonts w:cs="Arial"/>
          <w:sz w:val="22"/>
          <w:szCs w:val="22"/>
        </w:rPr>
        <w:t>November</w:t>
      </w:r>
      <w:r w:rsidR="0020292B">
        <w:rPr>
          <w:rFonts w:cs="Arial"/>
          <w:sz w:val="22"/>
          <w:szCs w:val="22"/>
        </w:rPr>
        <w:t xml:space="preserve"> 2020</w:t>
      </w:r>
      <w:r w:rsidRPr="0094790E">
        <w:rPr>
          <w:rFonts w:cs="Arial"/>
          <w:sz w:val="22"/>
          <w:szCs w:val="22"/>
        </w:rPr>
        <w:t xml:space="preserve">.  </w:t>
      </w:r>
    </w:p>
    <w:p w14:paraId="61D46A24" w14:textId="62EC3CC3"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1.6</w:t>
      </w:r>
      <w:r w:rsidRPr="0094790E">
        <w:rPr>
          <w:rFonts w:cs="Arial"/>
          <w:sz w:val="22"/>
          <w:szCs w:val="22"/>
        </w:rPr>
        <w:tab/>
      </w:r>
      <w:r w:rsidRPr="0094790E">
        <w:rPr>
          <w:rFonts w:cs="Arial"/>
          <w:sz w:val="22"/>
          <w:szCs w:val="22"/>
          <w:u w:val="single"/>
        </w:rPr>
        <w:t>Action Items</w:t>
      </w:r>
    </w:p>
    <w:p w14:paraId="2CF8C052"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Ongoing items were </w:t>
      </w:r>
      <w:proofErr w:type="gramStart"/>
      <w:r w:rsidRPr="0094790E">
        <w:rPr>
          <w:rFonts w:cs="Arial"/>
          <w:sz w:val="22"/>
          <w:szCs w:val="22"/>
        </w:rPr>
        <w:t>noted</w:t>
      </w:r>
      <w:proofErr w:type="gramEnd"/>
      <w:r w:rsidRPr="0094790E">
        <w:rPr>
          <w:rFonts w:cs="Arial"/>
          <w:sz w:val="22"/>
          <w:szCs w:val="22"/>
        </w:rPr>
        <w:t xml:space="preserve"> and an update was provided on the timing of completion.</w:t>
      </w:r>
    </w:p>
    <w:p w14:paraId="5DF6CA13" w14:textId="1BE3E965" w:rsidR="00A431C1" w:rsidRPr="0094790E" w:rsidRDefault="00A431C1" w:rsidP="00A431C1">
      <w:pPr>
        <w:tabs>
          <w:tab w:val="left" w:pos="426"/>
        </w:tabs>
        <w:spacing w:before="120" w:after="120"/>
        <w:rPr>
          <w:rFonts w:cs="Arial"/>
          <w:sz w:val="22"/>
          <w:szCs w:val="22"/>
        </w:rPr>
      </w:pPr>
      <w:r w:rsidRPr="0094790E">
        <w:rPr>
          <w:rFonts w:cs="Arial"/>
          <w:sz w:val="22"/>
          <w:szCs w:val="22"/>
        </w:rPr>
        <w:t>1.7</w:t>
      </w:r>
      <w:r w:rsidRPr="0094790E">
        <w:rPr>
          <w:rFonts w:cs="Arial"/>
          <w:sz w:val="22"/>
          <w:szCs w:val="22"/>
        </w:rPr>
        <w:tab/>
      </w:r>
      <w:r w:rsidRPr="0094790E">
        <w:rPr>
          <w:rFonts w:cs="Arial"/>
          <w:sz w:val="22"/>
          <w:szCs w:val="22"/>
          <w:u w:val="single"/>
        </w:rPr>
        <w:t>Forward Planning Agenda</w:t>
      </w:r>
    </w:p>
    <w:p w14:paraId="5FB33542"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The Committee noted the forward planning agenda.  </w:t>
      </w:r>
    </w:p>
    <w:p w14:paraId="790F1691" w14:textId="15D4C8BD" w:rsidR="00A431C1" w:rsidRPr="0094790E" w:rsidRDefault="00A431C1" w:rsidP="00A431C1">
      <w:pPr>
        <w:tabs>
          <w:tab w:val="left" w:pos="426"/>
        </w:tabs>
        <w:spacing w:before="120" w:after="120"/>
        <w:rPr>
          <w:rFonts w:cs="Arial"/>
          <w:sz w:val="22"/>
          <w:szCs w:val="22"/>
        </w:rPr>
      </w:pPr>
      <w:r w:rsidRPr="00752024">
        <w:rPr>
          <w:rFonts w:cs="Arial"/>
          <w:sz w:val="22"/>
          <w:szCs w:val="22"/>
        </w:rPr>
        <w:t xml:space="preserve">It was </w:t>
      </w:r>
      <w:r w:rsidR="002C1E6C">
        <w:rPr>
          <w:rFonts w:cs="Arial"/>
          <w:sz w:val="22"/>
          <w:szCs w:val="22"/>
        </w:rPr>
        <w:t>agreed th</w:t>
      </w:r>
      <w:r w:rsidR="004806D8">
        <w:rPr>
          <w:rFonts w:cs="Arial"/>
          <w:sz w:val="22"/>
          <w:szCs w:val="22"/>
        </w:rPr>
        <w:t>at th</w:t>
      </w:r>
      <w:r w:rsidR="002C1E6C">
        <w:rPr>
          <w:rFonts w:cs="Arial"/>
          <w:sz w:val="22"/>
          <w:szCs w:val="22"/>
        </w:rPr>
        <w:t xml:space="preserve">e </w:t>
      </w:r>
      <w:r w:rsidR="004806D8">
        <w:rPr>
          <w:rFonts w:cs="Arial"/>
          <w:sz w:val="22"/>
          <w:szCs w:val="22"/>
        </w:rPr>
        <w:t>next meeting</w:t>
      </w:r>
      <w:r w:rsidR="00B92EF9" w:rsidRPr="00752024">
        <w:rPr>
          <w:rFonts w:cs="Arial"/>
          <w:sz w:val="22"/>
          <w:szCs w:val="22"/>
        </w:rPr>
        <w:t xml:space="preserve"> </w:t>
      </w:r>
      <w:r w:rsidR="004806D8">
        <w:rPr>
          <w:rFonts w:cs="Arial"/>
          <w:sz w:val="22"/>
          <w:szCs w:val="22"/>
        </w:rPr>
        <w:t xml:space="preserve">be scheduled for </w:t>
      </w:r>
      <w:r w:rsidR="007C5682">
        <w:rPr>
          <w:rFonts w:cs="Arial"/>
          <w:sz w:val="22"/>
          <w:szCs w:val="22"/>
        </w:rPr>
        <w:t xml:space="preserve">the first week of </w:t>
      </w:r>
      <w:r w:rsidR="004806D8">
        <w:rPr>
          <w:rFonts w:cs="Arial"/>
          <w:sz w:val="22"/>
          <w:szCs w:val="22"/>
        </w:rPr>
        <w:t xml:space="preserve">February 2021. </w:t>
      </w:r>
    </w:p>
    <w:p w14:paraId="52E1A09A" w14:textId="117D9864" w:rsidR="00A431C1" w:rsidRPr="0094790E" w:rsidRDefault="00A431C1" w:rsidP="00A431C1">
      <w:pPr>
        <w:tabs>
          <w:tab w:val="left" w:pos="426"/>
        </w:tabs>
        <w:spacing w:before="120" w:after="120"/>
        <w:rPr>
          <w:rFonts w:cs="Arial"/>
          <w:sz w:val="22"/>
          <w:szCs w:val="22"/>
          <w:u w:val="single"/>
        </w:rPr>
      </w:pPr>
      <w:r w:rsidRPr="00752024">
        <w:rPr>
          <w:rFonts w:cs="Arial"/>
          <w:sz w:val="22"/>
          <w:szCs w:val="22"/>
        </w:rPr>
        <w:t>1.8</w:t>
      </w:r>
      <w:r w:rsidRPr="00752024">
        <w:rPr>
          <w:rFonts w:cs="Arial"/>
          <w:sz w:val="22"/>
          <w:szCs w:val="22"/>
        </w:rPr>
        <w:tab/>
      </w:r>
      <w:r w:rsidRPr="00752024">
        <w:rPr>
          <w:rFonts w:cs="Arial"/>
          <w:sz w:val="22"/>
          <w:szCs w:val="22"/>
          <w:u w:val="single"/>
        </w:rPr>
        <w:t>Environmental Scan</w:t>
      </w:r>
    </w:p>
    <w:p w14:paraId="34DB0B63"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Committee members and secretariat reported back on developments in recent months, including: </w:t>
      </w:r>
    </w:p>
    <w:p w14:paraId="37E4E53D" w14:textId="1F69EAF9" w:rsidR="00752024" w:rsidRDefault="007C5682" w:rsidP="00032B27">
      <w:pPr>
        <w:pStyle w:val="ListParagraph"/>
        <w:numPr>
          <w:ilvl w:val="0"/>
          <w:numId w:val="5"/>
        </w:numPr>
        <w:tabs>
          <w:tab w:val="left" w:pos="426"/>
        </w:tabs>
        <w:spacing w:before="120" w:after="120" w:line="259" w:lineRule="auto"/>
        <w:ind w:left="714" w:hanging="357"/>
        <w:rPr>
          <w:rFonts w:cs="Arial"/>
          <w:sz w:val="22"/>
          <w:szCs w:val="22"/>
        </w:rPr>
      </w:pPr>
      <w:r>
        <w:rPr>
          <w:rFonts w:cs="Arial"/>
          <w:sz w:val="22"/>
          <w:szCs w:val="22"/>
        </w:rPr>
        <w:t>Environmental approval for the Narrabri Gas Project, on which the IESC provided advice in 2017</w:t>
      </w:r>
      <w:r w:rsidR="00752024">
        <w:rPr>
          <w:rFonts w:cs="Arial"/>
          <w:sz w:val="22"/>
          <w:szCs w:val="22"/>
        </w:rPr>
        <w:t>;</w:t>
      </w:r>
      <w:r>
        <w:rPr>
          <w:rFonts w:cs="Arial"/>
          <w:sz w:val="22"/>
          <w:szCs w:val="22"/>
        </w:rPr>
        <w:t xml:space="preserve"> </w:t>
      </w:r>
      <w:r w:rsidR="00A4536A">
        <w:rPr>
          <w:rFonts w:cs="Arial"/>
          <w:sz w:val="22"/>
          <w:szCs w:val="22"/>
        </w:rPr>
        <w:t>and</w:t>
      </w:r>
    </w:p>
    <w:p w14:paraId="6BB611BF" w14:textId="7EF85B9D" w:rsidR="007C5682" w:rsidRDefault="007C5682" w:rsidP="00032B27">
      <w:pPr>
        <w:pStyle w:val="ListParagraph"/>
        <w:numPr>
          <w:ilvl w:val="0"/>
          <w:numId w:val="5"/>
        </w:numPr>
        <w:tabs>
          <w:tab w:val="left" w:pos="426"/>
        </w:tabs>
        <w:spacing w:before="120" w:after="120" w:line="259" w:lineRule="auto"/>
        <w:ind w:left="714" w:hanging="357"/>
        <w:rPr>
          <w:rFonts w:cs="Arial"/>
          <w:sz w:val="22"/>
          <w:szCs w:val="22"/>
        </w:rPr>
      </w:pPr>
      <w:r>
        <w:rPr>
          <w:rFonts w:cs="Arial"/>
          <w:sz w:val="22"/>
          <w:szCs w:val="22"/>
        </w:rPr>
        <w:t>Refusal of Approval for the clearing of vegetation at Kingvale Station, Queensland.</w:t>
      </w:r>
    </w:p>
    <w:p w14:paraId="70FCBC41" w14:textId="77777777" w:rsidR="000A0D88" w:rsidRDefault="000A0D88">
      <w:pPr>
        <w:spacing w:after="160" w:line="259" w:lineRule="auto"/>
        <w:rPr>
          <w:rFonts w:cs="Arial"/>
          <w:b/>
          <w:sz w:val="22"/>
          <w:szCs w:val="22"/>
        </w:rPr>
      </w:pPr>
      <w:r>
        <w:rPr>
          <w:rFonts w:cs="Arial"/>
          <w:b/>
          <w:sz w:val="22"/>
          <w:szCs w:val="22"/>
        </w:rPr>
        <w:br w:type="page"/>
      </w:r>
    </w:p>
    <w:p w14:paraId="7C298830" w14:textId="23A44BCD" w:rsidR="00A431C1" w:rsidRPr="00032B27" w:rsidRDefault="0098198A" w:rsidP="00032B27">
      <w:pPr>
        <w:tabs>
          <w:tab w:val="left" w:pos="426"/>
        </w:tabs>
        <w:spacing w:before="120" w:after="120" w:line="259" w:lineRule="auto"/>
        <w:rPr>
          <w:rFonts w:cs="Arial"/>
          <w:sz w:val="22"/>
          <w:szCs w:val="22"/>
        </w:rPr>
      </w:pPr>
      <w:r>
        <w:rPr>
          <w:rFonts w:cs="Arial"/>
          <w:b/>
          <w:sz w:val="22"/>
          <w:szCs w:val="22"/>
        </w:rPr>
        <w:lastRenderedPageBreak/>
        <w:t xml:space="preserve">2. </w:t>
      </w:r>
      <w:r w:rsidR="00A431C1" w:rsidRPr="00032B27">
        <w:rPr>
          <w:rFonts w:cs="Arial"/>
          <w:b/>
          <w:sz w:val="22"/>
          <w:szCs w:val="22"/>
        </w:rPr>
        <w:t xml:space="preserve">Advice on Projects referred by governments </w:t>
      </w:r>
    </w:p>
    <w:p w14:paraId="605A8209" w14:textId="4CAE3132" w:rsidR="00A431C1" w:rsidRPr="000A0D88" w:rsidRDefault="00A431C1" w:rsidP="00A431C1">
      <w:pPr>
        <w:tabs>
          <w:tab w:val="left" w:pos="426"/>
        </w:tabs>
        <w:spacing w:before="120" w:after="120"/>
        <w:rPr>
          <w:rFonts w:cs="Arial"/>
          <w:sz w:val="22"/>
          <w:szCs w:val="22"/>
          <w:u w:val="single"/>
        </w:rPr>
      </w:pPr>
      <w:r w:rsidRPr="000A0D88">
        <w:rPr>
          <w:rFonts w:cs="Arial"/>
          <w:sz w:val="22"/>
          <w:szCs w:val="22"/>
        </w:rPr>
        <w:t>2.1</w:t>
      </w:r>
      <w:r w:rsidR="001D41CF" w:rsidRPr="000A0D88">
        <w:rPr>
          <w:rFonts w:cs="Arial"/>
          <w:sz w:val="22"/>
          <w:szCs w:val="22"/>
        </w:rPr>
        <w:tab/>
      </w:r>
      <w:r w:rsidR="004F33C7" w:rsidRPr="000A0D88">
        <w:rPr>
          <w:rFonts w:cs="Arial"/>
          <w:sz w:val="22"/>
          <w:szCs w:val="22"/>
          <w:u w:val="single"/>
        </w:rPr>
        <w:t xml:space="preserve">Narrabri Underground </w:t>
      </w:r>
      <w:r w:rsidR="00032B27" w:rsidRPr="000A0D88">
        <w:rPr>
          <w:rFonts w:cs="Arial"/>
          <w:sz w:val="22"/>
          <w:szCs w:val="22"/>
          <w:u w:val="single"/>
        </w:rPr>
        <w:t xml:space="preserve">Mine </w:t>
      </w:r>
      <w:r w:rsidR="004F33C7" w:rsidRPr="000A0D88">
        <w:rPr>
          <w:rFonts w:cs="Arial"/>
          <w:sz w:val="22"/>
          <w:szCs w:val="22"/>
          <w:u w:val="single"/>
        </w:rPr>
        <w:t xml:space="preserve">Stage 3 </w:t>
      </w:r>
      <w:r w:rsidR="00032B27" w:rsidRPr="000A0D88">
        <w:rPr>
          <w:rFonts w:cs="Arial"/>
          <w:sz w:val="22"/>
          <w:szCs w:val="22"/>
          <w:u w:val="single"/>
        </w:rPr>
        <w:t>Extension Project</w:t>
      </w:r>
    </w:p>
    <w:p w14:paraId="1D8D41AC" w14:textId="77777777" w:rsidR="000A0D88" w:rsidRPr="000A0D88" w:rsidRDefault="000A0D88" w:rsidP="000A0D88">
      <w:pPr>
        <w:rPr>
          <w:sz w:val="22"/>
          <w:szCs w:val="22"/>
        </w:rPr>
      </w:pPr>
      <w:r w:rsidRPr="000A0D88">
        <w:rPr>
          <w:sz w:val="22"/>
          <w:szCs w:val="22"/>
        </w:rPr>
        <w:t xml:space="preserve">The proposed Narrabri Underground Mine Stage 3 Extension Project (the project) is a longwall mining extension to the existing underground Narrabri Coal Mine, located in the Gunnedah Basin Coalfields of NSW. The project will produce 11 million tonnes per annum (Mtpa) of run-of-mine coal (a combination of thermal and </w:t>
      </w:r>
      <w:proofErr w:type="spellStart"/>
      <w:r w:rsidRPr="000A0D88">
        <w:rPr>
          <w:sz w:val="22"/>
          <w:szCs w:val="22"/>
        </w:rPr>
        <w:t>pulverised</w:t>
      </w:r>
      <w:proofErr w:type="spellEnd"/>
      <w:r w:rsidRPr="000A0D88">
        <w:rPr>
          <w:sz w:val="22"/>
          <w:szCs w:val="22"/>
        </w:rPr>
        <w:t xml:space="preserve"> coal injectate) and extend the mine’s life from July 2031 to 2044. The proposal also includes expansion and upgrades of existing surface infrastructure.</w:t>
      </w:r>
    </w:p>
    <w:p w14:paraId="4F1D347B" w14:textId="085EE198" w:rsidR="000A0D88" w:rsidRPr="000A0D88" w:rsidRDefault="000A0D88" w:rsidP="000A0D88">
      <w:pPr>
        <w:rPr>
          <w:sz w:val="22"/>
          <w:szCs w:val="22"/>
        </w:rPr>
      </w:pPr>
      <w:r w:rsidRPr="000A0D88">
        <w:rPr>
          <w:sz w:val="22"/>
          <w:szCs w:val="22"/>
        </w:rPr>
        <w:t xml:space="preserve">The project is located within the </w:t>
      </w:r>
      <w:proofErr w:type="spellStart"/>
      <w:r w:rsidRPr="000A0D88">
        <w:rPr>
          <w:sz w:val="22"/>
          <w:szCs w:val="22"/>
        </w:rPr>
        <w:t>Namoi</w:t>
      </w:r>
      <w:proofErr w:type="spellEnd"/>
      <w:r w:rsidRPr="000A0D88">
        <w:rPr>
          <w:sz w:val="22"/>
          <w:szCs w:val="22"/>
        </w:rPr>
        <w:t xml:space="preserve"> Water Management Area, a region with one of the highest levels of groundwater extraction in the Murray-Darling Basin. Surface water resources in the area include the </w:t>
      </w:r>
      <w:proofErr w:type="spellStart"/>
      <w:r w:rsidRPr="000A0D88">
        <w:rPr>
          <w:sz w:val="22"/>
          <w:szCs w:val="22"/>
        </w:rPr>
        <w:t>Namoi</w:t>
      </w:r>
      <w:proofErr w:type="spellEnd"/>
      <w:r w:rsidRPr="000A0D88">
        <w:rPr>
          <w:sz w:val="22"/>
          <w:szCs w:val="22"/>
        </w:rPr>
        <w:t xml:space="preserve"> River, located approximately 5 km east of the proposed extension, and tributaries of the ephemeral </w:t>
      </w:r>
      <w:proofErr w:type="spellStart"/>
      <w:r w:rsidRPr="000A0D88">
        <w:rPr>
          <w:sz w:val="22"/>
          <w:szCs w:val="22"/>
        </w:rPr>
        <w:t>Kurrajong</w:t>
      </w:r>
      <w:proofErr w:type="spellEnd"/>
      <w:r w:rsidRPr="000A0D88">
        <w:rPr>
          <w:sz w:val="22"/>
          <w:szCs w:val="22"/>
        </w:rPr>
        <w:t xml:space="preserve"> and </w:t>
      </w:r>
      <w:proofErr w:type="spellStart"/>
      <w:r w:rsidRPr="000A0D88">
        <w:rPr>
          <w:sz w:val="22"/>
          <w:szCs w:val="22"/>
        </w:rPr>
        <w:t>Tulla</w:t>
      </w:r>
      <w:proofErr w:type="spellEnd"/>
      <w:r w:rsidRPr="000A0D88">
        <w:rPr>
          <w:sz w:val="22"/>
          <w:szCs w:val="22"/>
        </w:rPr>
        <w:t xml:space="preserve"> Mullen creeks that traverse the proposed development area. Known groundwater-dependent ecosystems (GDEs) adjacent to or within the project area include Mayfield, </w:t>
      </w:r>
      <w:proofErr w:type="spellStart"/>
      <w:r w:rsidRPr="000A0D88">
        <w:rPr>
          <w:sz w:val="22"/>
          <w:szCs w:val="22"/>
        </w:rPr>
        <w:t>Hardys</w:t>
      </w:r>
      <w:proofErr w:type="spellEnd"/>
      <w:r w:rsidRPr="000A0D88">
        <w:rPr>
          <w:sz w:val="22"/>
          <w:szCs w:val="22"/>
        </w:rPr>
        <w:t xml:space="preserve"> and </w:t>
      </w:r>
      <w:proofErr w:type="spellStart"/>
      <w:r w:rsidRPr="000A0D88">
        <w:rPr>
          <w:sz w:val="22"/>
          <w:szCs w:val="22"/>
        </w:rPr>
        <w:t>Eather</w:t>
      </w:r>
      <w:proofErr w:type="spellEnd"/>
      <w:r w:rsidRPr="000A0D88">
        <w:rPr>
          <w:sz w:val="22"/>
          <w:szCs w:val="22"/>
        </w:rPr>
        <w:t xml:space="preserve"> Springs, as well as several facultative terrestrial GDEs, some of which are mapped as ‘high priority’ GDEs in Water Sharing Plans relevant to the project area. There are also 40 farm dams within the project area that are potentially impacted by subsidence.</w:t>
      </w:r>
    </w:p>
    <w:p w14:paraId="051CF716" w14:textId="23E44E4C" w:rsidR="00A431C1" w:rsidRPr="000A0D88" w:rsidRDefault="00A431C1" w:rsidP="000A0D88">
      <w:pPr>
        <w:keepNext/>
        <w:spacing w:before="120" w:after="120"/>
        <w:rPr>
          <w:sz w:val="22"/>
          <w:szCs w:val="22"/>
        </w:rPr>
      </w:pPr>
      <w:r w:rsidRPr="000A0D88">
        <w:rPr>
          <w:sz w:val="22"/>
          <w:szCs w:val="22"/>
          <w:u w:val="single"/>
        </w:rPr>
        <w:t>Key potential impacts</w:t>
      </w:r>
      <w:r w:rsidRPr="000A0D88">
        <w:rPr>
          <w:sz w:val="22"/>
          <w:szCs w:val="22"/>
        </w:rPr>
        <w:t xml:space="preserve"> from this project are:</w:t>
      </w:r>
    </w:p>
    <w:p w14:paraId="5B0E01AC" w14:textId="77777777" w:rsidR="000A0D88" w:rsidRPr="000A0D88" w:rsidRDefault="000A0D88" w:rsidP="000A0D88">
      <w:pPr>
        <w:pStyle w:val="ListParagraph"/>
        <w:numPr>
          <w:ilvl w:val="0"/>
          <w:numId w:val="6"/>
        </w:numPr>
        <w:autoSpaceDE w:val="0"/>
        <w:autoSpaceDN w:val="0"/>
        <w:adjustRightInd w:val="0"/>
        <w:jc w:val="both"/>
        <w:rPr>
          <w:rFonts w:eastAsia="Arial"/>
          <w:sz w:val="22"/>
          <w:szCs w:val="22"/>
        </w:rPr>
      </w:pPr>
      <w:r w:rsidRPr="000A0D88">
        <w:rPr>
          <w:sz w:val="22"/>
          <w:szCs w:val="22"/>
        </w:rPr>
        <w:t>drawdown within the saturated alluvium and porous rock aquifers leading to potential long-term reduction of available groundwater for springs, other GDEs, and agricultural water resources;</w:t>
      </w:r>
    </w:p>
    <w:p w14:paraId="436312E7" w14:textId="77777777" w:rsidR="000A0D88" w:rsidRPr="000A0D88" w:rsidRDefault="000A0D88" w:rsidP="000A0D88">
      <w:pPr>
        <w:pStyle w:val="ListParagraph"/>
        <w:numPr>
          <w:ilvl w:val="0"/>
          <w:numId w:val="6"/>
        </w:numPr>
        <w:autoSpaceDE w:val="0"/>
        <w:autoSpaceDN w:val="0"/>
        <w:adjustRightInd w:val="0"/>
        <w:jc w:val="both"/>
        <w:rPr>
          <w:rFonts w:eastAsia="Arial"/>
          <w:sz w:val="22"/>
          <w:szCs w:val="22"/>
        </w:rPr>
      </w:pPr>
      <w:r w:rsidRPr="000A0D88">
        <w:rPr>
          <w:sz w:val="22"/>
          <w:szCs w:val="22"/>
        </w:rPr>
        <w:t>ground deformation above longwalls, including subsidence and mining-induced fracturing, which changes hydraulic parameters of porous rock aquifers and the groundwater flux within them and the hydraulically connected alluvium, producing a permanent area of groundwater drawdown (or groundwater sink) within the larger regional groundwater flow system. These changes can alter flow regimes and cause ponding in undermined ephemeral streams, as well as induce surface water losses from farm dams;</w:t>
      </w:r>
    </w:p>
    <w:p w14:paraId="4AD90594" w14:textId="77777777" w:rsidR="000A0D88" w:rsidRPr="000A0D88" w:rsidRDefault="000A0D88" w:rsidP="000A0D88">
      <w:pPr>
        <w:pStyle w:val="ListParagraph"/>
        <w:numPr>
          <w:ilvl w:val="0"/>
          <w:numId w:val="6"/>
        </w:numPr>
        <w:autoSpaceDE w:val="0"/>
        <w:autoSpaceDN w:val="0"/>
        <w:adjustRightInd w:val="0"/>
        <w:jc w:val="both"/>
        <w:rPr>
          <w:sz w:val="22"/>
          <w:szCs w:val="22"/>
        </w:rPr>
      </w:pPr>
      <w:r w:rsidRPr="000A0D88">
        <w:rPr>
          <w:sz w:val="22"/>
          <w:szCs w:val="22"/>
        </w:rPr>
        <w:t xml:space="preserve">extensive remnant and riparian vegetation dieback over longwall goafs due to subsidence; </w:t>
      </w:r>
    </w:p>
    <w:p w14:paraId="02B7DA8F" w14:textId="77777777" w:rsidR="000A0D88" w:rsidRPr="000A0D88" w:rsidRDefault="000A0D88" w:rsidP="000A0D88">
      <w:pPr>
        <w:pStyle w:val="ListParagraph"/>
        <w:numPr>
          <w:ilvl w:val="0"/>
          <w:numId w:val="6"/>
        </w:numPr>
        <w:autoSpaceDE w:val="0"/>
        <w:autoSpaceDN w:val="0"/>
        <w:adjustRightInd w:val="0"/>
        <w:jc w:val="both"/>
        <w:rPr>
          <w:sz w:val="22"/>
          <w:szCs w:val="22"/>
        </w:rPr>
      </w:pPr>
      <w:r w:rsidRPr="000A0D88">
        <w:rPr>
          <w:sz w:val="22"/>
          <w:szCs w:val="22"/>
        </w:rPr>
        <w:t xml:space="preserve">possible discharge of saline water into the </w:t>
      </w:r>
      <w:proofErr w:type="spellStart"/>
      <w:r w:rsidRPr="000A0D88">
        <w:rPr>
          <w:sz w:val="22"/>
          <w:szCs w:val="22"/>
        </w:rPr>
        <w:t>Namoi</w:t>
      </w:r>
      <w:proofErr w:type="spellEnd"/>
      <w:r w:rsidRPr="000A0D88">
        <w:rPr>
          <w:sz w:val="22"/>
          <w:szCs w:val="22"/>
        </w:rPr>
        <w:t xml:space="preserve"> River above EC Guideline Values; and</w:t>
      </w:r>
    </w:p>
    <w:p w14:paraId="6248409E" w14:textId="77777777" w:rsidR="000A0D88" w:rsidRPr="000A0D88" w:rsidRDefault="000A0D88" w:rsidP="000A0D88">
      <w:pPr>
        <w:pStyle w:val="ListParagraph"/>
        <w:numPr>
          <w:ilvl w:val="0"/>
          <w:numId w:val="9"/>
        </w:numPr>
        <w:autoSpaceDE w:val="0"/>
        <w:autoSpaceDN w:val="0"/>
        <w:adjustRightInd w:val="0"/>
        <w:jc w:val="both"/>
        <w:rPr>
          <w:rFonts w:eastAsia="Arial"/>
          <w:sz w:val="22"/>
          <w:szCs w:val="22"/>
        </w:rPr>
      </w:pPr>
      <w:r w:rsidRPr="000A0D88">
        <w:rPr>
          <w:sz w:val="22"/>
          <w:szCs w:val="22"/>
        </w:rPr>
        <w:t>potential loss or alteration of habitat for species such as the Koala (</w:t>
      </w:r>
      <w:r w:rsidRPr="000A0D88">
        <w:rPr>
          <w:i/>
          <w:iCs/>
          <w:sz w:val="22"/>
          <w:szCs w:val="22"/>
        </w:rPr>
        <w:t>Phascolarctos</w:t>
      </w:r>
      <w:r w:rsidRPr="000A0D88">
        <w:rPr>
          <w:sz w:val="22"/>
          <w:szCs w:val="22"/>
        </w:rPr>
        <w:t xml:space="preserve"> </w:t>
      </w:r>
      <w:r w:rsidRPr="000A0D88">
        <w:rPr>
          <w:i/>
          <w:iCs/>
          <w:sz w:val="22"/>
          <w:szCs w:val="22"/>
        </w:rPr>
        <w:t>cinereus</w:t>
      </w:r>
      <w:r w:rsidRPr="000A0D88">
        <w:rPr>
          <w:sz w:val="22"/>
          <w:szCs w:val="22"/>
        </w:rPr>
        <w:t xml:space="preserve">) listed as Vulnerable under the </w:t>
      </w:r>
      <w:r w:rsidRPr="000A0D88">
        <w:rPr>
          <w:i/>
          <w:iCs/>
          <w:sz w:val="22"/>
          <w:szCs w:val="22"/>
        </w:rPr>
        <w:t>Environment Protection and Biodiversity Conservation Act 1999</w:t>
      </w:r>
      <w:r w:rsidRPr="000A0D88">
        <w:rPr>
          <w:sz w:val="22"/>
          <w:szCs w:val="22"/>
        </w:rPr>
        <w:t xml:space="preserve"> (EPBC Act).</w:t>
      </w:r>
    </w:p>
    <w:p w14:paraId="42787047" w14:textId="77777777" w:rsidR="00A431C1" w:rsidRPr="00AA13CA" w:rsidRDefault="00A431C1" w:rsidP="00A431C1">
      <w:pPr>
        <w:autoSpaceDE w:val="0"/>
        <w:autoSpaceDN w:val="0"/>
        <w:adjustRightInd w:val="0"/>
        <w:spacing w:before="120" w:after="120"/>
        <w:rPr>
          <w:rFonts w:ascii="Calibri" w:hAnsi="Calibri"/>
          <w:i/>
          <w:sz w:val="22"/>
          <w:szCs w:val="22"/>
        </w:rPr>
      </w:pPr>
      <w:r w:rsidRPr="000A0D88">
        <w:rPr>
          <w:rFonts w:ascii="Calibri" w:hAnsi="Calibri"/>
          <w:sz w:val="22"/>
          <w:szCs w:val="22"/>
        </w:rPr>
        <w:t xml:space="preserve">Consistent with the </w:t>
      </w:r>
      <w:r w:rsidRPr="000A0D88">
        <w:rPr>
          <w:rFonts w:ascii="Calibri" w:hAnsi="Calibri"/>
          <w:i/>
          <w:sz w:val="22"/>
          <w:szCs w:val="22"/>
        </w:rPr>
        <w:t>Environment Protection and Biodiversity Conservation Regulations 2000</w:t>
      </w:r>
      <w:r w:rsidRPr="000A0D88">
        <w:rPr>
          <w:rFonts w:ascii="Calibri" w:hAnsi="Calibri"/>
          <w:sz w:val="22"/>
          <w:szCs w:val="22"/>
        </w:rPr>
        <w:t>, advice will be published on the IESC’s website within 10 business days of being provided to the regulators.</w:t>
      </w:r>
      <w:r w:rsidRPr="0094790E">
        <w:rPr>
          <w:rFonts w:ascii="Calibri" w:hAnsi="Calibri"/>
          <w:sz w:val="22"/>
          <w:szCs w:val="22"/>
        </w:rPr>
        <w:t xml:space="preserve"> </w:t>
      </w:r>
    </w:p>
    <w:p w14:paraId="21782D69" w14:textId="72CA189B" w:rsidR="00A431C1" w:rsidRPr="00082618" w:rsidRDefault="000A0D88" w:rsidP="00082618">
      <w:pPr>
        <w:spacing w:after="160" w:line="259" w:lineRule="auto"/>
        <w:rPr>
          <w:rFonts w:cs="Arial"/>
          <w:sz w:val="22"/>
          <w:szCs w:val="22"/>
        </w:rPr>
      </w:pPr>
      <w:r>
        <w:rPr>
          <w:rFonts w:cs="Arial"/>
          <w:sz w:val="22"/>
          <w:szCs w:val="22"/>
        </w:rPr>
        <w:br w:type="page"/>
      </w:r>
    </w:p>
    <w:p w14:paraId="51611F1E" w14:textId="2BDC0B15" w:rsidR="00082618" w:rsidRPr="000A0D88" w:rsidRDefault="00082618" w:rsidP="00082618">
      <w:pPr>
        <w:tabs>
          <w:tab w:val="left" w:pos="426"/>
        </w:tabs>
        <w:spacing w:before="120" w:after="120"/>
        <w:rPr>
          <w:rFonts w:cs="Arial"/>
          <w:sz w:val="22"/>
          <w:szCs w:val="22"/>
          <w:u w:val="single"/>
        </w:rPr>
      </w:pPr>
      <w:r w:rsidRPr="000A0D88">
        <w:rPr>
          <w:rFonts w:cs="Arial"/>
          <w:sz w:val="22"/>
          <w:szCs w:val="22"/>
        </w:rPr>
        <w:lastRenderedPageBreak/>
        <w:t>2.</w:t>
      </w:r>
      <w:r>
        <w:rPr>
          <w:rFonts w:cs="Arial"/>
          <w:sz w:val="22"/>
          <w:szCs w:val="22"/>
        </w:rPr>
        <w:t>2</w:t>
      </w:r>
      <w:r w:rsidRPr="000A0D88">
        <w:rPr>
          <w:rFonts w:cs="Arial"/>
          <w:sz w:val="22"/>
          <w:szCs w:val="22"/>
        </w:rPr>
        <w:tab/>
      </w:r>
      <w:r>
        <w:rPr>
          <w:rFonts w:cs="Arial"/>
          <w:sz w:val="22"/>
          <w:szCs w:val="22"/>
          <w:u w:val="single"/>
        </w:rPr>
        <w:t>Central Queensland Coal</w:t>
      </w:r>
      <w:r w:rsidRPr="000A0D88">
        <w:rPr>
          <w:rFonts w:cs="Arial"/>
          <w:sz w:val="22"/>
          <w:szCs w:val="22"/>
          <w:u w:val="single"/>
        </w:rPr>
        <w:t xml:space="preserve"> Project</w:t>
      </w:r>
    </w:p>
    <w:p w14:paraId="3D68E8DB" w14:textId="77777777" w:rsidR="00A8177B" w:rsidRPr="00A8177B" w:rsidRDefault="00A8177B" w:rsidP="00A8177B">
      <w:pPr>
        <w:rPr>
          <w:sz w:val="22"/>
          <w:szCs w:val="22"/>
        </w:rPr>
      </w:pPr>
      <w:r w:rsidRPr="00A8177B">
        <w:rPr>
          <w:sz w:val="22"/>
          <w:szCs w:val="22"/>
        </w:rPr>
        <w:t>The proposed Central Queensland Coal Project (the ‘project’) is a greenfield development located in the Styx Basin, approximately 130 km northwest of Rockhampton in Central Queensland. The proposal is to produce up to 10 million tonnes per annum (Mtpa) of semi-soft coking coal and high-grade thermal coal from an open-cut mine for 18 years.</w:t>
      </w:r>
    </w:p>
    <w:p w14:paraId="7CB9F9D7" w14:textId="736B7C38" w:rsidR="00A8177B" w:rsidRPr="00A8177B" w:rsidRDefault="00A8177B" w:rsidP="00A8177B">
      <w:pPr>
        <w:rPr>
          <w:sz w:val="22"/>
          <w:szCs w:val="22"/>
        </w:rPr>
      </w:pPr>
      <w:r w:rsidRPr="00A8177B">
        <w:rPr>
          <w:sz w:val="22"/>
          <w:szCs w:val="22"/>
        </w:rPr>
        <w:t>The IESC previously provided advice on this proposal in December 2017 (2017-091) and July 2018</w:t>
      </w:r>
      <w:r w:rsidR="00B714FB">
        <w:rPr>
          <w:sz w:val="22"/>
          <w:szCs w:val="22"/>
        </w:rPr>
        <w:t xml:space="preserve"> </w:t>
      </w:r>
      <w:r w:rsidRPr="00A8177B">
        <w:rPr>
          <w:sz w:val="22"/>
          <w:szCs w:val="22"/>
        </w:rPr>
        <w:t>(2018</w:t>
      </w:r>
      <w:r w:rsidR="00B714FB">
        <w:rPr>
          <w:sz w:val="22"/>
          <w:szCs w:val="22"/>
        </w:rPr>
        <w:noBreakHyphen/>
      </w:r>
      <w:r w:rsidRPr="00A8177B">
        <w:rPr>
          <w:sz w:val="22"/>
          <w:szCs w:val="22"/>
        </w:rPr>
        <w:t>094). As part of this previous advice, the IESC expressed numerous concerns that the project presents very significant risks to nationally and internationally recognised assets with high ecological values, including the Great Barrier Reef World Heritage Area (GBRWHA) and the Broad Sound Fish Habitat Area (Queensland’s largest fish habit</w:t>
      </w:r>
      <w:r w:rsidR="00036902">
        <w:rPr>
          <w:sz w:val="22"/>
          <w:szCs w:val="22"/>
        </w:rPr>
        <w:t>at</w:t>
      </w:r>
      <w:r w:rsidRPr="00A8177B">
        <w:rPr>
          <w:sz w:val="22"/>
          <w:szCs w:val="22"/>
        </w:rPr>
        <w:t xml:space="preserve"> area and is on the Directory of Important Wetlands in Australia) located approximately 10 km downstream of the site. Other high-value environments near the site, and which may be impacted by the project, include </w:t>
      </w:r>
      <w:proofErr w:type="spellStart"/>
      <w:r w:rsidRPr="00A8177B">
        <w:rPr>
          <w:sz w:val="22"/>
          <w:szCs w:val="22"/>
        </w:rPr>
        <w:t>Tooloombah</w:t>
      </w:r>
      <w:proofErr w:type="spellEnd"/>
      <w:r w:rsidRPr="00A8177B">
        <w:rPr>
          <w:sz w:val="22"/>
          <w:szCs w:val="22"/>
        </w:rPr>
        <w:t xml:space="preserve"> Creek, Deep Creek, the Styx River estuary as well as two state-listed wetlands. Although the proponent has undertaken substantial additional hydrological, water quality and ecological studies, many of the concerns noted in IESC (2017</w:t>
      </w:r>
      <w:r w:rsidR="00101A5A">
        <w:rPr>
          <w:sz w:val="22"/>
          <w:szCs w:val="22"/>
        </w:rPr>
        <w:t>-091</w:t>
      </w:r>
      <w:r w:rsidRPr="00A8177B">
        <w:rPr>
          <w:sz w:val="22"/>
          <w:szCs w:val="22"/>
        </w:rPr>
        <w:t>) and IESC (2018</w:t>
      </w:r>
      <w:r w:rsidR="00101A5A">
        <w:rPr>
          <w:sz w:val="22"/>
          <w:szCs w:val="22"/>
        </w:rPr>
        <w:t>-094</w:t>
      </w:r>
      <w:r w:rsidRPr="00A8177B">
        <w:rPr>
          <w:sz w:val="22"/>
          <w:szCs w:val="22"/>
        </w:rPr>
        <w:t>) remain. Results of the proponent’s additional studies reinforce the IESC’s extreme concern that the predicted impacts are not readily mitigated, especially the discharge of mine-affected water into Broad Sound and the GBRWHA. Proposed mitigation options primarily entail offsetting residual impacts (e.g. for the 8.35 km of stream-length that will be removed) and are likely to be completely inadequate for this region because of its relatively undisturbed setting.</w:t>
      </w:r>
    </w:p>
    <w:p w14:paraId="05B2969C" w14:textId="77777777" w:rsidR="00A8177B" w:rsidRPr="00A8177B" w:rsidRDefault="00A8177B" w:rsidP="00A8177B">
      <w:pPr>
        <w:rPr>
          <w:sz w:val="22"/>
          <w:szCs w:val="22"/>
        </w:rPr>
      </w:pPr>
      <w:r w:rsidRPr="00A8177B">
        <w:rPr>
          <w:sz w:val="22"/>
          <w:szCs w:val="22"/>
        </w:rPr>
        <w:t xml:space="preserve">Additional investigations, modelling and analyses will not alter the material risks associated with this project, </w:t>
      </w:r>
      <w:proofErr w:type="gramStart"/>
      <w:r w:rsidRPr="00A8177B">
        <w:rPr>
          <w:sz w:val="22"/>
          <w:szCs w:val="22"/>
        </w:rPr>
        <w:t>in particular the</w:t>
      </w:r>
      <w:proofErr w:type="gramEnd"/>
      <w:r w:rsidRPr="00A8177B">
        <w:rPr>
          <w:sz w:val="22"/>
          <w:szCs w:val="22"/>
        </w:rPr>
        <w:t xml:space="preserve"> potentially severe consequences for local and downstream water-related assets. The IESC cannot envisage any feasible mitigation measures, including offsets, that could safeguard these irreplaceable and internationally significant ecological assets and their associated water resources.</w:t>
      </w:r>
    </w:p>
    <w:p w14:paraId="490E20BF" w14:textId="0293053E" w:rsidR="00A8177B" w:rsidRDefault="00A8177B" w:rsidP="00A8177B">
      <w:pPr>
        <w:keepNext/>
        <w:spacing w:before="120" w:after="120"/>
        <w:rPr>
          <w:sz w:val="22"/>
          <w:szCs w:val="22"/>
        </w:rPr>
      </w:pPr>
      <w:r w:rsidRPr="002237FB">
        <w:rPr>
          <w:sz w:val="22"/>
          <w:szCs w:val="22"/>
          <w:u w:val="single"/>
        </w:rPr>
        <w:t>Key potential impacts</w:t>
      </w:r>
      <w:r w:rsidRPr="002237FB">
        <w:rPr>
          <w:sz w:val="22"/>
          <w:szCs w:val="22"/>
        </w:rPr>
        <w:t xml:space="preserve"> from this project</w:t>
      </w:r>
      <w:r>
        <w:rPr>
          <w:sz w:val="22"/>
          <w:szCs w:val="22"/>
        </w:rPr>
        <w:t>, also identified from IESC (2018</w:t>
      </w:r>
      <w:r w:rsidR="00B714FB">
        <w:rPr>
          <w:sz w:val="22"/>
          <w:szCs w:val="22"/>
        </w:rPr>
        <w:t>-094</w:t>
      </w:r>
      <w:r>
        <w:rPr>
          <w:sz w:val="22"/>
          <w:szCs w:val="22"/>
        </w:rPr>
        <w:t>), are:</w:t>
      </w:r>
    </w:p>
    <w:p w14:paraId="1991C819" w14:textId="77777777" w:rsidR="00A8177B" w:rsidRPr="00A8177B" w:rsidRDefault="00A8177B" w:rsidP="00A8177B">
      <w:pPr>
        <w:pStyle w:val="ListBullet"/>
        <w:numPr>
          <w:ilvl w:val="0"/>
          <w:numId w:val="8"/>
        </w:numPr>
        <w:rPr>
          <w:sz w:val="22"/>
          <w:szCs w:val="22"/>
        </w:rPr>
      </w:pPr>
      <w:r w:rsidRPr="00A8177B">
        <w:rPr>
          <w:sz w:val="22"/>
          <w:szCs w:val="22"/>
        </w:rPr>
        <w:t>significant and irreversible damage to internationally valued estuarine and near-shore ecosystems subjected to mine-affected water;</w:t>
      </w:r>
    </w:p>
    <w:p w14:paraId="08B62341" w14:textId="77777777" w:rsidR="00A8177B" w:rsidRPr="00A8177B" w:rsidRDefault="00A8177B" w:rsidP="00A8177B">
      <w:pPr>
        <w:pStyle w:val="ListBullet"/>
        <w:numPr>
          <w:ilvl w:val="0"/>
          <w:numId w:val="8"/>
        </w:numPr>
        <w:rPr>
          <w:sz w:val="22"/>
          <w:szCs w:val="22"/>
        </w:rPr>
      </w:pPr>
      <w:r w:rsidRPr="00A8177B">
        <w:rPr>
          <w:sz w:val="22"/>
          <w:szCs w:val="22"/>
        </w:rPr>
        <w:t xml:space="preserve">changes to surface water quality from controlled and uncontrolled discharges, with the potential to impact aquatic environments within, adjacent to, and downstream of the project site; </w:t>
      </w:r>
    </w:p>
    <w:p w14:paraId="4E73229E" w14:textId="77777777" w:rsidR="00A8177B" w:rsidRPr="00A8177B" w:rsidRDefault="00A8177B" w:rsidP="00A8177B">
      <w:pPr>
        <w:pStyle w:val="ListBullet"/>
        <w:numPr>
          <w:ilvl w:val="0"/>
          <w:numId w:val="8"/>
        </w:numPr>
        <w:rPr>
          <w:sz w:val="22"/>
          <w:szCs w:val="22"/>
        </w:rPr>
      </w:pPr>
      <w:r w:rsidRPr="00A8177B">
        <w:rPr>
          <w:sz w:val="22"/>
          <w:szCs w:val="22"/>
        </w:rPr>
        <w:t xml:space="preserve">from drawdown below some 165 ha of riparian groundwater-dependent ecosystems (GDEs) and to </w:t>
      </w:r>
      <w:proofErr w:type="spellStart"/>
      <w:r w:rsidRPr="00A8177B">
        <w:rPr>
          <w:sz w:val="22"/>
          <w:szCs w:val="22"/>
        </w:rPr>
        <w:t>stygofaunal</w:t>
      </w:r>
      <w:proofErr w:type="spellEnd"/>
      <w:r w:rsidRPr="00A8177B">
        <w:rPr>
          <w:sz w:val="22"/>
          <w:szCs w:val="22"/>
        </w:rPr>
        <w:t xml:space="preserve"> communities in the Styx River alluvium;</w:t>
      </w:r>
    </w:p>
    <w:p w14:paraId="3203F578" w14:textId="77777777" w:rsidR="00A8177B" w:rsidRPr="00A8177B" w:rsidRDefault="00A8177B" w:rsidP="00A8177B">
      <w:pPr>
        <w:pStyle w:val="ListBullet"/>
        <w:numPr>
          <w:ilvl w:val="0"/>
          <w:numId w:val="8"/>
        </w:numPr>
        <w:rPr>
          <w:rFonts w:eastAsia="Arial"/>
          <w:sz w:val="22"/>
          <w:szCs w:val="22"/>
        </w:rPr>
      </w:pPr>
      <w:r w:rsidRPr="00A8177B">
        <w:rPr>
          <w:sz w:val="22"/>
          <w:szCs w:val="22"/>
        </w:rPr>
        <w:t xml:space="preserve">from drawdown (of </w:t>
      </w:r>
      <w:r w:rsidRPr="00A8177B">
        <w:rPr>
          <w:rFonts w:eastAsia="Arial"/>
          <w:color w:val="000000" w:themeColor="text1"/>
          <w:sz w:val="22"/>
          <w:szCs w:val="22"/>
        </w:rPr>
        <w:t xml:space="preserve">up to 4.7 m along sections of </w:t>
      </w:r>
      <w:proofErr w:type="spellStart"/>
      <w:r w:rsidRPr="00A8177B">
        <w:rPr>
          <w:rFonts w:eastAsia="Arial"/>
          <w:color w:val="000000" w:themeColor="text1"/>
          <w:sz w:val="22"/>
          <w:szCs w:val="22"/>
        </w:rPr>
        <w:t>Tooloombah</w:t>
      </w:r>
      <w:proofErr w:type="spellEnd"/>
      <w:r w:rsidRPr="00A8177B">
        <w:rPr>
          <w:rFonts w:eastAsia="Arial"/>
          <w:color w:val="000000" w:themeColor="text1"/>
          <w:sz w:val="22"/>
          <w:szCs w:val="22"/>
        </w:rPr>
        <w:t xml:space="preserve"> Creek and up to 60 m reduction along 11.8 km of Deep Creek)</w:t>
      </w:r>
      <w:r w:rsidRPr="00A8177B">
        <w:rPr>
          <w:sz w:val="22"/>
          <w:szCs w:val="22"/>
        </w:rPr>
        <w:t xml:space="preserve"> that will reduce the volume and persistence of dry-season pools and reduce baseflow in both creeks for decades post-mining;</w:t>
      </w:r>
    </w:p>
    <w:p w14:paraId="5CECCFEA" w14:textId="77777777" w:rsidR="00A8177B" w:rsidRPr="00A8177B" w:rsidRDefault="00A8177B" w:rsidP="00A8177B">
      <w:pPr>
        <w:pStyle w:val="ListBullet"/>
        <w:numPr>
          <w:ilvl w:val="0"/>
          <w:numId w:val="8"/>
        </w:numPr>
        <w:rPr>
          <w:sz w:val="22"/>
          <w:szCs w:val="22"/>
        </w:rPr>
      </w:pPr>
      <w:r w:rsidRPr="00A8177B">
        <w:rPr>
          <w:sz w:val="22"/>
          <w:szCs w:val="22"/>
        </w:rPr>
        <w:t xml:space="preserve">groundwater interaction with the backfilled voids that could </w:t>
      </w:r>
      <w:proofErr w:type="spellStart"/>
      <w:r w:rsidRPr="00A8177B">
        <w:rPr>
          <w:sz w:val="22"/>
          <w:szCs w:val="22"/>
        </w:rPr>
        <w:t>mobilise</w:t>
      </w:r>
      <w:proofErr w:type="spellEnd"/>
      <w:r w:rsidRPr="00A8177B">
        <w:rPr>
          <w:sz w:val="22"/>
          <w:szCs w:val="22"/>
        </w:rPr>
        <w:t xml:space="preserve"> contaminants from the waste rock and coal rejects within the voids and discharge these contaminants to surface waterways, posing a legacy water quality issue;</w:t>
      </w:r>
    </w:p>
    <w:p w14:paraId="03F11D40" w14:textId="77777777" w:rsidR="00A8177B" w:rsidRPr="00A8177B" w:rsidRDefault="00A8177B" w:rsidP="00A8177B">
      <w:pPr>
        <w:pStyle w:val="ListBullet"/>
        <w:numPr>
          <w:ilvl w:val="0"/>
          <w:numId w:val="8"/>
        </w:numPr>
        <w:rPr>
          <w:sz w:val="22"/>
          <w:szCs w:val="22"/>
        </w:rPr>
      </w:pPr>
      <w:r w:rsidRPr="00A8177B">
        <w:rPr>
          <w:sz w:val="22"/>
          <w:szCs w:val="22"/>
        </w:rPr>
        <w:t>direct loss of approximately 8.35 km of waterways that provide fish passage during periods of high rainfall and flood; and</w:t>
      </w:r>
    </w:p>
    <w:p w14:paraId="4D8578B4" w14:textId="642D5F91" w:rsidR="00A8177B" w:rsidRPr="00A8177B" w:rsidRDefault="00A8177B" w:rsidP="00A8177B">
      <w:pPr>
        <w:pStyle w:val="ListBullet"/>
        <w:numPr>
          <w:ilvl w:val="0"/>
          <w:numId w:val="8"/>
        </w:numPr>
        <w:rPr>
          <w:sz w:val="22"/>
          <w:szCs w:val="22"/>
        </w:rPr>
      </w:pPr>
      <w:r w:rsidRPr="00A8177B">
        <w:rPr>
          <w:sz w:val="22"/>
          <w:szCs w:val="22"/>
        </w:rPr>
        <w:t>disturbance of sodic soils, which are prone to erosion, potentially increasing sediment loads in local waterways and contributing sediment to the GBRWHA.</w:t>
      </w:r>
    </w:p>
    <w:p w14:paraId="2E3C1E24" w14:textId="52EE8655" w:rsidR="00273E51" w:rsidRPr="000A0D88" w:rsidRDefault="0098198A" w:rsidP="000A0D88">
      <w:pPr>
        <w:autoSpaceDE w:val="0"/>
        <w:autoSpaceDN w:val="0"/>
        <w:adjustRightInd w:val="0"/>
        <w:spacing w:before="120" w:after="120"/>
        <w:rPr>
          <w:rFonts w:ascii="Calibri" w:hAnsi="Calibri"/>
          <w:i/>
          <w:sz w:val="22"/>
          <w:szCs w:val="22"/>
        </w:rPr>
      </w:pPr>
      <w:r w:rsidRPr="0094790E">
        <w:rPr>
          <w:rFonts w:ascii="Calibri" w:hAnsi="Calibri"/>
          <w:sz w:val="22"/>
          <w:szCs w:val="22"/>
        </w:rPr>
        <w:t xml:space="preserve">Consistent with the </w:t>
      </w:r>
      <w:r w:rsidRPr="0094790E">
        <w:rPr>
          <w:rFonts w:ascii="Calibri" w:hAnsi="Calibri"/>
          <w:i/>
          <w:sz w:val="22"/>
          <w:szCs w:val="22"/>
        </w:rPr>
        <w:t>Environment Protection and Biodiversity Conservation Regulations 2000</w:t>
      </w:r>
      <w:r w:rsidRPr="0094790E">
        <w:rPr>
          <w:rFonts w:ascii="Calibri" w:hAnsi="Calibri"/>
          <w:sz w:val="22"/>
          <w:szCs w:val="22"/>
        </w:rPr>
        <w:t xml:space="preserve">, advice will be published on the IESC’s website within 10 business days of being provided to the regulators. </w:t>
      </w:r>
    </w:p>
    <w:p w14:paraId="10AC6437" w14:textId="77777777" w:rsidR="000A0D88" w:rsidRDefault="000A0D88">
      <w:pPr>
        <w:spacing w:after="160" w:line="259" w:lineRule="auto"/>
        <w:rPr>
          <w:rFonts w:cs="Arial"/>
          <w:b/>
          <w:sz w:val="22"/>
          <w:szCs w:val="22"/>
        </w:rPr>
      </w:pPr>
      <w:r>
        <w:rPr>
          <w:rFonts w:cs="Arial"/>
          <w:b/>
          <w:sz w:val="22"/>
          <w:szCs w:val="22"/>
        </w:rPr>
        <w:br w:type="page"/>
      </w:r>
    </w:p>
    <w:p w14:paraId="5FFA6ADE" w14:textId="34D2A90F" w:rsidR="00F03732" w:rsidRPr="00032B27" w:rsidRDefault="0098198A" w:rsidP="00F03732">
      <w:pPr>
        <w:tabs>
          <w:tab w:val="left" w:pos="426"/>
        </w:tabs>
        <w:spacing w:before="120" w:after="120" w:line="259" w:lineRule="auto"/>
        <w:rPr>
          <w:rFonts w:cs="Arial"/>
          <w:sz w:val="22"/>
          <w:szCs w:val="22"/>
        </w:rPr>
      </w:pPr>
      <w:r>
        <w:rPr>
          <w:rFonts w:cs="Arial"/>
          <w:b/>
          <w:sz w:val="22"/>
          <w:szCs w:val="22"/>
        </w:rPr>
        <w:lastRenderedPageBreak/>
        <w:t xml:space="preserve">3. </w:t>
      </w:r>
      <w:r w:rsidR="00F03732">
        <w:rPr>
          <w:rFonts w:cs="Arial"/>
          <w:b/>
          <w:sz w:val="22"/>
          <w:szCs w:val="22"/>
        </w:rPr>
        <w:t>Other business</w:t>
      </w:r>
      <w:r w:rsidR="00F03732" w:rsidRPr="00032B27">
        <w:rPr>
          <w:rFonts w:cs="Arial"/>
          <w:b/>
          <w:sz w:val="22"/>
          <w:szCs w:val="22"/>
        </w:rPr>
        <w:t xml:space="preserve"> </w:t>
      </w:r>
    </w:p>
    <w:p w14:paraId="4BE02E93" w14:textId="2E1D1AA1" w:rsidR="0098198A" w:rsidRPr="0094790E" w:rsidRDefault="0098198A" w:rsidP="0098198A">
      <w:pPr>
        <w:tabs>
          <w:tab w:val="left" w:pos="426"/>
        </w:tabs>
        <w:spacing w:before="120" w:after="120"/>
        <w:rPr>
          <w:rFonts w:cs="Arial"/>
          <w:sz w:val="22"/>
          <w:szCs w:val="22"/>
        </w:rPr>
      </w:pPr>
      <w:r>
        <w:rPr>
          <w:rFonts w:cs="Arial"/>
          <w:sz w:val="22"/>
          <w:szCs w:val="22"/>
        </w:rPr>
        <w:t>3</w:t>
      </w:r>
      <w:r w:rsidRPr="0094790E">
        <w:rPr>
          <w:rFonts w:cs="Arial"/>
          <w:sz w:val="22"/>
          <w:szCs w:val="22"/>
        </w:rPr>
        <w:t>.</w:t>
      </w:r>
      <w:r>
        <w:rPr>
          <w:rFonts w:cs="Arial"/>
          <w:sz w:val="22"/>
          <w:szCs w:val="22"/>
        </w:rPr>
        <w:t>1</w:t>
      </w:r>
      <w:r w:rsidRPr="0094790E">
        <w:rPr>
          <w:rFonts w:cs="Arial"/>
          <w:sz w:val="22"/>
          <w:szCs w:val="22"/>
        </w:rPr>
        <w:tab/>
      </w:r>
      <w:r w:rsidRPr="0094790E">
        <w:rPr>
          <w:rFonts w:cs="Arial"/>
          <w:sz w:val="22"/>
          <w:szCs w:val="22"/>
          <w:u w:val="single"/>
        </w:rPr>
        <w:t>F</w:t>
      </w:r>
      <w:r>
        <w:rPr>
          <w:rFonts w:cs="Arial"/>
          <w:sz w:val="22"/>
          <w:szCs w:val="22"/>
          <w:u w:val="single"/>
        </w:rPr>
        <w:t>aults Explanatory Note</w:t>
      </w:r>
    </w:p>
    <w:p w14:paraId="09C0671B" w14:textId="34130DF9" w:rsidR="0098198A" w:rsidRPr="0094790E" w:rsidRDefault="0098198A" w:rsidP="0098198A">
      <w:pPr>
        <w:tabs>
          <w:tab w:val="left" w:pos="426"/>
        </w:tabs>
        <w:spacing w:before="120" w:after="120"/>
        <w:rPr>
          <w:rFonts w:cs="Arial"/>
          <w:sz w:val="22"/>
          <w:szCs w:val="22"/>
        </w:rPr>
      </w:pPr>
      <w:r w:rsidRPr="0094790E">
        <w:rPr>
          <w:rFonts w:cs="Arial"/>
          <w:sz w:val="22"/>
          <w:szCs w:val="22"/>
        </w:rPr>
        <w:t xml:space="preserve">The Committee </w:t>
      </w:r>
      <w:r w:rsidR="000B09FF">
        <w:rPr>
          <w:rFonts w:cs="Arial"/>
          <w:sz w:val="22"/>
          <w:szCs w:val="22"/>
        </w:rPr>
        <w:t>discussed the progression of a draft Explanatory Note on the characterisation and modelling of geological fault zones</w:t>
      </w:r>
      <w:r w:rsidR="00610ABC">
        <w:rPr>
          <w:rFonts w:cs="Arial"/>
          <w:sz w:val="22"/>
          <w:szCs w:val="22"/>
        </w:rPr>
        <w:t xml:space="preserve">. The Committee </w:t>
      </w:r>
      <w:r w:rsidR="000B09FF">
        <w:rPr>
          <w:rFonts w:cs="Arial"/>
          <w:sz w:val="22"/>
          <w:szCs w:val="22"/>
        </w:rPr>
        <w:t xml:space="preserve">noted that the peer review of the </w:t>
      </w:r>
      <w:r w:rsidR="00610ABC">
        <w:rPr>
          <w:rFonts w:cs="Arial"/>
          <w:sz w:val="22"/>
          <w:szCs w:val="22"/>
        </w:rPr>
        <w:t xml:space="preserve">draft </w:t>
      </w:r>
      <w:r w:rsidR="000B09FF">
        <w:rPr>
          <w:rFonts w:cs="Arial"/>
          <w:sz w:val="22"/>
          <w:szCs w:val="22"/>
        </w:rPr>
        <w:t>Explanatory Note is nearing completion, with consultation with industry representatives likely to commence in early 2021.</w:t>
      </w:r>
    </w:p>
    <w:p w14:paraId="35403214" w14:textId="2C37E9F7" w:rsidR="0098198A" w:rsidRPr="0094790E" w:rsidRDefault="0098198A" w:rsidP="0098198A">
      <w:pPr>
        <w:tabs>
          <w:tab w:val="left" w:pos="426"/>
        </w:tabs>
        <w:spacing w:before="120" w:after="120"/>
        <w:rPr>
          <w:rFonts w:cs="Arial"/>
          <w:sz w:val="22"/>
          <w:szCs w:val="22"/>
          <w:u w:val="single"/>
        </w:rPr>
      </w:pPr>
      <w:r>
        <w:rPr>
          <w:rFonts w:cs="Arial"/>
          <w:sz w:val="22"/>
          <w:szCs w:val="22"/>
        </w:rPr>
        <w:t>3</w:t>
      </w:r>
      <w:r w:rsidRPr="00752024">
        <w:rPr>
          <w:rFonts w:cs="Arial"/>
          <w:sz w:val="22"/>
          <w:szCs w:val="22"/>
        </w:rPr>
        <w:t>.</w:t>
      </w:r>
      <w:r>
        <w:rPr>
          <w:rFonts w:cs="Arial"/>
          <w:sz w:val="22"/>
          <w:szCs w:val="22"/>
        </w:rPr>
        <w:t>2</w:t>
      </w:r>
      <w:r w:rsidRPr="00752024">
        <w:rPr>
          <w:rFonts w:cs="Arial"/>
          <w:sz w:val="22"/>
          <w:szCs w:val="22"/>
        </w:rPr>
        <w:tab/>
      </w:r>
      <w:r>
        <w:rPr>
          <w:rFonts w:cs="Arial"/>
          <w:sz w:val="22"/>
          <w:szCs w:val="22"/>
          <w:u w:val="single"/>
        </w:rPr>
        <w:t>Virtual Explanatory Notes Symposium</w:t>
      </w:r>
    </w:p>
    <w:p w14:paraId="6EAB8214" w14:textId="0C37CE05" w:rsidR="0098198A" w:rsidRPr="0094790E" w:rsidRDefault="008A45DB" w:rsidP="0098198A">
      <w:pPr>
        <w:tabs>
          <w:tab w:val="left" w:pos="426"/>
        </w:tabs>
        <w:spacing w:before="120" w:after="120"/>
        <w:rPr>
          <w:rFonts w:cs="Arial"/>
          <w:sz w:val="22"/>
          <w:szCs w:val="22"/>
        </w:rPr>
      </w:pPr>
      <w:r>
        <w:rPr>
          <w:rFonts w:cs="Arial"/>
          <w:sz w:val="22"/>
          <w:szCs w:val="22"/>
        </w:rPr>
        <w:t>Given the uncertainty and restrictions imposed by COVID-19, t</w:t>
      </w:r>
      <w:r w:rsidR="0098198A" w:rsidRPr="0094790E">
        <w:rPr>
          <w:rFonts w:cs="Arial"/>
          <w:sz w:val="22"/>
          <w:szCs w:val="22"/>
        </w:rPr>
        <w:t xml:space="preserve">he Committee </w:t>
      </w:r>
      <w:r>
        <w:rPr>
          <w:rFonts w:cs="Arial"/>
          <w:sz w:val="22"/>
          <w:szCs w:val="22"/>
        </w:rPr>
        <w:t xml:space="preserve">discussed and </w:t>
      </w:r>
      <w:r w:rsidR="00AD7E41">
        <w:rPr>
          <w:rFonts w:cs="Arial"/>
          <w:sz w:val="22"/>
          <w:szCs w:val="22"/>
        </w:rPr>
        <w:t xml:space="preserve">supported </w:t>
      </w:r>
      <w:r>
        <w:rPr>
          <w:rFonts w:cs="Arial"/>
          <w:sz w:val="22"/>
          <w:szCs w:val="22"/>
        </w:rPr>
        <w:t xml:space="preserve">hosting a virtual Explanatory Notes Symposium in mid-2021. </w:t>
      </w:r>
    </w:p>
    <w:p w14:paraId="574C4D91" w14:textId="77777777" w:rsidR="00273E51" w:rsidRPr="0094790E" w:rsidRDefault="00273E51" w:rsidP="00273E51">
      <w:pPr>
        <w:spacing w:before="120" w:after="120"/>
        <w:rPr>
          <w:rFonts w:cs="Arial"/>
          <w:b/>
          <w:sz w:val="22"/>
          <w:szCs w:val="22"/>
        </w:rPr>
      </w:pPr>
      <w:r>
        <w:rPr>
          <w:rFonts w:cs="Arial"/>
          <w:b/>
          <w:sz w:val="22"/>
          <w:szCs w:val="22"/>
        </w:rPr>
        <w:t xml:space="preserve">4. </w:t>
      </w:r>
      <w:r w:rsidRPr="0094790E">
        <w:rPr>
          <w:rFonts w:cs="Arial"/>
          <w:b/>
          <w:sz w:val="22"/>
          <w:szCs w:val="22"/>
        </w:rPr>
        <w:t>Close of Meeting</w:t>
      </w:r>
    </w:p>
    <w:p w14:paraId="25489E9A" w14:textId="77777777" w:rsidR="00273E51" w:rsidRDefault="00273E51" w:rsidP="00273E51">
      <w:pPr>
        <w:tabs>
          <w:tab w:val="left" w:pos="426"/>
        </w:tabs>
        <w:spacing w:before="120" w:after="120"/>
        <w:rPr>
          <w:rFonts w:cs="Arial"/>
          <w:sz w:val="22"/>
          <w:szCs w:val="22"/>
        </w:rPr>
      </w:pPr>
      <w:r w:rsidRPr="0094790E">
        <w:rPr>
          <w:rFonts w:cs="Arial"/>
          <w:sz w:val="22"/>
          <w:szCs w:val="22"/>
        </w:rPr>
        <w:t xml:space="preserve">The Chair thanked everyone for their contribution to the meeting. </w:t>
      </w:r>
    </w:p>
    <w:p w14:paraId="6DF93523" w14:textId="26E2CE6E" w:rsidR="00273E51" w:rsidRPr="0094790E" w:rsidRDefault="00273E51" w:rsidP="00273E51">
      <w:pPr>
        <w:tabs>
          <w:tab w:val="left" w:pos="426"/>
        </w:tabs>
        <w:spacing w:before="120" w:after="120"/>
        <w:rPr>
          <w:rFonts w:cs="Arial"/>
          <w:sz w:val="22"/>
          <w:szCs w:val="22"/>
        </w:rPr>
      </w:pPr>
      <w:r w:rsidRPr="0094790E">
        <w:rPr>
          <w:rFonts w:cs="Arial"/>
          <w:sz w:val="22"/>
          <w:szCs w:val="22"/>
        </w:rPr>
        <w:t xml:space="preserve">The meeting closed </w:t>
      </w:r>
      <w:r w:rsidRPr="005A15F4">
        <w:rPr>
          <w:rFonts w:cs="Arial"/>
          <w:sz w:val="22"/>
          <w:szCs w:val="22"/>
        </w:rPr>
        <w:t xml:space="preserve">at </w:t>
      </w:r>
      <w:r>
        <w:rPr>
          <w:rFonts w:cs="Arial"/>
          <w:sz w:val="22"/>
          <w:szCs w:val="22"/>
        </w:rPr>
        <w:t>2</w:t>
      </w:r>
      <w:r w:rsidRPr="005A15F4">
        <w:rPr>
          <w:rFonts w:cs="Arial"/>
          <w:sz w:val="22"/>
          <w:szCs w:val="22"/>
        </w:rPr>
        <w:t>.</w:t>
      </w:r>
      <w:r>
        <w:rPr>
          <w:rFonts w:cs="Arial"/>
          <w:sz w:val="22"/>
          <w:szCs w:val="22"/>
        </w:rPr>
        <w:t>12</w:t>
      </w:r>
      <w:r w:rsidRPr="005A15F4">
        <w:rPr>
          <w:rFonts w:cs="Arial"/>
          <w:sz w:val="22"/>
          <w:szCs w:val="22"/>
        </w:rPr>
        <w:t xml:space="preserve"> pm</w:t>
      </w:r>
      <w:r w:rsidRPr="0094790E">
        <w:rPr>
          <w:rFonts w:cs="Arial"/>
          <w:sz w:val="22"/>
          <w:szCs w:val="22"/>
        </w:rPr>
        <w:t xml:space="preserve"> on Thursday </w:t>
      </w:r>
      <w:r>
        <w:rPr>
          <w:rFonts w:cs="Arial"/>
          <w:sz w:val="22"/>
          <w:szCs w:val="22"/>
        </w:rPr>
        <w:t>10 December 2020</w:t>
      </w:r>
      <w:r w:rsidRPr="0094790E">
        <w:rPr>
          <w:rFonts w:cs="Arial"/>
          <w:sz w:val="22"/>
          <w:szCs w:val="22"/>
        </w:rPr>
        <w:t>.</w:t>
      </w:r>
    </w:p>
    <w:p w14:paraId="0C786C97" w14:textId="77777777" w:rsidR="00273E51" w:rsidRPr="0094790E" w:rsidRDefault="00273E51" w:rsidP="00273E51">
      <w:pPr>
        <w:tabs>
          <w:tab w:val="left" w:pos="426"/>
        </w:tabs>
        <w:spacing w:before="120" w:after="120"/>
        <w:rPr>
          <w:rFonts w:cs="Arial"/>
          <w:b/>
          <w:sz w:val="22"/>
          <w:szCs w:val="22"/>
        </w:rPr>
      </w:pPr>
      <w:r w:rsidRPr="0094790E">
        <w:rPr>
          <w:rFonts w:cs="Arial"/>
          <w:b/>
          <w:sz w:val="22"/>
          <w:szCs w:val="22"/>
        </w:rPr>
        <w:t>Next Meeting</w:t>
      </w:r>
    </w:p>
    <w:p w14:paraId="02EA8D7D" w14:textId="4BBC1EA2" w:rsidR="00273E51" w:rsidRPr="0094790E" w:rsidRDefault="00273E51" w:rsidP="00273E51">
      <w:pPr>
        <w:tabs>
          <w:tab w:val="left" w:pos="426"/>
        </w:tabs>
        <w:spacing w:before="120" w:after="120"/>
        <w:rPr>
          <w:rFonts w:cs="Arial"/>
          <w:sz w:val="22"/>
          <w:szCs w:val="22"/>
        </w:rPr>
      </w:pPr>
      <w:r w:rsidRPr="004A3A92">
        <w:rPr>
          <w:rFonts w:cs="Arial"/>
          <w:sz w:val="22"/>
          <w:szCs w:val="22"/>
        </w:rPr>
        <w:t xml:space="preserve">The next meeting is scheduled for </w:t>
      </w:r>
      <w:r w:rsidR="007C5682">
        <w:rPr>
          <w:rFonts w:cs="Arial"/>
          <w:sz w:val="22"/>
          <w:szCs w:val="22"/>
        </w:rPr>
        <w:t>the first week of</w:t>
      </w:r>
      <w:r>
        <w:rPr>
          <w:rFonts w:cs="Arial"/>
          <w:sz w:val="22"/>
          <w:szCs w:val="22"/>
        </w:rPr>
        <w:t xml:space="preserve"> February</w:t>
      </w:r>
      <w:r w:rsidRPr="004A3A92">
        <w:rPr>
          <w:rFonts w:cs="Arial"/>
          <w:sz w:val="22"/>
          <w:szCs w:val="22"/>
        </w:rPr>
        <w:t xml:space="preserve"> 202</w:t>
      </w:r>
      <w:r>
        <w:rPr>
          <w:rFonts w:cs="Arial"/>
          <w:sz w:val="22"/>
          <w:szCs w:val="22"/>
        </w:rPr>
        <w:t>1</w:t>
      </w:r>
      <w:r w:rsidRPr="004A3A92">
        <w:rPr>
          <w:rFonts w:cs="Arial"/>
          <w:sz w:val="22"/>
          <w:szCs w:val="22"/>
        </w:rPr>
        <w:t>.</w:t>
      </w:r>
    </w:p>
    <w:p w14:paraId="7B42A376" w14:textId="77777777" w:rsidR="00273E51" w:rsidRDefault="00273E51" w:rsidP="00273E51">
      <w:pPr>
        <w:tabs>
          <w:tab w:val="left" w:pos="426"/>
        </w:tabs>
        <w:spacing w:before="120" w:after="120"/>
        <w:rPr>
          <w:rFonts w:cs="Arial"/>
          <w:sz w:val="22"/>
          <w:szCs w:val="22"/>
        </w:rPr>
      </w:pPr>
    </w:p>
    <w:p w14:paraId="4685E8C5" w14:textId="77777777" w:rsidR="00273E51" w:rsidRDefault="00273E51" w:rsidP="00273E51">
      <w:pPr>
        <w:tabs>
          <w:tab w:val="left" w:pos="426"/>
        </w:tabs>
        <w:spacing w:before="120" w:after="120"/>
        <w:rPr>
          <w:rFonts w:cs="Arial"/>
          <w:sz w:val="22"/>
          <w:szCs w:val="22"/>
        </w:rPr>
      </w:pPr>
      <w:r w:rsidRPr="00090490">
        <w:rPr>
          <w:rFonts w:cs="Arial"/>
          <w:sz w:val="22"/>
          <w:szCs w:val="22"/>
        </w:rPr>
        <w:t>Minutes confirmed as true and correct:</w:t>
      </w:r>
    </w:p>
    <w:p w14:paraId="52C97AA3" w14:textId="77777777" w:rsidR="00090490" w:rsidRDefault="00090490" w:rsidP="00090490">
      <w:pPr>
        <w:tabs>
          <w:tab w:val="left" w:pos="426"/>
        </w:tabs>
        <w:spacing w:before="120" w:after="120"/>
        <w:rPr>
          <w:rFonts w:cs="Arial"/>
          <w:sz w:val="22"/>
          <w:szCs w:val="22"/>
        </w:rPr>
      </w:pPr>
      <w:r>
        <w:rPr>
          <w:rFonts w:cs="Arial"/>
          <w:sz w:val="22"/>
          <w:szCs w:val="22"/>
        </w:rPr>
        <w:t>Dr Chris Pigram AM, FTSE</w:t>
      </w:r>
    </w:p>
    <w:p w14:paraId="16729A1B" w14:textId="77777777" w:rsidR="00090490" w:rsidRDefault="00090490" w:rsidP="00090490">
      <w:pPr>
        <w:tabs>
          <w:tab w:val="left" w:pos="426"/>
        </w:tabs>
        <w:spacing w:before="120" w:after="120"/>
        <w:rPr>
          <w:rFonts w:cs="Arial"/>
          <w:sz w:val="22"/>
          <w:szCs w:val="22"/>
        </w:rPr>
      </w:pPr>
      <w:r>
        <w:rPr>
          <w:rFonts w:cs="Arial"/>
          <w:sz w:val="22"/>
          <w:szCs w:val="22"/>
        </w:rPr>
        <w:t>IESC Chair</w:t>
      </w:r>
    </w:p>
    <w:p w14:paraId="458EBDF2" w14:textId="2BEE64F6" w:rsidR="00090490" w:rsidRDefault="00090490" w:rsidP="00090490">
      <w:pPr>
        <w:tabs>
          <w:tab w:val="left" w:pos="426"/>
        </w:tabs>
        <w:spacing w:before="120" w:after="120"/>
        <w:rPr>
          <w:rFonts w:cs="Arial"/>
          <w:sz w:val="22"/>
          <w:szCs w:val="22"/>
        </w:rPr>
      </w:pPr>
      <w:r>
        <w:rPr>
          <w:rFonts w:cs="Arial"/>
          <w:sz w:val="22"/>
          <w:szCs w:val="22"/>
        </w:rPr>
        <w:t>17 December 2020</w:t>
      </w:r>
    </w:p>
    <w:p w14:paraId="44AA35CC" w14:textId="4459FA80" w:rsidR="0098198A" w:rsidRPr="0094790E" w:rsidRDefault="0098198A" w:rsidP="0098198A">
      <w:pPr>
        <w:tabs>
          <w:tab w:val="left" w:pos="426"/>
        </w:tabs>
        <w:spacing w:before="120" w:after="120"/>
        <w:rPr>
          <w:rFonts w:cs="Arial"/>
          <w:sz w:val="22"/>
          <w:szCs w:val="22"/>
        </w:rPr>
      </w:pPr>
    </w:p>
    <w:p w14:paraId="18360469" w14:textId="77777777" w:rsidR="001238EE" w:rsidRPr="001238EE" w:rsidRDefault="001238EE" w:rsidP="00F03732">
      <w:pPr>
        <w:keepNext/>
        <w:spacing w:before="120" w:after="120"/>
        <w:rPr>
          <w:rFonts w:ascii="Calibri" w:hAnsi="Calibri" w:cs="Arial"/>
          <w:color w:val="FF0000"/>
        </w:rPr>
      </w:pPr>
    </w:p>
    <w:p w14:paraId="5182E399" w14:textId="77777777" w:rsidR="00A431C1" w:rsidRPr="001F4A16" w:rsidRDefault="00A431C1" w:rsidP="00A431C1">
      <w:pPr>
        <w:rPr>
          <w:lang w:val="en-AU"/>
        </w:rPr>
      </w:pPr>
    </w:p>
    <w:p w14:paraId="25623F06" w14:textId="77777777" w:rsidR="00A431C1" w:rsidRPr="0094790E" w:rsidRDefault="00A431C1" w:rsidP="00A431C1">
      <w:pPr>
        <w:spacing w:after="0"/>
        <w:rPr>
          <w:rFonts w:ascii="Calibri" w:hAnsi="Calibri" w:cs="Arial"/>
          <w:color w:val="FF0000"/>
          <w:sz w:val="22"/>
          <w:szCs w:val="22"/>
        </w:rPr>
      </w:pPr>
    </w:p>
    <w:p w14:paraId="451885DF" w14:textId="77777777" w:rsidR="004348FE" w:rsidRDefault="004348FE"/>
    <w:sectPr w:rsidR="004348FE" w:rsidSect="004348FE">
      <w:headerReference w:type="even" r:id="rId12"/>
      <w:headerReference w:type="default" r:id="rId13"/>
      <w:footerReference w:type="default" r:id="rId14"/>
      <w:headerReference w:type="first" r:id="rId15"/>
      <w:footerReference w:type="first" r:id="rId16"/>
      <w:pgSz w:w="11906" w:h="16838"/>
      <w:pgMar w:top="663" w:right="1134" w:bottom="261"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D574C" w14:textId="77777777" w:rsidR="00E830A6" w:rsidRDefault="00E830A6">
      <w:pPr>
        <w:spacing w:after="0"/>
      </w:pPr>
      <w:r>
        <w:separator/>
      </w:r>
    </w:p>
  </w:endnote>
  <w:endnote w:type="continuationSeparator" w:id="0">
    <w:p w14:paraId="183C281C" w14:textId="77777777" w:rsidR="00E830A6" w:rsidRDefault="00E830A6">
      <w:pPr>
        <w:spacing w:after="0"/>
      </w:pPr>
      <w:r>
        <w:continuationSeparator/>
      </w:r>
    </w:p>
  </w:endnote>
  <w:endnote w:type="continuationNotice" w:id="1">
    <w:p w14:paraId="3F825781" w14:textId="77777777" w:rsidR="00E830A6" w:rsidRDefault="00E830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9806347"/>
      <w:docPartObj>
        <w:docPartGallery w:val="Page Numbers (Bottom of Page)"/>
        <w:docPartUnique/>
      </w:docPartObj>
    </w:sdtPr>
    <w:sdtEndPr>
      <w:rPr>
        <w:noProof/>
      </w:rPr>
    </w:sdtEndPr>
    <w:sdtContent>
      <w:p w14:paraId="53687818" w14:textId="77777777" w:rsidR="00E830A6" w:rsidRDefault="00E830A6">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p w14:paraId="69D41DF6" w14:textId="77777777" w:rsidR="00E830A6" w:rsidRDefault="00B22115">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503349"/>
      <w:docPartObj>
        <w:docPartGallery w:val="Page Numbers (Bottom of Page)"/>
        <w:docPartUnique/>
      </w:docPartObj>
    </w:sdtPr>
    <w:sdtEndPr>
      <w:rPr>
        <w:noProof/>
      </w:rPr>
    </w:sdtEndPr>
    <w:sdtContent>
      <w:p w14:paraId="0CCA5B04" w14:textId="77777777" w:rsidR="00E830A6" w:rsidRDefault="00E830A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D20152C" w:rsidR="00E830A6" w:rsidRPr="00C121F8" w:rsidRDefault="00E830A6"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E830A6" w:rsidRPr="00C121F8" w:rsidRDefault="00E830A6" w:rsidP="004348FE">
                              <w:pPr>
                                <w:pStyle w:val="Tabletext"/>
                              </w:pPr>
                              <w:r w:rsidRPr="00C121F8">
                                <w:t xml:space="preserve">This initiative is funded by the Australian Government Department of </w:t>
                              </w:r>
                              <w:r>
                                <w:t>Agriculture, Water and the</w:t>
                              </w:r>
                              <w:r w:rsidRPr="00C121F8">
                                <w:t xml:space="preserve"> Environment</w:t>
                              </w:r>
                            </w:p>
                            <w:p w14:paraId="7536303F" w14:textId="77777777" w:rsidR="00E830A6" w:rsidRDefault="00E830A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" filled="f" stroked="f">
                  <v:textbox>
                    <w:txbxContent>
                      <w:p w14:paraId="57588B2B" w14:textId="7D20152C" w:rsidR="00E830A6" w:rsidRPr="00C121F8" w:rsidRDefault="00E830A6"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E830A6" w:rsidRPr="00C121F8" w:rsidRDefault="00E830A6" w:rsidP="004348FE">
                        <w:pPr>
                          <w:pStyle w:val="Tabletext"/>
                        </w:pPr>
                        <w:r w:rsidRPr="00C121F8">
                          <w:t xml:space="preserve">This initiative is funded by the Australian Government Department of </w:t>
                        </w:r>
                        <w:r>
                          <w:t>Agriculture, Water and the</w:t>
                        </w:r>
                        <w:r w:rsidRPr="00C121F8">
                          <w:t xml:space="preserve"> Environment</w:t>
                        </w:r>
                      </w:p>
                      <w:p w14:paraId="7536303F" w14:textId="77777777" w:rsidR="00E830A6" w:rsidRDefault="00E830A6"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A127029" w14:textId="77777777" w:rsidR="00E830A6" w:rsidRDefault="00E83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19527" w14:textId="77777777" w:rsidR="00E830A6" w:rsidRDefault="00E830A6">
      <w:pPr>
        <w:spacing w:after="0"/>
      </w:pPr>
      <w:r>
        <w:separator/>
      </w:r>
    </w:p>
  </w:footnote>
  <w:footnote w:type="continuationSeparator" w:id="0">
    <w:p w14:paraId="4C54049F" w14:textId="77777777" w:rsidR="00E830A6" w:rsidRDefault="00E830A6">
      <w:pPr>
        <w:spacing w:after="0"/>
      </w:pPr>
      <w:r>
        <w:continuationSeparator/>
      </w:r>
    </w:p>
  </w:footnote>
  <w:footnote w:type="continuationNotice" w:id="1">
    <w:p w14:paraId="5C09CBDB" w14:textId="77777777" w:rsidR="00E830A6" w:rsidRDefault="00E830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EB7EE" w14:textId="77777777" w:rsidR="00E830A6" w:rsidRDefault="00E830A6" w:rsidP="004348FE">
    <w:pPr>
      <w:pStyle w:val="Classification"/>
    </w:pPr>
    <w:r>
      <w:fldChar w:fldCharType="begin"/>
    </w:r>
    <w:r>
      <w:instrText xml:space="preserve"> DOCPROPERTY SecurityClassification \* MERGEFORMAT </w:instrText>
    </w:r>
    <w:r>
      <w:fldChar w:fldCharType="separate"/>
    </w:r>
    <w:r>
      <w:rPr>
        <w:b/>
        <w:bCs/>
      </w:rPr>
      <w:t>Error! Unknown document property name.</w:t>
    </w:r>
    <w:r>
      <w:fldChar w:fldCharType="end"/>
    </w:r>
  </w:p>
  <w:p w14:paraId="527305D1" w14:textId="77777777" w:rsidR="00E830A6" w:rsidRDefault="00E830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D5D1" w14:textId="77777777" w:rsidR="00E830A6" w:rsidRDefault="00E830A6">
    <w:pPr>
      <w:pStyle w:val="Header"/>
    </w:pPr>
  </w:p>
  <w:p w14:paraId="7146A1BE" w14:textId="77777777" w:rsidR="00E830A6" w:rsidRDefault="00E83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8BD5" w14:textId="77777777" w:rsidR="00E830A6" w:rsidRDefault="00E830A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B750092"/>
    <w:multiLevelType w:val="hybridMultilevel"/>
    <w:tmpl w:val="01F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745BC2"/>
    <w:multiLevelType w:val="multilevel"/>
    <w:tmpl w:val="E5E89F92"/>
    <w:numStyleLink w:val="BulletList"/>
  </w:abstractNum>
  <w:abstractNum w:abstractNumId="4"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lvlOverride w:ilvl="0">
      <w:lvl w:ilvl="0">
        <w:start w:val="1"/>
        <w:numFmt w:val="bullet"/>
        <w:pStyle w:val="ListBullet"/>
        <w:lvlText w:val=""/>
        <w:lvlJc w:val="left"/>
        <w:pPr>
          <w:ind w:left="369" w:hanging="369"/>
        </w:pPr>
        <w:rPr>
          <w:rFonts w:ascii="Symbol" w:hAnsi="Symbol" w:hint="default"/>
          <w:color w:val="auto"/>
        </w:rPr>
      </w:lvl>
    </w:lvlOverride>
  </w:num>
  <w:num w:numId="4">
    <w:abstractNumId w:val="1"/>
  </w:num>
  <w:num w:numId="5">
    <w:abstractNumId w:val="7"/>
  </w:num>
  <w:num w:numId="6">
    <w:abstractNumId w:val="2"/>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13C02"/>
    <w:rsid w:val="00032B27"/>
    <w:rsid w:val="00036902"/>
    <w:rsid w:val="00064A13"/>
    <w:rsid w:val="00082618"/>
    <w:rsid w:val="0008587F"/>
    <w:rsid w:val="00090490"/>
    <w:rsid w:val="00097381"/>
    <w:rsid w:val="000A0D88"/>
    <w:rsid w:val="000B09FF"/>
    <w:rsid w:val="000C6146"/>
    <w:rsid w:val="000D470B"/>
    <w:rsid w:val="00101A5A"/>
    <w:rsid w:val="00112565"/>
    <w:rsid w:val="001238EE"/>
    <w:rsid w:val="00140FBE"/>
    <w:rsid w:val="00150991"/>
    <w:rsid w:val="001B1B11"/>
    <w:rsid w:val="001B2EC2"/>
    <w:rsid w:val="001B546E"/>
    <w:rsid w:val="001D41CF"/>
    <w:rsid w:val="001F4A16"/>
    <w:rsid w:val="001F7B2F"/>
    <w:rsid w:val="0020292B"/>
    <w:rsid w:val="0024082B"/>
    <w:rsid w:val="00273E51"/>
    <w:rsid w:val="002871BB"/>
    <w:rsid w:val="002C1E6C"/>
    <w:rsid w:val="002C71F3"/>
    <w:rsid w:val="002F527D"/>
    <w:rsid w:val="00310D94"/>
    <w:rsid w:val="00364852"/>
    <w:rsid w:val="003959C6"/>
    <w:rsid w:val="003A1941"/>
    <w:rsid w:val="003E36BC"/>
    <w:rsid w:val="0040487E"/>
    <w:rsid w:val="00406417"/>
    <w:rsid w:val="004348FE"/>
    <w:rsid w:val="0047031F"/>
    <w:rsid w:val="004806D8"/>
    <w:rsid w:val="004A3A92"/>
    <w:rsid w:val="004E7196"/>
    <w:rsid w:val="004F33C7"/>
    <w:rsid w:val="0050053D"/>
    <w:rsid w:val="00526B8E"/>
    <w:rsid w:val="0057539D"/>
    <w:rsid w:val="005C0716"/>
    <w:rsid w:val="005D6F4E"/>
    <w:rsid w:val="005E33BF"/>
    <w:rsid w:val="005E48CE"/>
    <w:rsid w:val="00610ABC"/>
    <w:rsid w:val="00620953"/>
    <w:rsid w:val="00633768"/>
    <w:rsid w:val="006866BC"/>
    <w:rsid w:val="007017D7"/>
    <w:rsid w:val="00741312"/>
    <w:rsid w:val="00746C56"/>
    <w:rsid w:val="00752024"/>
    <w:rsid w:val="007B33D2"/>
    <w:rsid w:val="007C5682"/>
    <w:rsid w:val="008340DC"/>
    <w:rsid w:val="00854655"/>
    <w:rsid w:val="008A38F0"/>
    <w:rsid w:val="008A45DB"/>
    <w:rsid w:val="00910AB8"/>
    <w:rsid w:val="00930AE1"/>
    <w:rsid w:val="009448C8"/>
    <w:rsid w:val="009471F1"/>
    <w:rsid w:val="00973CE1"/>
    <w:rsid w:val="0098198A"/>
    <w:rsid w:val="009B575F"/>
    <w:rsid w:val="00A11D36"/>
    <w:rsid w:val="00A431C1"/>
    <w:rsid w:val="00A43247"/>
    <w:rsid w:val="00A4536A"/>
    <w:rsid w:val="00A8177B"/>
    <w:rsid w:val="00AA13CA"/>
    <w:rsid w:val="00AD7E41"/>
    <w:rsid w:val="00B22115"/>
    <w:rsid w:val="00B23BF0"/>
    <w:rsid w:val="00B276CA"/>
    <w:rsid w:val="00B714FB"/>
    <w:rsid w:val="00B92EF9"/>
    <w:rsid w:val="00C3268D"/>
    <w:rsid w:val="00C5484F"/>
    <w:rsid w:val="00C55102"/>
    <w:rsid w:val="00C86620"/>
    <w:rsid w:val="00C86626"/>
    <w:rsid w:val="00CE34E4"/>
    <w:rsid w:val="00D14EA4"/>
    <w:rsid w:val="00D50AC0"/>
    <w:rsid w:val="00D73792"/>
    <w:rsid w:val="00DA7F74"/>
    <w:rsid w:val="00DD1897"/>
    <w:rsid w:val="00DD7EAD"/>
    <w:rsid w:val="00E71CE4"/>
    <w:rsid w:val="00E77FC5"/>
    <w:rsid w:val="00E830A6"/>
    <w:rsid w:val="00E908BE"/>
    <w:rsid w:val="00F03732"/>
    <w:rsid w:val="00F37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semiHidden/>
    <w:unhideWhenUsed/>
    <w:rsid w:val="001B546E"/>
    <w:rPr>
      <w:sz w:val="20"/>
      <w:szCs w:val="20"/>
    </w:rPr>
  </w:style>
  <w:style w:type="character" w:customStyle="1" w:styleId="CommentTextChar">
    <w:name w:val="Comment Text Char"/>
    <w:basedOn w:val="DefaultParagraphFont"/>
    <w:link w:val="CommentText"/>
    <w:uiPriority w:val="99"/>
    <w:semiHidden/>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5.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C35104623DF63C4CBA7C8A844E9BE1E7" ma:contentTypeVersion="8" ma:contentTypeDescription="SPIRE Document" ma:contentTypeScope="" ma:versionID="1c7daa9148dd7666fd0e9ea2060da80e">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aeca5470d34096f501cdd2650a3a8ec4"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B6776-9C5F-4B8A-B891-F3CF112881A6}">
  <ds:schemaRefs>
    <ds:schemaRef ds:uri="http://schemas.microsoft.com/sharepoint/events"/>
  </ds:schemaRefs>
</ds:datastoreItem>
</file>

<file path=customXml/itemProps2.xml><?xml version="1.0" encoding="utf-8"?>
<ds:datastoreItem xmlns:ds="http://schemas.openxmlformats.org/officeDocument/2006/customXml" ds:itemID="{460C5AFB-B2D5-439B-A98D-29F488C0CA4B}"/>
</file>

<file path=customXml/itemProps3.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4.xml><?xml version="1.0" encoding="utf-8"?>
<ds:datastoreItem xmlns:ds="http://schemas.openxmlformats.org/officeDocument/2006/customXml" ds:itemID="{F4A2F8D7-546C-4F39-8A0E-17C71E751875}">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4"/>
    <ds:schemaRef ds:uri="http://schemas.openxmlformats.org/package/2006/metadata/core-properties"/>
    <ds:schemaRef ds:uri="http://purl.org/dc/elements/1.1/"/>
    <ds:schemaRef ds:uri="aa3e7952-617a-4d1d-acc5-2dff72d3e0ca"/>
    <ds:schemaRef ds:uri="http://www.w3.org/XML/1998/namespace"/>
    <ds:schemaRef ds:uri="http://purl.org/dc/dcmitype/"/>
  </ds:schemaRefs>
</ds:datastoreItem>
</file>

<file path=customXml/itemProps5.xml><?xml version="1.0" encoding="utf-8"?>
<ds:datastoreItem xmlns:ds="http://schemas.openxmlformats.org/officeDocument/2006/customXml" ds:itemID="{8568B452-668B-4CF8-BA9F-DD7EA9F05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1437</Words>
  <Characters>8063</Characters>
  <Application>Microsoft Office Word</Application>
  <DocSecurity>4</DocSecurity>
  <Lines>125</Lines>
  <Paragraphs>42</Paragraphs>
  <ScaleCrop>false</ScaleCrop>
  <HeadingPairs>
    <vt:vector size="2" baseType="variant">
      <vt:variant>
        <vt:lpstr>Title</vt:lpstr>
      </vt:variant>
      <vt:variant>
        <vt:i4>1</vt:i4>
      </vt:variant>
    </vt:vector>
  </HeadingPairs>
  <TitlesOfParts>
    <vt:vector size="1" baseType="lpstr">
      <vt:lpstr>00 - Meeting Minutes</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72, 8-10 December 2020 Minutes</dc:title>
  <dc:subject/>
  <dc:creator>IESC</dc:creator>
  <cp:keywords/>
  <dc:description/>
  <cp:lastModifiedBy>Bec Durack</cp:lastModifiedBy>
  <cp:revision>2</cp:revision>
  <dcterms:created xsi:type="dcterms:W3CDTF">2020-12-21T01:53:00Z</dcterms:created>
  <dcterms:modified xsi:type="dcterms:W3CDTF">2020-12-21T01:53:00Z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{b845e473-39bb-4bc7-a2ee-56a280f894c9}</vt:lpwstr>
  </property>
  <property fmtid="{D5CDD505-2E9C-101B-9397-08002B2CF9AE}" pid="7" name="RecordPoint_ActiveItemWebId">
    <vt:lpwstr>{aa3e7952-617a-4d1d-acc5-2dff72d3e0ca}</vt:lpwstr>
  </property>
  <property fmtid="{D5CDD505-2E9C-101B-9397-08002B2CF9AE}" pid="8" name="RecordPoint_RecordNumberSubmitted">
    <vt:lpwstr>003631961</vt:lpwstr>
  </property>
  <property fmtid="{D5CDD505-2E9C-101B-9397-08002B2CF9AE}" pid="9" name="RecordPoint_SubmissionCompleted">
    <vt:lpwstr>2020-12-16T09:01:42.2226915+11:00</vt:lpwstr>
  </property>
</Properties>
</file>