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B8" w:rsidRPr="00C50C93" w:rsidRDefault="00F027B8" w:rsidP="00277A51">
      <w:pPr>
        <w:pStyle w:val="Header"/>
        <w:suppressLineNumbers/>
      </w:pPr>
      <w:r w:rsidRPr="00C50C93">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C50C93" w:rsidRDefault="00F027B8" w:rsidP="00277A51">
      <w:pPr>
        <w:pStyle w:val="Header"/>
        <w:suppressLineNumbers/>
      </w:pPr>
    </w:p>
    <w:p w:rsidR="00F027B8" w:rsidRPr="00C50C93" w:rsidRDefault="00F027B8" w:rsidP="00277A51">
      <w:pPr>
        <w:pStyle w:val="Header"/>
        <w:suppressLineNumbers/>
      </w:pPr>
    </w:p>
    <w:p w:rsidR="00F027B8" w:rsidRPr="00C50C93" w:rsidRDefault="00F027B8" w:rsidP="00277A51">
      <w:pPr>
        <w:pStyle w:val="Header"/>
        <w:suppressLineNumbers/>
      </w:pPr>
    </w:p>
    <w:p w:rsidR="00F027B8" w:rsidRPr="00C50C93" w:rsidRDefault="00F027B8" w:rsidP="00277A51">
      <w:pPr>
        <w:pStyle w:val="Heading1"/>
        <w:suppressLineNumbers/>
      </w:pPr>
    </w:p>
    <w:p w:rsidR="001765DA" w:rsidRPr="00C50C93" w:rsidRDefault="00F027B8" w:rsidP="00277A51">
      <w:pPr>
        <w:pStyle w:val="Heading1"/>
        <w:suppressLineNumbers/>
      </w:pPr>
      <w:bookmarkStart w:id="0" w:name="_GoBack"/>
      <w:r w:rsidRPr="00C50C93">
        <w:t>Advi</w:t>
      </w:r>
      <w:r w:rsidR="001765DA" w:rsidRPr="00C50C93">
        <w:t>ce to decision maker on coal mining</w:t>
      </w:r>
      <w:r w:rsidR="00E21678" w:rsidRPr="00C50C93">
        <w:t xml:space="preserve"> project </w:t>
      </w:r>
    </w:p>
    <w:p w:rsidR="004861E6" w:rsidRPr="00C50C93" w:rsidRDefault="00D10C4C" w:rsidP="00277A51">
      <w:pPr>
        <w:pStyle w:val="Heading2"/>
        <w:suppressLineNumbers/>
      </w:pPr>
      <w:r w:rsidRPr="00C50C93">
        <w:t xml:space="preserve">IESC </w:t>
      </w:r>
      <w:r w:rsidR="00C43084" w:rsidRPr="00C50C93">
        <w:t>201</w:t>
      </w:r>
      <w:r w:rsidR="005471B3" w:rsidRPr="00C50C93">
        <w:t>6</w:t>
      </w:r>
      <w:r w:rsidR="00CC27E7" w:rsidRPr="00C50C93">
        <w:t>-</w:t>
      </w:r>
      <w:r w:rsidRPr="00C50C93">
        <w:t>0</w:t>
      </w:r>
      <w:r w:rsidR="005471B3" w:rsidRPr="00C50C93">
        <w:t>78</w:t>
      </w:r>
      <w:r w:rsidR="001765DA" w:rsidRPr="00C50C93">
        <w:t>:</w:t>
      </w:r>
      <w:r w:rsidR="002974BC" w:rsidRPr="00C50C93">
        <w:t xml:space="preserve"> </w:t>
      </w:r>
      <w:r w:rsidR="005471B3" w:rsidRPr="00C50C93">
        <w:rPr>
          <w:rFonts w:ascii="Arial Bold" w:hAnsi="Arial Bold"/>
        </w:rPr>
        <w:t>Wilpinjong Extension Project</w:t>
      </w:r>
      <w:r w:rsidR="00C803D7" w:rsidRPr="00C50C93">
        <w:t xml:space="preserve"> </w:t>
      </w:r>
      <w:r w:rsidR="00D83AAD" w:rsidRPr="00C50C93">
        <w:t>(EPBC</w:t>
      </w:r>
      <w:r w:rsidR="007B047A" w:rsidRPr="00C50C93">
        <w:t xml:space="preserve"> </w:t>
      </w:r>
      <w:r w:rsidR="005471B3" w:rsidRPr="00C50C93">
        <w:t>2015</w:t>
      </w:r>
      <w:r w:rsidR="009110D5" w:rsidRPr="00C50C93">
        <w:t>/</w:t>
      </w:r>
      <w:r w:rsidR="005471B3" w:rsidRPr="00C50C93">
        <w:t>7431, SSD 6764</w:t>
      </w:r>
      <w:r w:rsidR="00D83AAD" w:rsidRPr="00C50C93">
        <w:t xml:space="preserve">) </w:t>
      </w:r>
      <w:r w:rsidR="00C803D7" w:rsidRPr="00C50C93">
        <w:t>–</w:t>
      </w:r>
      <w:r w:rsidR="00C803D7" w:rsidRPr="00C50C93">
        <w:rPr>
          <w:color w:val="FF0000"/>
        </w:rPr>
        <w:t xml:space="preserve"> </w:t>
      </w:r>
      <w:r w:rsidR="00C803D7" w:rsidRPr="00C50C93">
        <w:t>Expansion</w:t>
      </w:r>
      <w:r w:rsidR="003E2135" w:rsidRPr="00C50C93">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C50C93" w:rsidTr="009110D5">
        <w:trPr>
          <w:trHeight w:val="563"/>
        </w:trPr>
        <w:tc>
          <w:tcPr>
            <w:tcW w:w="1809" w:type="dxa"/>
            <w:tcBorders>
              <w:top w:val="single" w:sz="4" w:space="0" w:color="auto"/>
              <w:bottom w:val="single" w:sz="4" w:space="0" w:color="auto"/>
            </w:tcBorders>
          </w:tcPr>
          <w:bookmarkEnd w:id="0"/>
          <w:p w:rsidR="001765DA" w:rsidRPr="00C50C93" w:rsidRDefault="001765DA" w:rsidP="00277A51">
            <w:pPr>
              <w:pStyle w:val="Heading6"/>
              <w:suppressLineNumbers/>
            </w:pPr>
            <w:r w:rsidRPr="00C50C93">
              <w:t>Requesting agency</w:t>
            </w:r>
          </w:p>
        </w:tc>
        <w:tc>
          <w:tcPr>
            <w:tcW w:w="8159" w:type="dxa"/>
            <w:tcBorders>
              <w:top w:val="single" w:sz="4" w:space="0" w:color="auto"/>
              <w:bottom w:val="single" w:sz="4" w:space="0" w:color="auto"/>
            </w:tcBorders>
          </w:tcPr>
          <w:p w:rsidR="00B1520C" w:rsidRPr="00C50C93" w:rsidRDefault="00B1520C" w:rsidP="00277A51">
            <w:pPr>
              <w:pStyle w:val="Tabletext"/>
              <w:suppressLineNumbers/>
            </w:pPr>
            <w:r w:rsidRPr="00C50C93">
              <w:t xml:space="preserve">The </w:t>
            </w:r>
            <w:r w:rsidR="00C43084" w:rsidRPr="00C50C93">
              <w:t xml:space="preserve">Australian Government </w:t>
            </w:r>
            <w:r w:rsidR="001765DA" w:rsidRPr="00C50C93">
              <w:t xml:space="preserve">Department of </w:t>
            </w:r>
            <w:r w:rsidR="00616861" w:rsidRPr="00C50C93">
              <w:t>the</w:t>
            </w:r>
            <w:r w:rsidR="001765DA" w:rsidRPr="00C50C93">
              <w:t xml:space="preserve"> Environment</w:t>
            </w:r>
            <w:r w:rsidR="002C433B" w:rsidRPr="00C50C93">
              <w:t xml:space="preserve"> and Energy</w:t>
            </w:r>
          </w:p>
          <w:p w:rsidR="003E2BDB" w:rsidRPr="00C50C93" w:rsidRDefault="00B1520C" w:rsidP="002C433B">
            <w:pPr>
              <w:pStyle w:val="Tabletext"/>
              <w:suppressLineNumbers/>
            </w:pPr>
            <w:r w:rsidRPr="00C50C93">
              <w:t xml:space="preserve">The </w:t>
            </w:r>
            <w:r w:rsidR="00C43084" w:rsidRPr="00C50C93">
              <w:t xml:space="preserve">New South Wales </w:t>
            </w:r>
            <w:r w:rsidRPr="00C50C93">
              <w:t xml:space="preserve">Department of Planning and </w:t>
            </w:r>
            <w:r w:rsidR="004B5A51" w:rsidRPr="00C50C93">
              <w:t>Environment</w:t>
            </w:r>
          </w:p>
        </w:tc>
      </w:tr>
      <w:tr w:rsidR="001765DA" w:rsidRPr="00C50C93" w:rsidTr="009110D5">
        <w:trPr>
          <w:trHeight w:val="19"/>
        </w:trPr>
        <w:tc>
          <w:tcPr>
            <w:tcW w:w="1809" w:type="dxa"/>
            <w:tcBorders>
              <w:top w:val="single" w:sz="4" w:space="0" w:color="auto"/>
              <w:bottom w:val="single" w:sz="4" w:space="0" w:color="auto"/>
            </w:tcBorders>
          </w:tcPr>
          <w:p w:rsidR="001765DA" w:rsidRPr="00C50C93" w:rsidRDefault="001765DA" w:rsidP="00277A51">
            <w:pPr>
              <w:pStyle w:val="Heading6"/>
              <w:suppressLineNumbers/>
            </w:pPr>
            <w:r w:rsidRPr="00C50C93">
              <w:t>Date of request</w:t>
            </w:r>
          </w:p>
        </w:tc>
        <w:tc>
          <w:tcPr>
            <w:tcW w:w="8159" w:type="dxa"/>
            <w:tcBorders>
              <w:top w:val="single" w:sz="4" w:space="0" w:color="auto"/>
              <w:bottom w:val="single" w:sz="4" w:space="0" w:color="auto"/>
            </w:tcBorders>
          </w:tcPr>
          <w:p w:rsidR="001765DA" w:rsidRPr="00C50C93" w:rsidRDefault="002C433B" w:rsidP="002C433B">
            <w:pPr>
              <w:pStyle w:val="Tabletext"/>
              <w:suppressLineNumbers/>
            </w:pPr>
            <w:r w:rsidRPr="00C50C93">
              <w:t>27</w:t>
            </w:r>
            <w:r w:rsidR="00A10BAB" w:rsidRPr="00C50C93">
              <w:t xml:space="preserve"> </w:t>
            </w:r>
            <w:r w:rsidRPr="00C50C93">
              <w:t>July</w:t>
            </w:r>
            <w:r w:rsidR="00A10BAB" w:rsidRPr="00C50C93">
              <w:t xml:space="preserve"> </w:t>
            </w:r>
            <w:r w:rsidR="00716583" w:rsidRPr="00C50C93">
              <w:t>201</w:t>
            </w:r>
            <w:r w:rsidRPr="00C50C93">
              <w:t>6</w:t>
            </w:r>
            <w:r w:rsidR="00E21678" w:rsidRPr="00C50C93">
              <w:rPr>
                <w:b/>
              </w:rPr>
              <w:t xml:space="preserve"> </w:t>
            </w:r>
          </w:p>
        </w:tc>
      </w:tr>
      <w:tr w:rsidR="00185039" w:rsidRPr="00C50C93" w:rsidTr="009110D5">
        <w:trPr>
          <w:trHeight w:val="19"/>
        </w:trPr>
        <w:tc>
          <w:tcPr>
            <w:tcW w:w="1809" w:type="dxa"/>
            <w:tcBorders>
              <w:top w:val="single" w:sz="4" w:space="0" w:color="auto"/>
              <w:bottom w:val="single" w:sz="4" w:space="0" w:color="auto"/>
            </w:tcBorders>
          </w:tcPr>
          <w:p w:rsidR="00185039" w:rsidRPr="00C50C93" w:rsidRDefault="00185039" w:rsidP="00277A51">
            <w:pPr>
              <w:pStyle w:val="Heading6"/>
              <w:suppressLineNumbers/>
            </w:pPr>
            <w:r w:rsidRPr="00C50C93">
              <w:t>Date request accepted</w:t>
            </w:r>
          </w:p>
        </w:tc>
        <w:tc>
          <w:tcPr>
            <w:tcW w:w="8159" w:type="dxa"/>
            <w:tcBorders>
              <w:top w:val="single" w:sz="4" w:space="0" w:color="auto"/>
              <w:bottom w:val="single" w:sz="4" w:space="0" w:color="auto"/>
            </w:tcBorders>
          </w:tcPr>
          <w:p w:rsidR="00185039" w:rsidRPr="00C50C93" w:rsidRDefault="002C433B" w:rsidP="002C433B">
            <w:pPr>
              <w:pStyle w:val="Tabletext"/>
              <w:suppressLineNumbers/>
            </w:pPr>
            <w:r w:rsidRPr="00C50C93">
              <w:t>28</w:t>
            </w:r>
            <w:r w:rsidR="00185039" w:rsidRPr="00C50C93">
              <w:t xml:space="preserve"> </w:t>
            </w:r>
            <w:r w:rsidRPr="00C50C93">
              <w:t>July</w:t>
            </w:r>
            <w:r w:rsidR="00185039" w:rsidRPr="00C50C93">
              <w:t xml:space="preserve"> 201</w:t>
            </w:r>
            <w:r w:rsidRPr="00C50C93">
              <w:t>6</w:t>
            </w:r>
          </w:p>
        </w:tc>
      </w:tr>
      <w:tr w:rsidR="00062A46" w:rsidRPr="00C50C93" w:rsidTr="009110D5">
        <w:trPr>
          <w:trHeight w:val="19"/>
        </w:trPr>
        <w:tc>
          <w:tcPr>
            <w:tcW w:w="1809" w:type="dxa"/>
            <w:tcBorders>
              <w:top w:val="single" w:sz="4" w:space="0" w:color="auto"/>
              <w:bottom w:val="single" w:sz="4" w:space="0" w:color="auto"/>
            </w:tcBorders>
          </w:tcPr>
          <w:p w:rsidR="00062A46" w:rsidRPr="00C50C93" w:rsidRDefault="00062A46" w:rsidP="00277A51">
            <w:pPr>
              <w:pStyle w:val="Heading6"/>
              <w:suppressLineNumbers/>
            </w:pPr>
            <w:r w:rsidRPr="00C50C93">
              <w:t xml:space="preserve">Advice stage </w:t>
            </w:r>
          </w:p>
        </w:tc>
        <w:tc>
          <w:tcPr>
            <w:tcW w:w="8159" w:type="dxa"/>
            <w:tcBorders>
              <w:top w:val="single" w:sz="4" w:space="0" w:color="auto"/>
              <w:bottom w:val="single" w:sz="4" w:space="0" w:color="auto"/>
            </w:tcBorders>
          </w:tcPr>
          <w:p w:rsidR="002C433B" w:rsidRPr="00C50C93" w:rsidRDefault="00062A46" w:rsidP="002C433B">
            <w:pPr>
              <w:pStyle w:val="Tabletext"/>
              <w:suppressLineNumbers/>
              <w:rPr>
                <w:lang w:eastAsia="en-AU"/>
              </w:rPr>
            </w:pPr>
            <w:r w:rsidRPr="00C50C93">
              <w:rPr>
                <w:lang w:eastAsia="en-AU"/>
              </w:rPr>
              <w:t xml:space="preserve">Assessment </w:t>
            </w:r>
          </w:p>
          <w:p w:rsidR="00062A46" w:rsidRPr="00C50C93" w:rsidRDefault="00062A46" w:rsidP="00277A51">
            <w:pPr>
              <w:pStyle w:val="Tabletext"/>
              <w:suppressLineNumbers/>
              <w:rPr>
                <w:lang w:eastAsia="en-AU"/>
              </w:rPr>
            </w:pPr>
          </w:p>
        </w:tc>
      </w:tr>
    </w:tbl>
    <w:p w:rsidR="00A622EC" w:rsidRPr="00C50C93" w:rsidRDefault="00A622EC" w:rsidP="00D622B9">
      <w:pPr>
        <w:pStyle w:val="Heading3"/>
      </w:pPr>
      <w:r w:rsidRPr="00C50C93">
        <w:t>Context</w:t>
      </w:r>
    </w:p>
    <w:p w:rsidR="001B0AAA" w:rsidRPr="00C50C93" w:rsidRDefault="001B0AAA" w:rsidP="001B0AAA">
      <w:r w:rsidRPr="00C50C93">
        <w:t>The Independent Expert Scientific Committee on Coal Seam Gas and Large Coal Mining Development (the IESC) was requested by the Australian Government Department of the Environment and Energy and the New South Wales Department of Planning and Environment to provide advice on Wilpinjong Coal Pty Ltd’s (</w:t>
      </w:r>
      <w:r w:rsidR="00902270" w:rsidRPr="00C50C93">
        <w:t>the proponent</w:t>
      </w:r>
      <w:r w:rsidRPr="00C50C93">
        <w:t>) Wilpinjong Extension Project in NSW.</w:t>
      </w:r>
    </w:p>
    <w:p w:rsidR="001B0AAA" w:rsidRPr="00C50C93" w:rsidRDefault="001B0AAA" w:rsidP="001B0AAA">
      <w:r w:rsidRPr="00C50C93">
        <w:t xml:space="preserve">The Wilpinjong Extension Project (the proposed project) is an extension of the approved Wilpinjong Coal Mine, located 40 kilometres north-east of Mudgee in central NSW. The proposed project is located within an area of extensive existing mining, with the currently approved mine operating since </w:t>
      </w:r>
      <w:r w:rsidR="00902270" w:rsidRPr="00C50C93">
        <w:t>2006</w:t>
      </w:r>
      <w:r w:rsidRPr="00C50C93">
        <w:t xml:space="preserve">. An approved discharge point is located on Wilpinjong Creek. </w:t>
      </w:r>
      <w:r w:rsidRPr="00C50C93">
        <w:rPr>
          <w:rStyle w:val="CommentReference"/>
        </w:rPr>
        <w:t> </w:t>
      </w:r>
    </w:p>
    <w:p w:rsidR="001B0AAA" w:rsidRPr="00C50C93" w:rsidRDefault="001B0AAA" w:rsidP="001B0AAA">
      <w:r w:rsidRPr="00C50C93">
        <w:t xml:space="preserve">The IESC provided advice on this project </w:t>
      </w:r>
      <w:r w:rsidR="00C70793" w:rsidRPr="00C50C93">
        <w:t xml:space="preserve">on </w:t>
      </w:r>
      <w:r w:rsidRPr="00C50C93">
        <w:t>14 March 2016. The proponent has since provided documents that respond to that advice and the regulators have requested further IESC advice relating to that response. This advice draws upon aspects of information in the proponent</w:t>
      </w:r>
      <w:r w:rsidR="001543BF" w:rsidRPr="00C50C93">
        <w:t>’</w:t>
      </w:r>
      <w:r w:rsidRPr="00C50C93">
        <w:t>s Response to Submissions (the Response) and</w:t>
      </w:r>
      <w:r w:rsidR="000334B9" w:rsidRPr="00C50C93">
        <w:t xml:space="preserve"> the proponent’s</w:t>
      </w:r>
      <w:r w:rsidRPr="00C50C93">
        <w:t xml:space="preserve"> Reconciliation of IESC Comments</w:t>
      </w:r>
      <w:r w:rsidR="001800DE" w:rsidRPr="00C50C93">
        <w:t xml:space="preserve"> (the </w:t>
      </w:r>
      <w:r w:rsidR="00843B8B">
        <w:t xml:space="preserve">proponent’s </w:t>
      </w:r>
      <w:r w:rsidR="001800DE" w:rsidRPr="00C50C93">
        <w:t>Reconciliation)</w:t>
      </w:r>
      <w:r w:rsidRPr="00C50C93">
        <w:t>, together with the expert deliberations of the IESC. The project documentation and information accessed by the IESC are listed in the source documentation at the end of this advice.</w:t>
      </w:r>
    </w:p>
    <w:p w:rsidR="001B0AAA" w:rsidRPr="00C50C93" w:rsidRDefault="001B0AAA" w:rsidP="001B0AAA">
      <w:pPr>
        <w:rPr>
          <w:rFonts w:ascii="Times New Roman" w:hAnsi="Times New Roman"/>
          <w:sz w:val="24"/>
          <w:szCs w:val="24"/>
        </w:rPr>
      </w:pPr>
      <w:r w:rsidRPr="00C50C93">
        <w:rPr>
          <w:iCs/>
        </w:rPr>
        <w:t xml:space="preserve">The March 2016 IESC advice on this project noted the lack of </w:t>
      </w:r>
      <w:r w:rsidR="00BD14C4">
        <w:rPr>
          <w:iCs/>
        </w:rPr>
        <w:t xml:space="preserve">information on </w:t>
      </w:r>
      <w:r w:rsidRPr="00C50C93">
        <w:rPr>
          <w:iCs/>
        </w:rPr>
        <w:t xml:space="preserve">mitigation and management measures, surface water baseline data, and groundwater baseline data in the Environmental Impact Statement (EIS). </w:t>
      </w:r>
      <w:r w:rsidR="000334B9" w:rsidRPr="00C50C93">
        <w:rPr>
          <w:iCs/>
        </w:rPr>
        <w:t>T</w:t>
      </w:r>
      <w:r w:rsidRPr="00C50C93">
        <w:rPr>
          <w:iCs/>
        </w:rPr>
        <w:t xml:space="preserve">he updated Water </w:t>
      </w:r>
      <w:r w:rsidR="001A3720" w:rsidRPr="00C50C93">
        <w:rPr>
          <w:iCs/>
        </w:rPr>
        <w:t>Management Plan (Peabody Energy</w:t>
      </w:r>
      <w:r w:rsidRPr="00C50C93">
        <w:rPr>
          <w:iCs/>
        </w:rPr>
        <w:t xml:space="preserve"> May 2016) and associated appendices provide detail</w:t>
      </w:r>
      <w:r w:rsidR="007575DA">
        <w:rPr>
          <w:iCs/>
        </w:rPr>
        <w:t>s</w:t>
      </w:r>
      <w:r w:rsidRPr="00C50C93">
        <w:rPr>
          <w:iCs/>
        </w:rPr>
        <w:t xml:space="preserve"> of mitigation and management measures for the existing mine (not including the proposed project)</w:t>
      </w:r>
      <w:r w:rsidR="007575DA">
        <w:rPr>
          <w:iCs/>
        </w:rPr>
        <w:t>,</w:t>
      </w:r>
      <w:r w:rsidRPr="00C50C93">
        <w:rPr>
          <w:iCs/>
        </w:rPr>
        <w:t xml:space="preserve"> </w:t>
      </w:r>
      <w:r w:rsidR="00C70793" w:rsidRPr="00C50C93">
        <w:rPr>
          <w:iCs/>
        </w:rPr>
        <w:t xml:space="preserve">and </w:t>
      </w:r>
      <w:r w:rsidRPr="00C50C93">
        <w:rPr>
          <w:iCs/>
        </w:rPr>
        <w:t>some baseline data for surface water (EC, pH, turbidity, flow) and groundwater (EC, pH and level). This information should have been provided within the EIS document as it provides the basis for characterising the existing environment and assessing potential impacts of the proposed project. Given the proponent has been operating for several years, surface water and groundwater monitoring d</w:t>
      </w:r>
      <w:r w:rsidR="00C70793" w:rsidRPr="00C50C93">
        <w:rPr>
          <w:iCs/>
        </w:rPr>
        <w:t xml:space="preserve">ata collected over this period </w:t>
      </w:r>
      <w:r w:rsidR="00843B8B">
        <w:rPr>
          <w:iCs/>
        </w:rPr>
        <w:t>should</w:t>
      </w:r>
      <w:r w:rsidRPr="00C50C93">
        <w:rPr>
          <w:iCs/>
        </w:rPr>
        <w:t xml:space="preserve"> allow </w:t>
      </w:r>
      <w:r w:rsidRPr="00C50C93">
        <w:rPr>
          <w:iCs/>
        </w:rPr>
        <w:lastRenderedPageBreak/>
        <w:t>a baseline to be established. The omission and lack of consideration of this data hinder a robust assessment of impacts.</w:t>
      </w:r>
      <w:r w:rsidRPr="00C50C93">
        <w:rPr>
          <w:rFonts w:ascii="Times New Roman" w:hAnsi="Times New Roman"/>
          <w:sz w:val="24"/>
          <w:szCs w:val="24"/>
        </w:rPr>
        <w:t xml:space="preserve"> </w:t>
      </w:r>
    </w:p>
    <w:p w:rsidR="00627056" w:rsidRPr="00C50C93" w:rsidRDefault="00627056" w:rsidP="001B0AAA">
      <w:pPr>
        <w:rPr>
          <w:rFonts w:ascii="Times New Roman" w:hAnsi="Times New Roman"/>
          <w:sz w:val="24"/>
          <w:szCs w:val="24"/>
        </w:rPr>
      </w:pPr>
      <w:r w:rsidRPr="00C50C93">
        <w:t>The IESC considers that uncertainty remains regarding the potential impact of the proposed project on a number of key water resources identified in the area</w:t>
      </w:r>
      <w:r w:rsidR="000334B9" w:rsidRPr="00C50C93">
        <w:t>, such as</w:t>
      </w:r>
      <w:r w:rsidRPr="00C50C93">
        <w:t xml:space="preserve"> downstream aquatic </w:t>
      </w:r>
      <w:r w:rsidR="000334B9" w:rsidRPr="00C50C93">
        <w:t>ecosystems</w:t>
      </w:r>
      <w:r w:rsidRPr="00C50C93">
        <w:t xml:space="preserve">, </w:t>
      </w:r>
      <w:r w:rsidR="00EE4510">
        <w:t xml:space="preserve">particularly </w:t>
      </w:r>
      <w:r w:rsidRPr="00C50C93">
        <w:t xml:space="preserve">within the Goulburn River National Park, and </w:t>
      </w:r>
      <w:r w:rsidR="000334B9" w:rsidRPr="00C50C93">
        <w:t xml:space="preserve">the </w:t>
      </w:r>
      <w:r w:rsidRPr="00C50C93">
        <w:t xml:space="preserve">registered bore associated with Wollar </w:t>
      </w:r>
      <w:r w:rsidR="00F03910" w:rsidRPr="00C50C93">
        <w:t>School</w:t>
      </w:r>
      <w:r w:rsidRPr="00C50C93">
        <w:t xml:space="preserve">. Other groundwater dependent ecosystems </w:t>
      </w:r>
      <w:r w:rsidR="00602B32" w:rsidRPr="00C50C93">
        <w:t xml:space="preserve">(GDEs) </w:t>
      </w:r>
      <w:r w:rsidRPr="00C50C93">
        <w:t>may also be present within the project boundary and surrounds</w:t>
      </w:r>
      <w:r w:rsidR="00E952A3">
        <w:t>;</w:t>
      </w:r>
      <w:r w:rsidRPr="00C50C93">
        <w:t xml:space="preserve"> however the potential impact on these remains uncertain.</w:t>
      </w:r>
    </w:p>
    <w:p w:rsidR="007203C3" w:rsidRPr="00C50C93" w:rsidRDefault="007203C3" w:rsidP="00D622B9">
      <w:pPr>
        <w:pStyle w:val="Heading3"/>
      </w:pPr>
      <w:r w:rsidRPr="00C50C93">
        <w:t>Advice</w:t>
      </w:r>
    </w:p>
    <w:p w:rsidR="007203C3" w:rsidRPr="00C50C93" w:rsidRDefault="007203C3" w:rsidP="007203C3">
      <w:pPr>
        <w:pStyle w:val="Default"/>
        <w:spacing w:after="200" w:line="276" w:lineRule="auto"/>
        <w:rPr>
          <w:rFonts w:ascii="Arial" w:eastAsia="Times New Roman" w:hAnsi="Arial" w:cs="Arial"/>
          <w:color w:val="auto"/>
          <w:sz w:val="20"/>
          <w:szCs w:val="20"/>
          <w:lang w:eastAsia="en-US"/>
        </w:rPr>
      </w:pPr>
      <w:r w:rsidRPr="00C50C93">
        <w:rPr>
          <w:rFonts w:ascii="Arial" w:eastAsia="Times New Roman" w:hAnsi="Arial" w:cs="Arial"/>
          <w:color w:val="auto"/>
          <w:sz w:val="20"/>
          <w:szCs w:val="20"/>
          <w:lang w:eastAsia="en-US"/>
        </w:rPr>
        <w:t xml:space="preserve">The </w:t>
      </w:r>
      <w:r w:rsidR="00CF562A" w:rsidRPr="00C50C93">
        <w:rPr>
          <w:rFonts w:ascii="Arial" w:eastAsia="Times New Roman" w:hAnsi="Arial" w:cs="Arial"/>
          <w:color w:val="auto"/>
          <w:sz w:val="20"/>
          <w:szCs w:val="20"/>
          <w:lang w:eastAsia="en-US"/>
        </w:rPr>
        <w:t>IESC</w:t>
      </w:r>
      <w:r w:rsidRPr="00C50C93">
        <w:rPr>
          <w:rFonts w:ascii="Arial" w:eastAsia="Times New Roman" w:hAnsi="Arial" w:cs="Arial"/>
          <w:color w:val="auto"/>
          <w:sz w:val="20"/>
          <w:szCs w:val="20"/>
          <w:lang w:eastAsia="en-US"/>
        </w:rPr>
        <w:t xml:space="preserve">’s advice, in response to the </w:t>
      </w:r>
      <w:r w:rsidR="00E57CD8" w:rsidRPr="00C50C93">
        <w:rPr>
          <w:rFonts w:ascii="Arial" w:eastAsia="Times New Roman" w:hAnsi="Arial" w:cs="Arial"/>
          <w:color w:val="auto"/>
          <w:sz w:val="20"/>
          <w:szCs w:val="20"/>
          <w:lang w:eastAsia="en-US"/>
        </w:rPr>
        <w:t xml:space="preserve">requesting </w:t>
      </w:r>
      <w:r w:rsidR="00D441B2" w:rsidRPr="00C50C93">
        <w:rPr>
          <w:rFonts w:ascii="Arial" w:eastAsia="Times New Roman" w:hAnsi="Arial" w:cs="Arial"/>
          <w:color w:val="auto"/>
          <w:sz w:val="20"/>
          <w:szCs w:val="20"/>
          <w:lang w:eastAsia="en-US"/>
        </w:rPr>
        <w:t>agencies’</w:t>
      </w:r>
      <w:r w:rsidRPr="00C50C93">
        <w:rPr>
          <w:rFonts w:ascii="Arial" w:eastAsia="Times New Roman" w:hAnsi="Arial" w:cs="Arial"/>
          <w:color w:val="auto"/>
          <w:sz w:val="20"/>
          <w:szCs w:val="20"/>
          <w:lang w:eastAsia="en-US"/>
        </w:rPr>
        <w:t xml:space="preserve"> specific questions is provided below. </w:t>
      </w:r>
    </w:p>
    <w:p w:rsidR="00C46A5A" w:rsidRPr="00C50C93" w:rsidRDefault="007203C3" w:rsidP="00C46A5A">
      <w:pPr>
        <w:pBdr>
          <w:top w:val="single" w:sz="4" w:space="1" w:color="auto"/>
          <w:left w:val="single" w:sz="4" w:space="4" w:color="auto"/>
          <w:bottom w:val="single" w:sz="4" w:space="1" w:color="auto"/>
          <w:right w:val="single" w:sz="4" w:space="4" w:color="auto"/>
        </w:pBdr>
        <w:spacing w:before="60" w:after="60"/>
      </w:pPr>
      <w:r w:rsidRPr="00C50C93">
        <w:t xml:space="preserve">Question 1: </w:t>
      </w:r>
      <w:r w:rsidR="00C46A5A" w:rsidRPr="00C50C93">
        <w:t xml:space="preserve">Does the additional information provided by the Applicant </w:t>
      </w:r>
      <w:r w:rsidR="00C95735" w:rsidRPr="00C50C93">
        <w:t>(the responses to submissions and specific response to the IESC’s recommendations) adequately address the matters identified in the IESC’s advice (</w:t>
      </w:r>
      <w:r w:rsidR="00FC52E6" w:rsidRPr="00C50C93">
        <w:t xml:space="preserve">IESC March 2016: </w:t>
      </w:r>
      <w:r w:rsidR="00C95735" w:rsidRPr="00C50C93">
        <w:t>points 1-30)?</w:t>
      </w:r>
    </w:p>
    <w:p w:rsidR="00884775" w:rsidRPr="00C50C93" w:rsidRDefault="00AF08D4" w:rsidP="00EC6806">
      <w:pPr>
        <w:pStyle w:val="ListNumber"/>
      </w:pPr>
      <w:r w:rsidRPr="00C50C93">
        <w:t>The additional information</w:t>
      </w:r>
      <w:r w:rsidR="001F4417" w:rsidRPr="00C50C93">
        <w:t xml:space="preserve"> provided by the proponent addresses some of the issues identified in the IESC’s advice</w:t>
      </w:r>
      <w:r w:rsidR="00292BB3" w:rsidRPr="00C50C93">
        <w:t xml:space="preserve"> (</w:t>
      </w:r>
      <w:r w:rsidR="003E110D" w:rsidRPr="00C50C93">
        <w:t>those that remain unaddressed are in Paragraph 2, below</w:t>
      </w:r>
      <w:r w:rsidR="00292BB3" w:rsidRPr="00C50C93">
        <w:t xml:space="preserve">). </w:t>
      </w:r>
      <w:r w:rsidR="007575DA">
        <w:t>The</w:t>
      </w:r>
      <w:r w:rsidR="000A2E7B">
        <w:t xml:space="preserve"> </w:t>
      </w:r>
      <w:r w:rsidR="00A07EC7">
        <w:t>following matters are adequately addressed</w:t>
      </w:r>
      <w:r w:rsidR="000A2E7B">
        <w:t>:</w:t>
      </w:r>
    </w:p>
    <w:p w:rsidR="00884775" w:rsidRPr="00C50C93" w:rsidRDefault="00DE1CB1" w:rsidP="00884775">
      <w:pPr>
        <w:pStyle w:val="ListNumber2"/>
      </w:pPr>
      <w:r w:rsidRPr="00C50C93">
        <w:t>A</w:t>
      </w:r>
      <w:r w:rsidR="00627056" w:rsidRPr="00C50C93">
        <w:t xml:space="preserve"> commitment</w:t>
      </w:r>
      <w:r w:rsidRPr="00C50C93">
        <w:t xml:space="preserve"> was provided</w:t>
      </w:r>
      <w:r w:rsidR="00627056" w:rsidRPr="00C50C93">
        <w:t xml:space="preserve"> </w:t>
      </w:r>
      <w:r w:rsidR="000768A0" w:rsidRPr="00C50C93">
        <w:t>in the</w:t>
      </w:r>
      <w:r w:rsidR="00627056" w:rsidRPr="00C50C93">
        <w:t xml:space="preserve"> proponent</w:t>
      </w:r>
      <w:r w:rsidR="000768A0" w:rsidRPr="00C50C93">
        <w:t xml:space="preserve">’s Reconciliation (p. 4) </w:t>
      </w:r>
      <w:r w:rsidR="00627056" w:rsidRPr="00C50C93">
        <w:t xml:space="preserve">to undertake </w:t>
      </w:r>
      <w:r w:rsidRPr="00C50C93">
        <w:t>core</w:t>
      </w:r>
      <w:r w:rsidR="001F4417" w:rsidRPr="00C50C93">
        <w:t xml:space="preserve"> testing</w:t>
      </w:r>
      <w:r w:rsidR="00627056" w:rsidRPr="00C50C93">
        <w:t xml:space="preserve"> to further elucidate aquifer properties</w:t>
      </w:r>
      <w:r w:rsidR="0043379F" w:rsidRPr="00C50C93">
        <w:t xml:space="preserve"> </w:t>
      </w:r>
      <w:r w:rsidR="00627056" w:rsidRPr="00C50C93">
        <w:t>and incorporate the results into future re</w:t>
      </w:r>
      <w:r w:rsidR="00C304A8" w:rsidRPr="00C50C93">
        <w:t>views of the groundwater model</w:t>
      </w:r>
      <w:r w:rsidRPr="00C50C93">
        <w:t>. This also included using</w:t>
      </w:r>
      <w:r w:rsidR="00627056" w:rsidRPr="00C50C93">
        <w:t xml:space="preserve"> the results of the groundwater monitoring program to inform periodic refinement of the groundwater model. </w:t>
      </w:r>
      <w:r w:rsidR="00627056" w:rsidRPr="00C50C93">
        <w:rPr>
          <w:rFonts w:eastAsia="Arial"/>
          <w:spacing w:val="-5"/>
        </w:rPr>
        <w:t xml:space="preserve">The </w:t>
      </w:r>
      <w:r w:rsidR="00627056" w:rsidRPr="00C50C93">
        <w:rPr>
          <w:rFonts w:eastAsia="Arial"/>
        </w:rPr>
        <w:t>revised</w:t>
      </w:r>
      <w:r w:rsidR="00627056" w:rsidRPr="00C50C93">
        <w:rPr>
          <w:rFonts w:eastAsia="Arial"/>
          <w:spacing w:val="-6"/>
        </w:rPr>
        <w:t xml:space="preserve"> </w:t>
      </w:r>
      <w:r w:rsidR="00627056" w:rsidRPr="00C50C93">
        <w:rPr>
          <w:rFonts w:eastAsia="Arial"/>
        </w:rPr>
        <w:t>outputs</w:t>
      </w:r>
      <w:r w:rsidR="00627056" w:rsidRPr="00C50C93">
        <w:rPr>
          <w:rFonts w:eastAsia="Arial"/>
          <w:spacing w:val="-4"/>
        </w:rPr>
        <w:t xml:space="preserve"> </w:t>
      </w:r>
      <w:r w:rsidR="00627056" w:rsidRPr="00C50C93">
        <w:rPr>
          <w:rFonts w:eastAsia="Arial"/>
        </w:rPr>
        <w:t>from</w:t>
      </w:r>
      <w:r w:rsidR="00627056" w:rsidRPr="00C50C93">
        <w:rPr>
          <w:rFonts w:eastAsia="Arial"/>
          <w:spacing w:val="-3"/>
        </w:rPr>
        <w:t xml:space="preserve"> </w:t>
      </w:r>
      <w:r w:rsidR="00627056" w:rsidRPr="00C50C93">
        <w:rPr>
          <w:rFonts w:eastAsia="Arial"/>
        </w:rPr>
        <w:t>t</w:t>
      </w:r>
      <w:r w:rsidR="00627056" w:rsidRPr="00C50C93">
        <w:rPr>
          <w:rFonts w:eastAsia="Arial"/>
          <w:spacing w:val="1"/>
        </w:rPr>
        <w:t>h</w:t>
      </w:r>
      <w:r w:rsidR="00627056" w:rsidRPr="00C50C93">
        <w:rPr>
          <w:rFonts w:eastAsia="Arial"/>
        </w:rPr>
        <w:t>e</w:t>
      </w:r>
      <w:r w:rsidR="00627056" w:rsidRPr="00C50C93">
        <w:rPr>
          <w:rFonts w:eastAsia="Arial"/>
          <w:spacing w:val="-2"/>
        </w:rPr>
        <w:t xml:space="preserve"> </w:t>
      </w:r>
      <w:r w:rsidR="00627056" w:rsidRPr="00C50C93">
        <w:rPr>
          <w:rFonts w:eastAsia="Arial"/>
        </w:rPr>
        <w:t>numeri</w:t>
      </w:r>
      <w:r w:rsidR="00627056" w:rsidRPr="00C50C93">
        <w:rPr>
          <w:rFonts w:eastAsia="Arial"/>
          <w:spacing w:val="1"/>
        </w:rPr>
        <w:t>c</w:t>
      </w:r>
      <w:r w:rsidR="00627056" w:rsidRPr="00C50C93">
        <w:rPr>
          <w:rFonts w:eastAsia="Arial"/>
        </w:rPr>
        <w:t>al model</w:t>
      </w:r>
      <w:r w:rsidR="00627056" w:rsidRPr="00C50C93">
        <w:rPr>
          <w:rFonts w:eastAsia="Arial"/>
          <w:spacing w:val="-3"/>
        </w:rPr>
        <w:t xml:space="preserve"> will then be </w:t>
      </w:r>
      <w:r w:rsidR="00627056" w:rsidRPr="00C50C93">
        <w:rPr>
          <w:rFonts w:eastAsia="Arial"/>
        </w:rPr>
        <w:t>used</w:t>
      </w:r>
      <w:r w:rsidR="00627056" w:rsidRPr="00C50C93">
        <w:rPr>
          <w:rFonts w:eastAsia="Arial"/>
          <w:spacing w:val="-2"/>
        </w:rPr>
        <w:t xml:space="preserve"> </w:t>
      </w:r>
      <w:r w:rsidR="00627056" w:rsidRPr="00C50C93">
        <w:rPr>
          <w:rFonts w:eastAsia="Arial"/>
        </w:rPr>
        <w:t>to</w:t>
      </w:r>
      <w:r w:rsidR="00627056" w:rsidRPr="00C50C93">
        <w:rPr>
          <w:rFonts w:eastAsia="Arial"/>
          <w:spacing w:val="-1"/>
        </w:rPr>
        <w:t xml:space="preserve"> </w:t>
      </w:r>
      <w:r w:rsidR="00627056" w:rsidRPr="00C50C93">
        <w:rPr>
          <w:rFonts w:eastAsia="Arial"/>
          <w:spacing w:val="1"/>
        </w:rPr>
        <w:t>i</w:t>
      </w:r>
      <w:r w:rsidR="00627056" w:rsidRPr="00C50C93">
        <w:rPr>
          <w:rFonts w:eastAsia="Arial"/>
        </w:rPr>
        <w:t>nform</w:t>
      </w:r>
      <w:r w:rsidR="00627056" w:rsidRPr="00C50C93">
        <w:rPr>
          <w:rFonts w:eastAsia="Arial"/>
          <w:spacing w:val="-4"/>
        </w:rPr>
        <w:t xml:space="preserve"> </w:t>
      </w:r>
      <w:r w:rsidR="00627056" w:rsidRPr="00C50C93">
        <w:rPr>
          <w:rFonts w:eastAsia="Arial"/>
        </w:rPr>
        <w:t>re</w:t>
      </w:r>
      <w:r w:rsidR="00627056" w:rsidRPr="00C50C93">
        <w:rPr>
          <w:rFonts w:eastAsia="Arial"/>
          <w:spacing w:val="1"/>
        </w:rPr>
        <w:t>g</w:t>
      </w:r>
      <w:r w:rsidR="00627056" w:rsidRPr="00C50C93">
        <w:rPr>
          <w:rFonts w:eastAsia="Arial"/>
        </w:rPr>
        <w:t>ular</w:t>
      </w:r>
      <w:r w:rsidR="00627056" w:rsidRPr="00C50C93">
        <w:rPr>
          <w:rFonts w:eastAsia="Arial"/>
          <w:spacing w:val="-3"/>
        </w:rPr>
        <w:t xml:space="preserve"> </w:t>
      </w:r>
      <w:r w:rsidR="00627056" w:rsidRPr="00C50C93">
        <w:rPr>
          <w:rFonts w:eastAsia="Arial"/>
        </w:rPr>
        <w:t>site</w:t>
      </w:r>
      <w:r w:rsidR="00627056" w:rsidRPr="00C50C93">
        <w:rPr>
          <w:rFonts w:eastAsia="Arial"/>
          <w:spacing w:val="-2"/>
        </w:rPr>
        <w:t xml:space="preserve"> </w:t>
      </w:r>
      <w:r w:rsidR="00627056" w:rsidRPr="00C50C93">
        <w:rPr>
          <w:rFonts w:eastAsia="Arial"/>
          <w:spacing w:val="-1"/>
        </w:rPr>
        <w:t>w</w:t>
      </w:r>
      <w:r w:rsidR="00627056" w:rsidRPr="00C50C93">
        <w:rPr>
          <w:rFonts w:eastAsia="Arial"/>
        </w:rPr>
        <w:t>at</w:t>
      </w:r>
      <w:r w:rsidR="00627056" w:rsidRPr="00C50C93">
        <w:rPr>
          <w:rFonts w:eastAsia="Arial"/>
          <w:spacing w:val="1"/>
        </w:rPr>
        <w:t>e</w:t>
      </w:r>
      <w:r w:rsidR="00627056" w:rsidRPr="00C50C93">
        <w:rPr>
          <w:rFonts w:eastAsia="Arial"/>
        </w:rPr>
        <w:t>r</w:t>
      </w:r>
      <w:r w:rsidR="00627056" w:rsidRPr="00C50C93">
        <w:rPr>
          <w:rFonts w:eastAsia="Arial"/>
          <w:spacing w:val="-4"/>
        </w:rPr>
        <w:t xml:space="preserve"> </w:t>
      </w:r>
      <w:r w:rsidR="00627056" w:rsidRPr="00C50C93">
        <w:rPr>
          <w:rFonts w:eastAsia="Arial"/>
        </w:rPr>
        <w:t>bala</w:t>
      </w:r>
      <w:r w:rsidR="00627056" w:rsidRPr="00C50C93">
        <w:rPr>
          <w:rFonts w:eastAsia="Arial"/>
          <w:spacing w:val="2"/>
        </w:rPr>
        <w:t>n</w:t>
      </w:r>
      <w:r w:rsidR="00627056" w:rsidRPr="00C50C93">
        <w:rPr>
          <w:rFonts w:eastAsia="Arial"/>
        </w:rPr>
        <w:t>ce</w:t>
      </w:r>
      <w:r w:rsidR="00627056" w:rsidRPr="00C50C93">
        <w:rPr>
          <w:rFonts w:eastAsia="Arial"/>
          <w:spacing w:val="-6"/>
        </w:rPr>
        <w:t xml:space="preserve"> </w:t>
      </w:r>
      <w:r w:rsidR="00627056" w:rsidRPr="00C50C93">
        <w:rPr>
          <w:rFonts w:eastAsia="Arial"/>
        </w:rPr>
        <w:t>rev</w:t>
      </w:r>
      <w:r w:rsidR="00627056" w:rsidRPr="00C50C93">
        <w:rPr>
          <w:rFonts w:eastAsia="Arial"/>
          <w:spacing w:val="1"/>
        </w:rPr>
        <w:t>i</w:t>
      </w:r>
      <w:r w:rsidR="00627056" w:rsidRPr="00C50C93">
        <w:rPr>
          <w:rFonts w:eastAsia="Arial"/>
        </w:rPr>
        <w:t>e</w:t>
      </w:r>
      <w:r w:rsidR="00627056" w:rsidRPr="00C50C93">
        <w:rPr>
          <w:rFonts w:eastAsia="Arial"/>
          <w:spacing w:val="-1"/>
        </w:rPr>
        <w:t>w</w:t>
      </w:r>
      <w:r w:rsidR="00627056" w:rsidRPr="00C50C93">
        <w:rPr>
          <w:rFonts w:eastAsia="Arial"/>
        </w:rPr>
        <w:t>s</w:t>
      </w:r>
      <w:r w:rsidRPr="00C50C93">
        <w:rPr>
          <w:rFonts w:eastAsia="Arial"/>
        </w:rPr>
        <w:t>.</w:t>
      </w:r>
      <w:r w:rsidR="00EE4510">
        <w:rPr>
          <w:rFonts w:eastAsia="Arial"/>
        </w:rPr>
        <w:t xml:space="preserve"> This adequately addresses point</w:t>
      </w:r>
      <w:r w:rsidR="005F1781">
        <w:rPr>
          <w:rFonts w:eastAsia="Arial"/>
        </w:rPr>
        <w:t>s</w:t>
      </w:r>
      <w:r w:rsidR="00EE4510">
        <w:rPr>
          <w:rFonts w:eastAsia="Arial"/>
        </w:rPr>
        <w:t xml:space="preserve"> 5a</w:t>
      </w:r>
      <w:r w:rsidR="005F1781">
        <w:rPr>
          <w:rFonts w:eastAsia="Arial"/>
        </w:rPr>
        <w:t>, 5f and 5g</w:t>
      </w:r>
      <w:r w:rsidR="00EE4510">
        <w:rPr>
          <w:rFonts w:eastAsia="Arial"/>
        </w:rPr>
        <w:t xml:space="preserve"> in the March 2016 advice.  </w:t>
      </w:r>
    </w:p>
    <w:p w:rsidR="00627056" w:rsidRPr="00C50C93" w:rsidRDefault="007A7D6E" w:rsidP="00884775">
      <w:pPr>
        <w:pStyle w:val="ListNumber2"/>
      </w:pPr>
      <w:r>
        <w:t>The IESC accepts the</w:t>
      </w:r>
      <w:r w:rsidR="00A415A7" w:rsidRPr="00C50C93">
        <w:t xml:space="preserve"> rationale for why the Ulan Mine Complex was not included in the</w:t>
      </w:r>
      <w:r w:rsidR="00C304A8" w:rsidRPr="00C50C93">
        <w:t xml:space="preserve"> c</w:t>
      </w:r>
      <w:r w:rsidR="00777F1A" w:rsidRPr="00C50C93">
        <w:t>umulativ</w:t>
      </w:r>
      <w:r w:rsidR="00C304A8" w:rsidRPr="00C50C93">
        <w:t>e groundwater impact assessment</w:t>
      </w:r>
      <w:r>
        <w:t>, as</w:t>
      </w:r>
      <w:r w:rsidR="00A415A7" w:rsidRPr="00C50C93">
        <w:t xml:space="preserve"> provided in the</w:t>
      </w:r>
      <w:r w:rsidR="00B00D85" w:rsidRPr="00C50C93">
        <w:t xml:space="preserve"> proponent’s</w:t>
      </w:r>
      <w:r w:rsidR="00A415A7" w:rsidRPr="00C50C93">
        <w:t xml:space="preserve"> Reconciliation (p. 3)</w:t>
      </w:r>
      <w:r w:rsidR="001C0184" w:rsidRPr="00C50C93">
        <w:t xml:space="preserve"> to address </w:t>
      </w:r>
      <w:r w:rsidR="00843B8B">
        <w:t xml:space="preserve">the </w:t>
      </w:r>
      <w:r w:rsidR="00B00D85" w:rsidRPr="00C50C93">
        <w:t>risk</w:t>
      </w:r>
      <w:r w:rsidR="001C0184" w:rsidRPr="00C50C93">
        <w:t xml:space="preserve"> of drawdown effects due to cumulative impacts</w:t>
      </w:r>
      <w:r w:rsidR="00472D14">
        <w:t xml:space="preserve"> (Point 4 in the March </w:t>
      </w:r>
      <w:r>
        <w:t>2016 advice)</w:t>
      </w:r>
      <w:r w:rsidR="001C0184" w:rsidRPr="00C50C93">
        <w:t>.</w:t>
      </w:r>
    </w:p>
    <w:p w:rsidR="001F4417" w:rsidRPr="00C50C93" w:rsidRDefault="001C0184" w:rsidP="00884775">
      <w:pPr>
        <w:pStyle w:val="ListNumber2"/>
        <w:rPr>
          <w:rFonts w:eastAsia="Arial"/>
        </w:rPr>
      </w:pPr>
      <w:r w:rsidRPr="00C50C93">
        <w:t>A</w:t>
      </w:r>
      <w:r w:rsidR="00777F1A" w:rsidRPr="00C50C93">
        <w:t xml:space="preserve"> commitment</w:t>
      </w:r>
      <w:r w:rsidRPr="00C50C93">
        <w:t xml:space="preserve"> was provided</w:t>
      </w:r>
      <w:r w:rsidR="00777F1A" w:rsidRPr="00C50C93">
        <w:t xml:space="preserve"> </w:t>
      </w:r>
      <w:r w:rsidR="00B00D85" w:rsidRPr="00C50C93">
        <w:t>in the</w:t>
      </w:r>
      <w:r w:rsidR="00777F1A" w:rsidRPr="00C50C93">
        <w:t xml:space="preserve"> proponent</w:t>
      </w:r>
      <w:r w:rsidR="00B00D85" w:rsidRPr="00C50C93">
        <w:t>’s</w:t>
      </w:r>
      <w:r w:rsidR="004C068D" w:rsidRPr="00C50C93">
        <w:t xml:space="preserve"> Reconciliation </w:t>
      </w:r>
      <w:r w:rsidR="004C068D" w:rsidRPr="00C50C93">
        <w:rPr>
          <w:rFonts w:eastAsia="Arial"/>
        </w:rPr>
        <w:t xml:space="preserve">(p. 16) </w:t>
      </w:r>
      <w:r w:rsidR="00777F1A" w:rsidRPr="00C50C93">
        <w:t>to r</w:t>
      </w:r>
      <w:r w:rsidR="001F4417" w:rsidRPr="00C50C93">
        <w:t xml:space="preserve">einstate </w:t>
      </w:r>
      <w:r w:rsidR="00E34B22" w:rsidRPr="00C50C93">
        <w:t xml:space="preserve">two </w:t>
      </w:r>
      <w:r w:rsidR="001F4417" w:rsidRPr="00C50C93">
        <w:t>existing grou</w:t>
      </w:r>
      <w:r w:rsidR="00884775" w:rsidRPr="00C50C93">
        <w:t>ndwater m</w:t>
      </w:r>
      <w:r w:rsidR="00884775" w:rsidRPr="00C50C93">
        <w:rPr>
          <w:rFonts w:eastAsia="Arial"/>
          <w:spacing w:val="-5"/>
        </w:rPr>
        <w:t>onit</w:t>
      </w:r>
      <w:r w:rsidR="00884775" w:rsidRPr="00C50C93">
        <w:rPr>
          <w:rFonts w:eastAsia="Arial"/>
        </w:rPr>
        <w:t>oring l</w:t>
      </w:r>
      <w:r w:rsidR="00884775" w:rsidRPr="00C50C93">
        <w:rPr>
          <w:rFonts w:eastAsia="Arial"/>
          <w:spacing w:val="-6"/>
        </w:rPr>
        <w:t>o</w:t>
      </w:r>
      <w:r w:rsidR="00884775" w:rsidRPr="00C50C93">
        <w:rPr>
          <w:rFonts w:eastAsia="Arial"/>
        </w:rPr>
        <w:t>cations</w:t>
      </w:r>
      <w:r w:rsidRPr="00C50C93">
        <w:rPr>
          <w:rFonts w:eastAsia="Arial"/>
        </w:rPr>
        <w:t xml:space="preserve"> at PZ20 and PZ21</w:t>
      </w:r>
      <w:r w:rsidR="004C068D" w:rsidRPr="00C50C93">
        <w:rPr>
          <w:rFonts w:eastAsia="Arial"/>
        </w:rPr>
        <w:t xml:space="preserve">, </w:t>
      </w:r>
      <w:r w:rsidRPr="00C50C93">
        <w:rPr>
          <w:rFonts w:eastAsia="Arial"/>
          <w:spacing w:val="-3"/>
        </w:rPr>
        <w:t xml:space="preserve">install </w:t>
      </w:r>
      <w:r w:rsidR="00C304A8" w:rsidRPr="00C50C93">
        <w:rPr>
          <w:rFonts w:eastAsia="Arial"/>
          <w:spacing w:val="1"/>
        </w:rPr>
        <w:t>a</w:t>
      </w:r>
      <w:r w:rsidR="00777F1A" w:rsidRPr="00C50C93">
        <w:rPr>
          <w:rFonts w:eastAsia="Arial"/>
        </w:rPr>
        <w:t>d</w:t>
      </w:r>
      <w:r w:rsidR="00777F1A" w:rsidRPr="00C50C93">
        <w:rPr>
          <w:rFonts w:eastAsia="Arial"/>
          <w:spacing w:val="-2"/>
        </w:rPr>
        <w:t>d</w:t>
      </w:r>
      <w:r w:rsidR="00777F1A" w:rsidRPr="00C50C93">
        <w:rPr>
          <w:rFonts w:eastAsia="Arial"/>
        </w:rPr>
        <w:t>itiona</w:t>
      </w:r>
      <w:r w:rsidR="00777F1A" w:rsidRPr="00C50C93">
        <w:rPr>
          <w:rFonts w:eastAsia="Arial"/>
          <w:spacing w:val="1"/>
        </w:rPr>
        <w:t>l</w:t>
      </w:r>
      <w:r w:rsidR="00777F1A" w:rsidRPr="00C50C93">
        <w:rPr>
          <w:rFonts w:eastAsia="Arial"/>
        </w:rPr>
        <w:t xml:space="preserve"> monitor</w:t>
      </w:r>
      <w:r w:rsidR="00777F1A" w:rsidRPr="00C50C93">
        <w:rPr>
          <w:rFonts w:eastAsia="Arial"/>
          <w:spacing w:val="-3"/>
        </w:rPr>
        <w:t xml:space="preserve">ing bores </w:t>
      </w:r>
      <w:r w:rsidRPr="00C50C93">
        <w:rPr>
          <w:rFonts w:eastAsia="Arial"/>
          <w:spacing w:val="-3"/>
        </w:rPr>
        <w:t xml:space="preserve">in backfill areas </w:t>
      </w:r>
      <w:r w:rsidR="00777F1A" w:rsidRPr="00C50C93">
        <w:rPr>
          <w:rFonts w:eastAsia="Arial"/>
          <w:spacing w:val="-3"/>
        </w:rPr>
        <w:t xml:space="preserve">and </w:t>
      </w:r>
      <w:r w:rsidR="004C068D" w:rsidRPr="00C50C93">
        <w:rPr>
          <w:rFonts w:eastAsia="Arial"/>
          <w:spacing w:val="-3"/>
        </w:rPr>
        <w:t>include</w:t>
      </w:r>
      <w:r w:rsidRPr="00C50C93">
        <w:rPr>
          <w:rFonts w:eastAsia="Arial"/>
          <w:spacing w:val="-3"/>
        </w:rPr>
        <w:t xml:space="preserve"> </w:t>
      </w:r>
      <w:r w:rsidR="00D32882">
        <w:rPr>
          <w:rFonts w:eastAsia="Arial"/>
          <w:spacing w:val="-3"/>
        </w:rPr>
        <w:t xml:space="preserve">analyses for </w:t>
      </w:r>
      <w:r w:rsidR="00777F1A" w:rsidRPr="00C50C93">
        <w:rPr>
          <w:rFonts w:eastAsia="Arial"/>
          <w:spacing w:val="-4"/>
        </w:rPr>
        <w:t>m</w:t>
      </w:r>
      <w:r w:rsidR="00777F1A" w:rsidRPr="00C50C93">
        <w:rPr>
          <w:rFonts w:eastAsia="Arial"/>
        </w:rPr>
        <w:t>ol</w:t>
      </w:r>
      <w:r w:rsidR="00777F1A" w:rsidRPr="00C50C93">
        <w:rPr>
          <w:rFonts w:eastAsia="Arial"/>
          <w:spacing w:val="1"/>
        </w:rPr>
        <w:t>y</w:t>
      </w:r>
      <w:r w:rsidR="00777F1A" w:rsidRPr="00C50C93">
        <w:rPr>
          <w:rFonts w:eastAsia="Arial"/>
        </w:rPr>
        <w:t>bden</w:t>
      </w:r>
      <w:r w:rsidR="00777F1A" w:rsidRPr="00C50C93">
        <w:rPr>
          <w:rFonts w:eastAsia="Arial"/>
          <w:spacing w:val="-3"/>
        </w:rPr>
        <w:t>u</w:t>
      </w:r>
      <w:r w:rsidR="00777F1A" w:rsidRPr="00C50C93">
        <w:rPr>
          <w:rFonts w:eastAsia="Arial"/>
        </w:rPr>
        <w:t>m</w:t>
      </w:r>
      <w:r w:rsidRPr="00C50C93">
        <w:rPr>
          <w:rFonts w:eastAsia="Arial"/>
        </w:rPr>
        <w:t xml:space="preserve"> in</w:t>
      </w:r>
      <w:r w:rsidR="001F4417" w:rsidRPr="00C50C93">
        <w:rPr>
          <w:rFonts w:eastAsia="Arial"/>
          <w:spacing w:val="-1"/>
        </w:rPr>
        <w:t xml:space="preserve"> </w:t>
      </w:r>
      <w:r w:rsidR="00BA5582" w:rsidRPr="00C50C93">
        <w:rPr>
          <w:rFonts w:eastAsia="Arial"/>
        </w:rPr>
        <w:t>th</w:t>
      </w:r>
      <w:r w:rsidR="00BA5582" w:rsidRPr="00C50C93">
        <w:rPr>
          <w:rFonts w:eastAsia="Arial"/>
          <w:spacing w:val="1"/>
        </w:rPr>
        <w:t>e</w:t>
      </w:r>
      <w:r w:rsidR="00BA5582" w:rsidRPr="00C50C93">
        <w:rPr>
          <w:rFonts w:eastAsia="Arial"/>
        </w:rPr>
        <w:t xml:space="preserve"> </w:t>
      </w:r>
      <w:r w:rsidR="00BA5582" w:rsidRPr="00C50C93">
        <w:rPr>
          <w:rFonts w:eastAsia="Arial"/>
          <w:spacing w:val="-4"/>
        </w:rPr>
        <w:t>g</w:t>
      </w:r>
      <w:r w:rsidR="00BA5582" w:rsidRPr="00C50C93">
        <w:rPr>
          <w:rFonts w:eastAsia="Arial"/>
        </w:rPr>
        <w:t>roun</w:t>
      </w:r>
      <w:r w:rsidR="00BA5582" w:rsidRPr="00C50C93">
        <w:rPr>
          <w:rFonts w:eastAsia="Arial"/>
          <w:spacing w:val="-5"/>
        </w:rPr>
        <w:t>dwat</w:t>
      </w:r>
      <w:r w:rsidR="00BA5582" w:rsidRPr="00C50C93">
        <w:rPr>
          <w:rFonts w:eastAsia="Arial"/>
        </w:rPr>
        <w:t xml:space="preserve">er </w:t>
      </w:r>
      <w:r w:rsidR="00BA5582" w:rsidRPr="00C50C93">
        <w:rPr>
          <w:rFonts w:eastAsia="Arial"/>
          <w:spacing w:val="1"/>
        </w:rPr>
        <w:t>s</w:t>
      </w:r>
      <w:r w:rsidR="00BA5582" w:rsidRPr="00C50C93">
        <w:rPr>
          <w:rFonts w:eastAsia="Arial"/>
        </w:rPr>
        <w:t>a</w:t>
      </w:r>
      <w:r w:rsidR="00BA5582" w:rsidRPr="00C50C93">
        <w:rPr>
          <w:rFonts w:eastAsia="Arial"/>
          <w:spacing w:val="-1"/>
        </w:rPr>
        <w:t>m</w:t>
      </w:r>
      <w:r w:rsidR="00BA5582" w:rsidRPr="00C50C93">
        <w:rPr>
          <w:rFonts w:eastAsia="Arial"/>
        </w:rPr>
        <w:t>p</w:t>
      </w:r>
      <w:r w:rsidR="00BA5582" w:rsidRPr="00C50C93">
        <w:rPr>
          <w:rFonts w:eastAsia="Arial"/>
          <w:spacing w:val="-6"/>
        </w:rPr>
        <w:t>l</w:t>
      </w:r>
      <w:r w:rsidR="00BA5582" w:rsidRPr="00C50C93">
        <w:rPr>
          <w:rFonts w:eastAsia="Arial"/>
        </w:rPr>
        <w:t xml:space="preserve">ing program. </w:t>
      </w:r>
      <w:r w:rsidR="006F23BA">
        <w:rPr>
          <w:rFonts w:eastAsia="Arial"/>
        </w:rPr>
        <w:t xml:space="preserve">This </w:t>
      </w:r>
      <w:r w:rsidR="001B0F36">
        <w:rPr>
          <w:rFonts w:eastAsia="Arial"/>
        </w:rPr>
        <w:t xml:space="preserve">commitment adequately </w:t>
      </w:r>
      <w:r w:rsidR="006F23BA">
        <w:rPr>
          <w:rFonts w:eastAsia="Arial"/>
        </w:rPr>
        <w:t xml:space="preserve">addresses </w:t>
      </w:r>
      <w:r w:rsidR="001B0F36">
        <w:rPr>
          <w:rFonts w:eastAsia="Arial"/>
        </w:rPr>
        <w:t xml:space="preserve">part of </w:t>
      </w:r>
      <w:r w:rsidR="006F23BA">
        <w:rPr>
          <w:rFonts w:eastAsia="Arial"/>
        </w:rPr>
        <w:t xml:space="preserve">point 26c in the March 2016 IESC advice. </w:t>
      </w:r>
    </w:p>
    <w:p w:rsidR="004417CD" w:rsidRPr="00C50C93" w:rsidRDefault="004C068D" w:rsidP="00884775">
      <w:pPr>
        <w:pStyle w:val="ListNumber2"/>
        <w:rPr>
          <w:rFonts w:eastAsia="Arial"/>
        </w:rPr>
      </w:pPr>
      <w:r w:rsidRPr="00C50C93">
        <w:rPr>
          <w:rFonts w:eastAsia="Arial"/>
        </w:rPr>
        <w:t>Annual stream health monitoring will be con</w:t>
      </w:r>
      <w:r w:rsidR="00D32882">
        <w:rPr>
          <w:rFonts w:eastAsia="Arial"/>
        </w:rPr>
        <w:t>ducted on Wilpinjong and Cumbo c</w:t>
      </w:r>
      <w:r w:rsidRPr="00C50C93">
        <w:rPr>
          <w:rFonts w:eastAsia="Arial"/>
        </w:rPr>
        <w:t>reeks, including aquatic macroinvertebrate survey</w:t>
      </w:r>
      <w:r w:rsidR="001543BF" w:rsidRPr="00C50C93">
        <w:rPr>
          <w:rFonts w:eastAsia="Arial"/>
        </w:rPr>
        <w:t>s</w:t>
      </w:r>
      <w:r w:rsidRPr="00C50C93">
        <w:rPr>
          <w:rFonts w:eastAsia="Arial"/>
        </w:rPr>
        <w:t xml:space="preserve"> in spring</w:t>
      </w:r>
      <w:r w:rsidR="00F06118" w:rsidRPr="00C50C93">
        <w:rPr>
          <w:rFonts w:eastAsia="Arial"/>
        </w:rPr>
        <w:t xml:space="preserve"> (</w:t>
      </w:r>
      <w:r w:rsidR="00E11B6A" w:rsidRPr="00C50C93">
        <w:rPr>
          <w:rFonts w:eastAsia="Arial"/>
        </w:rPr>
        <w:t xml:space="preserve">as per </w:t>
      </w:r>
      <w:r w:rsidR="00843B8B">
        <w:rPr>
          <w:rFonts w:eastAsia="Arial"/>
        </w:rPr>
        <w:t xml:space="preserve">the proponent’s </w:t>
      </w:r>
      <w:r w:rsidR="00E11B6A" w:rsidRPr="00C50C93">
        <w:rPr>
          <w:rFonts w:eastAsia="Arial"/>
        </w:rPr>
        <w:t xml:space="preserve">Reconciliation, p. 18 and </w:t>
      </w:r>
      <w:r w:rsidR="00F06118" w:rsidRPr="00C50C93">
        <w:rPr>
          <w:rFonts w:eastAsia="Arial"/>
        </w:rPr>
        <w:t>Peabody Energy May 2016, Appendix 5)</w:t>
      </w:r>
      <w:r w:rsidRPr="00C50C93">
        <w:rPr>
          <w:rFonts w:eastAsia="Arial"/>
        </w:rPr>
        <w:t>.</w:t>
      </w:r>
      <w:r w:rsidR="00713927">
        <w:rPr>
          <w:rFonts w:eastAsia="Arial"/>
        </w:rPr>
        <w:t xml:space="preserve"> This adequately addresses point </w:t>
      </w:r>
      <w:r w:rsidR="0028432E">
        <w:rPr>
          <w:rFonts w:eastAsia="Arial"/>
        </w:rPr>
        <w:t>2</w:t>
      </w:r>
      <w:r w:rsidR="00713927">
        <w:rPr>
          <w:rFonts w:eastAsia="Arial"/>
        </w:rPr>
        <w:t xml:space="preserve">9 in the March 2016 IESC advice. </w:t>
      </w:r>
    </w:p>
    <w:p w:rsidR="00EE4510" w:rsidRPr="00C50C93" w:rsidRDefault="00EE4510" w:rsidP="00EE4510">
      <w:pPr>
        <w:pStyle w:val="ListNumber2"/>
        <w:rPr>
          <w:rFonts w:eastAsia="Arial"/>
        </w:rPr>
      </w:pPr>
      <w:r w:rsidRPr="00C50C93">
        <w:t>Further information was provided describing the applicability of the previous flood study to the proposed project (</w:t>
      </w:r>
      <w:r>
        <w:t xml:space="preserve">proponent’s </w:t>
      </w:r>
      <w:r w:rsidRPr="00C50C93">
        <w:t>Reconciliation, p. 8).</w:t>
      </w:r>
      <w:r w:rsidRPr="00C50C93">
        <w:rPr>
          <w:rFonts w:eastAsia="Arial"/>
        </w:rPr>
        <w:t xml:space="preserve"> </w:t>
      </w:r>
      <w:r w:rsidR="00750BB2">
        <w:rPr>
          <w:rFonts w:eastAsia="Arial"/>
        </w:rPr>
        <w:t>This adequately addresses point 11 in the Ma</w:t>
      </w:r>
      <w:r w:rsidR="001D5540">
        <w:rPr>
          <w:rFonts w:eastAsia="Arial"/>
        </w:rPr>
        <w:t>r</w:t>
      </w:r>
      <w:r w:rsidR="00750BB2">
        <w:rPr>
          <w:rFonts w:eastAsia="Arial"/>
        </w:rPr>
        <w:t xml:space="preserve">ch 2016 IESC advice. </w:t>
      </w:r>
    </w:p>
    <w:p w:rsidR="0091208B" w:rsidRPr="00C50C93" w:rsidRDefault="00602B32" w:rsidP="00EC6806">
      <w:pPr>
        <w:pStyle w:val="ListNumber"/>
      </w:pPr>
      <w:r w:rsidRPr="00C50C93">
        <w:rPr>
          <w:rFonts w:eastAsia="Arial"/>
        </w:rPr>
        <w:t>M</w:t>
      </w:r>
      <w:r w:rsidR="00BA5582" w:rsidRPr="00C50C93">
        <w:rPr>
          <w:rFonts w:eastAsia="Arial"/>
        </w:rPr>
        <w:t>atters</w:t>
      </w:r>
      <w:r w:rsidR="00C2324F" w:rsidRPr="00C50C93">
        <w:rPr>
          <w:rFonts w:eastAsia="Arial"/>
        </w:rPr>
        <w:t xml:space="preserve"> in relation to the characterisation and assessment </w:t>
      </w:r>
      <w:r w:rsidR="00C7175D" w:rsidRPr="00C50C93">
        <w:rPr>
          <w:rFonts w:eastAsia="Arial"/>
        </w:rPr>
        <w:t>of surface water flow and quality and groundwater quality</w:t>
      </w:r>
      <w:r w:rsidR="00BA5582" w:rsidRPr="00C50C93">
        <w:rPr>
          <w:rFonts w:eastAsia="Arial"/>
          <w:spacing w:val="-4"/>
        </w:rPr>
        <w:t xml:space="preserve"> </w:t>
      </w:r>
      <w:r w:rsidR="00BA5582" w:rsidRPr="00C50C93">
        <w:rPr>
          <w:rFonts w:eastAsia="Arial"/>
        </w:rPr>
        <w:t>stil</w:t>
      </w:r>
      <w:r w:rsidR="00BA5582" w:rsidRPr="00C50C93">
        <w:rPr>
          <w:rFonts w:eastAsia="Arial"/>
          <w:spacing w:val="-3"/>
        </w:rPr>
        <w:t>l</w:t>
      </w:r>
      <w:r w:rsidR="00BA5582" w:rsidRPr="00C50C93">
        <w:rPr>
          <w:rFonts w:eastAsia="Arial"/>
          <w:spacing w:val="1"/>
        </w:rPr>
        <w:t xml:space="preserve"> </w:t>
      </w:r>
      <w:r w:rsidR="00BA5582" w:rsidRPr="00C50C93">
        <w:rPr>
          <w:rFonts w:eastAsia="Arial"/>
        </w:rPr>
        <w:t>r</w:t>
      </w:r>
      <w:r w:rsidR="00BA5582" w:rsidRPr="00C50C93">
        <w:rPr>
          <w:rFonts w:eastAsia="Arial"/>
          <w:spacing w:val="-2"/>
        </w:rPr>
        <w:t>e</w:t>
      </w:r>
      <w:r w:rsidR="00BA5582" w:rsidRPr="00C50C93">
        <w:rPr>
          <w:rFonts w:eastAsia="Arial"/>
        </w:rPr>
        <w:t xml:space="preserve">main </w:t>
      </w:r>
      <w:r w:rsidR="001543BF" w:rsidRPr="00C50C93">
        <w:rPr>
          <w:rFonts w:eastAsia="Arial"/>
        </w:rPr>
        <w:t>u</w:t>
      </w:r>
      <w:r w:rsidR="001543BF" w:rsidRPr="00C50C93">
        <w:rPr>
          <w:rFonts w:eastAsia="Arial"/>
          <w:spacing w:val="1"/>
        </w:rPr>
        <w:t>n</w:t>
      </w:r>
      <w:r w:rsidR="001543BF" w:rsidRPr="00C50C93">
        <w:rPr>
          <w:rFonts w:eastAsia="Arial"/>
        </w:rPr>
        <w:t>resolved</w:t>
      </w:r>
      <w:r w:rsidR="00BA5582" w:rsidRPr="00C50C93">
        <w:rPr>
          <w:rFonts w:eastAsia="Arial"/>
          <w:spacing w:val="-3"/>
        </w:rPr>
        <w:t xml:space="preserve"> and further a</w:t>
      </w:r>
      <w:r w:rsidR="00BA5582" w:rsidRPr="00C50C93">
        <w:rPr>
          <w:rFonts w:eastAsia="Arial"/>
        </w:rPr>
        <w:t>sses</w:t>
      </w:r>
      <w:r w:rsidR="00BA5582" w:rsidRPr="00C50C93">
        <w:rPr>
          <w:rFonts w:eastAsia="Arial"/>
          <w:spacing w:val="-2"/>
        </w:rPr>
        <w:t>s</w:t>
      </w:r>
      <w:r w:rsidR="00BA5582" w:rsidRPr="00C50C93">
        <w:rPr>
          <w:rFonts w:eastAsia="Arial"/>
        </w:rPr>
        <w:t>me</w:t>
      </w:r>
      <w:r w:rsidR="00BA5582" w:rsidRPr="00C50C93">
        <w:rPr>
          <w:rFonts w:eastAsia="Arial"/>
          <w:spacing w:val="-1"/>
        </w:rPr>
        <w:t>n</w:t>
      </w:r>
      <w:r w:rsidR="00BA5582" w:rsidRPr="00C50C93">
        <w:rPr>
          <w:rFonts w:eastAsia="Arial"/>
          <w:spacing w:val="1"/>
        </w:rPr>
        <w:t>t</w:t>
      </w:r>
      <w:r w:rsidR="00BA5582" w:rsidRPr="00C50C93">
        <w:rPr>
          <w:rFonts w:eastAsia="Arial"/>
        </w:rPr>
        <w:t xml:space="preserve"> and </w:t>
      </w:r>
      <w:r w:rsidR="007141FF" w:rsidRPr="00C50C93">
        <w:rPr>
          <w:rFonts w:eastAsia="Arial"/>
          <w:spacing w:val="-4"/>
        </w:rPr>
        <w:t>c</w:t>
      </w:r>
      <w:r w:rsidR="007141FF" w:rsidRPr="00C50C93">
        <w:rPr>
          <w:rFonts w:eastAsia="Arial"/>
        </w:rPr>
        <w:t>ha</w:t>
      </w:r>
      <w:r w:rsidR="007141FF" w:rsidRPr="00C50C93">
        <w:rPr>
          <w:rFonts w:eastAsia="Arial"/>
          <w:spacing w:val="1"/>
        </w:rPr>
        <w:t>r</w:t>
      </w:r>
      <w:r w:rsidR="007141FF" w:rsidRPr="00C50C93">
        <w:rPr>
          <w:rFonts w:eastAsia="Arial"/>
        </w:rPr>
        <w:t>acte</w:t>
      </w:r>
      <w:r w:rsidR="007141FF" w:rsidRPr="00C50C93">
        <w:rPr>
          <w:rFonts w:eastAsia="Arial"/>
          <w:spacing w:val="-3"/>
        </w:rPr>
        <w:t>r</w:t>
      </w:r>
      <w:r w:rsidR="007141FF" w:rsidRPr="00C50C93">
        <w:rPr>
          <w:rFonts w:eastAsia="Arial"/>
        </w:rPr>
        <w:t>isat</w:t>
      </w:r>
      <w:r w:rsidR="007141FF" w:rsidRPr="00C50C93">
        <w:rPr>
          <w:rFonts w:eastAsia="Arial"/>
          <w:spacing w:val="-2"/>
        </w:rPr>
        <w:t>i</w:t>
      </w:r>
      <w:r w:rsidR="007141FF" w:rsidRPr="00C50C93">
        <w:rPr>
          <w:rFonts w:eastAsia="Arial"/>
          <w:spacing w:val="-1"/>
        </w:rPr>
        <w:t>o</w:t>
      </w:r>
      <w:r w:rsidR="007141FF" w:rsidRPr="00C50C93">
        <w:rPr>
          <w:rFonts w:eastAsia="Arial"/>
        </w:rPr>
        <w:t>n</w:t>
      </w:r>
      <w:r w:rsidR="00BA5582" w:rsidRPr="00C50C93">
        <w:rPr>
          <w:rFonts w:eastAsia="Arial"/>
        </w:rPr>
        <w:t xml:space="preserve"> </w:t>
      </w:r>
      <w:r w:rsidR="00BA5582" w:rsidRPr="00C50C93">
        <w:rPr>
          <w:rFonts w:eastAsia="Arial"/>
          <w:spacing w:val="1"/>
        </w:rPr>
        <w:t>i</w:t>
      </w:r>
      <w:r w:rsidR="00BA5582" w:rsidRPr="00C50C93">
        <w:rPr>
          <w:rFonts w:eastAsia="Arial"/>
        </w:rPr>
        <w:t>s</w:t>
      </w:r>
      <w:r w:rsidR="00BA5582" w:rsidRPr="00C50C93">
        <w:rPr>
          <w:rFonts w:eastAsia="Arial"/>
          <w:spacing w:val="-4"/>
        </w:rPr>
        <w:t xml:space="preserve"> </w:t>
      </w:r>
      <w:r w:rsidR="00BA5582" w:rsidRPr="00C50C93">
        <w:rPr>
          <w:rFonts w:eastAsia="Arial"/>
        </w:rPr>
        <w:t>need</w:t>
      </w:r>
      <w:r w:rsidR="00E34B22" w:rsidRPr="00C50C93">
        <w:rPr>
          <w:rFonts w:eastAsia="Arial"/>
          <w:spacing w:val="2"/>
        </w:rPr>
        <w:t>e</w:t>
      </w:r>
      <w:r w:rsidR="00E34B22" w:rsidRPr="00C50C93">
        <w:rPr>
          <w:rFonts w:eastAsia="Arial"/>
        </w:rPr>
        <w:t>d</w:t>
      </w:r>
      <w:r w:rsidR="00BA5582" w:rsidRPr="00C50C93">
        <w:rPr>
          <w:rFonts w:eastAsia="Arial"/>
        </w:rPr>
        <w:t xml:space="preserve"> </w:t>
      </w:r>
      <w:r w:rsidR="00BA5582" w:rsidRPr="00C50C93">
        <w:rPr>
          <w:rFonts w:eastAsia="Arial"/>
          <w:spacing w:val="-6"/>
        </w:rPr>
        <w:t>t</w:t>
      </w:r>
      <w:r w:rsidR="00BA5582" w:rsidRPr="00C50C93">
        <w:rPr>
          <w:rFonts w:eastAsia="Arial"/>
        </w:rPr>
        <w:t xml:space="preserve">o </w:t>
      </w:r>
      <w:r w:rsidR="00C304A8" w:rsidRPr="00C50C93">
        <w:rPr>
          <w:rFonts w:eastAsia="Arial"/>
        </w:rPr>
        <w:t>a</w:t>
      </w:r>
      <w:r w:rsidR="00C304A8" w:rsidRPr="00C50C93">
        <w:rPr>
          <w:rFonts w:eastAsia="Arial"/>
          <w:spacing w:val="1"/>
        </w:rPr>
        <w:t>d</w:t>
      </w:r>
      <w:r w:rsidR="00C304A8" w:rsidRPr="00C50C93">
        <w:rPr>
          <w:rFonts w:eastAsia="Arial"/>
        </w:rPr>
        <w:t>e</w:t>
      </w:r>
      <w:r w:rsidR="00C304A8" w:rsidRPr="00C50C93">
        <w:rPr>
          <w:rFonts w:eastAsia="Arial"/>
          <w:spacing w:val="-1"/>
        </w:rPr>
        <w:t>q</w:t>
      </w:r>
      <w:r w:rsidR="00C304A8" w:rsidRPr="00C50C93">
        <w:rPr>
          <w:rFonts w:eastAsia="Arial"/>
        </w:rPr>
        <w:t>ua</w:t>
      </w:r>
      <w:r w:rsidR="00C304A8" w:rsidRPr="00C50C93">
        <w:t>tely assess</w:t>
      </w:r>
      <w:r w:rsidR="00BA5582" w:rsidRPr="00C50C93">
        <w:t xml:space="preserve"> </w:t>
      </w:r>
      <w:r w:rsidR="007141FF" w:rsidRPr="00C50C93">
        <w:t>potential impacts on down</w:t>
      </w:r>
      <w:r w:rsidR="00961FD6" w:rsidRPr="00C50C93">
        <w:t>stream</w:t>
      </w:r>
      <w:r w:rsidR="007141FF" w:rsidRPr="00C50C93">
        <w:t xml:space="preserve"> aquatic </w:t>
      </w:r>
      <w:r w:rsidR="00F22F44" w:rsidRPr="00C50C93">
        <w:t>ecosystems</w:t>
      </w:r>
      <w:r w:rsidR="007141FF" w:rsidRPr="00C50C93">
        <w:t>, particularly within the Goulbur</w:t>
      </w:r>
      <w:r w:rsidR="00961FD6" w:rsidRPr="00C50C93">
        <w:t>n River National Park</w:t>
      </w:r>
      <w:r w:rsidR="007141FF" w:rsidRPr="00C50C93">
        <w:t>. C</w:t>
      </w:r>
      <w:r w:rsidR="00E81678" w:rsidRPr="00C50C93">
        <w:t xml:space="preserve">onsistent with advice provided in March 2016, </w:t>
      </w:r>
      <w:r w:rsidR="00961FD6" w:rsidRPr="00C50C93">
        <w:t xml:space="preserve">the </w:t>
      </w:r>
      <w:r w:rsidR="0091208B" w:rsidRPr="00C50C93">
        <w:t xml:space="preserve">IESC consider </w:t>
      </w:r>
      <w:r w:rsidRPr="00C50C93">
        <w:t>these</w:t>
      </w:r>
      <w:r w:rsidR="0091208B" w:rsidRPr="00C50C93">
        <w:t xml:space="preserve"> matters require further consideration</w:t>
      </w:r>
      <w:r w:rsidR="00DB3F76" w:rsidRPr="00C50C93">
        <w:t xml:space="preserve"> as detailed </w:t>
      </w:r>
      <w:r w:rsidRPr="00C50C93">
        <w:t>in response to Question 2, below</w:t>
      </w:r>
      <w:r w:rsidR="00DB3F76" w:rsidRPr="00C50C93">
        <w:t>.</w:t>
      </w:r>
      <w:r w:rsidR="007141FF" w:rsidRPr="00C50C93">
        <w:t xml:space="preserve"> </w:t>
      </w:r>
    </w:p>
    <w:p w:rsidR="007203C3" w:rsidRPr="00C50C93" w:rsidRDefault="007203C3" w:rsidP="00D622B9">
      <w:pPr>
        <w:pStyle w:val="Question"/>
      </w:pPr>
      <w:r w:rsidRPr="00C50C93">
        <w:t>Question 2:</w:t>
      </w:r>
      <w:r w:rsidR="00C95735" w:rsidRPr="00C50C93">
        <w:t xml:space="preserve"> If not, please identify why and provide advice on what should be done to address these residual matters.</w:t>
      </w:r>
    </w:p>
    <w:p w:rsidR="00065A00" w:rsidRPr="00C50C93" w:rsidRDefault="00065A00" w:rsidP="00887430">
      <w:pPr>
        <w:keepNext/>
        <w:rPr>
          <w:i/>
        </w:rPr>
      </w:pPr>
      <w:r w:rsidRPr="00C50C93">
        <w:rPr>
          <w:i/>
        </w:rPr>
        <w:lastRenderedPageBreak/>
        <w:t xml:space="preserve">Surface Water </w:t>
      </w:r>
    </w:p>
    <w:p w:rsidR="00EF7F01" w:rsidRPr="00C50C93" w:rsidRDefault="00EF7F01" w:rsidP="00EF7F01">
      <w:pPr>
        <w:pStyle w:val="ListNumber"/>
      </w:pPr>
      <w:r w:rsidRPr="00C50C93">
        <w:t>Potential downstream impacts to surface water quality and flows (volume, timing, frequency and dura</w:t>
      </w:r>
      <w:r w:rsidR="00D32882">
        <w:t>tion) of Wilpinjong and Wollar c</w:t>
      </w:r>
      <w:r w:rsidRPr="00C50C93">
        <w:t>reek</w:t>
      </w:r>
      <w:r w:rsidR="00522BB3" w:rsidRPr="00C50C93">
        <w:t>s</w:t>
      </w:r>
      <w:r w:rsidR="001B0AAA" w:rsidRPr="00C50C93">
        <w:t xml:space="preserve"> have not been adequately addressed</w:t>
      </w:r>
      <w:r w:rsidR="00D862DC" w:rsidRPr="00C50C93">
        <w:t xml:space="preserve"> as the required information was not provided. This information is r</w:t>
      </w:r>
      <w:r w:rsidR="0078170D" w:rsidRPr="00C50C93">
        <w:t xml:space="preserve">equired for robust assessment of risk to downstream </w:t>
      </w:r>
      <w:r w:rsidR="00887430" w:rsidRPr="00C50C93">
        <w:t>ecosystems</w:t>
      </w:r>
      <w:r w:rsidR="00D862DC" w:rsidRPr="00C50C93">
        <w:t xml:space="preserve">, including </w:t>
      </w:r>
      <w:r w:rsidR="00D37502">
        <w:t xml:space="preserve">in </w:t>
      </w:r>
      <w:r w:rsidR="00D862DC" w:rsidRPr="00C50C93">
        <w:t>the Goulburn River National Park</w:t>
      </w:r>
      <w:r w:rsidRPr="00C50C93">
        <w:t xml:space="preserve">. </w:t>
      </w:r>
      <w:r w:rsidR="00D56DEA" w:rsidRPr="00C50C93">
        <w:t>To address these residual matters, consistent with the March 2016 advice</w:t>
      </w:r>
      <w:r w:rsidR="00D74FB0" w:rsidRPr="00C50C93">
        <w:t>, the following additional information should be provided</w:t>
      </w:r>
      <w:r w:rsidR="00D56DEA" w:rsidRPr="00C50C93">
        <w:t>:</w:t>
      </w:r>
      <w:r w:rsidRPr="00C50C93">
        <w:t xml:space="preserve"> </w:t>
      </w:r>
    </w:p>
    <w:p w:rsidR="002E39F9" w:rsidRPr="00C50C93" w:rsidRDefault="00D74FB0" w:rsidP="00300670">
      <w:pPr>
        <w:pStyle w:val="ListNumber2"/>
        <w:rPr>
          <w:rFonts w:eastAsia="Calibri"/>
          <w:lang w:eastAsia="en-AU"/>
        </w:rPr>
      </w:pPr>
      <w:r w:rsidRPr="00C50C93">
        <w:rPr>
          <w:rFonts w:eastAsia="Calibri"/>
          <w:lang w:eastAsia="en-AU"/>
        </w:rPr>
        <w:t xml:space="preserve">The </w:t>
      </w:r>
      <w:r w:rsidR="00F03910" w:rsidRPr="00C50C93">
        <w:rPr>
          <w:rFonts w:eastAsia="Calibri"/>
          <w:lang w:eastAsia="en-AU"/>
        </w:rPr>
        <w:t>W</w:t>
      </w:r>
      <w:r w:rsidRPr="00C50C93">
        <w:rPr>
          <w:rFonts w:eastAsia="Calibri"/>
          <w:lang w:eastAsia="en-AU"/>
        </w:rPr>
        <w:t xml:space="preserve">ater </w:t>
      </w:r>
      <w:r w:rsidR="00F03910" w:rsidRPr="00C50C93">
        <w:rPr>
          <w:rFonts w:eastAsia="Calibri"/>
          <w:lang w:eastAsia="en-AU"/>
        </w:rPr>
        <w:t>M</w:t>
      </w:r>
      <w:r w:rsidRPr="00C50C93">
        <w:rPr>
          <w:rFonts w:eastAsia="Calibri"/>
          <w:lang w:eastAsia="en-AU"/>
        </w:rPr>
        <w:t xml:space="preserve">anagement </w:t>
      </w:r>
      <w:r w:rsidR="00F03910" w:rsidRPr="00C50C93">
        <w:rPr>
          <w:rFonts w:eastAsia="Calibri"/>
          <w:lang w:eastAsia="en-AU"/>
        </w:rPr>
        <w:t>P</w:t>
      </w:r>
      <w:r w:rsidRPr="00C50C93">
        <w:rPr>
          <w:rFonts w:eastAsia="Calibri"/>
          <w:lang w:eastAsia="en-AU"/>
        </w:rPr>
        <w:t xml:space="preserve">lan should include a commitment to monthly and event-based </w:t>
      </w:r>
      <w:r w:rsidR="00D56DEA" w:rsidRPr="00C50C93">
        <w:rPr>
          <w:rFonts w:eastAsia="Calibri"/>
          <w:lang w:eastAsia="en-AU"/>
        </w:rPr>
        <w:t>m</w:t>
      </w:r>
      <w:r w:rsidR="00FC2D63" w:rsidRPr="00C50C93">
        <w:rPr>
          <w:rFonts w:eastAsia="Calibri"/>
          <w:lang w:eastAsia="en-AU"/>
        </w:rPr>
        <w:t xml:space="preserve">etals monitoring </w:t>
      </w:r>
      <w:r w:rsidRPr="00C50C93">
        <w:rPr>
          <w:rFonts w:eastAsia="Calibri"/>
          <w:lang w:eastAsia="en-AU"/>
        </w:rPr>
        <w:t xml:space="preserve">and </w:t>
      </w:r>
      <w:r w:rsidR="00AC232A" w:rsidRPr="00C50C93">
        <w:rPr>
          <w:rFonts w:eastAsia="Calibri"/>
          <w:lang w:eastAsia="en-AU"/>
        </w:rPr>
        <w:t xml:space="preserve">monitoring of </w:t>
      </w:r>
      <w:r w:rsidRPr="00C50C93">
        <w:rPr>
          <w:rFonts w:eastAsia="Calibri"/>
          <w:lang w:eastAsia="en-AU"/>
        </w:rPr>
        <w:t>additional downstream points on Wollar Creek</w:t>
      </w:r>
      <w:r w:rsidR="00FC2D63" w:rsidRPr="00C50C93">
        <w:rPr>
          <w:rFonts w:eastAsia="Calibri"/>
          <w:lang w:eastAsia="en-AU"/>
        </w:rPr>
        <w:t xml:space="preserve"> </w:t>
      </w:r>
      <w:r w:rsidR="00690BC1" w:rsidRPr="00C50C93">
        <w:rPr>
          <w:rFonts w:eastAsia="Calibri"/>
          <w:lang w:eastAsia="en-AU"/>
        </w:rPr>
        <w:t>(</w:t>
      </w:r>
      <w:r w:rsidR="00D56DEA" w:rsidRPr="00C50C93">
        <w:rPr>
          <w:rFonts w:eastAsia="Calibri"/>
          <w:lang w:eastAsia="en-AU"/>
        </w:rPr>
        <w:t xml:space="preserve">IESC </w:t>
      </w:r>
      <w:r w:rsidRPr="00C50C93">
        <w:rPr>
          <w:rFonts w:eastAsia="Calibri"/>
          <w:lang w:eastAsia="en-AU"/>
        </w:rPr>
        <w:t>March 2016: point</w:t>
      </w:r>
      <w:r w:rsidR="00CF618A" w:rsidRPr="00C50C93">
        <w:rPr>
          <w:rFonts w:eastAsia="Calibri"/>
          <w:lang w:eastAsia="en-AU"/>
        </w:rPr>
        <w:t xml:space="preserve">s </w:t>
      </w:r>
      <w:r w:rsidR="00300670" w:rsidRPr="00C50C93">
        <w:rPr>
          <w:rFonts w:eastAsia="Calibri"/>
          <w:lang w:eastAsia="en-AU"/>
        </w:rPr>
        <w:t xml:space="preserve">2, </w:t>
      </w:r>
      <w:r w:rsidR="00CF618A" w:rsidRPr="00C50C93">
        <w:rPr>
          <w:rFonts w:eastAsia="Calibri"/>
          <w:lang w:eastAsia="en-AU"/>
        </w:rPr>
        <w:t>9</w:t>
      </w:r>
      <w:r w:rsidR="00922331">
        <w:rPr>
          <w:rFonts w:eastAsia="Calibri"/>
          <w:lang w:eastAsia="en-AU"/>
        </w:rPr>
        <w:t xml:space="preserve">, </w:t>
      </w:r>
      <w:r w:rsidR="006E6039">
        <w:rPr>
          <w:rFonts w:eastAsia="Calibri"/>
          <w:lang w:eastAsia="en-AU"/>
        </w:rPr>
        <w:t xml:space="preserve">12, 13, </w:t>
      </w:r>
      <w:r w:rsidR="00922331">
        <w:rPr>
          <w:rFonts w:eastAsia="Calibri"/>
          <w:lang w:eastAsia="en-AU"/>
        </w:rPr>
        <w:t>14</w:t>
      </w:r>
      <w:r w:rsidR="00CF618A" w:rsidRPr="00C50C93">
        <w:rPr>
          <w:rFonts w:eastAsia="Calibri"/>
          <w:lang w:eastAsia="en-AU"/>
        </w:rPr>
        <w:t xml:space="preserve"> &amp;</w:t>
      </w:r>
      <w:r w:rsidRPr="00C50C93">
        <w:rPr>
          <w:rFonts w:eastAsia="Calibri"/>
          <w:lang w:eastAsia="en-AU"/>
        </w:rPr>
        <w:t xml:space="preserve"> </w:t>
      </w:r>
      <w:r w:rsidR="00D56DEA" w:rsidRPr="00C50C93">
        <w:rPr>
          <w:rFonts w:eastAsia="Calibri"/>
          <w:lang w:eastAsia="en-AU"/>
        </w:rPr>
        <w:t>27)</w:t>
      </w:r>
      <w:r w:rsidR="00DE413A" w:rsidRPr="00C50C93">
        <w:rPr>
          <w:rFonts w:eastAsia="Calibri"/>
          <w:lang w:eastAsia="en-AU"/>
        </w:rPr>
        <w:t>.</w:t>
      </w:r>
      <w:r w:rsidRPr="00C50C93">
        <w:rPr>
          <w:rFonts w:eastAsia="Calibri"/>
          <w:lang w:eastAsia="en-AU"/>
        </w:rPr>
        <w:t xml:space="preserve"> </w:t>
      </w:r>
      <w:r w:rsidR="00C47C55" w:rsidRPr="00C50C93">
        <w:t>While the Response</w:t>
      </w:r>
      <w:r w:rsidR="005E06A0" w:rsidRPr="00C50C93">
        <w:t xml:space="preserve"> (pp. 32–33)</w:t>
      </w:r>
      <w:r w:rsidR="00C47C55" w:rsidRPr="00C50C93">
        <w:t xml:space="preserve"> provides </w:t>
      </w:r>
      <w:r w:rsidR="002E39F9" w:rsidRPr="00C50C93">
        <w:t xml:space="preserve">some </w:t>
      </w:r>
      <w:r w:rsidR="00C47C55" w:rsidRPr="00C50C93">
        <w:t xml:space="preserve">2015/16 data </w:t>
      </w:r>
      <w:r w:rsidR="00C50C93" w:rsidRPr="00C50C93">
        <w:t xml:space="preserve">for on-site water storages </w:t>
      </w:r>
      <w:r w:rsidR="00C47C55" w:rsidRPr="00C50C93">
        <w:t xml:space="preserve">for </w:t>
      </w:r>
      <w:r w:rsidR="00922331" w:rsidRPr="00C50C93">
        <w:t>arsenic, selenium and molybdenum</w:t>
      </w:r>
      <w:r w:rsidR="00C47C55" w:rsidRPr="00C50C93">
        <w:t xml:space="preserve">, the IESC considers </w:t>
      </w:r>
      <w:r w:rsidR="00745BAE">
        <w:t xml:space="preserve">that </w:t>
      </w:r>
      <w:r w:rsidR="00C47C55" w:rsidRPr="00C50C93">
        <w:t>the</w:t>
      </w:r>
      <w:r w:rsidR="002E39F9" w:rsidRPr="00C50C93">
        <w:t>re were too few samples</w:t>
      </w:r>
      <w:r w:rsidR="00C47C55" w:rsidRPr="00C50C93">
        <w:t xml:space="preserve"> t</w:t>
      </w:r>
      <w:r w:rsidR="00E42527" w:rsidRPr="00C50C93">
        <w:t>o assess the potential impacts of</w:t>
      </w:r>
      <w:r w:rsidR="00C47C55" w:rsidRPr="00C50C93">
        <w:t xml:space="preserve"> discharges to </w:t>
      </w:r>
      <w:r w:rsidR="005E06A0" w:rsidRPr="00C50C93">
        <w:t>downstream aquatic ecosystems</w:t>
      </w:r>
      <w:r w:rsidR="00C47C55" w:rsidRPr="00C50C93">
        <w:t xml:space="preserve">. </w:t>
      </w:r>
      <w:r w:rsidR="00300670" w:rsidRPr="00C50C93">
        <w:t>The IESC also conside</w:t>
      </w:r>
      <w:r w:rsidR="009676E6" w:rsidRPr="00C50C93">
        <w:t>rs that</w:t>
      </w:r>
      <w:r w:rsidR="00300670" w:rsidRPr="00C50C93">
        <w:t xml:space="preserve"> the proponent has applied the </w:t>
      </w:r>
      <w:r w:rsidR="00300670" w:rsidRPr="00C50C93">
        <w:rPr>
          <w:i/>
          <w:iCs/>
        </w:rPr>
        <w:t>ANZECC</w:t>
      </w:r>
      <w:r w:rsidR="00300670" w:rsidRPr="00C50C93">
        <w:rPr>
          <w:i/>
          <w:iCs/>
          <w:spacing w:val="1"/>
        </w:rPr>
        <w:t>/</w:t>
      </w:r>
      <w:r w:rsidR="00300670" w:rsidRPr="00C50C93">
        <w:rPr>
          <w:i/>
          <w:iCs/>
        </w:rPr>
        <w:t>ARMCANZ</w:t>
      </w:r>
      <w:r w:rsidR="00300670" w:rsidRPr="00C50C93">
        <w:rPr>
          <w:i/>
          <w:iCs/>
          <w:spacing w:val="-14"/>
        </w:rPr>
        <w:t xml:space="preserve"> </w:t>
      </w:r>
      <w:r w:rsidR="00300670" w:rsidRPr="00C50C93">
        <w:rPr>
          <w:i/>
          <w:iCs/>
        </w:rPr>
        <w:t>(20</w:t>
      </w:r>
      <w:r w:rsidR="00300670" w:rsidRPr="00C50C93">
        <w:rPr>
          <w:i/>
          <w:iCs/>
          <w:spacing w:val="1"/>
        </w:rPr>
        <w:t>0</w:t>
      </w:r>
      <w:r w:rsidR="00300670" w:rsidRPr="00C50C93">
        <w:rPr>
          <w:i/>
          <w:iCs/>
        </w:rPr>
        <w:t>0)</w:t>
      </w:r>
      <w:r w:rsidR="00300670" w:rsidRPr="00C50C93">
        <w:rPr>
          <w:i/>
          <w:iCs/>
          <w:spacing w:val="-4"/>
        </w:rPr>
        <w:t xml:space="preserve"> </w:t>
      </w:r>
      <w:r w:rsidR="00300670" w:rsidRPr="00C50C93">
        <w:rPr>
          <w:i/>
          <w:iCs/>
          <w:spacing w:val="-1"/>
        </w:rPr>
        <w:t>W</w:t>
      </w:r>
      <w:r w:rsidR="00300670" w:rsidRPr="00C50C93">
        <w:rPr>
          <w:i/>
          <w:iCs/>
        </w:rPr>
        <w:t>at</w:t>
      </w:r>
      <w:r w:rsidR="00300670" w:rsidRPr="00C50C93">
        <w:rPr>
          <w:i/>
          <w:iCs/>
          <w:spacing w:val="1"/>
        </w:rPr>
        <w:t>e</w:t>
      </w:r>
      <w:r w:rsidR="00300670" w:rsidRPr="00C50C93">
        <w:rPr>
          <w:i/>
          <w:iCs/>
        </w:rPr>
        <w:t>r</w:t>
      </w:r>
      <w:r w:rsidR="00300670" w:rsidRPr="00C50C93">
        <w:rPr>
          <w:i/>
          <w:iCs/>
          <w:spacing w:val="-4"/>
        </w:rPr>
        <w:t xml:space="preserve"> </w:t>
      </w:r>
      <w:r w:rsidR="00300670" w:rsidRPr="00C50C93">
        <w:rPr>
          <w:i/>
          <w:iCs/>
        </w:rPr>
        <w:t>Qual</w:t>
      </w:r>
      <w:r w:rsidR="00300670" w:rsidRPr="00C50C93">
        <w:rPr>
          <w:i/>
          <w:iCs/>
          <w:spacing w:val="1"/>
        </w:rPr>
        <w:t>it</w:t>
      </w:r>
      <w:r w:rsidR="00300670" w:rsidRPr="00C50C93">
        <w:rPr>
          <w:i/>
          <w:iCs/>
        </w:rPr>
        <w:t>y</w:t>
      </w:r>
      <w:r w:rsidR="00300670" w:rsidRPr="00C50C93">
        <w:rPr>
          <w:i/>
          <w:iCs/>
          <w:spacing w:val="-7"/>
        </w:rPr>
        <w:t xml:space="preserve"> </w:t>
      </w:r>
      <w:r w:rsidR="00300670" w:rsidRPr="00C50C93">
        <w:rPr>
          <w:i/>
          <w:iCs/>
          <w:spacing w:val="1"/>
        </w:rPr>
        <w:t>G</w:t>
      </w:r>
      <w:r w:rsidR="00300670" w:rsidRPr="00C50C93">
        <w:rPr>
          <w:i/>
          <w:iCs/>
        </w:rPr>
        <w:t xml:space="preserve">uidelines </w:t>
      </w:r>
      <w:r w:rsidR="00300670" w:rsidRPr="00C50C93">
        <w:t>(the Guidelines) inappropriately</w:t>
      </w:r>
      <w:r w:rsidR="003D6F6F">
        <w:t xml:space="preserve"> to </w:t>
      </w:r>
      <w:r w:rsidR="00745BAE">
        <w:t xml:space="preserve">some of </w:t>
      </w:r>
      <w:r w:rsidR="003D6F6F">
        <w:t>these data</w:t>
      </w:r>
      <w:r w:rsidR="00300670" w:rsidRPr="00C50C93">
        <w:t xml:space="preserve">. </w:t>
      </w:r>
      <w:r w:rsidR="001F0874" w:rsidRPr="00C50C93">
        <w:t xml:space="preserve">The freshwater low reliability </w:t>
      </w:r>
      <w:r w:rsidR="00297CF4">
        <w:t>guideline value</w:t>
      </w:r>
      <w:r w:rsidR="001F0874" w:rsidRPr="00C50C93">
        <w:t xml:space="preserve"> of 0.034 mg/L</w:t>
      </w:r>
      <w:r w:rsidR="009676E6" w:rsidRPr="00C50C93">
        <w:t xml:space="preserve"> (ANZECC/ARMCANZ 2000</w:t>
      </w:r>
      <w:r w:rsidR="000E54F2">
        <w:t>b</w:t>
      </w:r>
      <w:r w:rsidR="009676E6" w:rsidRPr="00C50C93">
        <w:t>, p. 8.3-133)</w:t>
      </w:r>
      <w:r w:rsidR="00297CF4">
        <w:t xml:space="preserve"> should be used for m</w:t>
      </w:r>
      <w:r w:rsidR="001F0874" w:rsidRPr="00C50C93">
        <w:t>olybdenum</w:t>
      </w:r>
      <w:r w:rsidR="005B6A98">
        <w:t xml:space="preserve"> </w:t>
      </w:r>
      <w:r w:rsidR="003D6F6F">
        <w:t>and</w:t>
      </w:r>
      <w:r w:rsidR="00073A08">
        <w:t>,</w:t>
      </w:r>
      <w:r w:rsidR="003D6F6F">
        <w:t xml:space="preserve"> </w:t>
      </w:r>
      <w:r w:rsidR="00073A08">
        <w:t>d</w:t>
      </w:r>
      <w:r w:rsidR="00073A08" w:rsidRPr="00C50C93">
        <w:t>ue to the risk of bioaccumulation</w:t>
      </w:r>
      <w:r w:rsidR="00073A08">
        <w:t>,</w:t>
      </w:r>
      <w:r w:rsidR="00073A08" w:rsidRPr="00C50C93">
        <w:t xml:space="preserve"> </w:t>
      </w:r>
      <w:r w:rsidR="003D6F6F">
        <w:t>t</w:t>
      </w:r>
      <w:r w:rsidR="005B6A98">
        <w:t xml:space="preserve">he </w:t>
      </w:r>
      <w:r w:rsidR="005B6A98" w:rsidRPr="00C50C93">
        <w:t xml:space="preserve">99% </w:t>
      </w:r>
      <w:r w:rsidR="005B6A98">
        <w:t>guideline value</w:t>
      </w:r>
      <w:r w:rsidR="00302FEB">
        <w:t xml:space="preserve"> </w:t>
      </w:r>
      <w:r w:rsidR="005B6A98">
        <w:t xml:space="preserve">of 0.005 mg/L </w:t>
      </w:r>
      <w:r w:rsidR="003D6F6F">
        <w:t xml:space="preserve">should be used </w:t>
      </w:r>
      <w:r w:rsidR="00302FEB">
        <w:t>for selenium</w:t>
      </w:r>
      <w:r w:rsidR="00D05D5C" w:rsidRPr="00D05D5C">
        <w:t xml:space="preserve"> </w:t>
      </w:r>
      <w:r w:rsidR="00D05D5C" w:rsidRPr="00C50C93">
        <w:t>(ANZECC/ARMCANZ 2000</w:t>
      </w:r>
      <w:r w:rsidR="00D05D5C">
        <w:t>a</w:t>
      </w:r>
      <w:r w:rsidR="00D05D5C" w:rsidRPr="00C50C93">
        <w:t>, p. 3.4-17; ANZECC/ARMCANZ 2000</w:t>
      </w:r>
      <w:r w:rsidR="00D05D5C">
        <w:t>b</w:t>
      </w:r>
      <w:r w:rsidR="00D05D5C" w:rsidRPr="00C50C93">
        <w:t xml:space="preserve">, </w:t>
      </w:r>
      <w:r w:rsidR="00441B1C">
        <w:t xml:space="preserve">pp. </w:t>
      </w:r>
      <w:r w:rsidR="00D05D5C" w:rsidRPr="00C50C93">
        <w:t>8.3-136 to 8.3-140)</w:t>
      </w:r>
      <w:r w:rsidR="003D6F6F">
        <w:t xml:space="preserve">. </w:t>
      </w:r>
      <w:r w:rsidR="00D32EC2">
        <w:t>The Response states that the 95% guideline value was used for selenium because the 99% value was below the propo</w:t>
      </w:r>
      <w:r w:rsidR="00C871DE">
        <w:t xml:space="preserve">nent’s level of detection (LOD; </w:t>
      </w:r>
      <w:r w:rsidR="00D32EC2">
        <w:t xml:space="preserve">reported as 0.01 mg/L in the Response, p. 32, Table 3). </w:t>
      </w:r>
      <w:r w:rsidR="003D6F6F" w:rsidRPr="00C50C93">
        <w:t>Th</w:t>
      </w:r>
      <w:r w:rsidR="00B93E9E">
        <w:t>e</w:t>
      </w:r>
      <w:r w:rsidR="003D6F6F" w:rsidRPr="00C50C93">
        <w:t xml:space="preserve"> more conservative </w:t>
      </w:r>
      <w:r w:rsidR="00B93E9E">
        <w:t xml:space="preserve">99% </w:t>
      </w:r>
      <w:r w:rsidR="003D6F6F" w:rsidRPr="00C50C93">
        <w:t xml:space="preserve">ecosystem protection guideline value </w:t>
      </w:r>
      <w:r w:rsidR="003D6F6F">
        <w:t xml:space="preserve">for selenium </w:t>
      </w:r>
      <w:r w:rsidR="00B93E9E">
        <w:t xml:space="preserve">is </w:t>
      </w:r>
      <w:r w:rsidR="00B93E9E" w:rsidRPr="00C50C93">
        <w:t xml:space="preserve">well above the </w:t>
      </w:r>
      <w:r w:rsidR="00D32EC2">
        <w:t xml:space="preserve">established practical LOD </w:t>
      </w:r>
      <w:r w:rsidR="0011100B">
        <w:t>(</w:t>
      </w:r>
      <w:r w:rsidR="00D05D5C" w:rsidRPr="00C50C93">
        <w:t>ANZECC/ARMCANZ 2000</w:t>
      </w:r>
      <w:r w:rsidR="00D05D5C">
        <w:t>b</w:t>
      </w:r>
      <w:r w:rsidR="00D05D5C" w:rsidRPr="00C50C93">
        <w:t xml:space="preserve">, </w:t>
      </w:r>
      <w:r w:rsidR="00D05D5C">
        <w:t>p. 8.3</w:t>
      </w:r>
      <w:r w:rsidR="00D05D5C">
        <w:noBreakHyphen/>
      </w:r>
      <w:r w:rsidR="00D05D5C" w:rsidRPr="00C50C93">
        <w:t>137)</w:t>
      </w:r>
      <w:r w:rsidR="00073A08">
        <w:t>.</w:t>
      </w:r>
      <w:r w:rsidR="00D05D5C">
        <w:t xml:space="preserve"> </w:t>
      </w:r>
      <w:r w:rsidR="00073A08">
        <w:t>T</w:t>
      </w:r>
      <w:r w:rsidR="00D05D5C">
        <w:t xml:space="preserve">herefore the proponent </w:t>
      </w:r>
      <w:r w:rsidR="0011100B">
        <w:t xml:space="preserve">should </w:t>
      </w:r>
      <w:r w:rsidR="00D32EC2">
        <w:t xml:space="preserve">consider alternative analysis methods </w:t>
      </w:r>
      <w:r w:rsidR="00073A08">
        <w:t xml:space="preserve">in consultation with their laboratory </w:t>
      </w:r>
      <w:r w:rsidR="00D32EC2">
        <w:t xml:space="preserve">to </w:t>
      </w:r>
      <w:r w:rsidR="00073A08">
        <w:t>ensure</w:t>
      </w:r>
      <w:r w:rsidR="00D32EC2">
        <w:t xml:space="preserve"> the</w:t>
      </w:r>
      <w:r w:rsidR="00073A08">
        <w:t>ir</w:t>
      </w:r>
      <w:r w:rsidR="0011100B">
        <w:t xml:space="preserve"> </w:t>
      </w:r>
      <w:r w:rsidR="00D32EC2">
        <w:t>LOD</w:t>
      </w:r>
      <w:r w:rsidR="00073A08">
        <w:t xml:space="preserve"> is commensurate with the 99% guideline value</w:t>
      </w:r>
      <w:r w:rsidR="00D05D5C">
        <w:t>.</w:t>
      </w:r>
      <w:r w:rsidR="00B93E9E">
        <w:t xml:space="preserve"> </w:t>
      </w:r>
      <w:r w:rsidR="00300670" w:rsidRPr="00C50C93">
        <w:t>Additional monitoring points and sampling undertaken consistent with the Guidelines will enable the proponent to determine the potential impacts to downstream aquatic ecosystems</w:t>
      </w:r>
      <w:r w:rsidR="009512E8" w:rsidRPr="009512E8">
        <w:t xml:space="preserve"> </w:t>
      </w:r>
      <w:r w:rsidR="009512E8" w:rsidRPr="00C50C93">
        <w:t>within the Goulburn River National Park</w:t>
      </w:r>
      <w:r w:rsidR="00300670" w:rsidRPr="00C50C93">
        <w:t xml:space="preserve">, and inform management </w:t>
      </w:r>
      <w:r w:rsidR="009D172B" w:rsidRPr="00C50C93">
        <w:t>and mitigation of those impacts</w:t>
      </w:r>
      <w:r w:rsidR="00300670" w:rsidRPr="00C50C93">
        <w:t xml:space="preserve">. </w:t>
      </w:r>
    </w:p>
    <w:p w:rsidR="00D56DEA" w:rsidRPr="00C50C93" w:rsidRDefault="00F943A0" w:rsidP="00AC6988">
      <w:pPr>
        <w:pStyle w:val="ListNumber2"/>
        <w:rPr>
          <w:rFonts w:eastAsia="Calibri"/>
          <w:lang w:eastAsia="en-AU"/>
        </w:rPr>
      </w:pPr>
      <w:r w:rsidRPr="00C50C93">
        <w:rPr>
          <w:rFonts w:eastAsia="Calibri"/>
          <w:lang w:eastAsia="en-AU"/>
        </w:rPr>
        <w:t>A</w:t>
      </w:r>
      <w:r w:rsidR="00D56DEA" w:rsidRPr="00C50C93">
        <w:rPr>
          <w:rFonts w:eastAsia="Calibri"/>
          <w:lang w:eastAsia="en-AU"/>
        </w:rPr>
        <w:t>dditional solubility studies</w:t>
      </w:r>
      <w:r w:rsidR="00BD73EA" w:rsidRPr="00C50C93">
        <w:rPr>
          <w:rFonts w:eastAsia="Calibri"/>
          <w:lang w:eastAsia="en-AU"/>
        </w:rPr>
        <w:t xml:space="preserve"> </w:t>
      </w:r>
      <w:r w:rsidR="00D37502">
        <w:rPr>
          <w:rFonts w:eastAsia="Calibri"/>
          <w:lang w:eastAsia="en-AU"/>
        </w:rPr>
        <w:t>of</w:t>
      </w:r>
      <w:r w:rsidR="009D0190" w:rsidRPr="00C50C93">
        <w:rPr>
          <w:rFonts w:eastAsia="Calibri"/>
          <w:lang w:eastAsia="en-AU"/>
        </w:rPr>
        <w:t xml:space="preserve"> arsenic, selenium </w:t>
      </w:r>
      <w:r w:rsidR="00BD14C4">
        <w:rPr>
          <w:rFonts w:eastAsia="Calibri"/>
          <w:lang w:eastAsia="en-AU"/>
        </w:rPr>
        <w:t>and</w:t>
      </w:r>
      <w:r w:rsidR="009D0190" w:rsidRPr="00C50C93">
        <w:rPr>
          <w:rFonts w:eastAsia="Calibri"/>
          <w:lang w:eastAsia="en-AU"/>
        </w:rPr>
        <w:t xml:space="preserve"> molybdenum </w:t>
      </w:r>
      <w:r w:rsidR="00D37502">
        <w:rPr>
          <w:rFonts w:eastAsia="Calibri"/>
          <w:lang w:eastAsia="en-AU"/>
        </w:rPr>
        <w:t xml:space="preserve">in waste and tailings material should be conducted </w:t>
      </w:r>
      <w:r w:rsidR="009D0190" w:rsidRPr="00C50C93">
        <w:rPr>
          <w:rFonts w:eastAsia="Calibri"/>
          <w:lang w:eastAsia="en-AU"/>
        </w:rPr>
        <w:t xml:space="preserve">including tests over a range of pH conditions and kinetic tests. These tests should be </w:t>
      </w:r>
      <w:r w:rsidR="00FB6DCD" w:rsidRPr="00C50C93">
        <w:rPr>
          <w:rFonts w:eastAsia="Calibri"/>
          <w:lang w:eastAsia="en-AU"/>
        </w:rPr>
        <w:t>described</w:t>
      </w:r>
      <w:r w:rsidR="00BD73EA" w:rsidRPr="00C50C93">
        <w:rPr>
          <w:rFonts w:eastAsia="Calibri"/>
          <w:lang w:eastAsia="en-AU"/>
        </w:rPr>
        <w:t xml:space="preserve"> </w:t>
      </w:r>
      <w:r w:rsidR="009D0190" w:rsidRPr="00C50C93">
        <w:rPr>
          <w:rFonts w:eastAsia="Calibri"/>
          <w:lang w:eastAsia="en-AU"/>
        </w:rPr>
        <w:t xml:space="preserve">in detail </w:t>
      </w:r>
      <w:r w:rsidR="00AC232A" w:rsidRPr="00C50C93">
        <w:rPr>
          <w:rFonts w:eastAsia="Calibri"/>
          <w:lang w:eastAsia="en-AU"/>
        </w:rPr>
        <w:t>as part of the impact assessment</w:t>
      </w:r>
      <w:r w:rsidR="00FB6DCD" w:rsidRPr="00C50C93">
        <w:rPr>
          <w:rFonts w:eastAsia="Calibri"/>
          <w:lang w:eastAsia="en-AU"/>
        </w:rPr>
        <w:t xml:space="preserve"> for the proposed project</w:t>
      </w:r>
      <w:r w:rsidR="00D74FB0" w:rsidRPr="00C50C93">
        <w:rPr>
          <w:rFonts w:eastAsia="Calibri"/>
          <w:lang w:eastAsia="en-AU"/>
        </w:rPr>
        <w:t xml:space="preserve"> to inform </w:t>
      </w:r>
      <w:r w:rsidR="00FB6DCD" w:rsidRPr="00C50C93">
        <w:rPr>
          <w:rFonts w:eastAsia="Calibri"/>
          <w:lang w:eastAsia="en-AU"/>
        </w:rPr>
        <w:t xml:space="preserve">revision of the </w:t>
      </w:r>
      <w:r w:rsidR="00D74FB0" w:rsidRPr="00C50C93">
        <w:rPr>
          <w:rFonts w:eastAsia="Calibri"/>
          <w:lang w:eastAsia="en-AU"/>
        </w:rPr>
        <w:t xml:space="preserve">surface </w:t>
      </w:r>
      <w:r w:rsidR="00FB6DCD" w:rsidRPr="00C50C93">
        <w:rPr>
          <w:rFonts w:eastAsia="Calibri"/>
          <w:lang w:eastAsia="en-AU"/>
        </w:rPr>
        <w:t>water management and monitoring plan</w:t>
      </w:r>
      <w:r w:rsidR="00D56DEA" w:rsidRPr="00C50C93">
        <w:rPr>
          <w:rFonts w:eastAsia="Calibri"/>
          <w:lang w:eastAsia="en-AU"/>
        </w:rPr>
        <w:t xml:space="preserve"> (</w:t>
      </w:r>
      <w:r w:rsidR="004F6D02" w:rsidRPr="00C50C93">
        <w:rPr>
          <w:rFonts w:eastAsia="Calibri"/>
          <w:lang w:eastAsia="en-AU"/>
        </w:rPr>
        <w:t>IESC March 2016: point</w:t>
      </w:r>
      <w:r w:rsidR="009D0190" w:rsidRPr="00C50C93">
        <w:rPr>
          <w:rFonts w:eastAsia="Calibri"/>
          <w:lang w:eastAsia="en-AU"/>
        </w:rPr>
        <w:t>s 14</w:t>
      </w:r>
      <w:r w:rsidR="006E6039">
        <w:rPr>
          <w:rFonts w:eastAsia="Calibri"/>
          <w:lang w:eastAsia="en-AU"/>
        </w:rPr>
        <w:t>, 20</w:t>
      </w:r>
      <w:r w:rsidR="009D0190" w:rsidRPr="00C50C93">
        <w:rPr>
          <w:rFonts w:eastAsia="Calibri"/>
          <w:lang w:eastAsia="en-AU"/>
        </w:rPr>
        <w:t xml:space="preserve"> &amp;</w:t>
      </w:r>
      <w:r w:rsidR="004F6D02" w:rsidRPr="00C50C93">
        <w:rPr>
          <w:rFonts w:eastAsia="Calibri"/>
          <w:lang w:eastAsia="en-AU"/>
        </w:rPr>
        <w:t xml:space="preserve"> 27</w:t>
      </w:r>
      <w:r w:rsidR="00D56DEA" w:rsidRPr="00C50C93">
        <w:rPr>
          <w:rFonts w:eastAsia="Calibri"/>
          <w:lang w:eastAsia="en-AU"/>
        </w:rPr>
        <w:t>)</w:t>
      </w:r>
      <w:r w:rsidR="00DE413A" w:rsidRPr="00C50C93">
        <w:rPr>
          <w:rFonts w:eastAsia="Calibri"/>
          <w:lang w:eastAsia="en-AU"/>
        </w:rPr>
        <w:t>.</w:t>
      </w:r>
      <w:r w:rsidR="00777F1A" w:rsidRPr="00C50C93">
        <w:rPr>
          <w:rFonts w:eastAsia="Calibri"/>
          <w:lang w:eastAsia="en-AU"/>
        </w:rPr>
        <w:t xml:space="preserve"> These studies would enable a more informed </w:t>
      </w:r>
      <w:r w:rsidR="00777F1A" w:rsidRPr="00C50C93">
        <w:t>understanding of the risks associated with metal and acid contamination from waste storage, disposal, handling and treatment.</w:t>
      </w:r>
    </w:p>
    <w:p w:rsidR="00EF7F01" w:rsidRPr="00C50C93" w:rsidRDefault="00FB6DCD" w:rsidP="00EF7F01">
      <w:pPr>
        <w:pStyle w:val="ListNumber2"/>
      </w:pPr>
      <w:r w:rsidRPr="00C50C93">
        <w:t xml:space="preserve">Management triggers and associated responses have been developed </w:t>
      </w:r>
      <w:r w:rsidR="00297A70" w:rsidRPr="00C50C93">
        <w:t>(</w:t>
      </w:r>
      <w:r w:rsidR="00297A70" w:rsidRPr="00C50C93">
        <w:rPr>
          <w:rFonts w:eastAsia="Calibri"/>
          <w:lang w:eastAsia="en-AU"/>
        </w:rPr>
        <w:t>IESC March 2016: point</w:t>
      </w:r>
      <w:r w:rsidR="006E6039">
        <w:rPr>
          <w:rFonts w:eastAsia="Calibri"/>
          <w:lang w:eastAsia="en-AU"/>
        </w:rPr>
        <w:t>s</w:t>
      </w:r>
      <w:r w:rsidR="00297A70" w:rsidRPr="00C50C93">
        <w:rPr>
          <w:rFonts w:eastAsia="Calibri"/>
          <w:lang w:eastAsia="en-AU"/>
        </w:rPr>
        <w:t xml:space="preserve"> </w:t>
      </w:r>
      <w:r w:rsidR="006E6039">
        <w:rPr>
          <w:rFonts w:eastAsia="Calibri"/>
          <w:lang w:eastAsia="en-AU"/>
        </w:rPr>
        <w:t xml:space="preserve">20, </w:t>
      </w:r>
      <w:r w:rsidR="00297A70" w:rsidRPr="00C50C93">
        <w:rPr>
          <w:rFonts w:eastAsia="Calibri"/>
          <w:lang w:eastAsia="en-AU"/>
        </w:rPr>
        <w:t>21</w:t>
      </w:r>
      <w:r w:rsidR="006E6039">
        <w:rPr>
          <w:rFonts w:eastAsia="Calibri"/>
          <w:lang w:eastAsia="en-AU"/>
        </w:rPr>
        <w:t>, 23, &amp; 24</w:t>
      </w:r>
      <w:r w:rsidR="00297A70" w:rsidRPr="00C50C93">
        <w:rPr>
          <w:rFonts w:eastAsia="Calibri"/>
          <w:lang w:eastAsia="en-AU"/>
        </w:rPr>
        <w:t xml:space="preserve">) </w:t>
      </w:r>
      <w:r w:rsidRPr="00C50C93">
        <w:t xml:space="preserve">for the existing mine for a sub-set of water quality parameters, as detailed in the </w:t>
      </w:r>
      <w:r w:rsidRPr="00C50C93">
        <w:rPr>
          <w:i/>
        </w:rPr>
        <w:t>Wilpinjong Mine Water Management Plan</w:t>
      </w:r>
      <w:r w:rsidR="00690BC1" w:rsidRPr="00C50C93">
        <w:t xml:space="preserve"> (Peabody Energy</w:t>
      </w:r>
      <w:r w:rsidRPr="00C50C93">
        <w:t xml:space="preserve"> May 2016, Appendix 5)</w:t>
      </w:r>
      <w:r w:rsidR="00777F1A" w:rsidRPr="00C50C93">
        <w:t>. S</w:t>
      </w:r>
      <w:r w:rsidR="00EF7F01" w:rsidRPr="00C50C93">
        <w:t xml:space="preserve">urface water trigger values </w:t>
      </w:r>
      <w:r w:rsidR="004F6D02" w:rsidRPr="00C50C93">
        <w:t xml:space="preserve">and associated responses </w:t>
      </w:r>
      <w:r w:rsidR="00641B57" w:rsidRPr="00C50C93">
        <w:t xml:space="preserve">for metals </w:t>
      </w:r>
      <w:r w:rsidR="0086491E" w:rsidRPr="00C50C93">
        <w:t xml:space="preserve">should </w:t>
      </w:r>
      <w:r w:rsidR="004F6D02" w:rsidRPr="00C50C93">
        <w:t xml:space="preserve">also </w:t>
      </w:r>
      <w:r w:rsidR="001A45F4" w:rsidRPr="00C50C93">
        <w:t xml:space="preserve">be </w:t>
      </w:r>
      <w:r w:rsidR="00297A70" w:rsidRPr="00C50C93">
        <w:t>developed</w:t>
      </w:r>
      <w:r w:rsidR="00777F1A" w:rsidRPr="00C50C93">
        <w:t xml:space="preserve"> to enable identification and management of potential impacts to downstream ecosystem</w:t>
      </w:r>
      <w:r w:rsidR="004C1699" w:rsidRPr="00C50C93">
        <w:t>s</w:t>
      </w:r>
      <w:r w:rsidR="001A45F4" w:rsidRPr="00C50C93">
        <w:t xml:space="preserve">. </w:t>
      </w:r>
    </w:p>
    <w:p w:rsidR="00EF7F01" w:rsidRPr="00C50C93" w:rsidRDefault="004F6D02" w:rsidP="00EF7F01">
      <w:pPr>
        <w:pStyle w:val="ListNumber2"/>
      </w:pPr>
      <w:r w:rsidRPr="00C50C93">
        <w:t>The effectiveness of existing surface water management at the Wilpinjong Mine</w:t>
      </w:r>
      <w:r w:rsidR="00160D97" w:rsidRPr="00C50C93">
        <w:t xml:space="preserve"> should be demonstrated to inform revision of the plan </w:t>
      </w:r>
      <w:r w:rsidR="0063080E" w:rsidRPr="00C50C93">
        <w:t>to include</w:t>
      </w:r>
      <w:r w:rsidR="00160D97" w:rsidRPr="00C50C93">
        <w:t xml:space="preserve"> the proposed project (</w:t>
      </w:r>
      <w:r w:rsidR="00160D97" w:rsidRPr="00C50C93">
        <w:rPr>
          <w:rFonts w:eastAsia="Calibri"/>
          <w:lang w:eastAsia="en-AU"/>
        </w:rPr>
        <w:t>IESC March 2016: point</w:t>
      </w:r>
      <w:r w:rsidR="00D66955" w:rsidRPr="00C50C93">
        <w:rPr>
          <w:rFonts w:eastAsia="Calibri"/>
          <w:lang w:eastAsia="en-AU"/>
        </w:rPr>
        <w:t>s</w:t>
      </w:r>
      <w:r w:rsidR="00160D97" w:rsidRPr="00C50C93">
        <w:rPr>
          <w:rFonts w:eastAsia="Calibri"/>
          <w:lang w:eastAsia="en-AU"/>
        </w:rPr>
        <w:t xml:space="preserve"> 16, </w:t>
      </w:r>
      <w:r w:rsidR="006E6039">
        <w:rPr>
          <w:rFonts w:eastAsia="Calibri"/>
          <w:lang w:eastAsia="en-AU"/>
        </w:rPr>
        <w:t xml:space="preserve">17, </w:t>
      </w:r>
      <w:r w:rsidR="00160D97" w:rsidRPr="00C50C93">
        <w:rPr>
          <w:rFonts w:eastAsia="Calibri"/>
          <w:lang w:eastAsia="en-AU"/>
        </w:rPr>
        <w:t>18,</w:t>
      </w:r>
      <w:r w:rsidR="006E6039">
        <w:rPr>
          <w:rFonts w:eastAsia="Calibri"/>
          <w:lang w:eastAsia="en-AU"/>
        </w:rPr>
        <w:t xml:space="preserve"> 19,</w:t>
      </w:r>
      <w:r w:rsidR="00160D97" w:rsidRPr="00C50C93">
        <w:rPr>
          <w:rFonts w:eastAsia="Calibri"/>
          <w:lang w:eastAsia="en-AU"/>
        </w:rPr>
        <w:t xml:space="preserve"> </w:t>
      </w:r>
      <w:r w:rsidR="00C82754" w:rsidRPr="00C50C93">
        <w:rPr>
          <w:rFonts w:eastAsia="Calibri"/>
          <w:lang w:eastAsia="en-AU"/>
        </w:rPr>
        <w:t xml:space="preserve">&amp; </w:t>
      </w:r>
      <w:r w:rsidR="006E6039">
        <w:rPr>
          <w:rFonts w:eastAsia="Calibri"/>
          <w:lang w:eastAsia="en-AU"/>
        </w:rPr>
        <w:t>25</w:t>
      </w:r>
      <w:r w:rsidR="00160D97" w:rsidRPr="00C50C93">
        <w:t>)</w:t>
      </w:r>
      <w:r w:rsidRPr="00C50C93">
        <w:t xml:space="preserve">. </w:t>
      </w:r>
      <w:r w:rsidR="00160D97" w:rsidRPr="00C50C93">
        <w:t xml:space="preserve">The </w:t>
      </w:r>
      <w:r w:rsidR="00160D97" w:rsidRPr="00C50C93">
        <w:rPr>
          <w:i/>
        </w:rPr>
        <w:t>Wilpinjong Mine Water Management Plan</w:t>
      </w:r>
      <w:r w:rsidR="00997ED2" w:rsidRPr="00C50C93">
        <w:t xml:space="preserve"> (Peabody</w:t>
      </w:r>
      <w:r w:rsidR="00D66955" w:rsidRPr="00C50C93">
        <w:t xml:space="preserve"> Energy</w:t>
      </w:r>
      <w:r w:rsidR="00997ED2" w:rsidRPr="00C50C93">
        <w:t xml:space="preserve"> May 2016, Appendix </w:t>
      </w:r>
      <w:r w:rsidR="00160D97" w:rsidRPr="00C50C93">
        <w:t>5)</w:t>
      </w:r>
      <w:r w:rsidRPr="00C50C93">
        <w:t xml:space="preserve"> </w:t>
      </w:r>
      <w:r w:rsidR="00C542A3" w:rsidRPr="00C50C93">
        <w:t xml:space="preserve">appears to show </w:t>
      </w:r>
      <w:r w:rsidR="00160D97" w:rsidRPr="00C50C93">
        <w:t xml:space="preserve">several instances where </w:t>
      </w:r>
      <w:r w:rsidR="00C82754" w:rsidRPr="00C50C93">
        <w:t xml:space="preserve">surface water quality trigger values have been exceeded </w:t>
      </w:r>
      <w:r w:rsidR="00160D97" w:rsidRPr="00C50C93">
        <w:t xml:space="preserve">but it is not clear </w:t>
      </w:r>
      <w:r w:rsidR="00C82754" w:rsidRPr="00C50C93">
        <w:t xml:space="preserve">from </w:t>
      </w:r>
      <w:r w:rsidR="0063080E" w:rsidRPr="00C50C93">
        <w:t xml:space="preserve">the EIS, the Response, or </w:t>
      </w:r>
      <w:r w:rsidR="00C82754" w:rsidRPr="00C50C93">
        <w:t>available environmental reporting</w:t>
      </w:r>
      <w:r w:rsidR="001A3720" w:rsidRPr="00C50C93">
        <w:t xml:space="preserve"> (Peabody Energy</w:t>
      </w:r>
      <w:r w:rsidR="004C1699" w:rsidRPr="00C50C93">
        <w:t xml:space="preserve"> 2016)</w:t>
      </w:r>
      <w:r w:rsidR="00C82754" w:rsidRPr="00C50C93">
        <w:t xml:space="preserve"> </w:t>
      </w:r>
      <w:r w:rsidR="00160D97" w:rsidRPr="00C50C93">
        <w:t>how the relevant T</w:t>
      </w:r>
      <w:r w:rsidR="00777F1A" w:rsidRPr="00C50C93">
        <w:t xml:space="preserve">rigger </w:t>
      </w:r>
      <w:r w:rsidR="00160D97" w:rsidRPr="00C50C93">
        <w:t>A</w:t>
      </w:r>
      <w:r w:rsidR="00777F1A" w:rsidRPr="00C50C93">
        <w:t xml:space="preserve">ction </w:t>
      </w:r>
      <w:r w:rsidR="00160D97" w:rsidRPr="00C50C93">
        <w:t>R</w:t>
      </w:r>
      <w:r w:rsidR="00777F1A" w:rsidRPr="00C50C93">
        <w:t xml:space="preserve">esponse </w:t>
      </w:r>
      <w:r w:rsidR="00160D97" w:rsidRPr="00C50C93">
        <w:t>P</w:t>
      </w:r>
      <w:r w:rsidR="00777F1A" w:rsidRPr="00C50C93">
        <w:t>lan</w:t>
      </w:r>
      <w:r w:rsidR="00160D97" w:rsidRPr="00C50C93">
        <w:t>s were applied.</w:t>
      </w:r>
      <w:r w:rsidR="00C542A3" w:rsidRPr="00C50C93">
        <w:t xml:space="preserve"> </w:t>
      </w:r>
      <w:r w:rsidR="000528B1" w:rsidRPr="00C50C93">
        <w:t xml:space="preserve">For example, pH values in Wilpinjong Creek, downstream of Wilpinjong Coal Mine, are frequently outside the baseline trigger values (Peabody Energy </w:t>
      </w:r>
      <w:r w:rsidR="000528B1" w:rsidRPr="00C50C93">
        <w:lastRenderedPageBreak/>
        <w:t xml:space="preserve">May 2016, Appendix 5, </w:t>
      </w:r>
      <w:r w:rsidR="0091697E" w:rsidRPr="00C50C93">
        <w:t xml:space="preserve">table 11 on </w:t>
      </w:r>
      <w:r w:rsidR="00A90DE4" w:rsidRPr="00C50C93">
        <w:t>p. 35 &amp; Figure 7</w:t>
      </w:r>
      <w:r w:rsidR="0091697E" w:rsidRPr="00C50C93">
        <w:t xml:space="preserve"> </w:t>
      </w:r>
      <w:r w:rsidR="00A90DE4" w:rsidRPr="00C50C93">
        <w:t>on p.17; EIS, Appendix D, Figure 3.19, p. 58</w:t>
      </w:r>
      <w:r w:rsidR="000528B1" w:rsidRPr="00C50C93">
        <w:t>)</w:t>
      </w:r>
      <w:r w:rsidR="00A90DE4" w:rsidRPr="00C50C93">
        <w:t>.</w:t>
      </w:r>
      <w:r w:rsidR="000528B1" w:rsidRPr="00C50C93">
        <w:t xml:space="preserve"> </w:t>
      </w:r>
    </w:p>
    <w:p w:rsidR="00065A00" w:rsidRPr="00C50C93" w:rsidRDefault="001415AF" w:rsidP="004C12F9">
      <w:pPr>
        <w:pStyle w:val="ListNumber2"/>
      </w:pPr>
      <w:r w:rsidRPr="00C50C93">
        <w:t>C</w:t>
      </w:r>
      <w:r w:rsidR="00A24774" w:rsidRPr="00C50C93">
        <w:t>hanges to flow regime</w:t>
      </w:r>
      <w:r w:rsidR="00C304A8" w:rsidRPr="00C50C93">
        <w:t xml:space="preserve">, </w:t>
      </w:r>
      <w:r w:rsidR="00D5775F" w:rsidRPr="00C50C93">
        <w:t xml:space="preserve">particularly characterisation </w:t>
      </w:r>
      <w:r w:rsidR="00BD383A" w:rsidRPr="00C50C93">
        <w:t xml:space="preserve">of timing and seasonality of </w:t>
      </w:r>
      <w:r w:rsidR="004C12F9" w:rsidRPr="00C50C93">
        <w:t xml:space="preserve">peak and low </w:t>
      </w:r>
      <w:r w:rsidR="00BD383A" w:rsidRPr="00C50C93">
        <w:t>flows</w:t>
      </w:r>
      <w:r w:rsidR="00C304A8" w:rsidRPr="00C50C93">
        <w:t>,</w:t>
      </w:r>
      <w:r w:rsidR="00425254" w:rsidRPr="00C50C93">
        <w:t xml:space="preserve"> </w:t>
      </w:r>
      <w:r w:rsidRPr="00C50C93">
        <w:t xml:space="preserve">have not been quantified </w:t>
      </w:r>
      <w:r w:rsidR="004F6D02" w:rsidRPr="00C50C93">
        <w:t>(</w:t>
      </w:r>
      <w:r w:rsidR="00160D97" w:rsidRPr="00C50C93">
        <w:rPr>
          <w:rFonts w:eastAsia="Calibri"/>
          <w:lang w:eastAsia="en-AU"/>
        </w:rPr>
        <w:t>IESC March 2016: point</w:t>
      </w:r>
      <w:r w:rsidR="00D66955" w:rsidRPr="00C50C93">
        <w:rPr>
          <w:rFonts w:eastAsia="Calibri"/>
          <w:lang w:eastAsia="en-AU"/>
        </w:rPr>
        <w:t>s</w:t>
      </w:r>
      <w:r w:rsidR="00160D97" w:rsidRPr="00C50C93">
        <w:rPr>
          <w:rFonts w:eastAsia="Calibri"/>
          <w:lang w:eastAsia="en-AU"/>
        </w:rPr>
        <w:t xml:space="preserve"> </w:t>
      </w:r>
      <w:r w:rsidR="006E6039">
        <w:rPr>
          <w:rFonts w:eastAsia="Calibri"/>
          <w:lang w:eastAsia="en-AU"/>
        </w:rPr>
        <w:t xml:space="preserve">3, 10, </w:t>
      </w:r>
      <w:r w:rsidR="001A3720" w:rsidRPr="00C50C93">
        <w:rPr>
          <w:rFonts w:eastAsia="Calibri"/>
          <w:lang w:eastAsia="en-AU"/>
        </w:rPr>
        <w:t>1</w:t>
      </w:r>
      <w:r w:rsidR="006E6039">
        <w:rPr>
          <w:rFonts w:eastAsia="Calibri"/>
          <w:lang w:eastAsia="en-AU"/>
        </w:rPr>
        <w:t>3, 27</w:t>
      </w:r>
      <w:r w:rsidR="001A3720" w:rsidRPr="00C50C93">
        <w:rPr>
          <w:rFonts w:eastAsia="Calibri"/>
          <w:lang w:eastAsia="en-AU"/>
        </w:rPr>
        <w:t xml:space="preserve"> &amp;</w:t>
      </w:r>
      <w:r w:rsidR="00A24774" w:rsidRPr="00C50C93">
        <w:rPr>
          <w:rFonts w:eastAsia="Calibri"/>
          <w:lang w:eastAsia="en-AU"/>
        </w:rPr>
        <w:t xml:space="preserve"> </w:t>
      </w:r>
      <w:r w:rsidR="00160D97" w:rsidRPr="00C50C93">
        <w:rPr>
          <w:rFonts w:eastAsia="Calibri"/>
          <w:lang w:eastAsia="en-AU"/>
        </w:rPr>
        <w:t>2</w:t>
      </w:r>
      <w:r w:rsidR="006E6039">
        <w:rPr>
          <w:rFonts w:eastAsia="Calibri"/>
          <w:lang w:eastAsia="en-AU"/>
        </w:rPr>
        <w:t>9</w:t>
      </w:r>
      <w:r w:rsidR="004F6D02" w:rsidRPr="00C50C93">
        <w:rPr>
          <w:rFonts w:eastAsia="Calibri"/>
          <w:lang w:eastAsia="en-AU"/>
        </w:rPr>
        <w:t>)</w:t>
      </w:r>
      <w:r w:rsidRPr="00C50C93">
        <w:rPr>
          <w:rFonts w:eastAsia="Calibri"/>
          <w:lang w:eastAsia="en-AU"/>
        </w:rPr>
        <w:t xml:space="preserve"> and should be assessed </w:t>
      </w:r>
      <w:r w:rsidRPr="00C50C93">
        <w:t xml:space="preserve">when updating the </w:t>
      </w:r>
      <w:r w:rsidRPr="00C50C93">
        <w:rPr>
          <w:i/>
        </w:rPr>
        <w:t>Wilpinjong Mine Water Management Plan</w:t>
      </w:r>
      <w:r w:rsidR="00C304A8" w:rsidRPr="00C50C93">
        <w:t xml:space="preserve"> so as to fully identify </w:t>
      </w:r>
      <w:r w:rsidR="00EB59FF" w:rsidRPr="00C50C93">
        <w:t>impacts to downstream ecosystem</w:t>
      </w:r>
      <w:r w:rsidR="00565A81" w:rsidRPr="00C50C93">
        <w:t>s</w:t>
      </w:r>
      <w:r w:rsidR="00C304A8" w:rsidRPr="00C50C93">
        <w:t>.</w:t>
      </w:r>
    </w:p>
    <w:p w:rsidR="00EF7F01" w:rsidRPr="00C50C93" w:rsidRDefault="00EF7F01" w:rsidP="00EF7F01">
      <w:pPr>
        <w:pStyle w:val="ListNumber"/>
        <w:numPr>
          <w:ilvl w:val="0"/>
          <w:numId w:val="0"/>
        </w:numPr>
        <w:rPr>
          <w:i/>
        </w:rPr>
      </w:pPr>
      <w:r w:rsidRPr="00C50C93">
        <w:rPr>
          <w:i/>
        </w:rPr>
        <w:t>Groundwater</w:t>
      </w:r>
    </w:p>
    <w:p w:rsidR="004417CD" w:rsidRPr="00C50C93" w:rsidRDefault="00D31A8D" w:rsidP="004417CD">
      <w:pPr>
        <w:pStyle w:val="ListNumber"/>
      </w:pPr>
      <w:r w:rsidRPr="00C50C93">
        <w:t>The p</w:t>
      </w:r>
      <w:r w:rsidR="007E4DBE" w:rsidRPr="00C50C93">
        <w:t xml:space="preserve">otential </w:t>
      </w:r>
      <w:r w:rsidRPr="00C50C93">
        <w:t xml:space="preserve">for </w:t>
      </w:r>
      <w:r w:rsidR="00173271" w:rsidRPr="00C50C93">
        <w:t>contaminants</w:t>
      </w:r>
      <w:r w:rsidR="003A71BD" w:rsidRPr="00C50C93">
        <w:t xml:space="preserve"> leaching</w:t>
      </w:r>
      <w:r w:rsidR="00173271" w:rsidRPr="00C50C93">
        <w:t xml:space="preserve"> </w:t>
      </w:r>
      <w:r w:rsidR="007E4DBE" w:rsidRPr="00C50C93">
        <w:t xml:space="preserve">from tailings dams </w:t>
      </w:r>
      <w:r w:rsidR="00173271" w:rsidRPr="00C50C93">
        <w:t xml:space="preserve">located adjacent to Wilpinjong Creek </w:t>
      </w:r>
      <w:r w:rsidR="005372F7" w:rsidRPr="00C50C93">
        <w:t>has</w:t>
      </w:r>
      <w:r w:rsidRPr="00C50C93">
        <w:t xml:space="preserve"> not been adequately addressed</w:t>
      </w:r>
      <w:r w:rsidR="00D50325" w:rsidRPr="00C50C93">
        <w:t xml:space="preserve"> (</w:t>
      </w:r>
      <w:r w:rsidR="0033622C" w:rsidRPr="00C50C93">
        <w:rPr>
          <w:rFonts w:eastAsia="Calibri"/>
          <w:lang w:eastAsia="en-AU"/>
        </w:rPr>
        <w:t>IESC March 2016: point</w:t>
      </w:r>
      <w:r w:rsidR="00D66955" w:rsidRPr="00C50C93">
        <w:rPr>
          <w:rFonts w:eastAsia="Calibri"/>
          <w:lang w:eastAsia="en-AU"/>
        </w:rPr>
        <w:t>s</w:t>
      </w:r>
      <w:r w:rsidR="001A3720" w:rsidRPr="00C50C93">
        <w:rPr>
          <w:rFonts w:eastAsia="Calibri"/>
          <w:lang w:eastAsia="en-AU"/>
        </w:rPr>
        <w:t xml:space="preserve"> 6, 7, 8 &amp;</w:t>
      </w:r>
      <w:r w:rsidR="0033622C" w:rsidRPr="00C50C93">
        <w:rPr>
          <w:rFonts w:eastAsia="Calibri"/>
          <w:lang w:eastAsia="en-AU"/>
        </w:rPr>
        <w:t xml:space="preserve"> 26c</w:t>
      </w:r>
      <w:r w:rsidR="0033622C" w:rsidRPr="00C50C93">
        <w:t>)</w:t>
      </w:r>
      <w:r w:rsidR="007E4DBE" w:rsidRPr="00C50C93">
        <w:t>.</w:t>
      </w:r>
      <w:r w:rsidR="0053604E" w:rsidRPr="00C50C93">
        <w:t xml:space="preserve"> </w:t>
      </w:r>
      <w:r w:rsidR="00DF095C" w:rsidRPr="00C50C93">
        <w:t xml:space="preserve">Leakage from the tailings dams can impact groundwater and downstream surface water quality, with potential impacts on aquatic </w:t>
      </w:r>
      <w:r w:rsidR="001B7B4F" w:rsidRPr="00C50C93">
        <w:t xml:space="preserve">and groundwater dependent </w:t>
      </w:r>
      <w:r w:rsidR="00DF095C" w:rsidRPr="00C50C93">
        <w:t>ecosystems.</w:t>
      </w:r>
      <w:r w:rsidR="004417CD" w:rsidRPr="00C50C93">
        <w:t xml:space="preserve"> </w:t>
      </w:r>
      <w:r w:rsidR="00FF549C">
        <w:t>The following matters remain unaddressed, namely</w:t>
      </w:r>
      <w:r w:rsidR="004417CD" w:rsidRPr="00C50C93">
        <w:t xml:space="preserve">: </w:t>
      </w:r>
    </w:p>
    <w:p w:rsidR="007E4DBE" w:rsidRPr="00C50C93" w:rsidRDefault="00F92E93" w:rsidP="00173271">
      <w:pPr>
        <w:pStyle w:val="ListNumber2"/>
      </w:pPr>
      <w:r w:rsidRPr="00C50C93">
        <w:t>C</w:t>
      </w:r>
      <w:r w:rsidR="002D360D" w:rsidRPr="00C50C93">
        <w:t xml:space="preserve">oncentrations of other solutes, e.g. dissolved metals, </w:t>
      </w:r>
      <w:r w:rsidRPr="00C50C93">
        <w:t xml:space="preserve">should be presented </w:t>
      </w:r>
      <w:r w:rsidR="005372F7" w:rsidRPr="00C50C93">
        <w:t xml:space="preserve">to support the </w:t>
      </w:r>
      <w:r w:rsidR="00173271" w:rsidRPr="00C50C93">
        <w:t xml:space="preserve">conclusion that there is no </w:t>
      </w:r>
      <w:r w:rsidR="005372F7" w:rsidRPr="00C50C93">
        <w:t>long-term issue</w:t>
      </w:r>
      <w:r w:rsidR="002D360D" w:rsidRPr="00C50C93">
        <w:t xml:space="preserve">. </w:t>
      </w:r>
      <w:r w:rsidR="00DF095C" w:rsidRPr="00C50C93">
        <w:t>The proponent</w:t>
      </w:r>
      <w:r w:rsidR="001543BF" w:rsidRPr="00C50C93">
        <w:t>’</w:t>
      </w:r>
      <w:r w:rsidR="00DF095C" w:rsidRPr="00C50C93">
        <w:t>s conclusion that “there is no evidence of a medium- to long-term issue, given the monitoring data indicated the EC and pH normalised afterwards” is not supported as monitoring appears to be have been suspended in December 2011 (</w:t>
      </w:r>
      <w:r w:rsidR="000F1256" w:rsidRPr="00C50C93">
        <w:t xml:space="preserve">Peabody Energy </w:t>
      </w:r>
      <w:r w:rsidR="001A3720" w:rsidRPr="00C50C93">
        <w:t>(</w:t>
      </w:r>
      <w:r w:rsidR="00DF095C" w:rsidRPr="00C50C93">
        <w:t>EIS</w:t>
      </w:r>
      <w:r w:rsidR="001A3720" w:rsidRPr="00C50C93">
        <w:t>)</w:t>
      </w:r>
      <w:r w:rsidR="00D66955" w:rsidRPr="00C50C93">
        <w:t xml:space="preserve"> 2016</w:t>
      </w:r>
      <w:r w:rsidR="00DF095C" w:rsidRPr="00C50C93">
        <w:t>, App</w:t>
      </w:r>
      <w:r w:rsidR="001A3720" w:rsidRPr="00C50C93">
        <w:t>endix</w:t>
      </w:r>
      <w:r w:rsidR="00DF095C" w:rsidRPr="00C50C93">
        <w:t xml:space="preserve"> C, Table 3-5, p. 35).</w:t>
      </w:r>
    </w:p>
    <w:p w:rsidR="002D360D" w:rsidRPr="00C50C93" w:rsidRDefault="00DF095C" w:rsidP="00DF095C">
      <w:pPr>
        <w:pStyle w:val="ListNumber2"/>
      </w:pPr>
      <w:r w:rsidRPr="00C50C93">
        <w:t xml:space="preserve">The proponent has committed to reinstating monitoring at piezometers PZ20 and PZ21 to monitor potential seepage. </w:t>
      </w:r>
      <w:r w:rsidR="002D360D" w:rsidRPr="00C50C93">
        <w:t xml:space="preserve">Further monitoring </w:t>
      </w:r>
      <w:r w:rsidR="00F22643" w:rsidRPr="00C50C93">
        <w:t>from a representative selection of</w:t>
      </w:r>
      <w:r w:rsidRPr="00C50C93">
        <w:t xml:space="preserve"> piezometers </w:t>
      </w:r>
      <w:r w:rsidR="001B7B4F" w:rsidRPr="00C50C93">
        <w:t xml:space="preserve">PZ01 to PZ28 </w:t>
      </w:r>
      <w:r w:rsidR="002D360D" w:rsidRPr="00C50C93">
        <w:t xml:space="preserve">should be </w:t>
      </w:r>
      <w:r w:rsidRPr="00C50C93">
        <w:t>considered</w:t>
      </w:r>
      <w:r w:rsidR="002D360D" w:rsidRPr="00C50C93">
        <w:t xml:space="preserve"> </w:t>
      </w:r>
      <w:r w:rsidRPr="00C50C93">
        <w:t xml:space="preserve">for inclusion in the revised </w:t>
      </w:r>
      <w:r w:rsidRPr="00C50C93">
        <w:rPr>
          <w:i/>
        </w:rPr>
        <w:t>Wilpinjong Mine Water Management Plan</w:t>
      </w:r>
      <w:r w:rsidR="002D360D" w:rsidRPr="00C50C93">
        <w:t xml:space="preserve">. </w:t>
      </w:r>
      <w:r w:rsidR="001B7B4F" w:rsidRPr="00C50C93">
        <w:t xml:space="preserve">Monitoring of these piezometers would allow detection of potential seepage from the adjacent tailings dams (TD1-TD7) which could affect the water quality of Wilpinjong Creek. The screened interval of these piezometers should be provided. </w:t>
      </w:r>
    </w:p>
    <w:p w:rsidR="00BF048F" w:rsidRPr="00C50C93" w:rsidRDefault="005C4EAB" w:rsidP="005C4EAB">
      <w:pPr>
        <w:pStyle w:val="ListNumber2"/>
      </w:pPr>
      <w:r w:rsidRPr="00C50C93">
        <w:t xml:space="preserve">Baseline groundwater metal </w:t>
      </w:r>
      <w:r w:rsidR="00BF048F" w:rsidRPr="00C50C93">
        <w:t>concentrations</w:t>
      </w:r>
      <w:r w:rsidRPr="00C50C93">
        <w:t xml:space="preserve"> for</w:t>
      </w:r>
      <w:r w:rsidR="006129F5" w:rsidRPr="00C50C93">
        <w:t xml:space="preserve"> each</w:t>
      </w:r>
      <w:r w:rsidRPr="00C50C93">
        <w:t xml:space="preserve"> monitoring b</w:t>
      </w:r>
      <w:r w:rsidR="0015240D" w:rsidRPr="00C50C93">
        <w:t xml:space="preserve">ore should be presented </w:t>
      </w:r>
      <w:r w:rsidR="00AD5098" w:rsidRPr="00C50C93">
        <w:t>to enable detection</w:t>
      </w:r>
      <w:r w:rsidR="007744FC" w:rsidRPr="00C50C93">
        <w:t xml:space="preserve"> of spatial and temporal trends. The proponent considers this is not warranted due to the additional metals sampling undertaken to characterise mine water storages (</w:t>
      </w:r>
      <w:r w:rsidR="00BD14C4">
        <w:t xml:space="preserve">proponent’s </w:t>
      </w:r>
      <w:r w:rsidR="007744FC" w:rsidRPr="00C50C93">
        <w:t xml:space="preserve">Reconciliation, p. 5). The intent of the IESC’s March 2016 point 6(a) was to </w:t>
      </w:r>
      <w:r w:rsidR="00F1080F" w:rsidRPr="00C50C93">
        <w:t xml:space="preserve">establish a baseline for metals upon which potential impacts to groundwater quality can be assessed. </w:t>
      </w:r>
      <w:r w:rsidR="00370300" w:rsidRPr="00C50C93">
        <w:t xml:space="preserve">Despite quarterly sampling (Peabody Energy May 2016, Appendix 6), a </w:t>
      </w:r>
      <w:r w:rsidR="00F1080F" w:rsidRPr="00C50C93">
        <w:t>baseline</w:t>
      </w:r>
      <w:r w:rsidR="00370300" w:rsidRPr="00C50C93">
        <w:t xml:space="preserve"> characterisation of metals in groundwater</w:t>
      </w:r>
      <w:r w:rsidR="00F1080F" w:rsidRPr="00C50C93">
        <w:t xml:space="preserve"> has not been </w:t>
      </w:r>
      <w:r w:rsidR="00370300" w:rsidRPr="00C50C93">
        <w:t>established</w:t>
      </w:r>
      <w:r w:rsidR="002E1497" w:rsidRPr="00C50C93">
        <w:t>. Establishing a baseline</w:t>
      </w:r>
      <w:r w:rsidR="00370300" w:rsidRPr="00C50C93">
        <w:t xml:space="preserve"> is important to be able </w:t>
      </w:r>
      <w:r w:rsidR="0015240D" w:rsidRPr="00C50C93">
        <w:t xml:space="preserve">to develop specific groundwater trigger values and associated responses for metals to incorporate into the revised </w:t>
      </w:r>
      <w:r w:rsidR="0015240D" w:rsidRPr="00C50C93">
        <w:rPr>
          <w:i/>
        </w:rPr>
        <w:t>Wilpinjong Mine Water Management Plan</w:t>
      </w:r>
      <w:r w:rsidR="00BF048F" w:rsidRPr="00C50C93">
        <w:t>.</w:t>
      </w:r>
    </w:p>
    <w:p w:rsidR="00C43959" w:rsidRPr="00C50C93" w:rsidRDefault="00BF048F" w:rsidP="00C43959">
      <w:pPr>
        <w:pStyle w:val="ListNumber"/>
      </w:pPr>
      <w:r w:rsidRPr="00C50C93">
        <w:t xml:space="preserve">Future reviews and updates to the numerical groundwater model are important to validate and provide certainty on groundwater drawdown predictions throughout the life of the proposed project. </w:t>
      </w:r>
      <w:r w:rsidR="00C43959" w:rsidRPr="00C50C93">
        <w:t>This is particular</w:t>
      </w:r>
      <w:r w:rsidR="00214641" w:rsidRPr="00C50C93">
        <w:t>ly</w:t>
      </w:r>
      <w:r w:rsidR="00C43959" w:rsidRPr="00C50C93">
        <w:t xml:space="preserve"> important when considering and monitoring impacts to other groundwater users in the area, in particular the registered groundwater bore associated with the Wollar School</w:t>
      </w:r>
      <w:r w:rsidR="00263FC0" w:rsidRPr="00C50C93">
        <w:t xml:space="preserve"> and potential GDEs</w:t>
      </w:r>
      <w:r w:rsidR="00C43959" w:rsidRPr="00C50C93">
        <w:t xml:space="preserve">, located to the east of the </w:t>
      </w:r>
      <w:r w:rsidR="0033622C" w:rsidRPr="00C50C93">
        <w:t xml:space="preserve">proposed </w:t>
      </w:r>
      <w:r w:rsidR="00C43959" w:rsidRPr="00C50C93">
        <w:t>project</w:t>
      </w:r>
      <w:r w:rsidR="00690BC1" w:rsidRPr="00C50C93">
        <w:t xml:space="preserve"> (</w:t>
      </w:r>
      <w:r w:rsidR="00E4167B" w:rsidRPr="00C50C93">
        <w:rPr>
          <w:rFonts w:eastAsia="Calibri"/>
          <w:lang w:eastAsia="en-AU"/>
        </w:rPr>
        <w:t>IESC March 2016: point</w:t>
      </w:r>
      <w:r w:rsidR="002B66A8" w:rsidRPr="00C50C93">
        <w:rPr>
          <w:rFonts w:eastAsia="Calibri"/>
          <w:lang w:eastAsia="en-AU"/>
        </w:rPr>
        <w:t> </w:t>
      </w:r>
      <w:r w:rsidR="00E4167B" w:rsidRPr="00C50C93">
        <w:rPr>
          <w:rFonts w:eastAsia="Calibri"/>
          <w:lang w:eastAsia="en-AU"/>
        </w:rPr>
        <w:t>21</w:t>
      </w:r>
      <w:r w:rsidR="00E4167B" w:rsidRPr="00C50C93">
        <w:t>)</w:t>
      </w:r>
      <w:r w:rsidR="00C43959" w:rsidRPr="00C50C93">
        <w:t xml:space="preserve">. </w:t>
      </w:r>
    </w:p>
    <w:p w:rsidR="00263FC0" w:rsidRPr="00C50C93" w:rsidRDefault="00263FC0" w:rsidP="00C43959">
      <w:pPr>
        <w:pStyle w:val="ListNumber2"/>
      </w:pPr>
      <w:r w:rsidRPr="00C50C93">
        <w:t xml:space="preserve">The </w:t>
      </w:r>
      <w:r w:rsidRPr="00C50C93">
        <w:rPr>
          <w:i/>
        </w:rPr>
        <w:t>Wilpinjong Mine Water Management Plan</w:t>
      </w:r>
      <w:r w:rsidRPr="00C50C93">
        <w:t xml:space="preserve"> should be updated to include the application of uncertainty analysis to groundwater model outputs (</w:t>
      </w:r>
      <w:r w:rsidRPr="00C50C93">
        <w:rPr>
          <w:rFonts w:eastAsia="Calibri"/>
          <w:lang w:eastAsia="en-AU"/>
        </w:rPr>
        <w:t>IESC March 2016: point</w:t>
      </w:r>
      <w:r w:rsidR="00B75C3D">
        <w:rPr>
          <w:rFonts w:eastAsia="Calibri"/>
          <w:lang w:eastAsia="en-AU"/>
        </w:rPr>
        <w:t>s 1 &amp;</w:t>
      </w:r>
      <w:r w:rsidRPr="00C50C93">
        <w:rPr>
          <w:rFonts w:eastAsia="Calibri"/>
          <w:lang w:eastAsia="en-AU"/>
        </w:rPr>
        <w:t xml:space="preserve"> 5). The IES</w:t>
      </w:r>
      <w:r w:rsidR="001E60B4" w:rsidRPr="00C50C93">
        <w:rPr>
          <w:rFonts w:eastAsia="Calibri"/>
          <w:lang w:eastAsia="en-AU"/>
        </w:rPr>
        <w:t xml:space="preserve">C </w:t>
      </w:r>
      <w:r w:rsidR="005B0B99" w:rsidRPr="00C50C93">
        <w:rPr>
          <w:rFonts w:eastAsia="Calibri"/>
          <w:lang w:eastAsia="en-AU"/>
        </w:rPr>
        <w:t xml:space="preserve">Information </w:t>
      </w:r>
      <w:r w:rsidR="001E60B4" w:rsidRPr="00C50C93">
        <w:rPr>
          <w:rFonts w:eastAsia="Calibri"/>
          <w:lang w:eastAsia="en-AU"/>
        </w:rPr>
        <w:t>G</w:t>
      </w:r>
      <w:r w:rsidRPr="00C50C93">
        <w:rPr>
          <w:rFonts w:eastAsia="Calibri"/>
          <w:lang w:eastAsia="en-AU"/>
        </w:rPr>
        <w:t xml:space="preserve">uidelines </w:t>
      </w:r>
      <w:r w:rsidR="001E60B4" w:rsidRPr="00C50C93">
        <w:rPr>
          <w:rFonts w:eastAsia="Calibri"/>
          <w:lang w:eastAsia="en-AU"/>
        </w:rPr>
        <w:t xml:space="preserve">(IESC 2015) </w:t>
      </w:r>
      <w:r w:rsidRPr="00C50C93">
        <w:rPr>
          <w:rFonts w:eastAsia="Calibri"/>
          <w:lang w:eastAsia="en-AU"/>
        </w:rPr>
        <w:t xml:space="preserve">are consistent with the Australian modelling guidelines with respect to analysis of uncertainty </w:t>
      </w:r>
      <w:r w:rsidR="0079447B" w:rsidRPr="00C50C93">
        <w:rPr>
          <w:rFonts w:eastAsia="Calibri"/>
          <w:lang w:eastAsia="en-AU"/>
        </w:rPr>
        <w:t>of</w:t>
      </w:r>
      <w:r w:rsidRPr="00C50C93">
        <w:rPr>
          <w:rFonts w:eastAsia="Calibri"/>
          <w:lang w:eastAsia="en-AU"/>
        </w:rPr>
        <w:t xml:space="preserve"> predictions and the use of sensitivity analysis for calibration and assessment of uncertainty. </w:t>
      </w:r>
      <w:r w:rsidR="0079447B" w:rsidRPr="00C50C93">
        <w:rPr>
          <w:rFonts w:eastAsia="Calibri"/>
          <w:lang w:eastAsia="en-AU"/>
        </w:rPr>
        <w:t>The groundwater modelling for the proposed project</w:t>
      </w:r>
      <w:r w:rsidRPr="00C50C93">
        <w:rPr>
          <w:rFonts w:eastAsia="Calibri"/>
          <w:lang w:eastAsia="en-AU"/>
        </w:rPr>
        <w:t xml:space="preserve"> does not provide any descriptor of uncertainty for predictions, apart from the general confidence classification for the model. </w:t>
      </w:r>
      <w:r w:rsidR="00FF549C">
        <w:rPr>
          <w:rFonts w:eastAsia="Calibri"/>
          <w:lang w:eastAsia="en-AU"/>
        </w:rPr>
        <w:t xml:space="preserve">Irrespective of </w:t>
      </w:r>
      <w:r w:rsidRPr="00C50C93">
        <w:rPr>
          <w:rFonts w:eastAsia="Calibri"/>
          <w:lang w:eastAsia="en-AU"/>
        </w:rPr>
        <w:t>conceptual</w:t>
      </w:r>
      <w:r w:rsidR="00FF549C">
        <w:rPr>
          <w:rFonts w:eastAsia="Calibri"/>
          <w:lang w:eastAsia="en-AU"/>
        </w:rPr>
        <w:t>isation</w:t>
      </w:r>
      <w:r w:rsidRPr="00C50C93">
        <w:rPr>
          <w:rFonts w:eastAsia="Calibri"/>
          <w:lang w:eastAsia="en-AU"/>
        </w:rPr>
        <w:t xml:space="preserve"> and </w:t>
      </w:r>
      <w:r w:rsidRPr="00C50C93">
        <w:rPr>
          <w:rFonts w:eastAsia="Calibri"/>
          <w:lang w:eastAsia="en-AU"/>
        </w:rPr>
        <w:lastRenderedPageBreak/>
        <w:t>calibrat</w:t>
      </w:r>
      <w:r w:rsidR="00FF549C">
        <w:rPr>
          <w:rFonts w:eastAsia="Calibri"/>
          <w:lang w:eastAsia="en-AU"/>
        </w:rPr>
        <w:t>ion of the model</w:t>
      </w:r>
      <w:r w:rsidRPr="00C50C93">
        <w:rPr>
          <w:rFonts w:eastAsia="Calibri"/>
          <w:lang w:eastAsia="en-AU"/>
        </w:rPr>
        <w:t>, the difference in stresses on the groundwater system between the calibration and measurement phases and associated changes in material properties</w:t>
      </w:r>
      <w:r w:rsidR="00A41A39">
        <w:rPr>
          <w:rFonts w:eastAsia="Calibri"/>
          <w:lang w:eastAsia="en-AU"/>
        </w:rPr>
        <w:t>,</w:t>
      </w:r>
      <w:r w:rsidRPr="00C50C93">
        <w:rPr>
          <w:rFonts w:eastAsia="Calibri"/>
          <w:lang w:eastAsia="en-AU"/>
        </w:rPr>
        <w:t xml:space="preserve"> mean </w:t>
      </w:r>
      <w:r w:rsidR="00843B8B">
        <w:rPr>
          <w:rFonts w:eastAsia="Calibri"/>
          <w:lang w:eastAsia="en-AU"/>
        </w:rPr>
        <w:t xml:space="preserve">that </w:t>
      </w:r>
      <w:r w:rsidRPr="00C50C93">
        <w:rPr>
          <w:rFonts w:eastAsia="Calibri"/>
          <w:lang w:eastAsia="en-AU"/>
        </w:rPr>
        <w:t xml:space="preserve">there would still be a need for some form of uncertainty analysis </w:t>
      </w:r>
      <w:r w:rsidR="00A41A39">
        <w:rPr>
          <w:rFonts w:eastAsia="Calibri"/>
          <w:lang w:eastAsia="en-AU"/>
        </w:rPr>
        <w:t>of</w:t>
      </w:r>
      <w:r w:rsidRPr="00C50C93">
        <w:rPr>
          <w:rFonts w:eastAsia="Calibri"/>
          <w:lang w:eastAsia="en-AU"/>
        </w:rPr>
        <w:t xml:space="preserve"> predictions, even if qualitative in nature. There has been considerable effort to reduce parameter uncertainty in the groundwater model through the analysis of recharge, baseflow and groundwater inflow to mining pits; </w:t>
      </w:r>
      <w:r w:rsidR="00843B8B">
        <w:rPr>
          <w:rFonts w:eastAsia="Calibri"/>
          <w:lang w:eastAsia="en-AU"/>
        </w:rPr>
        <w:t xml:space="preserve">and </w:t>
      </w:r>
      <w:r w:rsidRPr="00C50C93">
        <w:rPr>
          <w:rFonts w:eastAsia="Calibri"/>
          <w:lang w:eastAsia="en-AU"/>
        </w:rPr>
        <w:t xml:space="preserve">calibration of the groundwater model with respect to </w:t>
      </w:r>
      <w:proofErr w:type="spellStart"/>
      <w:r w:rsidRPr="00C50C93">
        <w:rPr>
          <w:rFonts w:eastAsia="Calibri"/>
          <w:lang w:eastAsia="en-AU"/>
        </w:rPr>
        <w:t>piezometric</w:t>
      </w:r>
      <w:proofErr w:type="spellEnd"/>
      <w:r w:rsidRPr="00C50C93">
        <w:rPr>
          <w:rFonts w:eastAsia="Calibri"/>
          <w:lang w:eastAsia="en-AU"/>
        </w:rPr>
        <w:t xml:space="preserve"> heads and hydrological fluxes and reviewing studies of hydraulic properties. While modelling outputs compare well with observations, there are some areas where this is less the case. This, together with the </w:t>
      </w:r>
      <w:r w:rsidR="00BD14C4">
        <w:rPr>
          <w:rFonts w:eastAsia="Calibri"/>
          <w:lang w:eastAsia="en-AU"/>
        </w:rPr>
        <w:t xml:space="preserve">wide </w:t>
      </w:r>
      <w:r w:rsidRPr="00C50C93">
        <w:rPr>
          <w:rFonts w:eastAsia="Calibri"/>
          <w:lang w:eastAsia="en-AU"/>
        </w:rPr>
        <w:t xml:space="preserve">range of estimates of recharge, baseflow and hydraulic parameters, the importance of evapotranspiration in discharge and acknowledged limitations of the model, </w:t>
      </w:r>
      <w:r w:rsidR="002B7DE9">
        <w:rPr>
          <w:rFonts w:eastAsia="Calibri"/>
          <w:lang w:eastAsia="en-AU"/>
        </w:rPr>
        <w:t>contribute to</w:t>
      </w:r>
      <w:r w:rsidRPr="00C50C93">
        <w:rPr>
          <w:rFonts w:eastAsia="Calibri"/>
          <w:lang w:eastAsia="en-AU"/>
        </w:rPr>
        <w:t xml:space="preserve"> parameter uncertainty in the existing model. The communication of uncertainty in predictions is important to understand risks and to formulate risk mitigation</w:t>
      </w:r>
      <w:r w:rsidR="00842AB8">
        <w:rPr>
          <w:rFonts w:eastAsia="Calibri"/>
          <w:lang w:eastAsia="en-AU"/>
        </w:rPr>
        <w:t>, and t</w:t>
      </w:r>
      <w:r w:rsidR="00842AB8">
        <w:t>he effort and rigour associated with the uncertainty analysis should be commensurate with the risks involved.</w:t>
      </w:r>
    </w:p>
    <w:p w:rsidR="00EF7F01" w:rsidRPr="00C50C93" w:rsidRDefault="00EF7F01" w:rsidP="007E4DBE">
      <w:pPr>
        <w:pStyle w:val="ListNumber2"/>
      </w:pPr>
      <w:r w:rsidRPr="00C50C93">
        <w:t xml:space="preserve">The proponent </w:t>
      </w:r>
      <w:r w:rsidR="00C43959" w:rsidRPr="00C50C93">
        <w:t>has committed to</w:t>
      </w:r>
      <w:r w:rsidRPr="00C50C93">
        <w:t xml:space="preserve"> collect data and refine thei</w:t>
      </w:r>
      <w:r w:rsidR="00C43959" w:rsidRPr="00C50C93">
        <w:t>r groundwater model</w:t>
      </w:r>
      <w:r w:rsidR="00214641" w:rsidRPr="00C50C93">
        <w:t xml:space="preserve"> on a regular basis</w:t>
      </w:r>
      <w:r w:rsidR="00C43959" w:rsidRPr="00C50C93">
        <w:t xml:space="preserve">. </w:t>
      </w:r>
      <w:r w:rsidRPr="00C50C93">
        <w:t>Refinement of the model’s results around the Pit 8 area should be a focus</w:t>
      </w:r>
      <w:r w:rsidR="00435B9B" w:rsidRPr="00C50C93">
        <w:t xml:space="preserve"> given the spatial and temporal paucity of data in that area</w:t>
      </w:r>
      <w:r w:rsidRPr="00C50C93">
        <w:t xml:space="preserve">. This could be undertaken as a component of the ongoing site management and be included in </w:t>
      </w:r>
      <w:r w:rsidR="00840427" w:rsidRPr="00C50C93">
        <w:t xml:space="preserve">the revised </w:t>
      </w:r>
      <w:r w:rsidR="00840427" w:rsidRPr="00C50C93">
        <w:rPr>
          <w:i/>
        </w:rPr>
        <w:t>Wilpinjong Mine Water Management Plan</w:t>
      </w:r>
      <w:r w:rsidRPr="00C50C93">
        <w:t>.</w:t>
      </w:r>
    </w:p>
    <w:p w:rsidR="00940E23" w:rsidRPr="00C50C93" w:rsidRDefault="00940E23" w:rsidP="00C304A8">
      <w:pPr>
        <w:pStyle w:val="ListNumber"/>
        <w:numPr>
          <w:ilvl w:val="0"/>
          <w:numId w:val="0"/>
        </w:numPr>
        <w:ind w:left="369" w:hanging="369"/>
        <w:rPr>
          <w:i/>
        </w:rPr>
      </w:pPr>
      <w:r w:rsidRPr="00C50C93">
        <w:rPr>
          <w:i/>
        </w:rPr>
        <w:t>Final Landform</w:t>
      </w:r>
    </w:p>
    <w:p w:rsidR="00F649F3" w:rsidRPr="00C50C93" w:rsidRDefault="00F649F3" w:rsidP="00F649F3">
      <w:pPr>
        <w:pStyle w:val="ListNumber"/>
        <w:rPr>
          <w:i/>
        </w:rPr>
      </w:pPr>
      <w:r w:rsidRPr="00C50C93">
        <w:t>The proponent has stated that a Final Void Management Plan will be developed. Consistent with the March 2016 IESC advice (</w:t>
      </w:r>
      <w:r w:rsidRPr="00C50C93">
        <w:rPr>
          <w:rFonts w:eastAsia="Calibri"/>
          <w:lang w:eastAsia="en-AU"/>
        </w:rPr>
        <w:t xml:space="preserve">point </w:t>
      </w:r>
      <w:r w:rsidR="00B75C3D">
        <w:rPr>
          <w:rFonts w:eastAsia="Calibri"/>
          <w:lang w:eastAsia="en-AU"/>
        </w:rPr>
        <w:t xml:space="preserve">20, 23 &amp; </w:t>
      </w:r>
      <w:r w:rsidRPr="00C50C93">
        <w:rPr>
          <w:rFonts w:eastAsia="Calibri"/>
          <w:lang w:eastAsia="en-AU"/>
        </w:rPr>
        <w:t>28)</w:t>
      </w:r>
      <w:r w:rsidRPr="00C50C93">
        <w:t xml:space="preserve">, this plan should </w:t>
      </w:r>
      <w:r w:rsidR="004D2DCA" w:rsidRPr="00C50C93">
        <w:t xml:space="preserve">use data collected during mine operations to </w:t>
      </w:r>
      <w:r w:rsidRPr="00C50C93">
        <w:t xml:space="preserve">assess potential risks to water resources, characterise the hydrological </w:t>
      </w:r>
      <w:r w:rsidR="004D2DCA" w:rsidRPr="00C50C93">
        <w:t xml:space="preserve">environment of the </w:t>
      </w:r>
      <w:r w:rsidRPr="00C50C93">
        <w:t xml:space="preserve">backfilled pits and the final void, </w:t>
      </w:r>
      <w:r w:rsidR="004D2DCA" w:rsidRPr="00C50C93">
        <w:t xml:space="preserve">and include a post-mining water quality monitoring network. This information is important to ensure long-term risks to water resources are </w:t>
      </w:r>
      <w:r w:rsidR="00422352" w:rsidRPr="00C50C93">
        <w:t>appropriately mitigated</w:t>
      </w:r>
      <w:r w:rsidR="004D2DCA" w:rsidRPr="00C50C93">
        <w:t xml:space="preserve">.   </w:t>
      </w:r>
      <w:r w:rsidRPr="00C50C93">
        <w:t xml:space="preserve"> </w:t>
      </w:r>
    </w:p>
    <w:p w:rsidR="00C304A8" w:rsidRPr="00C50C93" w:rsidRDefault="002B66A8" w:rsidP="00C304A8">
      <w:pPr>
        <w:pStyle w:val="ListNumber"/>
        <w:numPr>
          <w:ilvl w:val="0"/>
          <w:numId w:val="0"/>
        </w:numPr>
        <w:ind w:left="369" w:hanging="369"/>
        <w:rPr>
          <w:i/>
        </w:rPr>
      </w:pPr>
      <w:r w:rsidRPr="00C50C93">
        <w:rPr>
          <w:i/>
        </w:rPr>
        <w:t xml:space="preserve">Identification of </w:t>
      </w:r>
      <w:r w:rsidR="00C304A8" w:rsidRPr="00C50C93">
        <w:rPr>
          <w:i/>
        </w:rPr>
        <w:t>Water-Related Assets</w:t>
      </w:r>
    </w:p>
    <w:p w:rsidR="00C304A8" w:rsidRPr="00C50C93" w:rsidRDefault="00006B3F" w:rsidP="00C304A8">
      <w:pPr>
        <w:pStyle w:val="ListNumber"/>
      </w:pPr>
      <w:r w:rsidRPr="00C50C93">
        <w:t xml:space="preserve">Neither the Response nor the </w:t>
      </w:r>
      <w:r w:rsidR="00453EDD" w:rsidRPr="00C50C93">
        <w:t xml:space="preserve">proponent’s </w:t>
      </w:r>
      <w:r w:rsidRPr="00C50C93">
        <w:t>Reconciliation provided the</w:t>
      </w:r>
      <w:r w:rsidR="00F17B24">
        <w:t xml:space="preserve"> terrestrial vegetation</w:t>
      </w:r>
      <w:r w:rsidRPr="00C50C93">
        <w:t xml:space="preserve"> groundwater dependency mapping or stygofauna desktop study </w:t>
      </w:r>
      <w:r w:rsidR="00B75C3D">
        <w:t>su</w:t>
      </w:r>
      <w:r w:rsidR="00BD14C4">
        <w:t>ggested</w:t>
      </w:r>
      <w:r w:rsidRPr="00C50C93">
        <w:t xml:space="preserve"> the March 2016 IESC Advice</w:t>
      </w:r>
      <w:r w:rsidR="00B75C3D">
        <w:t xml:space="preserve"> (points 15 &amp; 22)</w:t>
      </w:r>
      <w:r w:rsidRPr="00C50C93">
        <w:t xml:space="preserve">. </w:t>
      </w:r>
      <w:r w:rsidR="005B4E52" w:rsidRPr="00C50C93">
        <w:t>These are</w:t>
      </w:r>
      <w:r w:rsidR="000011A6" w:rsidRPr="00C50C93">
        <w:t xml:space="preserve"> important to accurately characterise </w:t>
      </w:r>
      <w:r w:rsidR="00E17221">
        <w:t xml:space="preserve">and mitigate </w:t>
      </w:r>
      <w:r w:rsidR="000011A6" w:rsidRPr="00C50C93">
        <w:t xml:space="preserve">groundwater impacts in the Water Management Plan. </w:t>
      </w:r>
    </w:p>
    <w:p w:rsidR="007203C3" w:rsidRPr="00C50C93" w:rsidRDefault="00F05EE2" w:rsidP="0042683A">
      <w:pPr>
        <w:pStyle w:val="ListNumber"/>
      </w:pPr>
      <w:r w:rsidRPr="00C50C93">
        <w:t>As stated in IESC’s previous advice</w:t>
      </w:r>
      <w:r w:rsidR="00484ABD">
        <w:t xml:space="preserve"> (IESC March 2016, point 30)</w:t>
      </w:r>
      <w:r w:rsidRPr="00C50C93">
        <w:t xml:space="preserve">, the proposed project is located within </w:t>
      </w:r>
      <w:r w:rsidR="00C06F8A" w:rsidRPr="00C50C93">
        <w:t xml:space="preserve">Northern Sydney Basin Bioregion. </w:t>
      </w:r>
      <w:r w:rsidR="002C3257" w:rsidRPr="00C50C93">
        <w:t>Data and relevant information from the proposed project should be made accessible to this Bioregional Assessment and related research projects.</w:t>
      </w:r>
    </w:p>
    <w:tbl>
      <w:tblPr>
        <w:tblW w:w="9889" w:type="dxa"/>
        <w:tblBorders>
          <w:insideH w:val="single" w:sz="4" w:space="0" w:color="auto"/>
        </w:tblBorders>
        <w:tblCellMar>
          <w:top w:w="113" w:type="dxa"/>
          <w:bottom w:w="113" w:type="dxa"/>
        </w:tblCellMar>
        <w:tblLook w:val="01E0" w:firstRow="1" w:lastRow="1" w:firstColumn="1" w:lastColumn="1" w:noHBand="0" w:noVBand="0"/>
      </w:tblPr>
      <w:tblGrid>
        <w:gridCol w:w="1809"/>
        <w:gridCol w:w="8080"/>
      </w:tblGrid>
      <w:tr w:rsidR="007203C3" w:rsidRPr="00C50C93" w:rsidTr="00BF5225">
        <w:trPr>
          <w:trHeight w:val="19"/>
        </w:trPr>
        <w:tc>
          <w:tcPr>
            <w:tcW w:w="1809" w:type="dxa"/>
            <w:tcBorders>
              <w:top w:val="single" w:sz="4" w:space="0" w:color="auto"/>
              <w:bottom w:val="single" w:sz="4" w:space="0" w:color="auto"/>
            </w:tcBorders>
          </w:tcPr>
          <w:p w:rsidR="007203C3" w:rsidRPr="00C50C93" w:rsidRDefault="007203C3" w:rsidP="00D622B9">
            <w:pPr>
              <w:pStyle w:val="Heading6"/>
            </w:pPr>
            <w:r w:rsidRPr="00C50C93">
              <w:t>Date of advice</w:t>
            </w:r>
          </w:p>
        </w:tc>
        <w:tc>
          <w:tcPr>
            <w:tcW w:w="8080" w:type="dxa"/>
            <w:tcBorders>
              <w:top w:val="single" w:sz="4" w:space="0" w:color="auto"/>
              <w:bottom w:val="single" w:sz="4" w:space="0" w:color="auto"/>
            </w:tcBorders>
          </w:tcPr>
          <w:p w:rsidR="007203C3" w:rsidRPr="00893B10" w:rsidRDefault="00E43620" w:rsidP="00893B10">
            <w:pPr>
              <w:pStyle w:val="Tabletext"/>
            </w:pPr>
            <w:r w:rsidRPr="00893B10">
              <w:t>0</w:t>
            </w:r>
            <w:r w:rsidR="00893B10" w:rsidRPr="00893B10">
              <w:t>2</w:t>
            </w:r>
            <w:r w:rsidR="007203C3" w:rsidRPr="00893B10">
              <w:t xml:space="preserve"> </w:t>
            </w:r>
            <w:r w:rsidR="00574504" w:rsidRPr="00893B10">
              <w:t>September</w:t>
            </w:r>
            <w:r w:rsidR="007203C3" w:rsidRPr="00893B10">
              <w:t xml:space="preserve"> 201</w:t>
            </w:r>
            <w:r w:rsidR="00574504" w:rsidRPr="00893B10">
              <w:t>6</w:t>
            </w:r>
            <w:r w:rsidR="003E2135" w:rsidRPr="00893B10">
              <w:t xml:space="preserve"> </w:t>
            </w:r>
          </w:p>
        </w:tc>
      </w:tr>
      <w:tr w:rsidR="007203C3" w:rsidRPr="00C50C93" w:rsidTr="00BF5225">
        <w:trPr>
          <w:trHeight w:val="161"/>
        </w:trPr>
        <w:tc>
          <w:tcPr>
            <w:tcW w:w="1809" w:type="dxa"/>
            <w:tcBorders>
              <w:top w:val="single" w:sz="4" w:space="0" w:color="auto"/>
              <w:bottom w:val="single" w:sz="4" w:space="0" w:color="auto"/>
            </w:tcBorders>
          </w:tcPr>
          <w:p w:rsidR="007203C3" w:rsidRPr="00C50C93" w:rsidRDefault="007203C3" w:rsidP="00D622B9">
            <w:pPr>
              <w:pStyle w:val="Heading6"/>
            </w:pPr>
            <w:r w:rsidRPr="00C50C93">
              <w:t xml:space="preserve">Source documentation available to the </w:t>
            </w:r>
            <w:r w:rsidR="00A83DF5" w:rsidRPr="00C50C93">
              <w:t>IESC</w:t>
            </w:r>
            <w:r w:rsidRPr="00C50C93">
              <w:t xml:space="preserve"> in the formulation of this advice</w:t>
            </w:r>
          </w:p>
        </w:tc>
        <w:tc>
          <w:tcPr>
            <w:tcW w:w="8080" w:type="dxa"/>
            <w:tcBorders>
              <w:top w:val="single" w:sz="4" w:space="0" w:color="auto"/>
              <w:bottom w:val="single" w:sz="4" w:space="0" w:color="auto"/>
            </w:tcBorders>
          </w:tcPr>
          <w:p w:rsidR="007203C3" w:rsidRPr="00C50C93" w:rsidRDefault="00FC52E6" w:rsidP="00F74BA7">
            <w:pPr>
              <w:pStyle w:val="Tabletext"/>
              <w:rPr>
                <w:b/>
                <w:color w:val="FF0000"/>
              </w:rPr>
            </w:pPr>
            <w:r w:rsidRPr="00C50C93">
              <w:t>Peabody Energy</w:t>
            </w:r>
            <w:r w:rsidR="00F74BA7" w:rsidRPr="00C50C93">
              <w:t xml:space="preserve"> </w:t>
            </w:r>
            <w:r w:rsidR="006D761B" w:rsidRPr="00C50C93">
              <w:t xml:space="preserve">2016. </w:t>
            </w:r>
            <w:r w:rsidR="006D761B" w:rsidRPr="00C50C93">
              <w:rPr>
                <w:i/>
              </w:rPr>
              <w:t>Approvals, Plans and Reports – Wilpinjong Mine</w:t>
            </w:r>
            <w:r w:rsidR="008C7469" w:rsidRPr="00C50C93">
              <w:rPr>
                <w:i/>
              </w:rPr>
              <w:t>.</w:t>
            </w:r>
            <w:r w:rsidR="006D761B" w:rsidRPr="00C50C93">
              <w:rPr>
                <w:i/>
              </w:rPr>
              <w:t xml:space="preserve"> </w:t>
            </w:r>
            <w:r w:rsidR="006D761B" w:rsidRPr="00C50C93">
              <w:t xml:space="preserve">Available: </w:t>
            </w:r>
            <w:hyperlink r:id="rId8" w:history="1">
              <w:r w:rsidR="006D761B" w:rsidRPr="00C50C93">
                <w:rPr>
                  <w:rStyle w:val="Hyperlink"/>
                </w:rPr>
                <w:t>http://www.peabodyenergy.com/content/427/australia-mining/new-south-wales/wilpinjong-mine/approvals-plans-and-reports-wilpinjong-mine</w:t>
              </w:r>
            </w:hyperlink>
            <w:r w:rsidR="008C7469" w:rsidRPr="00C50C93">
              <w:t xml:space="preserve">. </w:t>
            </w:r>
          </w:p>
          <w:p w:rsidR="008C7469" w:rsidRPr="00C50C93" w:rsidRDefault="008C7469" w:rsidP="00F74BA7">
            <w:pPr>
              <w:pStyle w:val="Tabletext"/>
              <w:rPr>
                <w:rFonts w:eastAsia="Calibri"/>
                <w:lang w:eastAsia="en-AU"/>
              </w:rPr>
            </w:pPr>
          </w:p>
          <w:p w:rsidR="00F74BA7" w:rsidRPr="00C50C93" w:rsidRDefault="00FC52E6" w:rsidP="00F74BA7">
            <w:pPr>
              <w:pStyle w:val="Tabletext"/>
              <w:rPr>
                <w:rFonts w:eastAsia="Calibri"/>
                <w:i/>
                <w:lang w:eastAsia="en-AU"/>
              </w:rPr>
            </w:pPr>
            <w:r w:rsidRPr="00C50C93">
              <w:rPr>
                <w:rFonts w:eastAsia="Calibri"/>
                <w:lang w:eastAsia="en-AU"/>
              </w:rPr>
              <w:t>Peabody Energy</w:t>
            </w:r>
            <w:r w:rsidR="00F74BA7" w:rsidRPr="00C50C93">
              <w:rPr>
                <w:rFonts w:eastAsia="Calibri"/>
                <w:lang w:eastAsia="en-AU"/>
              </w:rPr>
              <w:t xml:space="preserve"> 2016.</w:t>
            </w:r>
            <w:r w:rsidR="00F74BA7" w:rsidRPr="00C50C93">
              <w:rPr>
                <w:rFonts w:eastAsia="Calibri"/>
                <w:i/>
                <w:lang w:eastAsia="en-AU"/>
              </w:rPr>
              <w:t xml:space="preserve"> Wilpinjong Extension Project Environmental Impact Statement – Response to Submissions</w:t>
            </w:r>
            <w:r w:rsidR="008C7469" w:rsidRPr="00C50C93">
              <w:rPr>
                <w:rFonts w:eastAsia="Calibri"/>
                <w:i/>
                <w:lang w:eastAsia="en-AU"/>
              </w:rPr>
              <w:t>.</w:t>
            </w:r>
            <w:r w:rsidR="00F74BA7" w:rsidRPr="00C50C93">
              <w:rPr>
                <w:rFonts w:eastAsia="Calibri"/>
                <w:i/>
                <w:lang w:eastAsia="en-AU"/>
              </w:rPr>
              <w:t xml:space="preserve"> </w:t>
            </w:r>
            <w:r w:rsidR="00F74BA7" w:rsidRPr="00C50C93">
              <w:rPr>
                <w:rFonts w:eastAsia="Calibri"/>
                <w:lang w:eastAsia="en-AU"/>
              </w:rPr>
              <w:t xml:space="preserve">Available: </w:t>
            </w:r>
            <w:hyperlink r:id="rId9" w:history="1">
              <w:r w:rsidR="008C7469" w:rsidRPr="00C50C93">
                <w:rPr>
                  <w:rStyle w:val="Hyperlink"/>
                  <w:rFonts w:eastAsia="Calibri"/>
                  <w:i/>
                  <w:lang w:eastAsia="en-AU"/>
                </w:rPr>
                <w:t>http://majorprojects.planning.nsw.gov.au/page/development-categories/mining--petroleum---extractive-industries/mining/?action=view_job&amp;job_id=6764</w:t>
              </w:r>
            </w:hyperlink>
            <w:r w:rsidR="008C7469" w:rsidRPr="00C50C93">
              <w:rPr>
                <w:rFonts w:eastAsia="Calibri"/>
                <w:i/>
                <w:lang w:eastAsia="en-AU"/>
              </w:rPr>
              <w:t xml:space="preserve">. </w:t>
            </w:r>
          </w:p>
          <w:p w:rsidR="008C7469" w:rsidRPr="00C50C93" w:rsidRDefault="008C7469" w:rsidP="00F74BA7">
            <w:pPr>
              <w:pStyle w:val="Tabletext"/>
              <w:rPr>
                <w:rFonts w:eastAsia="Calibri"/>
                <w:i/>
                <w:lang w:eastAsia="en-AU"/>
              </w:rPr>
            </w:pPr>
          </w:p>
          <w:p w:rsidR="008C7469" w:rsidRPr="00C50C93" w:rsidRDefault="00FC52E6" w:rsidP="008C7469">
            <w:pPr>
              <w:pStyle w:val="Default"/>
              <w:rPr>
                <w:rFonts w:ascii="Arial" w:hAnsi="Arial" w:cs="Arial"/>
                <w:sz w:val="20"/>
                <w:szCs w:val="20"/>
              </w:rPr>
            </w:pPr>
            <w:r w:rsidRPr="00C50C93">
              <w:rPr>
                <w:rFonts w:ascii="Arial" w:hAnsi="Arial" w:cs="Arial"/>
                <w:sz w:val="20"/>
                <w:szCs w:val="20"/>
              </w:rPr>
              <w:lastRenderedPageBreak/>
              <w:t>Peabody Energy</w:t>
            </w:r>
            <w:r w:rsidR="008C7469" w:rsidRPr="00C50C93">
              <w:rPr>
                <w:rFonts w:ascii="Arial" w:hAnsi="Arial" w:cs="Arial"/>
                <w:sz w:val="20"/>
                <w:szCs w:val="20"/>
              </w:rPr>
              <w:t xml:space="preserve"> 2016.</w:t>
            </w:r>
            <w:r w:rsidR="008C7469" w:rsidRPr="00C50C93">
              <w:rPr>
                <w:rFonts w:ascii="Arial" w:hAnsi="Arial" w:cs="Arial"/>
                <w:i/>
                <w:sz w:val="20"/>
                <w:szCs w:val="20"/>
              </w:rPr>
              <w:t xml:space="preserve"> Wilpinjong Extension Project Reconciliation of IESC Comments </w:t>
            </w:r>
            <w:r w:rsidR="008C7469" w:rsidRPr="00C50C93">
              <w:rPr>
                <w:rFonts w:ascii="Arial" w:hAnsi="Arial" w:cs="Arial"/>
                <w:sz w:val="20"/>
                <w:szCs w:val="20"/>
              </w:rPr>
              <w:t>(Attachment to RFA)</w:t>
            </w:r>
          </w:p>
        </w:tc>
      </w:tr>
      <w:tr w:rsidR="007203C3" w:rsidRPr="00304CA9" w:rsidTr="00BF5225">
        <w:trPr>
          <w:trHeight w:val="19"/>
        </w:trPr>
        <w:tc>
          <w:tcPr>
            <w:tcW w:w="1809" w:type="dxa"/>
            <w:tcBorders>
              <w:top w:val="single" w:sz="4" w:space="0" w:color="auto"/>
              <w:bottom w:val="single" w:sz="4" w:space="0" w:color="auto"/>
            </w:tcBorders>
          </w:tcPr>
          <w:p w:rsidR="007203C3" w:rsidRPr="00C50C93" w:rsidRDefault="007203C3" w:rsidP="00D622B9">
            <w:pPr>
              <w:pStyle w:val="Heading6"/>
            </w:pPr>
            <w:r w:rsidRPr="00C50C93">
              <w:lastRenderedPageBreak/>
              <w:t xml:space="preserve">References cited within the </w:t>
            </w:r>
            <w:r w:rsidR="00A83DF5" w:rsidRPr="00C50C93">
              <w:t>IESC</w:t>
            </w:r>
            <w:r w:rsidRPr="00C50C93">
              <w:t>’s advice</w:t>
            </w:r>
          </w:p>
        </w:tc>
        <w:tc>
          <w:tcPr>
            <w:tcW w:w="8080" w:type="dxa"/>
            <w:tcBorders>
              <w:top w:val="single" w:sz="4" w:space="0" w:color="auto"/>
              <w:bottom w:val="single" w:sz="4" w:space="0" w:color="auto"/>
            </w:tcBorders>
          </w:tcPr>
          <w:p w:rsidR="00853BE6" w:rsidRDefault="00FC52E6" w:rsidP="0048018F">
            <w:pPr>
              <w:pStyle w:val="Tabletext"/>
              <w:spacing w:line="240" w:lineRule="auto"/>
              <w:ind w:left="34"/>
            </w:pPr>
            <w:r w:rsidRPr="00C50C93">
              <w:t>ANZECC/ARMCANZ</w:t>
            </w:r>
            <w:r w:rsidR="00853BE6" w:rsidRPr="00C50C93">
              <w:t xml:space="preserve"> 2000</w:t>
            </w:r>
            <w:r w:rsidR="000E54F2">
              <w:t>a</w:t>
            </w:r>
            <w:r w:rsidR="00853BE6" w:rsidRPr="00C50C93">
              <w:t xml:space="preserve">. </w:t>
            </w:r>
            <w:r w:rsidR="00853BE6" w:rsidRPr="00C50C93">
              <w:rPr>
                <w:i/>
              </w:rPr>
              <w:t>Australian and New Zealand Guidelines for Fresh and Marine Water Quality. Volume 1</w:t>
            </w:r>
            <w:r w:rsidRPr="00C50C93">
              <w:t>.</w:t>
            </w:r>
            <w:r w:rsidR="00853BE6" w:rsidRPr="00C50C93">
              <w:t xml:space="preserve"> </w:t>
            </w:r>
            <w:r w:rsidR="00997ED2" w:rsidRPr="00C50C93">
              <w:t xml:space="preserve">Available: </w:t>
            </w:r>
            <w:hyperlink r:id="rId10" w:history="1">
              <w:r w:rsidR="000E54F2" w:rsidRPr="00EA03CE">
                <w:rPr>
                  <w:rStyle w:val="Hyperlink"/>
                </w:rPr>
                <w:t>http://www.agriculture.gov.au/water/quality/guidelines/volume-1</w:t>
              </w:r>
            </w:hyperlink>
            <w:r w:rsidR="000E54F2">
              <w:t xml:space="preserve"> </w:t>
            </w:r>
          </w:p>
          <w:p w:rsidR="000E54F2" w:rsidRDefault="000E54F2" w:rsidP="0048018F">
            <w:pPr>
              <w:pStyle w:val="Tabletext"/>
              <w:spacing w:line="240" w:lineRule="auto"/>
              <w:ind w:left="34"/>
            </w:pPr>
          </w:p>
          <w:p w:rsidR="000E54F2" w:rsidRPr="00C50C93" w:rsidRDefault="000E54F2" w:rsidP="0048018F">
            <w:pPr>
              <w:pStyle w:val="Tabletext"/>
              <w:spacing w:line="240" w:lineRule="auto"/>
              <w:ind w:left="34"/>
            </w:pPr>
            <w:r w:rsidRPr="00C50C93">
              <w:t>ANZECC/ARMCANZ 2000</w:t>
            </w:r>
            <w:r>
              <w:t>b</w:t>
            </w:r>
            <w:r w:rsidRPr="00C50C93">
              <w:t xml:space="preserve">. </w:t>
            </w:r>
            <w:r w:rsidRPr="00C50C93">
              <w:rPr>
                <w:i/>
              </w:rPr>
              <w:t xml:space="preserve">Australian and New Zealand Guidelines for Fresh and Marine Water Quality. Volume </w:t>
            </w:r>
            <w:r>
              <w:rPr>
                <w:i/>
              </w:rPr>
              <w:t>2</w:t>
            </w:r>
            <w:r w:rsidRPr="00C50C93">
              <w:t>. Available:</w:t>
            </w:r>
            <w:r>
              <w:t xml:space="preserve"> </w:t>
            </w:r>
            <w:hyperlink r:id="rId11" w:history="1">
              <w:r w:rsidRPr="00EA03CE">
                <w:rPr>
                  <w:rStyle w:val="Hyperlink"/>
                </w:rPr>
                <w:t>http://www.agriculture.gov.au/water/quality/guidelines/volume-2</w:t>
              </w:r>
            </w:hyperlink>
            <w:r>
              <w:t xml:space="preserve"> </w:t>
            </w:r>
          </w:p>
          <w:p w:rsidR="00853BE6" w:rsidRPr="00C50C93" w:rsidRDefault="00853BE6" w:rsidP="00853BE6">
            <w:pPr>
              <w:pStyle w:val="Tabletext"/>
              <w:spacing w:line="240" w:lineRule="auto"/>
            </w:pPr>
          </w:p>
          <w:p w:rsidR="00F657D7" w:rsidRPr="00C50C93" w:rsidRDefault="00FC52E6" w:rsidP="0048018F">
            <w:pPr>
              <w:pStyle w:val="Tabletext"/>
              <w:spacing w:line="240" w:lineRule="auto"/>
              <w:ind w:left="34"/>
            </w:pPr>
            <w:r w:rsidRPr="00C50C93">
              <w:t>IESC</w:t>
            </w:r>
            <w:r w:rsidR="0048018F" w:rsidRPr="00C50C93">
              <w:t xml:space="preserve"> 2015. </w:t>
            </w:r>
            <w:r w:rsidR="0048018F" w:rsidRPr="00C50C93">
              <w:rPr>
                <w:i/>
              </w:rPr>
              <w:t>Information Guidelines for the Independent Expert Scientific Committee advice on coal seam gas and large coal mining development proposals</w:t>
            </w:r>
            <w:r w:rsidR="0048018F" w:rsidRPr="00C50C93">
              <w:t xml:space="preserve">. Available: </w:t>
            </w:r>
            <w:hyperlink r:id="rId12" w:history="1">
              <w:r w:rsidR="0048018F" w:rsidRPr="00C50C93">
                <w:rPr>
                  <w:rStyle w:val="Hyperlink"/>
                </w:rPr>
                <w:t>http://www.iesc.environment.gov.au/system/files/resources/012fa918-ee79-4131-9c8d-02c9b2de65cf/files/iesc-information-guidelines-oct-2015.pdf</w:t>
              </w:r>
            </w:hyperlink>
            <w:r w:rsidR="0048018F" w:rsidRPr="00C50C93">
              <w:t>.</w:t>
            </w:r>
          </w:p>
          <w:p w:rsidR="00997ED2" w:rsidRPr="00C50C93" w:rsidRDefault="00997ED2" w:rsidP="0048018F">
            <w:pPr>
              <w:pStyle w:val="Tabletext"/>
              <w:spacing w:line="240" w:lineRule="auto"/>
              <w:ind w:left="34"/>
            </w:pPr>
          </w:p>
          <w:p w:rsidR="00997ED2" w:rsidRPr="00C50C93" w:rsidRDefault="00FC52E6" w:rsidP="0048018F">
            <w:pPr>
              <w:pStyle w:val="Tabletext"/>
              <w:spacing w:line="240" w:lineRule="auto"/>
              <w:ind w:left="34"/>
            </w:pPr>
            <w:r w:rsidRPr="00C50C93">
              <w:t>IESC</w:t>
            </w:r>
            <w:r w:rsidR="00997ED2" w:rsidRPr="00C50C93">
              <w:t xml:space="preserve"> 2016. </w:t>
            </w:r>
            <w:r w:rsidR="00997ED2" w:rsidRPr="00C50C93">
              <w:rPr>
                <w:i/>
              </w:rPr>
              <w:t>Advice to Decision maker on Coal Mining Projects – IESC 2016-075. Wilpinjong Extension Project (EPBC 2015/7431) – Expansion</w:t>
            </w:r>
            <w:r w:rsidR="00997ED2" w:rsidRPr="00C50C93">
              <w:t xml:space="preserve">. Available: </w:t>
            </w:r>
          </w:p>
          <w:p w:rsidR="00997ED2" w:rsidRPr="00C50C93" w:rsidRDefault="002D38A9" w:rsidP="0048018F">
            <w:pPr>
              <w:pStyle w:val="Tabletext"/>
              <w:spacing w:line="240" w:lineRule="auto"/>
              <w:ind w:left="34"/>
            </w:pPr>
            <w:hyperlink r:id="rId13" w:history="1">
              <w:r w:rsidR="00997ED2" w:rsidRPr="00C50C93">
                <w:rPr>
                  <w:rStyle w:val="Hyperlink"/>
                </w:rPr>
                <w:t>http://www.iesc.environment.gov.au/committee-advice/proposals/wilpinjong-project-advice-2016-075</w:t>
              </w:r>
            </w:hyperlink>
          </w:p>
          <w:p w:rsidR="00FB6DCD" w:rsidRPr="00C50C93" w:rsidRDefault="00FB6DCD" w:rsidP="00997ED2">
            <w:pPr>
              <w:pStyle w:val="Tabletext"/>
              <w:spacing w:line="240" w:lineRule="auto"/>
            </w:pPr>
          </w:p>
          <w:p w:rsidR="00FB6DCD" w:rsidRPr="00C50C93" w:rsidRDefault="00FC52E6" w:rsidP="0048018F">
            <w:pPr>
              <w:pStyle w:val="Tabletext"/>
              <w:spacing w:line="240" w:lineRule="auto"/>
              <w:ind w:left="34"/>
            </w:pPr>
            <w:r w:rsidRPr="00C50C93">
              <w:t>Peabody Energy</w:t>
            </w:r>
            <w:r w:rsidR="00FB6DCD" w:rsidRPr="00C50C93">
              <w:t xml:space="preserve"> May 2016. </w:t>
            </w:r>
            <w:r w:rsidR="00FB6DCD" w:rsidRPr="00C50C93">
              <w:rPr>
                <w:i/>
              </w:rPr>
              <w:t>Wilpinjong Coal: Water Management Plan</w:t>
            </w:r>
            <w:r w:rsidR="00FB6DCD" w:rsidRPr="00C50C93">
              <w:t xml:space="preserve">. Available: </w:t>
            </w:r>
            <w:hyperlink r:id="rId14" w:history="1">
              <w:r w:rsidR="00FB6DCD" w:rsidRPr="00C50C93">
                <w:rPr>
                  <w:rStyle w:val="Hyperlink"/>
                </w:rPr>
                <w:t>http://www.peabodyenergy.com/content/427/australia-mining/new-south-wales/wilpinjong-mine/approvals-plans-and-reports-wilpinjong-mine</w:t>
              </w:r>
            </w:hyperlink>
            <w:r w:rsidR="00FB6DCD" w:rsidRPr="00C50C93">
              <w:t xml:space="preserve">.   </w:t>
            </w:r>
          </w:p>
          <w:p w:rsidR="001A3720" w:rsidRPr="00C50C93" w:rsidRDefault="001A3720" w:rsidP="0048018F">
            <w:pPr>
              <w:pStyle w:val="Tabletext"/>
              <w:spacing w:line="240" w:lineRule="auto"/>
              <w:ind w:left="34"/>
            </w:pPr>
          </w:p>
          <w:p w:rsidR="001A3720" w:rsidRPr="00EF5270" w:rsidRDefault="00FC52E6" w:rsidP="0048018F">
            <w:pPr>
              <w:pStyle w:val="Tabletext"/>
              <w:spacing w:line="240" w:lineRule="auto"/>
              <w:ind w:left="34"/>
            </w:pPr>
            <w:r w:rsidRPr="00C50C93">
              <w:t>Peabody Energy (EIS)</w:t>
            </w:r>
            <w:r w:rsidR="001A3720" w:rsidRPr="00C50C93">
              <w:t xml:space="preserve"> 2016. </w:t>
            </w:r>
            <w:r w:rsidR="001A3720" w:rsidRPr="00C50C93">
              <w:rPr>
                <w:rFonts w:eastAsia="Calibri"/>
                <w:i/>
                <w:lang w:eastAsia="en-AU"/>
              </w:rPr>
              <w:t>Wilpinjong Extension Project E</w:t>
            </w:r>
            <w:r w:rsidRPr="00C50C93">
              <w:rPr>
                <w:rFonts w:eastAsia="Calibri"/>
                <w:i/>
                <w:lang w:eastAsia="en-AU"/>
              </w:rPr>
              <w:t>nvironmental Impact Statement.</w:t>
            </w:r>
            <w:r w:rsidR="001A3720" w:rsidRPr="00C50C93">
              <w:rPr>
                <w:rFonts w:eastAsia="Calibri"/>
                <w:i/>
                <w:lang w:eastAsia="en-AU"/>
              </w:rPr>
              <w:t xml:space="preserve"> </w:t>
            </w:r>
            <w:r w:rsidR="001A3720" w:rsidRPr="00C50C93">
              <w:rPr>
                <w:rFonts w:eastAsia="Calibri"/>
                <w:lang w:eastAsia="en-AU"/>
              </w:rPr>
              <w:t xml:space="preserve">Available: </w:t>
            </w:r>
            <w:hyperlink r:id="rId15" w:history="1">
              <w:r w:rsidR="001A3720" w:rsidRPr="00C50C93">
                <w:rPr>
                  <w:rStyle w:val="Hyperlink"/>
                  <w:rFonts w:eastAsia="Calibri"/>
                  <w:i/>
                  <w:lang w:eastAsia="en-AU"/>
                </w:rPr>
                <w:t>http://majorprojects.planning.nsw.gov.au/page/development-categories/mining--petroleum---extractive-industries/mining/?action=view_job&amp;job_id=6764</w:t>
              </w:r>
            </w:hyperlink>
            <w:r w:rsidR="001A3720" w:rsidRPr="00C50C93">
              <w:rPr>
                <w:rFonts w:eastAsia="Calibri"/>
                <w:i/>
                <w:lang w:eastAsia="en-AU"/>
              </w:rPr>
              <w:t>.</w:t>
            </w:r>
          </w:p>
        </w:tc>
      </w:tr>
    </w:tbl>
    <w:p w:rsidR="004118D4" w:rsidRDefault="004118D4" w:rsidP="00D622B9"/>
    <w:p w:rsidR="00134C88" w:rsidRDefault="00134C88" w:rsidP="00D622B9"/>
    <w:p w:rsidR="00134C88" w:rsidRPr="00062A46" w:rsidRDefault="00134C88" w:rsidP="00D622B9"/>
    <w:sectPr w:rsidR="00134C88" w:rsidRPr="00062A46" w:rsidSect="009A3784">
      <w:headerReference w:type="even" r:id="rId16"/>
      <w:footerReference w:type="default" r:id="rId17"/>
      <w:footerReference w:type="first" r:id="rId18"/>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39" w:rsidRDefault="006E6039" w:rsidP="00D622B9">
      <w:r>
        <w:separator/>
      </w:r>
    </w:p>
  </w:endnote>
  <w:endnote w:type="continuationSeparator" w:id="0">
    <w:p w:rsidR="006E6039" w:rsidRDefault="006E6039"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39" w:rsidRPr="00637239" w:rsidRDefault="006E6039" w:rsidP="00637239">
    <w:pPr>
      <w:pStyle w:val="Footer"/>
    </w:pPr>
  </w:p>
  <w:p w:rsidR="006E6039" w:rsidRPr="00843B8B" w:rsidRDefault="006E6039" w:rsidP="00637239">
    <w:pPr>
      <w:pStyle w:val="Footer"/>
      <w:rPr>
        <w:sz w:val="20"/>
      </w:rPr>
    </w:pPr>
    <w:r w:rsidRPr="00843B8B">
      <w:rPr>
        <w:sz w:val="20"/>
      </w:rPr>
      <w:t xml:space="preserve">Wilpinjong Extension Project Advice </w:t>
    </w:r>
    <w:r w:rsidRPr="00843B8B">
      <w:rPr>
        <w:sz w:val="20"/>
      </w:rPr>
      <w:ptab w:relativeTo="margin" w:alignment="right" w:leader="none"/>
    </w:r>
    <w:r w:rsidR="00893B10">
      <w:rPr>
        <w:sz w:val="20"/>
      </w:rPr>
      <w:t>2</w:t>
    </w:r>
    <w:r w:rsidRPr="00843B8B">
      <w:rPr>
        <w:sz w:val="20"/>
      </w:rPr>
      <w:t xml:space="preserve"> September 2016</w:t>
    </w:r>
  </w:p>
  <w:p w:rsidR="006E6039" w:rsidRPr="00637239" w:rsidRDefault="005C40C4" w:rsidP="00637239">
    <w:pPr>
      <w:pStyle w:val="Footer"/>
      <w:jc w:val="center"/>
      <w:rPr>
        <w:sz w:val="20"/>
      </w:rPr>
    </w:pPr>
    <w:r w:rsidRPr="00637239">
      <w:rPr>
        <w:sz w:val="20"/>
      </w:rPr>
      <w:fldChar w:fldCharType="begin"/>
    </w:r>
    <w:r w:rsidR="006E6039" w:rsidRPr="00637239">
      <w:rPr>
        <w:sz w:val="20"/>
      </w:rPr>
      <w:instrText xml:space="preserve"> PAGE   \* MERGEFORMAT </w:instrText>
    </w:r>
    <w:r w:rsidRPr="00637239">
      <w:rPr>
        <w:sz w:val="20"/>
      </w:rPr>
      <w:fldChar w:fldCharType="separate"/>
    </w:r>
    <w:r w:rsidR="002D38A9">
      <w:rPr>
        <w:noProof/>
        <w:sz w:val="20"/>
      </w:rPr>
      <w:t>2</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39" w:rsidRPr="00D15280" w:rsidRDefault="006E6039"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6E6039" w:rsidRPr="00062A46" w:rsidRDefault="002D38A9" w:rsidP="00637239">
    <w:pPr>
      <w:pStyle w:val="Footer"/>
    </w:pPr>
    <w:sdt>
      <w:sdtPr>
        <w:id w:val="32750052"/>
        <w:docPartObj>
          <w:docPartGallery w:val="Page Numbers (Bottom of Page)"/>
          <w:docPartUnique/>
        </w:docPartObj>
      </w:sdtPr>
      <w:sdtEndPr/>
      <w:sdtContent>
        <w:r>
          <w:fldChar w:fldCharType="begin"/>
        </w:r>
        <w:r>
          <w:instrText xml:space="preserve"> PAGE   \* MERGEFORMAT </w:instrText>
        </w:r>
        <w:r>
          <w:fldChar w:fldCharType="separate"/>
        </w:r>
        <w:r w:rsidR="006E603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39" w:rsidRDefault="006E6039" w:rsidP="00D622B9">
      <w:r>
        <w:separator/>
      </w:r>
    </w:p>
  </w:footnote>
  <w:footnote w:type="continuationSeparator" w:id="0">
    <w:p w:rsidR="006E6039" w:rsidRDefault="006E6039"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39" w:rsidRDefault="006E6039"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C8EB45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660188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45ECF08C"/>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B12B9F"/>
    <w:multiLevelType w:val="hybridMultilevel"/>
    <w:tmpl w:val="71926C1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EC522E2"/>
    <w:multiLevelType w:val="hybridMultilevel"/>
    <w:tmpl w:val="DE505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456429"/>
    <w:multiLevelType w:val="multilevel"/>
    <w:tmpl w:val="57221304"/>
    <w:lvl w:ilvl="0">
      <w:start w:val="1"/>
      <w:numFmt w:val="decimal"/>
      <w:pStyle w:val="ListNumber"/>
      <w:lvlText w:val="%1."/>
      <w:lvlJc w:val="left"/>
      <w:pPr>
        <w:ind w:left="369" w:hanging="369"/>
      </w:pPr>
      <w:rPr>
        <w:rFonts w:ascii="Arial" w:hAnsi="Arial" w:hint="default"/>
        <w:i w:val="0"/>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991ACF"/>
    <w:multiLevelType w:val="hybridMultilevel"/>
    <w:tmpl w:val="48C2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10"/>
  </w:num>
  <w:num w:numId="4">
    <w:abstractNumId w:val="9"/>
  </w:num>
  <w:num w:numId="5">
    <w:abstractNumId w:val="15"/>
  </w:num>
  <w:num w:numId="6">
    <w:abstractNumId w:val="18"/>
  </w:num>
  <w:num w:numId="7">
    <w:abstractNumId w:val="13"/>
  </w:num>
  <w:num w:numId="8">
    <w:abstractNumId w:val="5"/>
  </w:num>
  <w:num w:numId="9">
    <w:abstractNumId w:val="20"/>
  </w:num>
  <w:num w:numId="10">
    <w:abstractNumId w:val="2"/>
  </w:num>
  <w:num w:numId="11">
    <w:abstractNumId w:val="1"/>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4"/>
  </w:num>
  <w:num w:numId="18">
    <w:abstractNumId w:val="4"/>
  </w:num>
  <w:num w:numId="19">
    <w:abstractNumId w:val="16"/>
  </w:num>
  <w:num w:numId="20">
    <w:abstractNumId w:val="6"/>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15"/>
  </w:num>
  <w:num w:numId="32">
    <w:abstractNumId w:val="15"/>
  </w:num>
  <w:num w:numId="33">
    <w:abstractNumId w:val="15"/>
  </w:num>
  <w:num w:numId="34">
    <w:abstractNumId w:val="15"/>
  </w:num>
  <w:num w:numId="35">
    <w:abstractNumId w:val="17"/>
  </w:num>
  <w:num w:numId="36">
    <w:abstractNumId w:val="15"/>
    <w:lvlOverride w:ilvl="0">
      <w:lvl w:ilvl="0">
        <w:start w:val="1"/>
        <w:numFmt w:val="decimal"/>
        <w:pStyle w:val="ListNumber"/>
        <w:lvlText w:val="%1."/>
        <w:lvlJc w:val="left"/>
        <w:pPr>
          <w:ind w:left="369" w:hanging="369"/>
        </w:pPr>
        <w:rPr>
          <w:sz w:val="20"/>
        </w:rPr>
      </w:lvl>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11A6"/>
    <w:rsid w:val="00004AEE"/>
    <w:rsid w:val="00005CAA"/>
    <w:rsid w:val="00006B3F"/>
    <w:rsid w:val="00007874"/>
    <w:rsid w:val="00010210"/>
    <w:rsid w:val="00012D66"/>
    <w:rsid w:val="00015ADA"/>
    <w:rsid w:val="00020C99"/>
    <w:rsid w:val="0002707B"/>
    <w:rsid w:val="00031B32"/>
    <w:rsid w:val="000334B9"/>
    <w:rsid w:val="000453F4"/>
    <w:rsid w:val="0005148E"/>
    <w:rsid w:val="000528B1"/>
    <w:rsid w:val="000547F0"/>
    <w:rsid w:val="00062A46"/>
    <w:rsid w:val="00065A00"/>
    <w:rsid w:val="00073A08"/>
    <w:rsid w:val="00074282"/>
    <w:rsid w:val="000759E5"/>
    <w:rsid w:val="0007601C"/>
    <w:rsid w:val="000768A0"/>
    <w:rsid w:val="000771FF"/>
    <w:rsid w:val="0007765B"/>
    <w:rsid w:val="000821F9"/>
    <w:rsid w:val="00084AC6"/>
    <w:rsid w:val="00085816"/>
    <w:rsid w:val="00091608"/>
    <w:rsid w:val="0009196E"/>
    <w:rsid w:val="00092F92"/>
    <w:rsid w:val="0009333C"/>
    <w:rsid w:val="00095787"/>
    <w:rsid w:val="0009704F"/>
    <w:rsid w:val="000A0F11"/>
    <w:rsid w:val="000A125A"/>
    <w:rsid w:val="000A228F"/>
    <w:rsid w:val="000A2E7B"/>
    <w:rsid w:val="000A57CD"/>
    <w:rsid w:val="000B2FF3"/>
    <w:rsid w:val="000B3758"/>
    <w:rsid w:val="000B5786"/>
    <w:rsid w:val="000B7681"/>
    <w:rsid w:val="000B7B42"/>
    <w:rsid w:val="000C02B7"/>
    <w:rsid w:val="000C2814"/>
    <w:rsid w:val="000C451B"/>
    <w:rsid w:val="000C5342"/>
    <w:rsid w:val="000C706A"/>
    <w:rsid w:val="000D1EF3"/>
    <w:rsid w:val="000D2887"/>
    <w:rsid w:val="000D6D63"/>
    <w:rsid w:val="000D706B"/>
    <w:rsid w:val="000D7810"/>
    <w:rsid w:val="000E0081"/>
    <w:rsid w:val="000E07CF"/>
    <w:rsid w:val="000E1B54"/>
    <w:rsid w:val="000E54F2"/>
    <w:rsid w:val="000F1256"/>
    <w:rsid w:val="000F3F76"/>
    <w:rsid w:val="00100BEF"/>
    <w:rsid w:val="00102E17"/>
    <w:rsid w:val="0011100B"/>
    <w:rsid w:val="0011498E"/>
    <w:rsid w:val="00116F28"/>
    <w:rsid w:val="00117A45"/>
    <w:rsid w:val="001224AE"/>
    <w:rsid w:val="00123035"/>
    <w:rsid w:val="00130053"/>
    <w:rsid w:val="001337D4"/>
    <w:rsid w:val="001340EA"/>
    <w:rsid w:val="00134C88"/>
    <w:rsid w:val="001415AF"/>
    <w:rsid w:val="00141E02"/>
    <w:rsid w:val="00147C12"/>
    <w:rsid w:val="00147EFC"/>
    <w:rsid w:val="0015240D"/>
    <w:rsid w:val="001527A1"/>
    <w:rsid w:val="001530DC"/>
    <w:rsid w:val="001539AF"/>
    <w:rsid w:val="001543BF"/>
    <w:rsid w:val="00154989"/>
    <w:rsid w:val="00155A9F"/>
    <w:rsid w:val="0015684F"/>
    <w:rsid w:val="00160262"/>
    <w:rsid w:val="00160D97"/>
    <w:rsid w:val="0016186F"/>
    <w:rsid w:val="0016281C"/>
    <w:rsid w:val="0016433A"/>
    <w:rsid w:val="00166BB8"/>
    <w:rsid w:val="0016780A"/>
    <w:rsid w:val="001713FA"/>
    <w:rsid w:val="00173271"/>
    <w:rsid w:val="00173EBF"/>
    <w:rsid w:val="001762E5"/>
    <w:rsid w:val="001765DA"/>
    <w:rsid w:val="001800DE"/>
    <w:rsid w:val="00182A66"/>
    <w:rsid w:val="0018345A"/>
    <w:rsid w:val="001842A2"/>
    <w:rsid w:val="00185039"/>
    <w:rsid w:val="00185407"/>
    <w:rsid w:val="00185E13"/>
    <w:rsid w:val="00186465"/>
    <w:rsid w:val="00187FA8"/>
    <w:rsid w:val="001922D0"/>
    <w:rsid w:val="00192F5E"/>
    <w:rsid w:val="00197772"/>
    <w:rsid w:val="001977A4"/>
    <w:rsid w:val="001A3720"/>
    <w:rsid w:val="001A45F4"/>
    <w:rsid w:val="001A51C8"/>
    <w:rsid w:val="001A5568"/>
    <w:rsid w:val="001A61CA"/>
    <w:rsid w:val="001B0AAA"/>
    <w:rsid w:val="001B0F36"/>
    <w:rsid w:val="001B472B"/>
    <w:rsid w:val="001B4CA8"/>
    <w:rsid w:val="001B571A"/>
    <w:rsid w:val="001B7B4F"/>
    <w:rsid w:val="001C0184"/>
    <w:rsid w:val="001C2A92"/>
    <w:rsid w:val="001C4F3D"/>
    <w:rsid w:val="001D0CDC"/>
    <w:rsid w:val="001D1D82"/>
    <w:rsid w:val="001D5540"/>
    <w:rsid w:val="001E1182"/>
    <w:rsid w:val="001E21AE"/>
    <w:rsid w:val="001E60B4"/>
    <w:rsid w:val="001E64D9"/>
    <w:rsid w:val="001F0874"/>
    <w:rsid w:val="001F0E8B"/>
    <w:rsid w:val="001F4417"/>
    <w:rsid w:val="00200944"/>
    <w:rsid w:val="00202387"/>
    <w:rsid w:val="00202C90"/>
    <w:rsid w:val="002053EA"/>
    <w:rsid w:val="00206A5D"/>
    <w:rsid w:val="00213DE8"/>
    <w:rsid w:val="00214641"/>
    <w:rsid w:val="00216118"/>
    <w:rsid w:val="002209AB"/>
    <w:rsid w:val="002251E3"/>
    <w:rsid w:val="002262E6"/>
    <w:rsid w:val="00227A95"/>
    <w:rsid w:val="002316BD"/>
    <w:rsid w:val="002336F3"/>
    <w:rsid w:val="0024182C"/>
    <w:rsid w:val="002473FC"/>
    <w:rsid w:val="00252E3C"/>
    <w:rsid w:val="00262198"/>
    <w:rsid w:val="00263FC0"/>
    <w:rsid w:val="002640FF"/>
    <w:rsid w:val="00264AF9"/>
    <w:rsid w:val="00272CF0"/>
    <w:rsid w:val="00277426"/>
    <w:rsid w:val="00277A51"/>
    <w:rsid w:val="0028432E"/>
    <w:rsid w:val="00285F1B"/>
    <w:rsid w:val="00292B81"/>
    <w:rsid w:val="00292BB3"/>
    <w:rsid w:val="0029322E"/>
    <w:rsid w:val="00293E5B"/>
    <w:rsid w:val="00294919"/>
    <w:rsid w:val="00294A0A"/>
    <w:rsid w:val="00296477"/>
    <w:rsid w:val="002974BC"/>
    <w:rsid w:val="00297A70"/>
    <w:rsid w:val="00297CF4"/>
    <w:rsid w:val="002A3691"/>
    <w:rsid w:val="002A5EC3"/>
    <w:rsid w:val="002B0A00"/>
    <w:rsid w:val="002B18AE"/>
    <w:rsid w:val="002B6472"/>
    <w:rsid w:val="002B66A8"/>
    <w:rsid w:val="002B67D3"/>
    <w:rsid w:val="002B7DE9"/>
    <w:rsid w:val="002C1C93"/>
    <w:rsid w:val="002C3257"/>
    <w:rsid w:val="002C3738"/>
    <w:rsid w:val="002C433B"/>
    <w:rsid w:val="002C5066"/>
    <w:rsid w:val="002D03D3"/>
    <w:rsid w:val="002D360D"/>
    <w:rsid w:val="002D38A9"/>
    <w:rsid w:val="002D4AAC"/>
    <w:rsid w:val="002D6C33"/>
    <w:rsid w:val="002E1497"/>
    <w:rsid w:val="002E1AB0"/>
    <w:rsid w:val="002E39F9"/>
    <w:rsid w:val="002E3ECA"/>
    <w:rsid w:val="002F045A"/>
    <w:rsid w:val="0030039D"/>
    <w:rsid w:val="00300670"/>
    <w:rsid w:val="00300715"/>
    <w:rsid w:val="00302FEB"/>
    <w:rsid w:val="0030326F"/>
    <w:rsid w:val="00310701"/>
    <w:rsid w:val="00311510"/>
    <w:rsid w:val="003138AC"/>
    <w:rsid w:val="003146BE"/>
    <w:rsid w:val="00315980"/>
    <w:rsid w:val="00316F7F"/>
    <w:rsid w:val="00320162"/>
    <w:rsid w:val="003203B9"/>
    <w:rsid w:val="0032087E"/>
    <w:rsid w:val="00321793"/>
    <w:rsid w:val="003218E8"/>
    <w:rsid w:val="00330DCE"/>
    <w:rsid w:val="00331E11"/>
    <w:rsid w:val="00331F5D"/>
    <w:rsid w:val="00334761"/>
    <w:rsid w:val="00335ECC"/>
    <w:rsid w:val="0033622C"/>
    <w:rsid w:val="0033696C"/>
    <w:rsid w:val="00337EBC"/>
    <w:rsid w:val="0034033E"/>
    <w:rsid w:val="00341DCD"/>
    <w:rsid w:val="0034504D"/>
    <w:rsid w:val="0034563E"/>
    <w:rsid w:val="003504CC"/>
    <w:rsid w:val="003518D6"/>
    <w:rsid w:val="0035460C"/>
    <w:rsid w:val="003556BD"/>
    <w:rsid w:val="0036132A"/>
    <w:rsid w:val="00364E6D"/>
    <w:rsid w:val="00365147"/>
    <w:rsid w:val="0037016E"/>
    <w:rsid w:val="00370300"/>
    <w:rsid w:val="00370E55"/>
    <w:rsid w:val="00372908"/>
    <w:rsid w:val="00376457"/>
    <w:rsid w:val="00381917"/>
    <w:rsid w:val="00383020"/>
    <w:rsid w:val="00384CAA"/>
    <w:rsid w:val="003975FD"/>
    <w:rsid w:val="003A0593"/>
    <w:rsid w:val="003A71BD"/>
    <w:rsid w:val="003B3CAA"/>
    <w:rsid w:val="003B60CC"/>
    <w:rsid w:val="003C1B25"/>
    <w:rsid w:val="003C2443"/>
    <w:rsid w:val="003C31E0"/>
    <w:rsid w:val="003C5DA3"/>
    <w:rsid w:val="003D4BCD"/>
    <w:rsid w:val="003D4D30"/>
    <w:rsid w:val="003D6F6F"/>
    <w:rsid w:val="003E01D8"/>
    <w:rsid w:val="003E110D"/>
    <w:rsid w:val="003E2100"/>
    <w:rsid w:val="003E2135"/>
    <w:rsid w:val="003E2BDB"/>
    <w:rsid w:val="003E45FA"/>
    <w:rsid w:val="003E4799"/>
    <w:rsid w:val="003E53CA"/>
    <w:rsid w:val="003E5ED5"/>
    <w:rsid w:val="003F0CB7"/>
    <w:rsid w:val="003F6F5B"/>
    <w:rsid w:val="00400F8F"/>
    <w:rsid w:val="0040135D"/>
    <w:rsid w:val="0040342D"/>
    <w:rsid w:val="00403FB9"/>
    <w:rsid w:val="00405E1C"/>
    <w:rsid w:val="004118D4"/>
    <w:rsid w:val="0041192D"/>
    <w:rsid w:val="0041275D"/>
    <w:rsid w:val="00413EE1"/>
    <w:rsid w:val="0042128E"/>
    <w:rsid w:val="00422352"/>
    <w:rsid w:val="0042465A"/>
    <w:rsid w:val="00425254"/>
    <w:rsid w:val="0042683A"/>
    <w:rsid w:val="00432B60"/>
    <w:rsid w:val="00432CC8"/>
    <w:rsid w:val="004333E6"/>
    <w:rsid w:val="0043379F"/>
    <w:rsid w:val="00435B9B"/>
    <w:rsid w:val="00436F14"/>
    <w:rsid w:val="00440698"/>
    <w:rsid w:val="004417CD"/>
    <w:rsid w:val="00441B1C"/>
    <w:rsid w:val="00447D1F"/>
    <w:rsid w:val="00453EDD"/>
    <w:rsid w:val="004540E2"/>
    <w:rsid w:val="00454454"/>
    <w:rsid w:val="00467924"/>
    <w:rsid w:val="004712A5"/>
    <w:rsid w:val="0047266F"/>
    <w:rsid w:val="00472D14"/>
    <w:rsid w:val="004747E9"/>
    <w:rsid w:val="004756EB"/>
    <w:rsid w:val="00476D6B"/>
    <w:rsid w:val="0048018F"/>
    <w:rsid w:val="004813C7"/>
    <w:rsid w:val="00484ABD"/>
    <w:rsid w:val="004861E6"/>
    <w:rsid w:val="0049013A"/>
    <w:rsid w:val="00492C16"/>
    <w:rsid w:val="00495EFD"/>
    <w:rsid w:val="004A0678"/>
    <w:rsid w:val="004A0BEA"/>
    <w:rsid w:val="004A48A3"/>
    <w:rsid w:val="004B0D92"/>
    <w:rsid w:val="004B0EC0"/>
    <w:rsid w:val="004B32B2"/>
    <w:rsid w:val="004B5A51"/>
    <w:rsid w:val="004B66F1"/>
    <w:rsid w:val="004C068D"/>
    <w:rsid w:val="004C12F9"/>
    <w:rsid w:val="004C1699"/>
    <w:rsid w:val="004C3B7B"/>
    <w:rsid w:val="004C3EA0"/>
    <w:rsid w:val="004D2DCA"/>
    <w:rsid w:val="004D46F2"/>
    <w:rsid w:val="004D74CD"/>
    <w:rsid w:val="004F32CC"/>
    <w:rsid w:val="004F3D69"/>
    <w:rsid w:val="004F6D02"/>
    <w:rsid w:val="004F7169"/>
    <w:rsid w:val="00500D66"/>
    <w:rsid w:val="005036A6"/>
    <w:rsid w:val="00506A0B"/>
    <w:rsid w:val="00506E69"/>
    <w:rsid w:val="00511E3E"/>
    <w:rsid w:val="00514C8E"/>
    <w:rsid w:val="00517F35"/>
    <w:rsid w:val="00522BB3"/>
    <w:rsid w:val="00523A57"/>
    <w:rsid w:val="00523ED3"/>
    <w:rsid w:val="005243B4"/>
    <w:rsid w:val="00531DBF"/>
    <w:rsid w:val="005337FC"/>
    <w:rsid w:val="0053483C"/>
    <w:rsid w:val="00534EC0"/>
    <w:rsid w:val="0053604E"/>
    <w:rsid w:val="005372F7"/>
    <w:rsid w:val="005452ED"/>
    <w:rsid w:val="00545759"/>
    <w:rsid w:val="00545BE0"/>
    <w:rsid w:val="005471B3"/>
    <w:rsid w:val="00554C6A"/>
    <w:rsid w:val="00562E85"/>
    <w:rsid w:val="0056332F"/>
    <w:rsid w:val="00565A81"/>
    <w:rsid w:val="00572801"/>
    <w:rsid w:val="00574504"/>
    <w:rsid w:val="00581C39"/>
    <w:rsid w:val="005834A4"/>
    <w:rsid w:val="00584F6B"/>
    <w:rsid w:val="005903B6"/>
    <w:rsid w:val="00592B20"/>
    <w:rsid w:val="005A0247"/>
    <w:rsid w:val="005A126E"/>
    <w:rsid w:val="005A26B1"/>
    <w:rsid w:val="005A420E"/>
    <w:rsid w:val="005A452F"/>
    <w:rsid w:val="005A703F"/>
    <w:rsid w:val="005B0B99"/>
    <w:rsid w:val="005B140D"/>
    <w:rsid w:val="005B3FB3"/>
    <w:rsid w:val="005B4E52"/>
    <w:rsid w:val="005B4F86"/>
    <w:rsid w:val="005B6A98"/>
    <w:rsid w:val="005C1FEA"/>
    <w:rsid w:val="005C22C3"/>
    <w:rsid w:val="005C2B97"/>
    <w:rsid w:val="005C3495"/>
    <w:rsid w:val="005C3785"/>
    <w:rsid w:val="005C40C4"/>
    <w:rsid w:val="005C4EAB"/>
    <w:rsid w:val="005C63A6"/>
    <w:rsid w:val="005E06A0"/>
    <w:rsid w:val="005E13EA"/>
    <w:rsid w:val="005E15E0"/>
    <w:rsid w:val="005E3889"/>
    <w:rsid w:val="005E3DFC"/>
    <w:rsid w:val="005E525D"/>
    <w:rsid w:val="005E60AF"/>
    <w:rsid w:val="005E7B4E"/>
    <w:rsid w:val="005F0430"/>
    <w:rsid w:val="005F1781"/>
    <w:rsid w:val="005F1DEA"/>
    <w:rsid w:val="005F4932"/>
    <w:rsid w:val="005F6874"/>
    <w:rsid w:val="00602B32"/>
    <w:rsid w:val="00602FCB"/>
    <w:rsid w:val="0060684B"/>
    <w:rsid w:val="00607FC9"/>
    <w:rsid w:val="00610955"/>
    <w:rsid w:val="006129F5"/>
    <w:rsid w:val="0061490C"/>
    <w:rsid w:val="00616861"/>
    <w:rsid w:val="00622B29"/>
    <w:rsid w:val="00622FE1"/>
    <w:rsid w:val="0062521C"/>
    <w:rsid w:val="00627056"/>
    <w:rsid w:val="0063080E"/>
    <w:rsid w:val="00630A2B"/>
    <w:rsid w:val="00630BA2"/>
    <w:rsid w:val="0063283F"/>
    <w:rsid w:val="00632DC7"/>
    <w:rsid w:val="00633896"/>
    <w:rsid w:val="006357FB"/>
    <w:rsid w:val="00635A6C"/>
    <w:rsid w:val="00637239"/>
    <w:rsid w:val="006406FC"/>
    <w:rsid w:val="00641B57"/>
    <w:rsid w:val="0064407B"/>
    <w:rsid w:val="00646122"/>
    <w:rsid w:val="006479DB"/>
    <w:rsid w:val="00652656"/>
    <w:rsid w:val="00653E16"/>
    <w:rsid w:val="00656D0D"/>
    <w:rsid w:val="00657220"/>
    <w:rsid w:val="0066104B"/>
    <w:rsid w:val="00661419"/>
    <w:rsid w:val="0066192D"/>
    <w:rsid w:val="006655EE"/>
    <w:rsid w:val="00667C10"/>
    <w:rsid w:val="00667EF4"/>
    <w:rsid w:val="00672735"/>
    <w:rsid w:val="00672B85"/>
    <w:rsid w:val="00673B97"/>
    <w:rsid w:val="00674E59"/>
    <w:rsid w:val="0067548E"/>
    <w:rsid w:val="00676FCA"/>
    <w:rsid w:val="00677177"/>
    <w:rsid w:val="00680420"/>
    <w:rsid w:val="0068056B"/>
    <w:rsid w:val="0068612E"/>
    <w:rsid w:val="00687858"/>
    <w:rsid w:val="00687C92"/>
    <w:rsid w:val="006903B7"/>
    <w:rsid w:val="0069049C"/>
    <w:rsid w:val="00690BC1"/>
    <w:rsid w:val="00692CF9"/>
    <w:rsid w:val="0069534E"/>
    <w:rsid w:val="00696365"/>
    <w:rsid w:val="0069669C"/>
    <w:rsid w:val="00697A2D"/>
    <w:rsid w:val="006A1200"/>
    <w:rsid w:val="006A2C5A"/>
    <w:rsid w:val="006A36A1"/>
    <w:rsid w:val="006A3869"/>
    <w:rsid w:val="006A4F4E"/>
    <w:rsid w:val="006B14DB"/>
    <w:rsid w:val="006B21C4"/>
    <w:rsid w:val="006B4976"/>
    <w:rsid w:val="006B65BD"/>
    <w:rsid w:val="006B7C46"/>
    <w:rsid w:val="006C4A1A"/>
    <w:rsid w:val="006C6C3E"/>
    <w:rsid w:val="006C7DAD"/>
    <w:rsid w:val="006D0393"/>
    <w:rsid w:val="006D1A83"/>
    <w:rsid w:val="006D2E5C"/>
    <w:rsid w:val="006D5D1E"/>
    <w:rsid w:val="006D761B"/>
    <w:rsid w:val="006E1CFE"/>
    <w:rsid w:val="006E31A2"/>
    <w:rsid w:val="006E6039"/>
    <w:rsid w:val="006E6D10"/>
    <w:rsid w:val="006F10C4"/>
    <w:rsid w:val="006F23BA"/>
    <w:rsid w:val="006F40E9"/>
    <w:rsid w:val="006F5603"/>
    <w:rsid w:val="00701400"/>
    <w:rsid w:val="007037CF"/>
    <w:rsid w:val="00703BB8"/>
    <w:rsid w:val="00704B37"/>
    <w:rsid w:val="00712A8B"/>
    <w:rsid w:val="00713927"/>
    <w:rsid w:val="007141FF"/>
    <w:rsid w:val="00716583"/>
    <w:rsid w:val="007167C0"/>
    <w:rsid w:val="007203C3"/>
    <w:rsid w:val="00720481"/>
    <w:rsid w:val="00721642"/>
    <w:rsid w:val="00721BC7"/>
    <w:rsid w:val="0072510B"/>
    <w:rsid w:val="00727C18"/>
    <w:rsid w:val="00727E2F"/>
    <w:rsid w:val="00733193"/>
    <w:rsid w:val="00737CBA"/>
    <w:rsid w:val="00745BAE"/>
    <w:rsid w:val="00750BB2"/>
    <w:rsid w:val="00752FF8"/>
    <w:rsid w:val="007546A8"/>
    <w:rsid w:val="00754C17"/>
    <w:rsid w:val="00755F19"/>
    <w:rsid w:val="0075732A"/>
    <w:rsid w:val="007575DA"/>
    <w:rsid w:val="00760262"/>
    <w:rsid w:val="0076310C"/>
    <w:rsid w:val="0076744F"/>
    <w:rsid w:val="00767BCE"/>
    <w:rsid w:val="00767EFC"/>
    <w:rsid w:val="007707DE"/>
    <w:rsid w:val="00770B5D"/>
    <w:rsid w:val="007744FC"/>
    <w:rsid w:val="007752F1"/>
    <w:rsid w:val="00776768"/>
    <w:rsid w:val="00777F1A"/>
    <w:rsid w:val="0078170D"/>
    <w:rsid w:val="00782D61"/>
    <w:rsid w:val="00791024"/>
    <w:rsid w:val="007919E4"/>
    <w:rsid w:val="007921C6"/>
    <w:rsid w:val="007922C9"/>
    <w:rsid w:val="0079447B"/>
    <w:rsid w:val="00794818"/>
    <w:rsid w:val="007A2573"/>
    <w:rsid w:val="007A3B9C"/>
    <w:rsid w:val="007A607F"/>
    <w:rsid w:val="007A7D6E"/>
    <w:rsid w:val="007B047A"/>
    <w:rsid w:val="007B106C"/>
    <w:rsid w:val="007B1A4E"/>
    <w:rsid w:val="007B3D05"/>
    <w:rsid w:val="007B5503"/>
    <w:rsid w:val="007C6BB3"/>
    <w:rsid w:val="007D0974"/>
    <w:rsid w:val="007D14B4"/>
    <w:rsid w:val="007D3AD7"/>
    <w:rsid w:val="007D4312"/>
    <w:rsid w:val="007D6392"/>
    <w:rsid w:val="007E24F6"/>
    <w:rsid w:val="007E4DBE"/>
    <w:rsid w:val="007E722D"/>
    <w:rsid w:val="007F0C66"/>
    <w:rsid w:val="007F140E"/>
    <w:rsid w:val="007F7E69"/>
    <w:rsid w:val="00800F64"/>
    <w:rsid w:val="008011A7"/>
    <w:rsid w:val="00802F0B"/>
    <w:rsid w:val="00810A67"/>
    <w:rsid w:val="0081315B"/>
    <w:rsid w:val="00832C77"/>
    <w:rsid w:val="00833CF7"/>
    <w:rsid w:val="00840427"/>
    <w:rsid w:val="00842AB8"/>
    <w:rsid w:val="00843160"/>
    <w:rsid w:val="00843B8B"/>
    <w:rsid w:val="00845601"/>
    <w:rsid w:val="008524B9"/>
    <w:rsid w:val="00853BE6"/>
    <w:rsid w:val="00855C5C"/>
    <w:rsid w:val="0086233C"/>
    <w:rsid w:val="00862868"/>
    <w:rsid w:val="0086491E"/>
    <w:rsid w:val="00865CFA"/>
    <w:rsid w:val="00873918"/>
    <w:rsid w:val="00883CE7"/>
    <w:rsid w:val="00884775"/>
    <w:rsid w:val="00887430"/>
    <w:rsid w:val="008902BA"/>
    <w:rsid w:val="008938F7"/>
    <w:rsid w:val="00893B10"/>
    <w:rsid w:val="008A187F"/>
    <w:rsid w:val="008A3C96"/>
    <w:rsid w:val="008A42ED"/>
    <w:rsid w:val="008A5121"/>
    <w:rsid w:val="008B0BBA"/>
    <w:rsid w:val="008B1627"/>
    <w:rsid w:val="008B4019"/>
    <w:rsid w:val="008B452B"/>
    <w:rsid w:val="008B505F"/>
    <w:rsid w:val="008B65C9"/>
    <w:rsid w:val="008C00AD"/>
    <w:rsid w:val="008C2D4A"/>
    <w:rsid w:val="008C6A05"/>
    <w:rsid w:val="008C7469"/>
    <w:rsid w:val="008C7DBB"/>
    <w:rsid w:val="008D3900"/>
    <w:rsid w:val="008D6E1D"/>
    <w:rsid w:val="008D6EDB"/>
    <w:rsid w:val="008E36FE"/>
    <w:rsid w:val="008E707D"/>
    <w:rsid w:val="008F39B4"/>
    <w:rsid w:val="008F4162"/>
    <w:rsid w:val="00902270"/>
    <w:rsid w:val="00903E02"/>
    <w:rsid w:val="009110D5"/>
    <w:rsid w:val="0091208B"/>
    <w:rsid w:val="00913175"/>
    <w:rsid w:val="00915CAB"/>
    <w:rsid w:val="0091697E"/>
    <w:rsid w:val="00916EDB"/>
    <w:rsid w:val="00920861"/>
    <w:rsid w:val="00922331"/>
    <w:rsid w:val="00922B13"/>
    <w:rsid w:val="009242EF"/>
    <w:rsid w:val="00924874"/>
    <w:rsid w:val="00924AB9"/>
    <w:rsid w:val="00932291"/>
    <w:rsid w:val="00933B1B"/>
    <w:rsid w:val="0093408E"/>
    <w:rsid w:val="00940467"/>
    <w:rsid w:val="00940E23"/>
    <w:rsid w:val="00942973"/>
    <w:rsid w:val="00947507"/>
    <w:rsid w:val="009512E8"/>
    <w:rsid w:val="00952DDF"/>
    <w:rsid w:val="00952EC4"/>
    <w:rsid w:val="00961FD6"/>
    <w:rsid w:val="009676E6"/>
    <w:rsid w:val="00972423"/>
    <w:rsid w:val="009725A6"/>
    <w:rsid w:val="00980F2D"/>
    <w:rsid w:val="009812D4"/>
    <w:rsid w:val="00982653"/>
    <w:rsid w:val="00984972"/>
    <w:rsid w:val="009873F4"/>
    <w:rsid w:val="009920D8"/>
    <w:rsid w:val="00995F99"/>
    <w:rsid w:val="00997ED2"/>
    <w:rsid w:val="009A0886"/>
    <w:rsid w:val="009A371F"/>
    <w:rsid w:val="009A3784"/>
    <w:rsid w:val="009A4869"/>
    <w:rsid w:val="009B38BE"/>
    <w:rsid w:val="009B4556"/>
    <w:rsid w:val="009B682F"/>
    <w:rsid w:val="009C3D0F"/>
    <w:rsid w:val="009D0190"/>
    <w:rsid w:val="009D172B"/>
    <w:rsid w:val="009D5920"/>
    <w:rsid w:val="009D6232"/>
    <w:rsid w:val="009E1B19"/>
    <w:rsid w:val="009E1D6D"/>
    <w:rsid w:val="009E67BE"/>
    <w:rsid w:val="009E79B6"/>
    <w:rsid w:val="009F1BBE"/>
    <w:rsid w:val="009F35E2"/>
    <w:rsid w:val="009F438B"/>
    <w:rsid w:val="009F65F9"/>
    <w:rsid w:val="009F68BA"/>
    <w:rsid w:val="009F7C6A"/>
    <w:rsid w:val="00A007B6"/>
    <w:rsid w:val="00A06277"/>
    <w:rsid w:val="00A079DC"/>
    <w:rsid w:val="00A07EC7"/>
    <w:rsid w:val="00A10BAB"/>
    <w:rsid w:val="00A111C2"/>
    <w:rsid w:val="00A17C39"/>
    <w:rsid w:val="00A21440"/>
    <w:rsid w:val="00A23313"/>
    <w:rsid w:val="00A238AA"/>
    <w:rsid w:val="00A24774"/>
    <w:rsid w:val="00A323CD"/>
    <w:rsid w:val="00A338E7"/>
    <w:rsid w:val="00A33DFA"/>
    <w:rsid w:val="00A35CAA"/>
    <w:rsid w:val="00A36E7F"/>
    <w:rsid w:val="00A415A7"/>
    <w:rsid w:val="00A41A39"/>
    <w:rsid w:val="00A41E65"/>
    <w:rsid w:val="00A424D6"/>
    <w:rsid w:val="00A426F9"/>
    <w:rsid w:val="00A43517"/>
    <w:rsid w:val="00A43E0A"/>
    <w:rsid w:val="00A4613A"/>
    <w:rsid w:val="00A46247"/>
    <w:rsid w:val="00A47F07"/>
    <w:rsid w:val="00A52B7D"/>
    <w:rsid w:val="00A530C7"/>
    <w:rsid w:val="00A5576D"/>
    <w:rsid w:val="00A55F5B"/>
    <w:rsid w:val="00A57817"/>
    <w:rsid w:val="00A60185"/>
    <w:rsid w:val="00A611EE"/>
    <w:rsid w:val="00A622EC"/>
    <w:rsid w:val="00A661EA"/>
    <w:rsid w:val="00A66263"/>
    <w:rsid w:val="00A6775C"/>
    <w:rsid w:val="00A70A6C"/>
    <w:rsid w:val="00A830E5"/>
    <w:rsid w:val="00A83DF5"/>
    <w:rsid w:val="00A84BF3"/>
    <w:rsid w:val="00A87135"/>
    <w:rsid w:val="00A90AEB"/>
    <w:rsid w:val="00A90DE4"/>
    <w:rsid w:val="00A93280"/>
    <w:rsid w:val="00A93C73"/>
    <w:rsid w:val="00A951EA"/>
    <w:rsid w:val="00A961A6"/>
    <w:rsid w:val="00A973E1"/>
    <w:rsid w:val="00A97F71"/>
    <w:rsid w:val="00AA0E17"/>
    <w:rsid w:val="00AA1C65"/>
    <w:rsid w:val="00AA2548"/>
    <w:rsid w:val="00AA368F"/>
    <w:rsid w:val="00AA3B6E"/>
    <w:rsid w:val="00AA58C4"/>
    <w:rsid w:val="00AB11C8"/>
    <w:rsid w:val="00AB2248"/>
    <w:rsid w:val="00AB725E"/>
    <w:rsid w:val="00AC08A8"/>
    <w:rsid w:val="00AC232A"/>
    <w:rsid w:val="00AC6988"/>
    <w:rsid w:val="00AC70AF"/>
    <w:rsid w:val="00AD20F6"/>
    <w:rsid w:val="00AD5098"/>
    <w:rsid w:val="00AD56C8"/>
    <w:rsid w:val="00AD58F2"/>
    <w:rsid w:val="00AE5712"/>
    <w:rsid w:val="00AF08D4"/>
    <w:rsid w:val="00AF3E69"/>
    <w:rsid w:val="00AF5EA3"/>
    <w:rsid w:val="00AF6573"/>
    <w:rsid w:val="00AF65FE"/>
    <w:rsid w:val="00AF7313"/>
    <w:rsid w:val="00AF7690"/>
    <w:rsid w:val="00B00D85"/>
    <w:rsid w:val="00B02600"/>
    <w:rsid w:val="00B03E46"/>
    <w:rsid w:val="00B0450E"/>
    <w:rsid w:val="00B0512A"/>
    <w:rsid w:val="00B0529F"/>
    <w:rsid w:val="00B05D52"/>
    <w:rsid w:val="00B1418B"/>
    <w:rsid w:val="00B151A0"/>
    <w:rsid w:val="00B1520C"/>
    <w:rsid w:val="00B1560E"/>
    <w:rsid w:val="00B21195"/>
    <w:rsid w:val="00B22B3D"/>
    <w:rsid w:val="00B24B22"/>
    <w:rsid w:val="00B25310"/>
    <w:rsid w:val="00B26AE4"/>
    <w:rsid w:val="00B32F8F"/>
    <w:rsid w:val="00B42C1C"/>
    <w:rsid w:val="00B4690F"/>
    <w:rsid w:val="00B47C42"/>
    <w:rsid w:val="00B510B1"/>
    <w:rsid w:val="00B51BC7"/>
    <w:rsid w:val="00B544A3"/>
    <w:rsid w:val="00B54DE9"/>
    <w:rsid w:val="00B553EC"/>
    <w:rsid w:val="00B55870"/>
    <w:rsid w:val="00B60059"/>
    <w:rsid w:val="00B75C3D"/>
    <w:rsid w:val="00B77732"/>
    <w:rsid w:val="00B77821"/>
    <w:rsid w:val="00B80D6D"/>
    <w:rsid w:val="00B9154F"/>
    <w:rsid w:val="00B93DD0"/>
    <w:rsid w:val="00B93E9E"/>
    <w:rsid w:val="00B94BD5"/>
    <w:rsid w:val="00B97732"/>
    <w:rsid w:val="00BA0849"/>
    <w:rsid w:val="00BA5582"/>
    <w:rsid w:val="00BA56D7"/>
    <w:rsid w:val="00BA65A8"/>
    <w:rsid w:val="00BA6A97"/>
    <w:rsid w:val="00BA6D19"/>
    <w:rsid w:val="00BA7461"/>
    <w:rsid w:val="00BA7DA9"/>
    <w:rsid w:val="00BB034E"/>
    <w:rsid w:val="00BB0CB6"/>
    <w:rsid w:val="00BC4215"/>
    <w:rsid w:val="00BC54D0"/>
    <w:rsid w:val="00BD0396"/>
    <w:rsid w:val="00BD14C4"/>
    <w:rsid w:val="00BD1A6F"/>
    <w:rsid w:val="00BD383A"/>
    <w:rsid w:val="00BD5B71"/>
    <w:rsid w:val="00BD73EA"/>
    <w:rsid w:val="00BD7B9B"/>
    <w:rsid w:val="00BE6BA8"/>
    <w:rsid w:val="00BE6D3C"/>
    <w:rsid w:val="00BE7852"/>
    <w:rsid w:val="00BF048F"/>
    <w:rsid w:val="00BF5225"/>
    <w:rsid w:val="00BF6D87"/>
    <w:rsid w:val="00BF7CEE"/>
    <w:rsid w:val="00C03880"/>
    <w:rsid w:val="00C052E0"/>
    <w:rsid w:val="00C06F8A"/>
    <w:rsid w:val="00C07576"/>
    <w:rsid w:val="00C135CF"/>
    <w:rsid w:val="00C2324F"/>
    <w:rsid w:val="00C2683F"/>
    <w:rsid w:val="00C304A8"/>
    <w:rsid w:val="00C3184D"/>
    <w:rsid w:val="00C370BF"/>
    <w:rsid w:val="00C40E07"/>
    <w:rsid w:val="00C43084"/>
    <w:rsid w:val="00C43959"/>
    <w:rsid w:val="00C46A5A"/>
    <w:rsid w:val="00C4714E"/>
    <w:rsid w:val="00C47C55"/>
    <w:rsid w:val="00C50941"/>
    <w:rsid w:val="00C50C93"/>
    <w:rsid w:val="00C542A3"/>
    <w:rsid w:val="00C54BCD"/>
    <w:rsid w:val="00C5504F"/>
    <w:rsid w:val="00C55991"/>
    <w:rsid w:val="00C60641"/>
    <w:rsid w:val="00C63376"/>
    <w:rsid w:val="00C66CB4"/>
    <w:rsid w:val="00C70793"/>
    <w:rsid w:val="00C7175D"/>
    <w:rsid w:val="00C74F97"/>
    <w:rsid w:val="00C76A08"/>
    <w:rsid w:val="00C803D7"/>
    <w:rsid w:val="00C82754"/>
    <w:rsid w:val="00C8276E"/>
    <w:rsid w:val="00C83AD1"/>
    <w:rsid w:val="00C842AC"/>
    <w:rsid w:val="00C85B7B"/>
    <w:rsid w:val="00C871DE"/>
    <w:rsid w:val="00C90AD8"/>
    <w:rsid w:val="00C92AD5"/>
    <w:rsid w:val="00C93152"/>
    <w:rsid w:val="00C93FD9"/>
    <w:rsid w:val="00C95735"/>
    <w:rsid w:val="00C96688"/>
    <w:rsid w:val="00CA0723"/>
    <w:rsid w:val="00CA4542"/>
    <w:rsid w:val="00CB1690"/>
    <w:rsid w:val="00CC27E7"/>
    <w:rsid w:val="00CC2B33"/>
    <w:rsid w:val="00CC2D6A"/>
    <w:rsid w:val="00CC4365"/>
    <w:rsid w:val="00CD11B0"/>
    <w:rsid w:val="00CD5E0E"/>
    <w:rsid w:val="00CE29C9"/>
    <w:rsid w:val="00CE71C2"/>
    <w:rsid w:val="00CF2242"/>
    <w:rsid w:val="00CF42D5"/>
    <w:rsid w:val="00CF4EDA"/>
    <w:rsid w:val="00CF562A"/>
    <w:rsid w:val="00CF5929"/>
    <w:rsid w:val="00CF618A"/>
    <w:rsid w:val="00D00281"/>
    <w:rsid w:val="00D00D8F"/>
    <w:rsid w:val="00D01E11"/>
    <w:rsid w:val="00D021CB"/>
    <w:rsid w:val="00D05D5C"/>
    <w:rsid w:val="00D10C4C"/>
    <w:rsid w:val="00D10F1A"/>
    <w:rsid w:val="00D116F8"/>
    <w:rsid w:val="00D15280"/>
    <w:rsid w:val="00D1732A"/>
    <w:rsid w:val="00D17596"/>
    <w:rsid w:val="00D22640"/>
    <w:rsid w:val="00D26D3A"/>
    <w:rsid w:val="00D306C4"/>
    <w:rsid w:val="00D31274"/>
    <w:rsid w:val="00D31A8D"/>
    <w:rsid w:val="00D32882"/>
    <w:rsid w:val="00D32EC2"/>
    <w:rsid w:val="00D37502"/>
    <w:rsid w:val="00D37ED0"/>
    <w:rsid w:val="00D42CE5"/>
    <w:rsid w:val="00D441B2"/>
    <w:rsid w:val="00D45C91"/>
    <w:rsid w:val="00D45EE3"/>
    <w:rsid w:val="00D50325"/>
    <w:rsid w:val="00D50618"/>
    <w:rsid w:val="00D509E9"/>
    <w:rsid w:val="00D53B1C"/>
    <w:rsid w:val="00D54F3F"/>
    <w:rsid w:val="00D56DEA"/>
    <w:rsid w:val="00D5762A"/>
    <w:rsid w:val="00D5775F"/>
    <w:rsid w:val="00D601EA"/>
    <w:rsid w:val="00D61714"/>
    <w:rsid w:val="00D620BE"/>
    <w:rsid w:val="00D622B9"/>
    <w:rsid w:val="00D63776"/>
    <w:rsid w:val="00D652C8"/>
    <w:rsid w:val="00D656FF"/>
    <w:rsid w:val="00D66955"/>
    <w:rsid w:val="00D73238"/>
    <w:rsid w:val="00D74D70"/>
    <w:rsid w:val="00D74FB0"/>
    <w:rsid w:val="00D82448"/>
    <w:rsid w:val="00D83615"/>
    <w:rsid w:val="00D83A69"/>
    <w:rsid w:val="00D83AAD"/>
    <w:rsid w:val="00D862DC"/>
    <w:rsid w:val="00D97037"/>
    <w:rsid w:val="00DA1B12"/>
    <w:rsid w:val="00DA40AF"/>
    <w:rsid w:val="00DA4F90"/>
    <w:rsid w:val="00DA54C9"/>
    <w:rsid w:val="00DA6739"/>
    <w:rsid w:val="00DA6CAE"/>
    <w:rsid w:val="00DB1A9E"/>
    <w:rsid w:val="00DB31D6"/>
    <w:rsid w:val="00DB3296"/>
    <w:rsid w:val="00DB3F76"/>
    <w:rsid w:val="00DB4005"/>
    <w:rsid w:val="00DB44AD"/>
    <w:rsid w:val="00DB44E2"/>
    <w:rsid w:val="00DB61F1"/>
    <w:rsid w:val="00DC1EDD"/>
    <w:rsid w:val="00DC325B"/>
    <w:rsid w:val="00DC34EB"/>
    <w:rsid w:val="00DC4E2E"/>
    <w:rsid w:val="00DC78C0"/>
    <w:rsid w:val="00DE1CB1"/>
    <w:rsid w:val="00DE2C10"/>
    <w:rsid w:val="00DE413A"/>
    <w:rsid w:val="00DF095C"/>
    <w:rsid w:val="00DF14C9"/>
    <w:rsid w:val="00DF1E5B"/>
    <w:rsid w:val="00DF2275"/>
    <w:rsid w:val="00DF3F5E"/>
    <w:rsid w:val="00DF5653"/>
    <w:rsid w:val="00E008E2"/>
    <w:rsid w:val="00E03A8B"/>
    <w:rsid w:val="00E0596E"/>
    <w:rsid w:val="00E06F66"/>
    <w:rsid w:val="00E07031"/>
    <w:rsid w:val="00E11B6A"/>
    <w:rsid w:val="00E17221"/>
    <w:rsid w:val="00E2111A"/>
    <w:rsid w:val="00E21678"/>
    <w:rsid w:val="00E270CE"/>
    <w:rsid w:val="00E344AA"/>
    <w:rsid w:val="00E34B22"/>
    <w:rsid w:val="00E356E5"/>
    <w:rsid w:val="00E36F81"/>
    <w:rsid w:val="00E378A8"/>
    <w:rsid w:val="00E40B9B"/>
    <w:rsid w:val="00E4167B"/>
    <w:rsid w:val="00E42527"/>
    <w:rsid w:val="00E43620"/>
    <w:rsid w:val="00E45765"/>
    <w:rsid w:val="00E46CBE"/>
    <w:rsid w:val="00E5098C"/>
    <w:rsid w:val="00E54ECD"/>
    <w:rsid w:val="00E574EF"/>
    <w:rsid w:val="00E57CD8"/>
    <w:rsid w:val="00E57E07"/>
    <w:rsid w:val="00E60213"/>
    <w:rsid w:val="00E661B2"/>
    <w:rsid w:val="00E74D29"/>
    <w:rsid w:val="00E806FF"/>
    <w:rsid w:val="00E81678"/>
    <w:rsid w:val="00E83C74"/>
    <w:rsid w:val="00E83CEE"/>
    <w:rsid w:val="00E91F18"/>
    <w:rsid w:val="00E9226D"/>
    <w:rsid w:val="00E952A3"/>
    <w:rsid w:val="00E96424"/>
    <w:rsid w:val="00EA2A91"/>
    <w:rsid w:val="00EA416C"/>
    <w:rsid w:val="00EA5941"/>
    <w:rsid w:val="00EB0865"/>
    <w:rsid w:val="00EB59FF"/>
    <w:rsid w:val="00EB60CE"/>
    <w:rsid w:val="00EB7D53"/>
    <w:rsid w:val="00EC06D7"/>
    <w:rsid w:val="00EC37F0"/>
    <w:rsid w:val="00EC596B"/>
    <w:rsid w:val="00EC6806"/>
    <w:rsid w:val="00ED165A"/>
    <w:rsid w:val="00ED3AD0"/>
    <w:rsid w:val="00ED5EEB"/>
    <w:rsid w:val="00EE13C5"/>
    <w:rsid w:val="00EE3146"/>
    <w:rsid w:val="00EE4510"/>
    <w:rsid w:val="00EF50BB"/>
    <w:rsid w:val="00EF5270"/>
    <w:rsid w:val="00EF71E4"/>
    <w:rsid w:val="00EF7F01"/>
    <w:rsid w:val="00F00192"/>
    <w:rsid w:val="00F01DF6"/>
    <w:rsid w:val="00F027B8"/>
    <w:rsid w:val="00F0340D"/>
    <w:rsid w:val="00F035F2"/>
    <w:rsid w:val="00F03910"/>
    <w:rsid w:val="00F059A6"/>
    <w:rsid w:val="00F05EE2"/>
    <w:rsid w:val="00F06118"/>
    <w:rsid w:val="00F1080F"/>
    <w:rsid w:val="00F14A04"/>
    <w:rsid w:val="00F150E4"/>
    <w:rsid w:val="00F17B24"/>
    <w:rsid w:val="00F22643"/>
    <w:rsid w:val="00F22BA4"/>
    <w:rsid w:val="00F22F44"/>
    <w:rsid w:val="00F23756"/>
    <w:rsid w:val="00F2464C"/>
    <w:rsid w:val="00F2523A"/>
    <w:rsid w:val="00F25FFA"/>
    <w:rsid w:val="00F310D2"/>
    <w:rsid w:val="00F31E11"/>
    <w:rsid w:val="00F35CAC"/>
    <w:rsid w:val="00F36F3D"/>
    <w:rsid w:val="00F37C48"/>
    <w:rsid w:val="00F477BD"/>
    <w:rsid w:val="00F50333"/>
    <w:rsid w:val="00F53491"/>
    <w:rsid w:val="00F54656"/>
    <w:rsid w:val="00F55386"/>
    <w:rsid w:val="00F56411"/>
    <w:rsid w:val="00F60181"/>
    <w:rsid w:val="00F649F3"/>
    <w:rsid w:val="00F657D7"/>
    <w:rsid w:val="00F65A1C"/>
    <w:rsid w:val="00F66131"/>
    <w:rsid w:val="00F66F50"/>
    <w:rsid w:val="00F72212"/>
    <w:rsid w:val="00F74BA7"/>
    <w:rsid w:val="00F77432"/>
    <w:rsid w:val="00F81162"/>
    <w:rsid w:val="00F82FF8"/>
    <w:rsid w:val="00F8330D"/>
    <w:rsid w:val="00F842DB"/>
    <w:rsid w:val="00F84305"/>
    <w:rsid w:val="00F8485C"/>
    <w:rsid w:val="00F86C50"/>
    <w:rsid w:val="00F87149"/>
    <w:rsid w:val="00F87FFE"/>
    <w:rsid w:val="00F9138D"/>
    <w:rsid w:val="00F91407"/>
    <w:rsid w:val="00F92E93"/>
    <w:rsid w:val="00F943A0"/>
    <w:rsid w:val="00F954C9"/>
    <w:rsid w:val="00FA4CF0"/>
    <w:rsid w:val="00FA61AA"/>
    <w:rsid w:val="00FA6715"/>
    <w:rsid w:val="00FA69A4"/>
    <w:rsid w:val="00FB1279"/>
    <w:rsid w:val="00FB1495"/>
    <w:rsid w:val="00FB6DCD"/>
    <w:rsid w:val="00FC20F8"/>
    <w:rsid w:val="00FC2D63"/>
    <w:rsid w:val="00FC52E6"/>
    <w:rsid w:val="00FD1694"/>
    <w:rsid w:val="00FD2134"/>
    <w:rsid w:val="00FD7636"/>
    <w:rsid w:val="00FE3229"/>
    <w:rsid w:val="00FE3F2B"/>
    <w:rsid w:val="00FE74C3"/>
    <w:rsid w:val="00FF215C"/>
    <w:rsid w:val="00FF44B6"/>
    <w:rsid w:val="00FF49E8"/>
    <w:rsid w:val="00FF549C"/>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styleId="EndnoteText">
    <w:name w:val="endnote text"/>
    <w:basedOn w:val="Normal"/>
    <w:link w:val="EndnoteTextChar"/>
    <w:uiPriority w:val="99"/>
    <w:semiHidden/>
    <w:unhideWhenUsed/>
    <w:rsid w:val="00C82754"/>
    <w:pPr>
      <w:spacing w:after="0" w:line="240" w:lineRule="auto"/>
    </w:pPr>
  </w:style>
  <w:style w:type="character" w:customStyle="1" w:styleId="EndnoteTextChar">
    <w:name w:val="Endnote Text Char"/>
    <w:basedOn w:val="DefaultParagraphFont"/>
    <w:link w:val="EndnoteText"/>
    <w:uiPriority w:val="99"/>
    <w:semiHidden/>
    <w:rsid w:val="00C82754"/>
    <w:rPr>
      <w:rFonts w:eastAsia="Times New Roman" w:cs="Arial"/>
      <w:lang w:eastAsia="en-US"/>
    </w:rPr>
  </w:style>
  <w:style w:type="character" w:styleId="EndnoteReference">
    <w:name w:val="endnote reference"/>
    <w:basedOn w:val="DefaultParagraphFont"/>
    <w:uiPriority w:val="99"/>
    <w:semiHidden/>
    <w:unhideWhenUsed/>
    <w:rsid w:val="00C82754"/>
    <w:rPr>
      <w:vertAlign w:val="superscript"/>
    </w:rPr>
  </w:style>
  <w:style w:type="paragraph" w:styleId="FootnoteText">
    <w:name w:val="footnote text"/>
    <w:basedOn w:val="Normal"/>
    <w:link w:val="FootnoteTextChar"/>
    <w:uiPriority w:val="99"/>
    <w:semiHidden/>
    <w:unhideWhenUsed/>
    <w:rsid w:val="00C82754"/>
    <w:pPr>
      <w:spacing w:after="0" w:line="240" w:lineRule="auto"/>
    </w:pPr>
  </w:style>
  <w:style w:type="character" w:customStyle="1" w:styleId="FootnoteTextChar">
    <w:name w:val="Footnote Text Char"/>
    <w:basedOn w:val="DefaultParagraphFont"/>
    <w:link w:val="FootnoteText"/>
    <w:uiPriority w:val="99"/>
    <w:semiHidden/>
    <w:rsid w:val="00C82754"/>
    <w:rPr>
      <w:rFonts w:eastAsia="Times New Roman" w:cs="Arial"/>
      <w:lang w:eastAsia="en-US"/>
    </w:rPr>
  </w:style>
  <w:style w:type="character" w:styleId="FootnoteReference">
    <w:name w:val="footnote reference"/>
    <w:basedOn w:val="DefaultParagraphFont"/>
    <w:uiPriority w:val="99"/>
    <w:semiHidden/>
    <w:unhideWhenUsed/>
    <w:rsid w:val="00C82754"/>
    <w:rPr>
      <w:vertAlign w:val="superscript"/>
    </w:rPr>
  </w:style>
  <w:style w:type="character" w:styleId="FollowedHyperlink">
    <w:name w:val="FollowedHyperlink"/>
    <w:basedOn w:val="DefaultParagraphFont"/>
    <w:uiPriority w:val="99"/>
    <w:semiHidden/>
    <w:unhideWhenUsed/>
    <w:rsid w:val="006D7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885">
      <w:bodyDiv w:val="1"/>
      <w:marLeft w:val="0"/>
      <w:marRight w:val="0"/>
      <w:marTop w:val="0"/>
      <w:marBottom w:val="0"/>
      <w:divBdr>
        <w:top w:val="none" w:sz="0" w:space="0" w:color="auto"/>
        <w:left w:val="none" w:sz="0" w:space="0" w:color="auto"/>
        <w:bottom w:val="none" w:sz="0" w:space="0" w:color="auto"/>
        <w:right w:val="none" w:sz="0" w:space="0" w:color="auto"/>
      </w:divBdr>
    </w:div>
    <w:div w:id="398134849">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bodyenergy.com/content/427/australia-mining/new-south-wales/wilpinjong-mine/approvals-plans-and-reports-wilpinjong-mine" TargetMode="External"/><Relationship Id="rId13" Type="http://schemas.openxmlformats.org/officeDocument/2006/relationships/hyperlink" Target="http://www.iesc.environment.gov.au/committee-advice/proposals/wilpinjong-project-advice-2016-07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esc.environment.gov.au/system/files/resources/012fa918-ee79-4131-9c8d-02c9b2de65cf/files/iesc-information-guidelines-oct-201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water/quality/guidelines/volume-2" TargetMode="External"/><Relationship Id="rId5" Type="http://schemas.openxmlformats.org/officeDocument/2006/relationships/footnotes" Target="footnotes.xml"/><Relationship Id="rId15" Type="http://schemas.openxmlformats.org/officeDocument/2006/relationships/hyperlink" Target="http://majorprojects.planning.nsw.gov.au/page/development-categories/mining--petroleum---extractive-industries/mining/?action=view_job&amp;job_id=6764" TargetMode="External"/><Relationship Id="rId10" Type="http://schemas.openxmlformats.org/officeDocument/2006/relationships/hyperlink" Target="http://www.agriculture.gov.au/water/quality/guidelines/volume-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jorprojects.planning.nsw.gov.au/page/development-categories/mining--petroleum---extractive-industries/mining/?action=view_job&amp;job_id=6764" TargetMode="External"/><Relationship Id="rId14" Type="http://schemas.openxmlformats.org/officeDocument/2006/relationships/hyperlink" Target="http://www.peabodyenergy.com/content/427/australia-mining/new-south-wales/wilpinjong-mine/approvals-plans-and-reports-wilpinjong-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4130A79.dotm</Template>
  <TotalTime>0</TotalTime>
  <Pages>6</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2016-078: Wilpinjong Extension Project (EPBC 2015/7431, SSD 6764) – Expansion </dc:title>
  <dc:creator/>
  <cp:lastModifiedBy/>
  <cp:revision>1</cp:revision>
  <dcterms:created xsi:type="dcterms:W3CDTF">2016-09-15T00:37:00Z</dcterms:created>
  <dcterms:modified xsi:type="dcterms:W3CDTF">2016-09-15T00:38:00Z</dcterms:modified>
</cp:coreProperties>
</file>