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1A2F" w14:textId="77777777" w:rsidR="00714B40" w:rsidRDefault="00714B40" w:rsidP="00BE27DD">
      <w:pPr>
        <w:pStyle w:val="Header"/>
        <w:suppressLineNumbers/>
        <w:ind w:hanging="1418"/>
        <w:sectPr w:rsidR="00714B40" w:rsidSect="00BE27DD">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pgNumType w:start="1"/>
          <w:cols w:space="708"/>
          <w:titlePg/>
          <w:docGrid w:linePitch="360"/>
        </w:sectPr>
      </w:pPr>
    </w:p>
    <w:p w14:paraId="43F26693" w14:textId="77777777" w:rsidR="001765DA" w:rsidRPr="00745688" w:rsidRDefault="00F027B8" w:rsidP="009E7F55">
      <w:pPr>
        <w:pStyle w:val="Heading1"/>
        <w:suppressLineNumbers/>
      </w:pPr>
      <w:r w:rsidRPr="00745688">
        <w:t>Advi</w:t>
      </w:r>
      <w:r w:rsidR="001765DA" w:rsidRPr="00745688">
        <w:t>ce to decisio</w:t>
      </w:r>
      <w:bookmarkStart w:id="0" w:name="_GoBack"/>
      <w:bookmarkEnd w:id="0"/>
      <w:r w:rsidR="001765DA" w:rsidRPr="00745688">
        <w:t>n maker on coal mining</w:t>
      </w:r>
      <w:r w:rsidR="00E21678" w:rsidRPr="00745688">
        <w:t xml:space="preserve"> project </w:t>
      </w:r>
    </w:p>
    <w:p w14:paraId="4555E5A7" w14:textId="77777777" w:rsidR="004861E6" w:rsidRPr="00745688" w:rsidRDefault="00D10C4C" w:rsidP="009E7F55">
      <w:pPr>
        <w:pStyle w:val="Heading2"/>
        <w:suppressLineNumbers/>
      </w:pPr>
      <w:r w:rsidRPr="00745688">
        <w:t xml:space="preserve">IESC </w:t>
      </w:r>
      <w:r w:rsidR="00C43084" w:rsidRPr="00745688">
        <w:t>201</w:t>
      </w:r>
      <w:r w:rsidR="003A1193" w:rsidRPr="00745688">
        <w:t>8</w:t>
      </w:r>
      <w:r w:rsidR="00CC27E7" w:rsidRPr="00745688">
        <w:t>-</w:t>
      </w:r>
      <w:r w:rsidRPr="00745688">
        <w:t>0</w:t>
      </w:r>
      <w:r w:rsidR="003A1193" w:rsidRPr="00745688">
        <w:t>99</w:t>
      </w:r>
      <w:r w:rsidR="001765DA" w:rsidRPr="00745688">
        <w:t>:</w:t>
      </w:r>
      <w:r w:rsidR="002974BC" w:rsidRPr="00745688">
        <w:t xml:space="preserve"> </w:t>
      </w:r>
      <w:r w:rsidR="003A1193" w:rsidRPr="00745688">
        <w:t>Vickery Extension Project</w:t>
      </w:r>
      <w:r w:rsidR="00C803D7" w:rsidRPr="00745688">
        <w:t xml:space="preserve"> </w:t>
      </w:r>
      <w:r w:rsidR="00D83AAD" w:rsidRPr="00745688">
        <w:t>(</w:t>
      </w:r>
      <w:r w:rsidR="003A1193" w:rsidRPr="00745688">
        <w:t>EPBC 2016/7649 and SSD 7480</w:t>
      </w:r>
      <w:r w:rsidR="00D83AAD" w:rsidRPr="00745688">
        <w:t xml:space="preserve">) </w:t>
      </w:r>
      <w:r w:rsidR="00C803D7" w:rsidRPr="00745688">
        <w:t>– Expansion</w:t>
      </w:r>
      <w:r w:rsidR="003E2135" w:rsidRPr="00745688">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745688" w14:paraId="509E8561" w14:textId="77777777" w:rsidTr="00784E40">
        <w:trPr>
          <w:trHeight w:val="563"/>
        </w:trPr>
        <w:tc>
          <w:tcPr>
            <w:tcW w:w="1810" w:type="dxa"/>
            <w:tcBorders>
              <w:top w:val="single" w:sz="4" w:space="0" w:color="auto"/>
              <w:bottom w:val="single" w:sz="4" w:space="0" w:color="auto"/>
            </w:tcBorders>
          </w:tcPr>
          <w:p w14:paraId="0B57FFC1" w14:textId="77777777" w:rsidR="001765DA" w:rsidRPr="00745688" w:rsidRDefault="001765DA" w:rsidP="00277A51">
            <w:pPr>
              <w:pStyle w:val="Heading6"/>
              <w:suppressLineNumbers/>
            </w:pPr>
            <w:r w:rsidRPr="00745688">
              <w:t>Requesting agency</w:t>
            </w:r>
          </w:p>
        </w:tc>
        <w:tc>
          <w:tcPr>
            <w:tcW w:w="7830" w:type="dxa"/>
            <w:tcBorders>
              <w:top w:val="single" w:sz="4" w:space="0" w:color="auto"/>
              <w:bottom w:val="single" w:sz="4" w:space="0" w:color="auto"/>
            </w:tcBorders>
          </w:tcPr>
          <w:p w14:paraId="49FB388C" w14:textId="77777777" w:rsidR="00B1520C" w:rsidRPr="00745688" w:rsidRDefault="00B1520C" w:rsidP="003A1193">
            <w:pPr>
              <w:pStyle w:val="Tabletext"/>
              <w:suppressLineNumbers/>
            </w:pPr>
            <w:r w:rsidRPr="00745688">
              <w:t xml:space="preserve">The </w:t>
            </w:r>
            <w:r w:rsidR="00C43084" w:rsidRPr="00745688">
              <w:t xml:space="preserve">Australian Government </w:t>
            </w:r>
            <w:r w:rsidR="001765DA" w:rsidRPr="00745688">
              <w:t xml:space="preserve">Department of </w:t>
            </w:r>
            <w:r w:rsidR="00616861" w:rsidRPr="00745688">
              <w:t>the</w:t>
            </w:r>
            <w:r w:rsidR="001765DA" w:rsidRPr="00745688">
              <w:t xml:space="preserve"> Environment</w:t>
            </w:r>
            <w:r w:rsidRPr="00745688">
              <w:t xml:space="preserve"> </w:t>
            </w:r>
            <w:r w:rsidR="00F7628B" w:rsidRPr="00745688">
              <w:t xml:space="preserve">and Energy </w:t>
            </w:r>
            <w:r w:rsidR="003A1193" w:rsidRPr="00745688">
              <w:t xml:space="preserve">and </w:t>
            </w:r>
          </w:p>
          <w:p w14:paraId="45B53DDB" w14:textId="77777777" w:rsidR="003A1193" w:rsidRPr="00745688" w:rsidRDefault="00B1520C" w:rsidP="003A1193">
            <w:pPr>
              <w:pStyle w:val="Tabletext"/>
              <w:suppressLineNumbers/>
            </w:pPr>
            <w:r w:rsidRPr="00745688">
              <w:t xml:space="preserve">The </w:t>
            </w:r>
            <w:r w:rsidR="00C43084" w:rsidRPr="00745688">
              <w:t xml:space="preserve">New South Wales </w:t>
            </w:r>
            <w:r w:rsidRPr="00745688">
              <w:t xml:space="preserve">Department of Planning and </w:t>
            </w:r>
            <w:r w:rsidR="004B5A51" w:rsidRPr="00745688">
              <w:t>Environment</w:t>
            </w:r>
            <w:r w:rsidR="003E2BDB" w:rsidRPr="00745688">
              <w:t xml:space="preserve"> </w:t>
            </w:r>
          </w:p>
          <w:p w14:paraId="5512E315" w14:textId="77777777" w:rsidR="003E2BDB" w:rsidRPr="00745688" w:rsidRDefault="003E2BDB" w:rsidP="00277A51">
            <w:pPr>
              <w:pStyle w:val="Tabletext"/>
              <w:suppressLineNumbers/>
            </w:pPr>
          </w:p>
        </w:tc>
      </w:tr>
      <w:tr w:rsidR="001765DA" w:rsidRPr="00745688" w14:paraId="0B0DA44C" w14:textId="77777777" w:rsidTr="00784E40">
        <w:trPr>
          <w:trHeight w:val="19"/>
        </w:trPr>
        <w:tc>
          <w:tcPr>
            <w:tcW w:w="1810" w:type="dxa"/>
            <w:tcBorders>
              <w:top w:val="single" w:sz="4" w:space="0" w:color="auto"/>
              <w:bottom w:val="single" w:sz="4" w:space="0" w:color="auto"/>
            </w:tcBorders>
          </w:tcPr>
          <w:p w14:paraId="6C6FB187" w14:textId="77777777" w:rsidR="001765DA" w:rsidRPr="00745688" w:rsidRDefault="001765DA" w:rsidP="00277A51">
            <w:pPr>
              <w:pStyle w:val="Heading6"/>
              <w:suppressLineNumbers/>
            </w:pPr>
            <w:r w:rsidRPr="00745688">
              <w:t>Date of request</w:t>
            </w:r>
          </w:p>
        </w:tc>
        <w:tc>
          <w:tcPr>
            <w:tcW w:w="7830" w:type="dxa"/>
            <w:tcBorders>
              <w:top w:val="single" w:sz="4" w:space="0" w:color="auto"/>
              <w:bottom w:val="single" w:sz="4" w:space="0" w:color="auto"/>
            </w:tcBorders>
          </w:tcPr>
          <w:p w14:paraId="13FA7956" w14:textId="77777777" w:rsidR="001765DA" w:rsidRPr="00745688" w:rsidRDefault="003A1193" w:rsidP="003A1193">
            <w:pPr>
              <w:pStyle w:val="Tabletext"/>
              <w:suppressLineNumbers/>
            </w:pPr>
            <w:r w:rsidRPr="00745688">
              <w:t>28 September</w:t>
            </w:r>
            <w:r w:rsidR="00A10BAB" w:rsidRPr="00745688">
              <w:t xml:space="preserve"> </w:t>
            </w:r>
            <w:r w:rsidR="00716583" w:rsidRPr="00745688">
              <w:t>201</w:t>
            </w:r>
            <w:r w:rsidRPr="00745688">
              <w:t>8</w:t>
            </w:r>
          </w:p>
        </w:tc>
      </w:tr>
      <w:tr w:rsidR="00185039" w:rsidRPr="00745688" w14:paraId="250778B4" w14:textId="77777777" w:rsidTr="00784E40">
        <w:trPr>
          <w:trHeight w:val="19"/>
        </w:trPr>
        <w:tc>
          <w:tcPr>
            <w:tcW w:w="1810" w:type="dxa"/>
            <w:tcBorders>
              <w:top w:val="single" w:sz="4" w:space="0" w:color="auto"/>
              <w:bottom w:val="single" w:sz="4" w:space="0" w:color="auto"/>
            </w:tcBorders>
          </w:tcPr>
          <w:p w14:paraId="2564B919" w14:textId="77777777" w:rsidR="00185039" w:rsidRPr="00745688" w:rsidRDefault="00185039" w:rsidP="00277A51">
            <w:pPr>
              <w:pStyle w:val="Heading6"/>
              <w:suppressLineNumbers/>
            </w:pPr>
            <w:r w:rsidRPr="00745688">
              <w:t>Date request accepted</w:t>
            </w:r>
          </w:p>
        </w:tc>
        <w:tc>
          <w:tcPr>
            <w:tcW w:w="7830" w:type="dxa"/>
            <w:tcBorders>
              <w:top w:val="single" w:sz="4" w:space="0" w:color="auto"/>
              <w:bottom w:val="single" w:sz="4" w:space="0" w:color="auto"/>
            </w:tcBorders>
          </w:tcPr>
          <w:p w14:paraId="241DC47B" w14:textId="77777777" w:rsidR="00185039" w:rsidRPr="00745688" w:rsidRDefault="003A1193" w:rsidP="003A1193">
            <w:pPr>
              <w:pStyle w:val="Tabletext"/>
              <w:suppressLineNumbers/>
            </w:pPr>
            <w:r w:rsidRPr="00745688">
              <w:t xml:space="preserve">28 September </w:t>
            </w:r>
            <w:r w:rsidR="00185039" w:rsidRPr="00745688">
              <w:t>201</w:t>
            </w:r>
            <w:r w:rsidRPr="00745688">
              <w:t>8</w:t>
            </w:r>
          </w:p>
        </w:tc>
      </w:tr>
      <w:tr w:rsidR="00062A46" w:rsidRPr="00745688" w14:paraId="2AD95FE1" w14:textId="77777777" w:rsidTr="00784E40">
        <w:trPr>
          <w:trHeight w:val="19"/>
        </w:trPr>
        <w:tc>
          <w:tcPr>
            <w:tcW w:w="1810" w:type="dxa"/>
            <w:tcBorders>
              <w:top w:val="single" w:sz="4" w:space="0" w:color="auto"/>
              <w:bottom w:val="single" w:sz="4" w:space="0" w:color="auto"/>
            </w:tcBorders>
          </w:tcPr>
          <w:p w14:paraId="2AAE58F3" w14:textId="77777777" w:rsidR="00062A46" w:rsidRPr="00745688" w:rsidRDefault="00062A46" w:rsidP="00277A51">
            <w:pPr>
              <w:pStyle w:val="Heading6"/>
              <w:suppressLineNumbers/>
            </w:pPr>
            <w:r w:rsidRPr="00745688">
              <w:t xml:space="preserve">Advice stage </w:t>
            </w:r>
          </w:p>
        </w:tc>
        <w:tc>
          <w:tcPr>
            <w:tcW w:w="7830" w:type="dxa"/>
            <w:tcBorders>
              <w:top w:val="single" w:sz="4" w:space="0" w:color="auto"/>
              <w:bottom w:val="single" w:sz="4" w:space="0" w:color="auto"/>
            </w:tcBorders>
          </w:tcPr>
          <w:p w14:paraId="7D9727A8" w14:textId="77777777" w:rsidR="00062A46" w:rsidRPr="00745688" w:rsidRDefault="00062A46" w:rsidP="003A1193">
            <w:pPr>
              <w:pStyle w:val="Tabletext"/>
              <w:suppressLineNumbers/>
              <w:rPr>
                <w:lang w:eastAsia="en-AU"/>
              </w:rPr>
            </w:pPr>
            <w:r w:rsidRPr="00745688">
              <w:rPr>
                <w:lang w:eastAsia="en-AU"/>
              </w:rPr>
              <w:t xml:space="preserve">Assessment </w:t>
            </w:r>
          </w:p>
        </w:tc>
      </w:tr>
    </w:tbl>
    <w:p w14:paraId="703FFA5A" w14:textId="77777777" w:rsidR="00C60A1A" w:rsidRPr="00745688"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745688" w14:paraId="7B279B85" w14:textId="77777777" w:rsidTr="00784E40">
        <w:trPr>
          <w:trHeight w:val="2955"/>
        </w:trPr>
        <w:tc>
          <w:tcPr>
            <w:tcW w:w="9640" w:type="dxa"/>
            <w:shd w:val="clear" w:color="auto" w:fill="E7E6E6"/>
          </w:tcPr>
          <w:p w14:paraId="617430B3" w14:textId="77777777" w:rsidR="00C60A1A" w:rsidRPr="00745688" w:rsidRDefault="00C60A1A" w:rsidP="00D80DE4">
            <w:pPr>
              <w:pStyle w:val="NEWNormalTNR12"/>
              <w:spacing w:before="120" w:after="120" w:line="276" w:lineRule="auto"/>
              <w:ind w:left="34"/>
              <w:rPr>
                <w:rFonts w:ascii="Arial" w:hAnsi="Arial" w:cs="Arial"/>
                <w:sz w:val="20"/>
                <w:szCs w:val="20"/>
              </w:rPr>
            </w:pPr>
            <w:r w:rsidRPr="00745688">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417D3358" w14:textId="77777777" w:rsidR="00C60A1A" w:rsidRPr="00745688" w:rsidRDefault="00C60A1A" w:rsidP="003A1193">
            <w:pPr>
              <w:pStyle w:val="NEWNormalTNR12"/>
              <w:spacing w:before="120" w:after="120" w:line="276" w:lineRule="auto"/>
              <w:ind w:left="34"/>
              <w:rPr>
                <w:rFonts w:asciiTheme="minorHAnsi" w:hAnsiTheme="minorHAnsi"/>
                <w:sz w:val="20"/>
                <w:szCs w:val="20"/>
              </w:rPr>
            </w:pPr>
            <w:r w:rsidRPr="00745688">
              <w:rPr>
                <w:rFonts w:ascii="Arial" w:hAnsi="Arial" w:cs="Arial"/>
                <w:sz w:val="20"/>
                <w:szCs w:val="20"/>
              </w:rPr>
              <w:t xml:space="preserve">The IESC was requested by the Australian Government Department of the Environment </w:t>
            </w:r>
            <w:r w:rsidR="00815C9D" w:rsidRPr="00745688">
              <w:rPr>
                <w:rFonts w:ascii="Arial" w:hAnsi="Arial" w:cs="Arial"/>
                <w:sz w:val="20"/>
                <w:szCs w:val="20"/>
              </w:rPr>
              <w:t>and Energy</w:t>
            </w:r>
            <w:r w:rsidR="003A1193" w:rsidRPr="00745688">
              <w:rPr>
                <w:rFonts w:ascii="Arial" w:hAnsi="Arial" w:cs="Arial"/>
                <w:sz w:val="20"/>
                <w:szCs w:val="20"/>
              </w:rPr>
              <w:t xml:space="preserve"> and </w:t>
            </w:r>
            <w:r w:rsidRPr="00745688">
              <w:rPr>
                <w:rFonts w:ascii="Arial" w:hAnsi="Arial" w:cs="Arial"/>
                <w:sz w:val="20"/>
                <w:szCs w:val="20"/>
              </w:rPr>
              <w:t xml:space="preserve">the New South Wales Department of Planning and Environment to provide advice on </w:t>
            </w:r>
            <w:r w:rsidR="003A1193" w:rsidRPr="00745688">
              <w:rPr>
                <w:rFonts w:ascii="Arial" w:hAnsi="Arial" w:cs="Arial"/>
                <w:sz w:val="20"/>
                <w:szCs w:val="20"/>
              </w:rPr>
              <w:t xml:space="preserve">Vickery Coal Pty </w:t>
            </w:r>
            <w:proofErr w:type="spellStart"/>
            <w:r w:rsidR="003A1193" w:rsidRPr="00745688">
              <w:rPr>
                <w:rFonts w:ascii="Arial" w:hAnsi="Arial" w:cs="Arial"/>
                <w:sz w:val="20"/>
                <w:szCs w:val="20"/>
              </w:rPr>
              <w:t>Ltd’</w:t>
            </w:r>
            <w:r w:rsidRPr="00745688">
              <w:rPr>
                <w:rFonts w:ascii="Arial" w:hAnsi="Arial" w:cs="Arial"/>
                <w:sz w:val="20"/>
                <w:szCs w:val="20"/>
              </w:rPr>
              <w:t>s</w:t>
            </w:r>
            <w:proofErr w:type="spellEnd"/>
            <w:r w:rsidR="0010635A" w:rsidRPr="00745688">
              <w:rPr>
                <w:rFonts w:ascii="Arial" w:hAnsi="Arial" w:cs="Arial"/>
                <w:sz w:val="20"/>
                <w:szCs w:val="20"/>
              </w:rPr>
              <w:t xml:space="preserve"> (a subsidiary of Whitehaven Coal)</w:t>
            </w:r>
            <w:r w:rsidRPr="00745688">
              <w:rPr>
                <w:rFonts w:ascii="Arial" w:hAnsi="Arial" w:cs="Arial"/>
                <w:sz w:val="20"/>
                <w:szCs w:val="20"/>
              </w:rPr>
              <w:t xml:space="preserve"> </w:t>
            </w:r>
            <w:r w:rsidR="003A1193" w:rsidRPr="00745688">
              <w:rPr>
                <w:rFonts w:ascii="Arial" w:hAnsi="Arial" w:cs="Arial"/>
                <w:sz w:val="20"/>
                <w:szCs w:val="20"/>
              </w:rPr>
              <w:t>Vickery Extension Project</w:t>
            </w:r>
            <w:r w:rsidRPr="00745688">
              <w:rPr>
                <w:rFonts w:ascii="Arial" w:hAnsi="Arial" w:cs="Arial"/>
                <w:sz w:val="20"/>
                <w:szCs w:val="20"/>
              </w:rPr>
              <w:t xml:space="preserve"> in </w:t>
            </w:r>
            <w:r w:rsidR="003A1193" w:rsidRPr="00745688">
              <w:rPr>
                <w:rFonts w:ascii="Arial" w:hAnsi="Arial" w:cs="Arial"/>
                <w:sz w:val="20"/>
                <w:szCs w:val="20"/>
              </w:rPr>
              <w:t>New South Wales</w:t>
            </w:r>
            <w:r w:rsidRPr="00745688">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745688">
              <w:rPr>
                <w:rFonts w:ascii="Arial" w:hAnsi="Arial" w:cs="Arial"/>
                <w:b/>
                <w:color w:val="FF0000"/>
                <w:sz w:val="20"/>
                <w:szCs w:val="20"/>
              </w:rPr>
              <w:t xml:space="preserve"> </w:t>
            </w:r>
            <w:r w:rsidRPr="00745688">
              <w:rPr>
                <w:rFonts w:ascii="Arial" w:hAnsi="Arial" w:cs="Arial"/>
                <w:sz w:val="20"/>
                <w:szCs w:val="20"/>
              </w:rPr>
              <w:t>assessment process. This advice draws upon the available assessment docume</w:t>
            </w:r>
            <w:r w:rsidR="00F424D7" w:rsidRPr="00745688">
              <w:rPr>
                <w:rFonts w:ascii="Arial" w:hAnsi="Arial" w:cs="Arial"/>
                <w:sz w:val="20"/>
                <w:szCs w:val="20"/>
              </w:rPr>
              <w:t xml:space="preserve">ntation, data and methodologies, </w:t>
            </w:r>
            <w:r w:rsidRPr="00745688">
              <w:rPr>
                <w:rFonts w:ascii="Arial" w:hAnsi="Arial" w:cs="Arial"/>
                <w:sz w:val="20"/>
                <w:szCs w:val="20"/>
              </w:rPr>
              <w:t>together with the expert deliberations of the IESC</w:t>
            </w:r>
            <w:r w:rsidR="001E2E34" w:rsidRPr="00745688">
              <w:rPr>
                <w:rFonts w:ascii="Arial" w:hAnsi="Arial" w:cs="Arial"/>
                <w:sz w:val="20"/>
                <w:szCs w:val="20"/>
              </w:rPr>
              <w:t>,</w:t>
            </w:r>
            <w:r w:rsidRPr="00745688">
              <w:rPr>
                <w:rFonts w:ascii="Arial" w:hAnsi="Arial" w:cs="Arial"/>
                <w:sz w:val="20"/>
                <w:szCs w:val="20"/>
              </w:rPr>
              <w:t xml:space="preserve"> and is assessed against the IESC Information Guidelines (</w:t>
            </w:r>
            <w:r w:rsidR="001E2E34" w:rsidRPr="00745688">
              <w:rPr>
                <w:rFonts w:ascii="Arial" w:hAnsi="Arial" w:cs="Arial"/>
                <w:sz w:val="20"/>
                <w:szCs w:val="20"/>
              </w:rPr>
              <w:t>IESC, 2018</w:t>
            </w:r>
            <w:r w:rsidRPr="00745688">
              <w:rPr>
                <w:rFonts w:ascii="Arial" w:hAnsi="Arial" w:cs="Arial"/>
                <w:sz w:val="20"/>
                <w:szCs w:val="20"/>
              </w:rPr>
              <w:t>).</w:t>
            </w:r>
          </w:p>
        </w:tc>
      </w:tr>
    </w:tbl>
    <w:p w14:paraId="39863461" w14:textId="77777777" w:rsidR="00C60A1A" w:rsidRPr="00745688" w:rsidRDefault="00C60A1A" w:rsidP="00C60A1A"/>
    <w:p w14:paraId="6C9438D7" w14:textId="77777777" w:rsidR="00787D99" w:rsidRPr="0096644E" w:rsidRDefault="00787D99" w:rsidP="00D622B9">
      <w:pPr>
        <w:pStyle w:val="Heading3"/>
        <w:rPr>
          <w:color w:val="365F91" w:themeColor="accent1" w:themeShade="BF"/>
        </w:rPr>
      </w:pPr>
      <w:r w:rsidRPr="0096644E">
        <w:t>Summary</w:t>
      </w:r>
      <w:r w:rsidRPr="0096644E">
        <w:rPr>
          <w:color w:val="365F91" w:themeColor="accent1" w:themeShade="BF"/>
        </w:rPr>
        <w:t xml:space="preserve"> </w:t>
      </w:r>
    </w:p>
    <w:p w14:paraId="0D557483" w14:textId="7A7D3A9D" w:rsidR="00BC5526" w:rsidRPr="0096644E" w:rsidRDefault="00BC5526" w:rsidP="00291857">
      <w:r w:rsidRPr="0096644E">
        <w:t xml:space="preserve">The Vickery Extension Project is a proposed extension to </w:t>
      </w:r>
      <w:r w:rsidR="00F1702A" w:rsidRPr="0096644E">
        <w:t>the Vickery Coal Mine in the Gunnedah Coalfield in northwest New South Wales. The Vickery Coal mine received final approval from the state government in 2014</w:t>
      </w:r>
      <w:r w:rsidR="00FE0FB3" w:rsidRPr="0096644E">
        <w:t xml:space="preserve">; </w:t>
      </w:r>
      <w:r w:rsidR="00F1702A" w:rsidRPr="0096644E">
        <w:t>however, no works have commenced at the site</w:t>
      </w:r>
      <w:r w:rsidR="00C66245" w:rsidRPr="0096644E">
        <w:t xml:space="preserve"> since 2014</w:t>
      </w:r>
      <w:r w:rsidR="00F1702A" w:rsidRPr="0096644E">
        <w:t xml:space="preserve">. The proposed project will increase the </w:t>
      </w:r>
      <w:r w:rsidR="0010635A" w:rsidRPr="0096644E">
        <w:t xml:space="preserve">mine </w:t>
      </w:r>
      <w:r w:rsidR="00F1702A" w:rsidRPr="0096644E">
        <w:t>disturbance area, the size of the Western Emplacement (waste rock emplacement), the volume of coal mined and the production rate</w:t>
      </w:r>
      <w:r w:rsidR="00B93ED7" w:rsidRPr="0096644E">
        <w:t xml:space="preserve"> (</w:t>
      </w:r>
      <w:r w:rsidR="005F2A3E" w:rsidRPr="0096644E">
        <w:t xml:space="preserve">the </w:t>
      </w:r>
      <w:r w:rsidR="00B93ED7" w:rsidRPr="0096644E">
        <w:t xml:space="preserve">currently approved rate of 4.5 </w:t>
      </w:r>
      <w:r w:rsidR="00C66245" w:rsidRPr="0096644E">
        <w:t>million tonnes per annum (</w:t>
      </w:r>
      <w:proofErr w:type="spellStart"/>
      <w:r w:rsidR="00B93ED7" w:rsidRPr="0096644E">
        <w:t>Mtpa</w:t>
      </w:r>
      <w:proofErr w:type="spellEnd"/>
      <w:r w:rsidR="00C66245" w:rsidRPr="0096644E">
        <w:t>)</w:t>
      </w:r>
      <w:r w:rsidR="00B93ED7" w:rsidRPr="0096644E">
        <w:t xml:space="preserve"> </w:t>
      </w:r>
      <w:r w:rsidR="005F2A3E" w:rsidRPr="0096644E">
        <w:t xml:space="preserve">will increase </w:t>
      </w:r>
      <w:r w:rsidR="00B93ED7" w:rsidRPr="0096644E">
        <w:t xml:space="preserve">to an average rate of 7.2 </w:t>
      </w:r>
      <w:proofErr w:type="spellStart"/>
      <w:r w:rsidR="00B93ED7" w:rsidRPr="0096644E">
        <w:t>Mtpa</w:t>
      </w:r>
      <w:proofErr w:type="spellEnd"/>
      <w:r w:rsidR="00B93ED7" w:rsidRPr="0096644E">
        <w:t>)</w:t>
      </w:r>
      <w:r w:rsidR="00F1702A" w:rsidRPr="0096644E">
        <w:t xml:space="preserve"> at the Vickery Coal Mine. The proposed project will decrease the number of </w:t>
      </w:r>
      <w:r w:rsidR="00B624AD" w:rsidRPr="0096644E">
        <w:t xml:space="preserve">final </w:t>
      </w:r>
      <w:r w:rsidR="00F1702A" w:rsidRPr="0096644E">
        <w:t>voids in the landscape to two</w:t>
      </w:r>
      <w:r w:rsidR="00D16595" w:rsidRPr="0096644E">
        <w:t xml:space="preserve"> (</w:t>
      </w:r>
      <w:r w:rsidR="00371A17" w:rsidRPr="0096644E">
        <w:t>currently</w:t>
      </w:r>
      <w:r w:rsidR="00D16595" w:rsidRPr="0096644E">
        <w:t xml:space="preserve"> </w:t>
      </w:r>
      <w:r w:rsidR="00B624AD" w:rsidRPr="0096644E">
        <w:t>fiv</w:t>
      </w:r>
      <w:r w:rsidR="00D16595" w:rsidRPr="0096644E">
        <w:t>e</w:t>
      </w:r>
      <w:r w:rsidR="00371A17" w:rsidRPr="0096644E">
        <w:t xml:space="preserve"> historical voids</w:t>
      </w:r>
      <w:r w:rsidR="00B93ED7" w:rsidRPr="0096644E">
        <w:t xml:space="preserve"> exist</w:t>
      </w:r>
      <w:r w:rsidR="00371A17" w:rsidRPr="0096644E">
        <w:t xml:space="preserve"> with three</w:t>
      </w:r>
      <w:r w:rsidR="00B93ED7" w:rsidRPr="0096644E">
        <w:t xml:space="preserve"> voids</w:t>
      </w:r>
      <w:r w:rsidR="00371A17" w:rsidRPr="0096644E">
        <w:t xml:space="preserve"> proposed for the approved mine</w:t>
      </w:r>
      <w:r w:rsidR="00D16595" w:rsidRPr="0096644E">
        <w:t>)</w:t>
      </w:r>
      <w:r w:rsidR="00F1702A" w:rsidRPr="0096644E">
        <w:t xml:space="preserve"> and will not include </w:t>
      </w:r>
      <w:r w:rsidR="00D16595" w:rsidRPr="0096644E">
        <w:t xml:space="preserve">mining </w:t>
      </w:r>
      <w:r w:rsidR="00F1702A" w:rsidRPr="0096644E">
        <w:t>previously planned at the Blue Vale pit.</w:t>
      </w:r>
    </w:p>
    <w:p w14:paraId="2263885A" w14:textId="7A51319F" w:rsidR="0010635A" w:rsidRPr="0096644E" w:rsidRDefault="0010635A" w:rsidP="00291857">
      <w:r w:rsidRPr="0096644E">
        <w:lastRenderedPageBreak/>
        <w:t xml:space="preserve">The proposed project is adjacent </w:t>
      </w:r>
      <w:r w:rsidR="00FE0FB3" w:rsidRPr="0096644E">
        <w:t>to</w:t>
      </w:r>
      <w:r w:rsidRPr="0096644E">
        <w:t xml:space="preserve"> the highly productive Upper Namoi Alluvial aquifer</w:t>
      </w:r>
      <w:r w:rsidR="001C3292" w:rsidRPr="0096644E">
        <w:t xml:space="preserve"> within the Namoi River </w:t>
      </w:r>
      <w:r w:rsidR="001D4104" w:rsidRPr="0096644E">
        <w:t>c</w:t>
      </w:r>
      <w:r w:rsidR="001C3292" w:rsidRPr="0096644E">
        <w:t>atchment</w:t>
      </w:r>
      <w:r w:rsidR="00FE0FB3" w:rsidRPr="0096644E">
        <w:t>. A</w:t>
      </w:r>
      <w:r w:rsidRPr="0096644E">
        <w:t xml:space="preserve"> water supply </w:t>
      </w:r>
      <w:proofErr w:type="spellStart"/>
      <w:r w:rsidRPr="0096644E">
        <w:t>borefield</w:t>
      </w:r>
      <w:proofErr w:type="spellEnd"/>
      <w:r w:rsidRPr="0096644E">
        <w:t xml:space="preserve"> </w:t>
      </w:r>
      <w:r w:rsidR="00FE0FB3" w:rsidRPr="0096644E">
        <w:t xml:space="preserve">is proposed </w:t>
      </w:r>
      <w:r w:rsidRPr="0096644E">
        <w:t>to extract water from the Upper Namoi Alluvial aquifer. Th</w:t>
      </w:r>
      <w:r w:rsidR="001C3292" w:rsidRPr="0096644E">
        <w:t>is</w:t>
      </w:r>
      <w:r w:rsidRPr="0096644E">
        <w:t xml:space="preserve"> water source </w:t>
      </w:r>
      <w:r w:rsidR="001C3292" w:rsidRPr="0096644E">
        <w:t>is</w:t>
      </w:r>
      <w:r w:rsidRPr="0096644E">
        <w:t xml:space="preserve"> </w:t>
      </w:r>
      <w:r w:rsidR="00C66245" w:rsidRPr="0096644E">
        <w:t xml:space="preserve">also </w:t>
      </w:r>
      <w:r w:rsidR="004E2F0F" w:rsidRPr="0096644E">
        <w:t xml:space="preserve">extensively </w:t>
      </w:r>
      <w:r w:rsidRPr="0096644E">
        <w:t>used for agricultural production.</w:t>
      </w:r>
    </w:p>
    <w:p w14:paraId="5D12D182" w14:textId="77777777" w:rsidR="00F87AC6" w:rsidRPr="0096644E" w:rsidRDefault="00F87AC6" w:rsidP="00F87AC6">
      <w:r w:rsidRPr="0096644E">
        <w:t xml:space="preserve">The IESC notes that a number of the studies completed for this project such as the surface water assessment and the studies to determine the extent of the alluvium have been completed to a high standard. The proponent should be commended for these studies and for obtaining peer reviews of many of the major reports provided in the impact assessment.  </w:t>
      </w:r>
    </w:p>
    <w:p w14:paraId="5F72B877" w14:textId="77777777" w:rsidR="00DF4764" w:rsidRPr="0096644E" w:rsidRDefault="00DF4764" w:rsidP="00DF4764">
      <w:pPr>
        <w:keepNext/>
      </w:pPr>
      <w:r w:rsidRPr="0096644E">
        <w:rPr>
          <w:u w:val="single"/>
        </w:rPr>
        <w:t>Key potential impacts</w:t>
      </w:r>
      <w:r w:rsidRPr="0096644E">
        <w:t xml:space="preserve"> from this project are:</w:t>
      </w:r>
    </w:p>
    <w:p w14:paraId="4304D61D" w14:textId="3326FCDC" w:rsidR="00D0369B" w:rsidRPr="0096644E" w:rsidRDefault="00DE1D6F" w:rsidP="00DF4764">
      <w:pPr>
        <w:pStyle w:val="ListParagraph"/>
        <w:numPr>
          <w:ilvl w:val="0"/>
          <w:numId w:val="36"/>
        </w:numPr>
        <w:jc w:val="both"/>
      </w:pPr>
      <w:r w:rsidRPr="0096644E">
        <w:t>groundwater drawdown</w:t>
      </w:r>
      <w:r w:rsidR="0057197F" w:rsidRPr="0096644E">
        <w:t xml:space="preserve"> from mining operations</w:t>
      </w:r>
      <w:r w:rsidR="00FE0FB3" w:rsidRPr="0096644E">
        <w:t>,</w:t>
      </w:r>
      <w:r w:rsidRPr="0096644E">
        <w:t xml:space="preserve"> primarily in the </w:t>
      </w:r>
      <w:proofErr w:type="spellStart"/>
      <w:r w:rsidRPr="0096644E">
        <w:t>Maules</w:t>
      </w:r>
      <w:proofErr w:type="spellEnd"/>
      <w:r w:rsidRPr="0096644E">
        <w:t xml:space="preserve"> Creek Formation (part of the Gunnedah-Oxley Basin</w:t>
      </w:r>
      <w:r w:rsidR="00746735" w:rsidRPr="0096644E">
        <w:t xml:space="preserve"> MDB Groundwater Source</w:t>
      </w:r>
      <w:r w:rsidR="00C66245" w:rsidRPr="0096644E">
        <w:t xml:space="preserve"> in the Murray-</w:t>
      </w:r>
      <w:r w:rsidRPr="0096644E">
        <w:t xml:space="preserve">Darling Basin </w:t>
      </w:r>
      <w:r w:rsidR="00746735" w:rsidRPr="0096644E">
        <w:t>Porous Rock G</w:t>
      </w:r>
      <w:r w:rsidRPr="0096644E">
        <w:t xml:space="preserve">roundwater </w:t>
      </w:r>
      <w:r w:rsidR="00746735" w:rsidRPr="0096644E">
        <w:t>S</w:t>
      </w:r>
      <w:r w:rsidRPr="0096644E">
        <w:t>ource</w:t>
      </w:r>
      <w:r w:rsidR="00746735" w:rsidRPr="0096644E">
        <w:t xml:space="preserve"> Water Sharing Plan</w:t>
      </w:r>
      <w:r w:rsidRPr="0096644E">
        <w:t>)</w:t>
      </w:r>
      <w:r w:rsidR="004E2F0F" w:rsidRPr="0096644E">
        <w:t xml:space="preserve"> that may affect groundwater availability and aquifer interactions</w:t>
      </w:r>
      <w:r w:rsidR="00FE0FB3" w:rsidRPr="0096644E">
        <w:t>,</w:t>
      </w:r>
      <w:r w:rsidRPr="0096644E">
        <w:t xml:space="preserve"> </w:t>
      </w:r>
      <w:r w:rsidR="00D921D5" w:rsidRPr="0096644E">
        <w:t>and</w:t>
      </w:r>
    </w:p>
    <w:p w14:paraId="0D0F47B9" w14:textId="77777777" w:rsidR="00D921D5" w:rsidRPr="0096644E" w:rsidRDefault="004E2F0F" w:rsidP="00DF4764">
      <w:pPr>
        <w:pStyle w:val="ListParagraph"/>
        <w:numPr>
          <w:ilvl w:val="0"/>
          <w:numId w:val="36"/>
        </w:numPr>
        <w:jc w:val="both"/>
      </w:pPr>
      <w:proofErr w:type="gramStart"/>
      <w:r w:rsidRPr="0096644E">
        <w:t>groundwater</w:t>
      </w:r>
      <w:proofErr w:type="gramEnd"/>
      <w:r w:rsidRPr="0096644E">
        <w:t xml:space="preserve"> drawdown</w:t>
      </w:r>
      <w:r w:rsidR="0057197F" w:rsidRPr="0096644E">
        <w:t xml:space="preserve"> mainly associated with the proposed water supply </w:t>
      </w:r>
      <w:proofErr w:type="spellStart"/>
      <w:r w:rsidR="0057197F" w:rsidRPr="0096644E">
        <w:t>borefield</w:t>
      </w:r>
      <w:proofErr w:type="spellEnd"/>
      <w:r w:rsidRPr="0096644E">
        <w:t xml:space="preserve"> in</w:t>
      </w:r>
      <w:r w:rsidR="00DE1D6F" w:rsidRPr="0096644E">
        <w:t xml:space="preserve"> the Alluvial </w:t>
      </w:r>
      <w:r w:rsidR="00746735" w:rsidRPr="0096644E">
        <w:t>Groundwater Source</w:t>
      </w:r>
      <w:r w:rsidR="00DE1D6F" w:rsidRPr="0096644E">
        <w:t xml:space="preserve"> (</w:t>
      </w:r>
      <w:r w:rsidR="00746735" w:rsidRPr="0096644E">
        <w:t xml:space="preserve">located in </w:t>
      </w:r>
      <w:r w:rsidR="00DE1D6F" w:rsidRPr="0096644E">
        <w:t>Zone 4</w:t>
      </w:r>
      <w:r w:rsidR="00746735" w:rsidRPr="0096644E">
        <w:t xml:space="preserve"> of the </w:t>
      </w:r>
      <w:r w:rsidR="00DE1D6F" w:rsidRPr="0096644E">
        <w:t xml:space="preserve">Upper and Lower Namoi </w:t>
      </w:r>
      <w:r w:rsidR="00746735" w:rsidRPr="0096644E">
        <w:t>G</w:t>
      </w:r>
      <w:r w:rsidR="00DE1D6F" w:rsidRPr="0096644E">
        <w:t xml:space="preserve">roundwater </w:t>
      </w:r>
      <w:r w:rsidR="00746735" w:rsidRPr="0096644E">
        <w:t>S</w:t>
      </w:r>
      <w:r w:rsidR="00DE1D6F" w:rsidRPr="0096644E">
        <w:t>ources</w:t>
      </w:r>
      <w:r w:rsidR="00746735" w:rsidRPr="0096644E">
        <w:t xml:space="preserve"> Water Sharing Plan</w:t>
      </w:r>
      <w:r w:rsidR="00DE1D6F" w:rsidRPr="0096644E">
        <w:t>)</w:t>
      </w:r>
      <w:r w:rsidRPr="0096644E">
        <w:t xml:space="preserve"> that may affect groundwater availability and the dynamics of surface water-groundwater interactions</w:t>
      </w:r>
      <w:r w:rsidR="00DE1D6F" w:rsidRPr="0096644E">
        <w:t xml:space="preserve">. </w:t>
      </w:r>
    </w:p>
    <w:p w14:paraId="5E2A5FAB" w14:textId="05B66A97" w:rsidR="00D921D5" w:rsidRPr="0096644E" w:rsidRDefault="0010635A" w:rsidP="00D921D5">
      <w:pPr>
        <w:jc w:val="both"/>
      </w:pPr>
      <w:r w:rsidRPr="0096644E">
        <w:t>The groundw</w:t>
      </w:r>
      <w:r w:rsidR="00D57BD7" w:rsidRPr="0096644E">
        <w:t>ater extraction volumes predicted</w:t>
      </w:r>
      <w:r w:rsidRPr="0096644E">
        <w:t xml:space="preserve"> by the proponent are generally within the allocations </w:t>
      </w:r>
      <w:r w:rsidR="00E962CD" w:rsidRPr="0096644E">
        <w:t xml:space="preserve">for both </w:t>
      </w:r>
      <w:r w:rsidR="00C66245" w:rsidRPr="0096644E">
        <w:t xml:space="preserve">aforementioned </w:t>
      </w:r>
      <w:r w:rsidR="00E962CD" w:rsidRPr="0096644E">
        <w:t xml:space="preserve">groundwater sources </w:t>
      </w:r>
      <w:r w:rsidRPr="0096644E">
        <w:t>currently held by Whitehaven</w:t>
      </w:r>
      <w:r w:rsidR="00746735" w:rsidRPr="0096644E">
        <w:t xml:space="preserve"> Coal of which the proponent, Vickery Coal Pty Ltd</w:t>
      </w:r>
      <w:r w:rsidR="00CA6EE8" w:rsidRPr="0096644E">
        <w:t>,</w:t>
      </w:r>
      <w:r w:rsidR="00746735" w:rsidRPr="0096644E">
        <w:t xml:space="preserve"> is a subsidiary</w:t>
      </w:r>
      <w:r w:rsidR="001C70C1" w:rsidRPr="0096644E">
        <w:t>.</w:t>
      </w:r>
    </w:p>
    <w:p w14:paraId="0C66D6BC" w14:textId="3D379132" w:rsidR="00DF4764" w:rsidRPr="0096644E" w:rsidRDefault="00DF4764" w:rsidP="00D921D5">
      <w:pPr>
        <w:jc w:val="both"/>
      </w:pPr>
      <w:r w:rsidRPr="0096644E">
        <w:t xml:space="preserve">The IESC has identified areas in which additional work is required to </w:t>
      </w:r>
      <w:r w:rsidR="00832062" w:rsidRPr="0096644E">
        <w:t>assess</w:t>
      </w:r>
      <w:r w:rsidRPr="0096644E">
        <w:t xml:space="preserve"> the </w:t>
      </w:r>
      <w:r w:rsidR="00C66245" w:rsidRPr="0096644E">
        <w:t>materiality</w:t>
      </w:r>
      <w:r w:rsidR="001C70C1" w:rsidRPr="0096644E">
        <w:t xml:space="preserve"> of </w:t>
      </w:r>
      <w:r w:rsidRPr="0096644E">
        <w:t>impacts, as detailed in this advice. These are summarised below.</w:t>
      </w:r>
    </w:p>
    <w:p w14:paraId="7E3D5E96" w14:textId="0EDAB536" w:rsidR="00BC35A3" w:rsidRPr="0096644E" w:rsidRDefault="00BC35A3" w:rsidP="00F52227">
      <w:pPr>
        <w:pStyle w:val="ListParagraph"/>
        <w:numPr>
          <w:ilvl w:val="0"/>
          <w:numId w:val="36"/>
        </w:numPr>
        <w:jc w:val="both"/>
      </w:pPr>
      <w:r w:rsidRPr="0096644E">
        <w:t>Further transient predictive model simulations are needed to examine a greater range of variability in hydrau</w:t>
      </w:r>
      <w:r w:rsidR="00C964CF" w:rsidRPr="0096644E">
        <w:t>lic conductivity and specific storage</w:t>
      </w:r>
      <w:r w:rsidRPr="0096644E">
        <w:t xml:space="preserve">. This information is needed to improve the current understanding of potential variability </w:t>
      </w:r>
      <w:r w:rsidR="00D0369B" w:rsidRPr="0096644E">
        <w:t>of drawdown</w:t>
      </w:r>
      <w:r w:rsidRPr="0096644E">
        <w:t xml:space="preserve"> impacts that could occur and to further support the proponent</w:t>
      </w:r>
      <w:r w:rsidR="00BF7865" w:rsidRPr="0096644E">
        <w:t>’</w:t>
      </w:r>
      <w:r w:rsidRPr="0096644E">
        <w:t>s statements that seepage losses from both the Upper Namoi Alluvium and the Namoi River will be limited given the intensive use of these water resources.</w:t>
      </w:r>
    </w:p>
    <w:p w14:paraId="0A63EBEE" w14:textId="6D06984F" w:rsidR="00BC35A3" w:rsidRPr="0096644E" w:rsidRDefault="00BC35A3" w:rsidP="00F52227">
      <w:pPr>
        <w:pStyle w:val="ListParagraph"/>
        <w:numPr>
          <w:ilvl w:val="0"/>
          <w:numId w:val="36"/>
        </w:numPr>
        <w:jc w:val="both"/>
      </w:pPr>
      <w:r w:rsidRPr="0096644E">
        <w:t>M</w:t>
      </w:r>
      <w:r w:rsidR="00F52227" w:rsidRPr="0096644E">
        <w:t>ap</w:t>
      </w:r>
      <w:r w:rsidRPr="0096644E">
        <w:t>s are needed that illustrate</w:t>
      </w:r>
      <w:r w:rsidR="00F52227" w:rsidRPr="0096644E">
        <w:t xml:space="preserve"> the distribution of potential </w:t>
      </w:r>
      <w:r w:rsidR="00BC3BC9" w:rsidRPr="0096644E">
        <w:t>groundwater-dependent ecosystems (</w:t>
      </w:r>
      <w:r w:rsidR="00F52227" w:rsidRPr="0096644E">
        <w:t>GDEs</w:t>
      </w:r>
      <w:r w:rsidR="00BC3BC9" w:rsidRPr="0096644E">
        <w:t>), particularly terrestrial ones,</w:t>
      </w:r>
      <w:r w:rsidR="00F52227" w:rsidRPr="0096644E">
        <w:t xml:space="preserve"> superimposed on contours of estimated depths to the water table (in metres below ground level) </w:t>
      </w:r>
      <w:r w:rsidRPr="0096644E">
        <w:t xml:space="preserve">both </w:t>
      </w:r>
      <w:r w:rsidR="00F52227" w:rsidRPr="0096644E">
        <w:t>pre-mining and at maximum predicted drawdown</w:t>
      </w:r>
      <w:r w:rsidRPr="0096644E">
        <w:t xml:space="preserve">. These maps should also show </w:t>
      </w:r>
      <w:r w:rsidR="00F52227" w:rsidRPr="0096644E">
        <w:t>the locations of bores used to estimate the water table depths.</w:t>
      </w:r>
      <w:r w:rsidR="005F3899" w:rsidRPr="0096644E">
        <w:t xml:space="preserve"> </w:t>
      </w:r>
      <w:r w:rsidRPr="0096644E">
        <w:t>These maps are needed to fully understand potential impacts to GDEs.</w:t>
      </w:r>
    </w:p>
    <w:p w14:paraId="57B083A1" w14:textId="72A19CC7" w:rsidR="005F3899" w:rsidRPr="0096644E" w:rsidRDefault="00BC35A3" w:rsidP="007970CC">
      <w:pPr>
        <w:pStyle w:val="ListParagraph"/>
        <w:numPr>
          <w:ilvl w:val="0"/>
          <w:numId w:val="36"/>
        </w:numPr>
        <w:jc w:val="both"/>
      </w:pPr>
      <w:r w:rsidRPr="0096644E">
        <w:t>An a</w:t>
      </w:r>
      <w:r w:rsidR="005F3899" w:rsidRPr="0096644E">
        <w:t>ppropriate risk analysis (e.g. Serov et al. 2012) of the potential impacts of groundwater drawdown to GDEs is required, along with proposed mitigation strategies if impacts cannot be avoided.</w:t>
      </w:r>
    </w:p>
    <w:p w14:paraId="75D79972" w14:textId="140DE13A" w:rsidR="00832062" w:rsidRPr="0096644E" w:rsidRDefault="00832062" w:rsidP="007970CC">
      <w:pPr>
        <w:pStyle w:val="ListParagraph"/>
        <w:numPr>
          <w:ilvl w:val="0"/>
          <w:numId w:val="36"/>
        </w:numPr>
        <w:jc w:val="both"/>
      </w:pPr>
      <w:r w:rsidRPr="0096644E">
        <w:t>Because the direction of surface water-groundwater exchange in the river bed</w:t>
      </w:r>
      <w:r w:rsidR="001C70C1" w:rsidRPr="0096644E">
        <w:t xml:space="preserve"> and banks</w:t>
      </w:r>
      <w:r w:rsidRPr="0096644E">
        <w:t xml:space="preserve"> strongly affects biogeochemical processes in the sediments, more information is needed on how groundwater drawdown may alter spatial and temporal patterns of surface water-groundwater exchanges in the Namoi River.</w:t>
      </w:r>
    </w:p>
    <w:p w14:paraId="0845ADBE" w14:textId="582E4955" w:rsidR="00D0369B" w:rsidRPr="0096644E" w:rsidRDefault="001C70C1" w:rsidP="007970CC">
      <w:pPr>
        <w:pStyle w:val="ListParagraph"/>
        <w:numPr>
          <w:ilvl w:val="0"/>
          <w:numId w:val="36"/>
        </w:numPr>
        <w:jc w:val="both"/>
      </w:pPr>
      <w:r w:rsidRPr="0096644E">
        <w:t>Further geochemical analyses should be undertaken using a range of environmental conditions (especially pH) that are representative of what may occur at the project site</w:t>
      </w:r>
      <w:r w:rsidR="00D57BD7" w:rsidRPr="0096644E">
        <w:t>,</w:t>
      </w:r>
      <w:r w:rsidRPr="0096644E">
        <w:t xml:space="preserve"> </w:t>
      </w:r>
      <w:r w:rsidR="00495B98" w:rsidRPr="0096644E">
        <w:t xml:space="preserve">particularly </w:t>
      </w:r>
      <w:r w:rsidRPr="0096644E">
        <w:t xml:space="preserve">as the solubility and </w:t>
      </w:r>
      <w:r w:rsidR="00C66245" w:rsidRPr="0096644E">
        <w:t xml:space="preserve">bioavailability </w:t>
      </w:r>
      <w:r w:rsidRPr="0096644E">
        <w:t xml:space="preserve">of </w:t>
      </w:r>
      <w:r w:rsidR="004555E6" w:rsidRPr="0096644E">
        <w:t>m</w:t>
      </w:r>
      <w:r w:rsidRPr="0096644E">
        <w:t xml:space="preserve">etals </w:t>
      </w:r>
      <w:r w:rsidR="004555E6" w:rsidRPr="0096644E">
        <w:t xml:space="preserve">depends </w:t>
      </w:r>
      <w:r w:rsidR="00F87AC6" w:rsidRPr="0096644E">
        <w:t xml:space="preserve">on </w:t>
      </w:r>
      <w:r w:rsidR="00823223" w:rsidRPr="0096644E">
        <w:t>water chemistry</w:t>
      </w:r>
      <w:r w:rsidRPr="0096644E">
        <w:t xml:space="preserve">. </w:t>
      </w:r>
    </w:p>
    <w:p w14:paraId="71C445F7" w14:textId="145459A7" w:rsidR="00DF4764" w:rsidRPr="0096644E" w:rsidRDefault="001C70C1" w:rsidP="0060599E">
      <w:pPr>
        <w:pStyle w:val="ListParagraph"/>
        <w:numPr>
          <w:ilvl w:val="0"/>
          <w:numId w:val="36"/>
        </w:numPr>
        <w:jc w:val="both"/>
        <w:rPr>
          <w:b/>
        </w:rPr>
      </w:pPr>
      <w:r w:rsidRPr="0096644E">
        <w:t>Monitoring of surface water quality should</w:t>
      </w:r>
      <w:r w:rsidR="00842013" w:rsidRPr="0096644E">
        <w:t xml:space="preserve"> be improved by increasing the frequency of monitoring and the range of </w:t>
      </w:r>
      <w:proofErr w:type="spellStart"/>
      <w:r w:rsidR="00842013" w:rsidRPr="0096644E">
        <w:t>analytes</w:t>
      </w:r>
      <w:proofErr w:type="spellEnd"/>
      <w:r w:rsidR="00842013" w:rsidRPr="0096644E">
        <w:t>.</w:t>
      </w:r>
    </w:p>
    <w:p w14:paraId="50C759B0" w14:textId="084F13C9" w:rsidR="00234BFF" w:rsidRPr="0096644E" w:rsidRDefault="00234BFF" w:rsidP="00234BFF">
      <w:pPr>
        <w:pStyle w:val="ListParagraph"/>
        <w:numPr>
          <w:ilvl w:val="0"/>
          <w:numId w:val="36"/>
        </w:numPr>
        <w:jc w:val="both"/>
      </w:pPr>
      <w:r w:rsidRPr="0096644E">
        <w:lastRenderedPageBreak/>
        <w:t>More information is needed regarding the potential for localised increases in erosion and changes to flood characteristics associated with construction activities and infrastructure (e.g. rail spur) that could impact the state-listed ‘Lowland Darling River Aquatic Ecological Community’.</w:t>
      </w:r>
    </w:p>
    <w:p w14:paraId="11BD12D7" w14:textId="77777777" w:rsidR="00291857" w:rsidRPr="0096644E" w:rsidRDefault="00291857" w:rsidP="00291857">
      <w:pPr>
        <w:rPr>
          <w:b/>
        </w:rPr>
      </w:pPr>
      <w:r w:rsidRPr="0096644E">
        <w:rPr>
          <w:b/>
        </w:rPr>
        <w:t>Context</w:t>
      </w:r>
    </w:p>
    <w:p w14:paraId="1D886A32" w14:textId="624826DE" w:rsidR="00A80D01" w:rsidRPr="0096644E" w:rsidRDefault="00773B33" w:rsidP="00A80D01">
      <w:r w:rsidRPr="0096644E">
        <w:t xml:space="preserve">The project would </w:t>
      </w:r>
      <w:r w:rsidR="00A3466B" w:rsidRPr="0096644E">
        <w:t>involve extraction of up to 10 </w:t>
      </w:r>
      <w:proofErr w:type="spellStart"/>
      <w:r w:rsidR="00A3466B" w:rsidRPr="0096644E">
        <w:t>Mtpa</w:t>
      </w:r>
      <w:proofErr w:type="spellEnd"/>
      <w:r w:rsidRPr="0096644E">
        <w:t xml:space="preserve"> of run-of-mine</w:t>
      </w:r>
      <w:r w:rsidR="00A3466B" w:rsidRPr="0096644E">
        <w:t xml:space="preserve"> (ROM)</w:t>
      </w:r>
      <w:r w:rsidRPr="0096644E">
        <w:t xml:space="preserve"> coal</w:t>
      </w:r>
      <w:r w:rsidR="00112457" w:rsidRPr="0096644E">
        <w:t xml:space="preserve"> (increased from 4.5 </w:t>
      </w:r>
      <w:proofErr w:type="spellStart"/>
      <w:r w:rsidR="00112457" w:rsidRPr="0096644E">
        <w:t>Mtpa</w:t>
      </w:r>
      <w:proofErr w:type="spellEnd"/>
      <w:r w:rsidR="00112457" w:rsidRPr="0096644E">
        <w:t xml:space="preserve"> for the approved project)</w:t>
      </w:r>
      <w:r w:rsidRPr="0096644E">
        <w:t xml:space="preserve"> through open-cut mining.</w:t>
      </w:r>
      <w:r w:rsidR="005158B1" w:rsidRPr="0096644E">
        <w:t xml:space="preserve"> Coal products would include semi-soft </w:t>
      </w:r>
      <w:r w:rsidR="00E962CD" w:rsidRPr="0096644E">
        <w:t xml:space="preserve">metallurgical </w:t>
      </w:r>
      <w:r w:rsidR="005158B1" w:rsidRPr="0096644E">
        <w:t xml:space="preserve">coal, pulverised coal </w:t>
      </w:r>
      <w:proofErr w:type="spellStart"/>
      <w:r w:rsidR="005158B1" w:rsidRPr="0096644E">
        <w:t>injectate</w:t>
      </w:r>
      <w:proofErr w:type="spellEnd"/>
      <w:r w:rsidR="005158B1" w:rsidRPr="0096644E">
        <w:t xml:space="preserve"> and thermal coal.</w:t>
      </w:r>
      <w:r w:rsidR="00596EF4" w:rsidRPr="0096644E">
        <w:t xml:space="preserve"> </w:t>
      </w:r>
      <w:r w:rsidR="00112457" w:rsidRPr="0096644E">
        <w:t xml:space="preserve">The total resource extracted will increase to 179 Mt under the proposed project (from 135 Mt for the approved project). </w:t>
      </w:r>
      <w:r w:rsidR="00596EF4" w:rsidRPr="0096644E">
        <w:t xml:space="preserve">The </w:t>
      </w:r>
      <w:r w:rsidR="00A3466B" w:rsidRPr="0096644E">
        <w:t xml:space="preserve">proposed extension would have a disturbance footprint of </w:t>
      </w:r>
      <w:r w:rsidR="00596EF4" w:rsidRPr="0096644E">
        <w:t>approximately</w:t>
      </w:r>
      <w:r w:rsidR="00A3466B" w:rsidRPr="0096644E">
        <w:t xml:space="preserve"> </w:t>
      </w:r>
      <w:r w:rsidR="00596EF4" w:rsidRPr="0096644E">
        <w:t>98</w:t>
      </w:r>
      <w:r w:rsidR="00A3466B" w:rsidRPr="0096644E">
        <w:t>4 ha in addition to the disturbance area of the approved mine.</w:t>
      </w:r>
      <w:r w:rsidR="00596EF4" w:rsidRPr="0096644E">
        <w:t xml:space="preserve"> </w:t>
      </w:r>
      <w:r w:rsidR="00112457" w:rsidRPr="0096644E">
        <w:t>T</w:t>
      </w:r>
      <w:r w:rsidR="00596EF4" w:rsidRPr="0096644E">
        <w:t>he project includes construction of a rail spur</w:t>
      </w:r>
      <w:r w:rsidR="00112457" w:rsidRPr="0096644E">
        <w:t xml:space="preserve"> connecting to the Werris Creek</w:t>
      </w:r>
      <w:r w:rsidR="008B4F96" w:rsidRPr="0096644E">
        <w:t>-</w:t>
      </w:r>
      <w:r w:rsidR="00112457" w:rsidRPr="0096644E">
        <w:t xml:space="preserve">Mungindi line, a train load-out facility, </w:t>
      </w:r>
      <w:proofErr w:type="gramStart"/>
      <w:r w:rsidR="00112457" w:rsidRPr="0096644E">
        <w:t>a</w:t>
      </w:r>
      <w:proofErr w:type="gramEnd"/>
      <w:r w:rsidR="00596EF4" w:rsidRPr="0096644E">
        <w:t xml:space="preserve"> coal handling and preparation plant </w:t>
      </w:r>
      <w:r w:rsidR="00CE19DF" w:rsidRPr="0096644E">
        <w:t xml:space="preserve">(CHPP) </w:t>
      </w:r>
      <w:r w:rsidR="00112457" w:rsidRPr="0096644E">
        <w:t xml:space="preserve">and a </w:t>
      </w:r>
      <w:proofErr w:type="spellStart"/>
      <w:r w:rsidR="00112457" w:rsidRPr="0096644E">
        <w:t>borefield</w:t>
      </w:r>
      <w:proofErr w:type="spellEnd"/>
      <w:r w:rsidR="00112457" w:rsidRPr="0096644E">
        <w:t xml:space="preserve"> with pipes to connect to the mine</w:t>
      </w:r>
      <w:r w:rsidR="00596EF4" w:rsidRPr="0096644E">
        <w:t>.</w:t>
      </w:r>
      <w:r w:rsidR="00112457" w:rsidRPr="0096644E">
        <w:t xml:space="preserve"> The water extraction point on the Namoi River and associated </w:t>
      </w:r>
      <w:r w:rsidR="00F67883" w:rsidRPr="0096644E">
        <w:t>infrastructure</w:t>
      </w:r>
      <w:r w:rsidR="00112457" w:rsidRPr="0096644E">
        <w:t xml:space="preserve"> are part of the </w:t>
      </w:r>
      <w:r w:rsidR="001F5F1F" w:rsidRPr="0096644E">
        <w:t xml:space="preserve">currently </w:t>
      </w:r>
      <w:r w:rsidR="00112457" w:rsidRPr="0096644E">
        <w:t>approved project.</w:t>
      </w:r>
    </w:p>
    <w:p w14:paraId="32551B52" w14:textId="5ACD6B9E" w:rsidR="00BF322C" w:rsidRPr="0096644E" w:rsidRDefault="005158B1" w:rsidP="00BF322C">
      <w:pPr>
        <w:rPr>
          <w:sz w:val="22"/>
          <w:szCs w:val="22"/>
        </w:rPr>
      </w:pPr>
      <w:r w:rsidRPr="0096644E">
        <w:t>Al</w:t>
      </w:r>
      <w:r w:rsidR="00BF322C" w:rsidRPr="0096644E">
        <w:t xml:space="preserve">though the Vickery Extension Project occurs within a landscape that has already been largely modified by land clearing for agriculture, it is adjacent to an area of remnant bushland, the Vickery State Forest. A number of low order and intermittent streams drain from this bushland into and across the project area. </w:t>
      </w:r>
      <w:r w:rsidRPr="0096644E">
        <w:t>While t</w:t>
      </w:r>
      <w:r w:rsidR="00BF322C" w:rsidRPr="0096644E">
        <w:t xml:space="preserve">hese creeks and drainage lines represent only a small fraction of the habitats available in the region, their value to local aquatic and terrestrial biodiversity </w:t>
      </w:r>
      <w:r w:rsidRPr="0096644E">
        <w:t>does not appear to have been fully considered</w:t>
      </w:r>
      <w:r w:rsidR="002A7B17" w:rsidRPr="0096644E">
        <w:t>.</w:t>
      </w:r>
      <w:r w:rsidR="00BF322C" w:rsidRPr="0096644E">
        <w:t xml:space="preserve"> </w:t>
      </w:r>
      <w:r w:rsidR="00832062" w:rsidRPr="0096644E">
        <w:t>Restoration</w:t>
      </w:r>
      <w:r w:rsidR="00BF322C" w:rsidRPr="0096644E">
        <w:t xml:space="preserve"> of the area following mine closure is li</w:t>
      </w:r>
      <w:r w:rsidR="00495B98" w:rsidRPr="0096644E">
        <w:t>kely to be more successful</w:t>
      </w:r>
      <w:r w:rsidR="00BF322C" w:rsidRPr="0096644E">
        <w:t xml:space="preserve"> if it is possible to maintain the physical and biological integrity of streamlines within the project area. </w:t>
      </w:r>
    </w:p>
    <w:p w14:paraId="155EBA76" w14:textId="77777777" w:rsidR="007203C3" w:rsidRPr="0096644E" w:rsidRDefault="00766009" w:rsidP="00D622B9">
      <w:pPr>
        <w:pStyle w:val="Heading3"/>
      </w:pPr>
      <w:r w:rsidRPr="0096644E">
        <w:t>Response to questions</w:t>
      </w:r>
    </w:p>
    <w:p w14:paraId="6E24007B" w14:textId="2A5772CE" w:rsidR="007203C3" w:rsidRPr="0096644E" w:rsidRDefault="007203C3" w:rsidP="007203C3">
      <w:pPr>
        <w:pStyle w:val="Default"/>
        <w:spacing w:after="200" w:line="276" w:lineRule="auto"/>
        <w:rPr>
          <w:rFonts w:ascii="Arial" w:eastAsia="Times New Roman" w:hAnsi="Arial" w:cs="Arial"/>
          <w:color w:val="auto"/>
          <w:sz w:val="20"/>
          <w:szCs w:val="20"/>
          <w:lang w:eastAsia="en-US"/>
        </w:rPr>
      </w:pPr>
      <w:r w:rsidRPr="0096644E">
        <w:rPr>
          <w:rFonts w:ascii="Arial" w:eastAsia="Times New Roman" w:hAnsi="Arial" w:cs="Arial"/>
          <w:color w:val="auto"/>
          <w:sz w:val="20"/>
          <w:szCs w:val="20"/>
          <w:lang w:eastAsia="en-US"/>
        </w:rPr>
        <w:t xml:space="preserve">The </w:t>
      </w:r>
      <w:r w:rsidR="00CF562A" w:rsidRPr="0096644E">
        <w:rPr>
          <w:rFonts w:ascii="Arial" w:eastAsia="Times New Roman" w:hAnsi="Arial" w:cs="Arial"/>
          <w:color w:val="auto"/>
          <w:sz w:val="20"/>
          <w:szCs w:val="20"/>
          <w:lang w:eastAsia="en-US"/>
        </w:rPr>
        <w:t>IESC</w:t>
      </w:r>
      <w:r w:rsidRPr="0096644E">
        <w:rPr>
          <w:rFonts w:ascii="Arial" w:eastAsia="Times New Roman" w:hAnsi="Arial" w:cs="Arial"/>
          <w:color w:val="auto"/>
          <w:sz w:val="20"/>
          <w:szCs w:val="20"/>
          <w:lang w:eastAsia="en-US"/>
        </w:rPr>
        <w:t xml:space="preserve">’s advice in response to the </w:t>
      </w:r>
      <w:r w:rsidR="00E57CD8" w:rsidRPr="0096644E">
        <w:rPr>
          <w:rFonts w:ascii="Arial" w:eastAsia="Times New Roman" w:hAnsi="Arial" w:cs="Arial"/>
          <w:color w:val="auto"/>
          <w:sz w:val="20"/>
          <w:szCs w:val="20"/>
          <w:lang w:eastAsia="en-US"/>
        </w:rPr>
        <w:t xml:space="preserve">requesting </w:t>
      </w:r>
      <w:r w:rsidR="00D441B2" w:rsidRPr="0096644E">
        <w:rPr>
          <w:rFonts w:ascii="Arial" w:eastAsia="Times New Roman" w:hAnsi="Arial" w:cs="Arial"/>
          <w:color w:val="auto"/>
          <w:sz w:val="20"/>
          <w:szCs w:val="20"/>
          <w:lang w:eastAsia="en-US"/>
        </w:rPr>
        <w:t>agencie</w:t>
      </w:r>
      <w:r w:rsidR="001B74EB" w:rsidRPr="0096644E">
        <w:rPr>
          <w:rFonts w:ascii="Arial" w:eastAsia="Times New Roman" w:hAnsi="Arial" w:cs="Arial"/>
          <w:color w:val="auto"/>
          <w:sz w:val="20"/>
          <w:szCs w:val="20"/>
          <w:lang w:eastAsia="en-US"/>
        </w:rPr>
        <w:t>s’</w:t>
      </w:r>
      <w:r w:rsidRPr="0096644E">
        <w:rPr>
          <w:rFonts w:ascii="Arial" w:eastAsia="Times New Roman" w:hAnsi="Arial" w:cs="Arial"/>
          <w:color w:val="auto"/>
          <w:sz w:val="20"/>
          <w:szCs w:val="20"/>
          <w:lang w:eastAsia="en-US"/>
        </w:rPr>
        <w:t xml:space="preserve"> specific questions is provided below. </w:t>
      </w:r>
    </w:p>
    <w:p w14:paraId="763350B0" w14:textId="77777777" w:rsidR="007203C3" w:rsidRPr="0096644E" w:rsidRDefault="007203C3" w:rsidP="00C60A1A">
      <w:pPr>
        <w:pStyle w:val="Question"/>
        <w:shd w:val="clear" w:color="auto" w:fill="E7E6E6"/>
      </w:pPr>
      <w:r w:rsidRPr="0096644E">
        <w:t xml:space="preserve">Question 1: </w:t>
      </w:r>
      <w:r w:rsidR="003A1193" w:rsidRPr="0096644E">
        <w:t>Groundwater</w:t>
      </w:r>
    </w:p>
    <w:p w14:paraId="29AB6042" w14:textId="77777777" w:rsidR="003A1193" w:rsidRPr="0096644E" w:rsidRDefault="003A1193" w:rsidP="00C60A1A">
      <w:pPr>
        <w:pStyle w:val="Question"/>
        <w:shd w:val="clear" w:color="auto" w:fill="E7E6E6"/>
        <w:rPr>
          <w:lang w:eastAsia="en-AU"/>
        </w:rPr>
      </w:pPr>
      <w:r w:rsidRPr="0096644E">
        <w:rPr>
          <w:lang w:eastAsia="en-AU"/>
        </w:rPr>
        <w:t xml:space="preserve">a. Does the IESC agree that the Vickery Extension Project is unlikely to exceed the minimal impact considerations in the NSW </w:t>
      </w:r>
      <w:r w:rsidRPr="0096644E">
        <w:rPr>
          <w:i/>
          <w:lang w:eastAsia="en-AU"/>
        </w:rPr>
        <w:t xml:space="preserve">Aquifer </w:t>
      </w:r>
      <w:r w:rsidR="00983065" w:rsidRPr="0096644E">
        <w:rPr>
          <w:i/>
          <w:lang w:eastAsia="en-AU"/>
        </w:rPr>
        <w:t>Interference</w:t>
      </w:r>
      <w:r w:rsidRPr="0096644E">
        <w:rPr>
          <w:i/>
          <w:lang w:eastAsia="en-AU"/>
        </w:rPr>
        <w:t xml:space="preserve"> Policy</w:t>
      </w:r>
      <w:r w:rsidRPr="0096644E">
        <w:rPr>
          <w:lang w:eastAsia="en-AU"/>
        </w:rPr>
        <w:t xml:space="preserve">, or result in significant impacts on the highly productive Upper Namoi Alluvium over and above those for the approved project and/or Whitehaven’s </w:t>
      </w:r>
      <w:r w:rsidR="00983065" w:rsidRPr="0096644E">
        <w:rPr>
          <w:lang w:eastAsia="en-AU"/>
        </w:rPr>
        <w:t>existing</w:t>
      </w:r>
      <w:r w:rsidRPr="0096644E">
        <w:rPr>
          <w:lang w:eastAsia="en-AU"/>
        </w:rPr>
        <w:t xml:space="preserve"> entitlements?</w:t>
      </w:r>
    </w:p>
    <w:p w14:paraId="2E98823E" w14:textId="77777777" w:rsidR="003A1193" w:rsidRPr="0096644E" w:rsidRDefault="003A1193" w:rsidP="00C60A1A">
      <w:pPr>
        <w:pStyle w:val="Question"/>
        <w:shd w:val="clear" w:color="auto" w:fill="E7E6E6"/>
        <w:rPr>
          <w:lang w:eastAsia="en-AU"/>
        </w:rPr>
      </w:pPr>
      <w:r w:rsidRPr="0096644E">
        <w:rPr>
          <w:lang w:eastAsia="en-AU"/>
        </w:rPr>
        <w:t>b. Does the IESC recommend any specific measures to mitigate and manage the identified impacts to groundwater resources?</w:t>
      </w:r>
    </w:p>
    <w:p w14:paraId="2BC95C31" w14:textId="3EA6299D" w:rsidR="00CF5929" w:rsidRPr="0096644E" w:rsidRDefault="0034248E" w:rsidP="00D622B9">
      <w:pPr>
        <w:pStyle w:val="ListNumber"/>
      </w:pPr>
      <w:r w:rsidRPr="0096644E">
        <w:t>The groundwater model prediction</w:t>
      </w:r>
      <w:r w:rsidR="00BB72AD" w:rsidRPr="0096644E">
        <w:t>s</w:t>
      </w:r>
      <w:r w:rsidRPr="0096644E">
        <w:t xml:space="preserve"> provided by the proponent indicate that the impacts from the project will be within the minimal impact considerations of the </w:t>
      </w:r>
      <w:r w:rsidRPr="0096644E">
        <w:rPr>
          <w:i/>
        </w:rPr>
        <w:t xml:space="preserve">NSW Aquifer </w:t>
      </w:r>
      <w:r w:rsidR="00983065" w:rsidRPr="0096644E">
        <w:rPr>
          <w:i/>
        </w:rPr>
        <w:t>Interference</w:t>
      </w:r>
      <w:r w:rsidRPr="0096644E">
        <w:rPr>
          <w:i/>
        </w:rPr>
        <w:t xml:space="preserve"> Policy</w:t>
      </w:r>
      <w:r w:rsidR="00E24BC3" w:rsidRPr="0096644E">
        <w:t xml:space="preserve">, </w:t>
      </w:r>
      <w:r w:rsidR="001F5F1F" w:rsidRPr="0096644E">
        <w:t xml:space="preserve">and </w:t>
      </w:r>
      <w:r w:rsidR="00E24BC3" w:rsidRPr="0096644E">
        <w:t>will not result in any significant impacts to the highly productive Upper Namoi Alluvium</w:t>
      </w:r>
      <w:r w:rsidR="00835E13" w:rsidRPr="0096644E">
        <w:t>. Planned extractions</w:t>
      </w:r>
      <w:r w:rsidR="00E24BC3" w:rsidRPr="0096644E">
        <w:t xml:space="preserve"> will generally be within </w:t>
      </w:r>
      <w:r w:rsidR="00983065" w:rsidRPr="0096644E">
        <w:t>existing</w:t>
      </w:r>
      <w:r w:rsidR="00E24BC3" w:rsidRPr="0096644E">
        <w:t xml:space="preserve"> </w:t>
      </w:r>
      <w:r w:rsidR="00590297" w:rsidRPr="0096644E">
        <w:t>ground</w:t>
      </w:r>
      <w:r w:rsidR="00E24BC3" w:rsidRPr="0096644E">
        <w:t>water entitlements held by Whitehaven</w:t>
      </w:r>
      <w:r w:rsidR="00832062" w:rsidRPr="0096644E">
        <w:t xml:space="preserve"> Coal</w:t>
      </w:r>
      <w:r w:rsidR="00E24BC3" w:rsidRPr="0096644E">
        <w:t xml:space="preserve">. The IESC </w:t>
      </w:r>
      <w:r w:rsidR="00832062" w:rsidRPr="0096644E">
        <w:t xml:space="preserve">suggests </w:t>
      </w:r>
      <w:r w:rsidR="00E24BC3" w:rsidRPr="0096644E">
        <w:t xml:space="preserve">that consideration and discussion of the issues outlined below would </w:t>
      </w:r>
      <w:r w:rsidR="009A27A0" w:rsidRPr="0096644E">
        <w:t xml:space="preserve">further </w:t>
      </w:r>
      <w:r w:rsidR="00E24BC3" w:rsidRPr="0096644E">
        <w:t>increase confidence in the accuracy and validity of the groundwa</w:t>
      </w:r>
      <w:r w:rsidR="00091CCF" w:rsidRPr="0096644E">
        <w:t>ter</w:t>
      </w:r>
      <w:r w:rsidR="00DE5772" w:rsidRPr="0096644E">
        <w:t xml:space="preserve"> impact assessment</w:t>
      </w:r>
      <w:r w:rsidR="00E24BC3" w:rsidRPr="0096644E">
        <w:t xml:space="preserve">. </w:t>
      </w:r>
    </w:p>
    <w:p w14:paraId="54B508D1" w14:textId="50E1E22A" w:rsidR="00443289" w:rsidRPr="0096644E" w:rsidRDefault="00443289" w:rsidP="00D622B9">
      <w:pPr>
        <w:pStyle w:val="ListNumber2"/>
      </w:pPr>
      <w:r w:rsidRPr="0096644E">
        <w:t xml:space="preserve">The groundwater model developed for this project has </w:t>
      </w:r>
      <w:r w:rsidR="00BF7865" w:rsidRPr="0096644E">
        <w:t>used</w:t>
      </w:r>
      <w:r w:rsidRPr="0096644E">
        <w:t xml:space="preserve"> considerable historical time-series data for </w:t>
      </w:r>
      <w:r w:rsidR="00983065" w:rsidRPr="0096644E">
        <w:t>calibration</w:t>
      </w:r>
      <w:r w:rsidRPr="0096644E">
        <w:t xml:space="preserve"> and validation processes</w:t>
      </w:r>
      <w:r w:rsidR="000730DB" w:rsidRPr="0096644E">
        <w:t xml:space="preserve">. These processes have resulted in generally good </w:t>
      </w:r>
      <w:r w:rsidR="002E329F" w:rsidRPr="0096644E">
        <w:t>agreement</w:t>
      </w:r>
      <w:r w:rsidR="000730DB" w:rsidRPr="0096644E">
        <w:t xml:space="preserve"> between observations and predictions (noting limitations regarding replication of seasonal changes due to pumping, the timing of which can be difficult to accurately incorporate in the model)</w:t>
      </w:r>
      <w:r w:rsidRPr="0096644E">
        <w:t xml:space="preserve"> which increases confidence in the </w:t>
      </w:r>
      <w:r w:rsidR="000730DB" w:rsidRPr="0096644E">
        <w:t>reliability of the model</w:t>
      </w:r>
      <w:r w:rsidRPr="0096644E">
        <w:t xml:space="preserve"> predictions.</w:t>
      </w:r>
      <w:r w:rsidR="000730DB" w:rsidRPr="0096644E">
        <w:t xml:space="preserve"> However, the IESC notes </w:t>
      </w:r>
      <w:r w:rsidR="00A415BD" w:rsidRPr="0096644E">
        <w:t>some</w:t>
      </w:r>
      <w:r w:rsidR="000730DB" w:rsidRPr="0096644E">
        <w:t xml:space="preserve"> limitations with the groundwater model</w:t>
      </w:r>
      <w:r w:rsidR="00AE3BFA" w:rsidRPr="0096644E">
        <w:t>.</w:t>
      </w:r>
    </w:p>
    <w:p w14:paraId="284D0744" w14:textId="0BB83892" w:rsidR="000730DB" w:rsidRPr="0096644E" w:rsidRDefault="00A415BD" w:rsidP="000730DB">
      <w:pPr>
        <w:pStyle w:val="ListNumber3"/>
      </w:pPr>
      <w:r w:rsidRPr="0096644E">
        <w:t>T</w:t>
      </w:r>
      <w:r w:rsidR="00E52CDE" w:rsidRPr="0096644E">
        <w:t xml:space="preserve">he </w:t>
      </w:r>
      <w:r w:rsidR="00BA7219" w:rsidRPr="0096644E">
        <w:t>model complexity and size</w:t>
      </w:r>
      <w:r w:rsidR="00495B98" w:rsidRPr="0096644E">
        <w:t xml:space="preserve"> limit</w:t>
      </w:r>
      <w:r w:rsidR="000730DB" w:rsidRPr="0096644E">
        <w:t xml:space="preserve"> the usability of the model for sensitivity and uncertainty </w:t>
      </w:r>
      <w:r w:rsidR="00983065" w:rsidRPr="0096644E">
        <w:t>analysis</w:t>
      </w:r>
      <w:r w:rsidR="000730DB" w:rsidRPr="0096644E">
        <w:t>. The</w:t>
      </w:r>
      <w:r w:rsidR="00F87AC6" w:rsidRPr="0096644E">
        <w:t xml:space="preserve"> model design</w:t>
      </w:r>
      <w:r w:rsidR="000730DB" w:rsidRPr="0096644E">
        <w:t xml:space="preserve"> is cited by the proponent as preventing a quantitative </w:t>
      </w:r>
      <w:r w:rsidR="009A27A0" w:rsidRPr="0096644E">
        <w:t xml:space="preserve">uncertainty </w:t>
      </w:r>
      <w:r w:rsidR="000730DB" w:rsidRPr="0096644E">
        <w:t xml:space="preserve">analysis, limiting </w:t>
      </w:r>
      <w:r w:rsidR="001D4104" w:rsidRPr="0096644E">
        <w:t xml:space="preserve">such an </w:t>
      </w:r>
      <w:r w:rsidR="000730DB" w:rsidRPr="0096644E">
        <w:t xml:space="preserve">analysis to a qualitative scenario-based approach. </w:t>
      </w:r>
      <w:r w:rsidR="006E6B68" w:rsidRPr="0096644E">
        <w:t xml:space="preserve">The IESC </w:t>
      </w:r>
      <w:r w:rsidR="006E6B68" w:rsidRPr="0096644E">
        <w:lastRenderedPageBreak/>
        <w:t xml:space="preserve">considers that </w:t>
      </w:r>
      <w:r w:rsidR="00842013" w:rsidRPr="0096644E">
        <w:t xml:space="preserve">a scenario-based </w:t>
      </w:r>
      <w:r w:rsidR="006E6B68" w:rsidRPr="0096644E">
        <w:t>approach to uncertainty analysis is</w:t>
      </w:r>
      <w:r w:rsidR="00842013" w:rsidRPr="0096644E">
        <w:t xml:space="preserve"> suitable as it is </w:t>
      </w:r>
      <w:r w:rsidR="006E6B68" w:rsidRPr="0096644E">
        <w:t xml:space="preserve">commensurate with the relatively low risks from </w:t>
      </w:r>
      <w:r w:rsidR="00842013" w:rsidRPr="0096644E">
        <w:t>the</w:t>
      </w:r>
      <w:r w:rsidR="006E6B68" w:rsidRPr="0096644E">
        <w:t xml:space="preserve"> project. However, additional model runs</w:t>
      </w:r>
      <w:r w:rsidR="009717C1" w:rsidRPr="0096644E">
        <w:t xml:space="preserve"> </w:t>
      </w:r>
      <w:r w:rsidR="00F87AC6" w:rsidRPr="0096644E">
        <w:t xml:space="preserve">extending </w:t>
      </w:r>
      <w:r w:rsidR="009717C1" w:rsidRPr="0096644E">
        <w:t>the scenarios</w:t>
      </w:r>
      <w:r w:rsidR="00C31DBB" w:rsidRPr="0096644E">
        <w:t xml:space="preserve"> and parameterisations</w:t>
      </w:r>
      <w:r w:rsidR="00F87AC6" w:rsidRPr="0096644E">
        <w:t xml:space="preserve"> as</w:t>
      </w:r>
      <w:r w:rsidR="00F36FD1" w:rsidRPr="0096644E">
        <w:t xml:space="preserve"> </w:t>
      </w:r>
      <w:r w:rsidR="009717C1" w:rsidRPr="0096644E">
        <w:t>outlined below</w:t>
      </w:r>
      <w:r w:rsidR="006E6B68" w:rsidRPr="0096644E">
        <w:t xml:space="preserve"> would increase confidence in the model</w:t>
      </w:r>
      <w:r w:rsidR="00D76848" w:rsidRPr="0096644E">
        <w:t xml:space="preserve"> predictions</w:t>
      </w:r>
      <w:r w:rsidR="006E6B68" w:rsidRPr="0096644E">
        <w:t xml:space="preserve">. </w:t>
      </w:r>
    </w:p>
    <w:p w14:paraId="7D62783E" w14:textId="27CE5373" w:rsidR="00842013" w:rsidRPr="0096644E" w:rsidRDefault="00842013" w:rsidP="005C0417">
      <w:pPr>
        <w:pStyle w:val="ListNumber3"/>
      </w:pPr>
      <w:r w:rsidRPr="0096644E">
        <w:t xml:space="preserve">The proponent has </w:t>
      </w:r>
      <w:r w:rsidR="00154BC0" w:rsidRPr="0096644E">
        <w:t xml:space="preserve">undertaken a scenario-based analysis to examine uncertainty in model predictions relating to </w:t>
      </w:r>
      <w:r w:rsidR="00F87AC6" w:rsidRPr="0096644E">
        <w:t xml:space="preserve">vertical </w:t>
      </w:r>
      <w:r w:rsidRPr="0096644E">
        <w:t>hydraulic c</w:t>
      </w:r>
      <w:r w:rsidR="00154BC0" w:rsidRPr="0096644E">
        <w:t>onductivity</w:t>
      </w:r>
      <w:r w:rsidRPr="0096644E">
        <w:t xml:space="preserve"> but the full results were no</w:t>
      </w:r>
      <w:r w:rsidR="00A75401" w:rsidRPr="0096644E">
        <w:t>t presented. The results of that</w:t>
      </w:r>
      <w:r w:rsidRPr="0096644E">
        <w:t xml:space="preserve"> analysis should be provided</w:t>
      </w:r>
      <w:r w:rsidR="00F87AC6" w:rsidRPr="0096644E">
        <w:t xml:space="preserve"> along with </w:t>
      </w:r>
      <w:r w:rsidR="00A75401" w:rsidRPr="0096644E">
        <w:t>results from an additional analysi</w:t>
      </w:r>
      <w:r w:rsidR="00F87AC6" w:rsidRPr="0096644E">
        <w:t>s examining horizontal hydraulic conductivity</w:t>
      </w:r>
      <w:r w:rsidRPr="0096644E">
        <w:t xml:space="preserve"> </w:t>
      </w:r>
      <w:r w:rsidR="00A75401" w:rsidRPr="0096644E">
        <w:t xml:space="preserve">to </w:t>
      </w:r>
      <w:r w:rsidRPr="0096644E">
        <w:t xml:space="preserve">show how </w:t>
      </w:r>
      <w:r w:rsidR="009717C1" w:rsidRPr="0096644E">
        <w:t>different hydraulic conductivity values alter</w:t>
      </w:r>
      <w:r w:rsidRPr="0096644E">
        <w:t xml:space="preserve"> the extent and magnitude of drawdown and predicted changes to </w:t>
      </w:r>
      <w:proofErr w:type="spellStart"/>
      <w:r w:rsidRPr="0096644E">
        <w:t>baseflow</w:t>
      </w:r>
      <w:proofErr w:type="spellEnd"/>
      <w:r w:rsidRPr="0096644E">
        <w:t xml:space="preserve">. </w:t>
      </w:r>
    </w:p>
    <w:p w14:paraId="123B6579" w14:textId="360AC473" w:rsidR="009717C1" w:rsidRPr="0096644E" w:rsidRDefault="00842013" w:rsidP="00A532DA">
      <w:pPr>
        <w:pStyle w:val="ListNumber3"/>
      </w:pPr>
      <w:r w:rsidRPr="0096644E">
        <w:t xml:space="preserve">The proponent should undertake further transient predictive model simulations to investigate </w:t>
      </w:r>
      <w:r w:rsidR="00C31DBB" w:rsidRPr="0096644E">
        <w:t xml:space="preserve">the full </w:t>
      </w:r>
      <w:r w:rsidRPr="0096644E">
        <w:t>range of</w:t>
      </w:r>
      <w:r w:rsidR="00C31DBB" w:rsidRPr="0096644E">
        <w:t xml:space="preserve"> plausible parameterisations for </w:t>
      </w:r>
      <w:r w:rsidR="008C2167" w:rsidRPr="0096644E">
        <w:t>specific storage</w:t>
      </w:r>
      <w:r w:rsidRPr="0096644E">
        <w:t xml:space="preserve">. </w:t>
      </w:r>
      <w:r w:rsidR="00C26A4E" w:rsidRPr="0096644E">
        <w:t>As s</w:t>
      </w:r>
      <w:r w:rsidR="00C964CF" w:rsidRPr="0096644E">
        <w:t>pecific storage is a critical parameter for determining the extent and magnitude of drawdown</w:t>
      </w:r>
      <w:r w:rsidR="00C26A4E" w:rsidRPr="0096644E">
        <w:t xml:space="preserve"> t</w:t>
      </w:r>
      <w:r w:rsidR="00C964CF" w:rsidRPr="0096644E">
        <w:t>he proponent needs to provide clarification of</w:t>
      </w:r>
      <w:r w:rsidR="00AE3BFA" w:rsidRPr="0096644E">
        <w:t>,</w:t>
      </w:r>
      <w:r w:rsidR="00C964CF" w:rsidRPr="0096644E">
        <w:t xml:space="preserve"> and justification for</w:t>
      </w:r>
      <w:r w:rsidR="00AE3BFA" w:rsidRPr="0096644E">
        <w:t>,</w:t>
      </w:r>
      <w:r w:rsidR="00C964CF" w:rsidRPr="0096644E">
        <w:t xml:space="preserve"> the values used in the groundwater model. </w:t>
      </w:r>
      <w:r w:rsidR="00F36FD1" w:rsidRPr="0096644E">
        <w:t>The IESC note</w:t>
      </w:r>
      <w:r w:rsidR="00FE4FF3" w:rsidRPr="0096644E">
        <w:t>s</w:t>
      </w:r>
      <w:r w:rsidR="00C31DBB" w:rsidRPr="0096644E">
        <w:t xml:space="preserve"> that the specific storage values used in the alluvial areas of model layer</w:t>
      </w:r>
      <w:r w:rsidR="008C2167" w:rsidRPr="0096644E">
        <w:t xml:space="preserve"> </w:t>
      </w:r>
      <w:r w:rsidR="00C31DBB" w:rsidRPr="0096644E">
        <w:t>two could be unrealistically high</w:t>
      </w:r>
      <w:r w:rsidR="00C26A4E" w:rsidRPr="0096644E">
        <w:t xml:space="preserve">. This </w:t>
      </w:r>
      <w:r w:rsidR="00C31DBB" w:rsidRPr="0096644E">
        <w:t>may</w:t>
      </w:r>
      <w:r w:rsidR="00C26A4E" w:rsidRPr="0096644E">
        <w:t xml:space="preserve"> cause</w:t>
      </w:r>
      <w:r w:rsidR="00C31DBB" w:rsidRPr="0096644E">
        <w:t xml:space="preserve"> the predicted extent and magnitude of drawdown</w:t>
      </w:r>
      <w:r w:rsidR="00C26A4E" w:rsidRPr="0096644E">
        <w:t xml:space="preserve"> to be under estimated and could result in</w:t>
      </w:r>
      <w:r w:rsidR="00C31DBB" w:rsidRPr="0096644E">
        <w:t xml:space="preserve"> </w:t>
      </w:r>
      <w:r w:rsidR="00C26A4E" w:rsidRPr="0096644E">
        <w:t xml:space="preserve">non-compliance with </w:t>
      </w:r>
      <w:r w:rsidR="00C31DBB" w:rsidRPr="0096644E">
        <w:t xml:space="preserve">the </w:t>
      </w:r>
      <w:r w:rsidR="00C31DBB" w:rsidRPr="0096644E">
        <w:rPr>
          <w:i/>
        </w:rPr>
        <w:t>NSW Aquifer Interference Policy</w:t>
      </w:r>
      <w:r w:rsidR="00C31DBB" w:rsidRPr="0096644E">
        <w:t xml:space="preserve">. </w:t>
      </w:r>
    </w:p>
    <w:p w14:paraId="2E1C8CC7" w14:textId="6419ABBE" w:rsidR="004C6AFE" w:rsidRPr="0096644E" w:rsidRDefault="004C6AFE" w:rsidP="000730DB">
      <w:pPr>
        <w:pStyle w:val="ListNumber3"/>
      </w:pPr>
      <w:r w:rsidRPr="0096644E">
        <w:t>The peer review of the groundwater model noted that the applied evapotranspiration rates and volumes appear to be low</w:t>
      </w:r>
      <w:r w:rsidR="00BF7865" w:rsidRPr="0096644E">
        <w:t>,</w:t>
      </w:r>
      <w:r w:rsidRPr="0096644E">
        <w:t xml:space="preserve"> which may be compensated for by the application of low </w:t>
      </w:r>
      <w:r w:rsidR="00D0369B" w:rsidRPr="0096644E">
        <w:t>recharge</w:t>
      </w:r>
      <w:r w:rsidRPr="0096644E">
        <w:t xml:space="preserve"> in the calibration (EIS, Attachment 4, p. 5). </w:t>
      </w:r>
      <w:r w:rsidR="008C2167" w:rsidRPr="0096644E">
        <w:t xml:space="preserve">The IESC notes that compensation in this manner is only suitable under a narrow subset of conditions. </w:t>
      </w:r>
      <w:r w:rsidRPr="0096644E">
        <w:t xml:space="preserve">Further </w:t>
      </w:r>
      <w:r w:rsidR="00FE4FF3" w:rsidRPr="0096644E">
        <w:t>justification of</w:t>
      </w:r>
      <w:r w:rsidRPr="0096644E">
        <w:t xml:space="preserve"> the values</w:t>
      </w:r>
      <w:r w:rsidR="00FE4FF3" w:rsidRPr="0096644E">
        <w:t xml:space="preserve"> and the approach</w:t>
      </w:r>
      <w:r w:rsidRPr="0096644E">
        <w:t xml:space="preserve"> used</w:t>
      </w:r>
      <w:r w:rsidR="00FE4FF3" w:rsidRPr="0096644E">
        <w:t xml:space="preserve"> is needed</w:t>
      </w:r>
      <w:r w:rsidRPr="0096644E">
        <w:t xml:space="preserve"> to confirm if</w:t>
      </w:r>
      <w:r w:rsidR="009A27A0" w:rsidRPr="0096644E">
        <w:t>,</w:t>
      </w:r>
      <w:r w:rsidRPr="0096644E">
        <w:t xml:space="preserve"> and how</w:t>
      </w:r>
      <w:r w:rsidR="009A27A0" w:rsidRPr="0096644E">
        <w:t>,</w:t>
      </w:r>
      <w:r w:rsidRPr="0096644E">
        <w:t xml:space="preserve"> these values impact model predictions.</w:t>
      </w:r>
    </w:p>
    <w:p w14:paraId="27DDD6D8" w14:textId="1731C236" w:rsidR="00125C5D" w:rsidRPr="0096644E" w:rsidRDefault="00125C5D" w:rsidP="000730DB">
      <w:pPr>
        <w:pStyle w:val="ListNumber3"/>
      </w:pPr>
      <w:r w:rsidRPr="0096644E">
        <w:t>Groundwater model boundaries in Figure 35 (EIS, Appendix A, p. 106) show that a general head boundary condition has been applied in the west of the model adjacent to a no</w:t>
      </w:r>
      <w:r w:rsidR="00832062" w:rsidRPr="0096644E">
        <w:t>-</w:t>
      </w:r>
      <w:r w:rsidRPr="0096644E">
        <w:t xml:space="preserve">flow boundary. </w:t>
      </w:r>
      <w:r w:rsidR="00852038" w:rsidRPr="0096644E">
        <w:t xml:space="preserve">The proponent </w:t>
      </w:r>
      <w:r w:rsidR="002E329F" w:rsidRPr="0096644E">
        <w:t>should</w:t>
      </w:r>
      <w:r w:rsidR="00852038" w:rsidRPr="0096644E">
        <w:t xml:space="preserve"> </w:t>
      </w:r>
      <w:r w:rsidR="00987147" w:rsidRPr="0096644E">
        <w:t>justify why these two boundary conditions have been applied at adjacent locations</w:t>
      </w:r>
      <w:r w:rsidR="00852038" w:rsidRPr="0096644E">
        <w:t>.</w:t>
      </w:r>
    </w:p>
    <w:p w14:paraId="2EC44ECE" w14:textId="0DA13C00" w:rsidR="00316600" w:rsidRPr="0096644E" w:rsidRDefault="00091CCF" w:rsidP="00D622B9">
      <w:pPr>
        <w:pStyle w:val="ListNumber2"/>
      </w:pPr>
      <w:r w:rsidRPr="0096644E">
        <w:t xml:space="preserve">Calculations of the potential changes to water quality in the Namoi River due to </w:t>
      </w:r>
      <w:r w:rsidR="009A27A0" w:rsidRPr="0096644E">
        <w:t>leakage</w:t>
      </w:r>
      <w:r w:rsidRPr="0096644E">
        <w:t xml:space="preserve"> from the </w:t>
      </w:r>
      <w:r w:rsidR="001A3C31" w:rsidRPr="0096644E">
        <w:t xml:space="preserve">Blue Vale </w:t>
      </w:r>
      <w:r w:rsidRPr="0096644E">
        <w:t>void</w:t>
      </w:r>
      <w:r w:rsidR="001A3C31" w:rsidRPr="0096644E">
        <w:t xml:space="preserve"> (to be used as a store for mine water)</w:t>
      </w:r>
      <w:r w:rsidRPr="0096644E">
        <w:t xml:space="preserve"> were provided based </w:t>
      </w:r>
      <w:r w:rsidR="009C5D80" w:rsidRPr="0096644E">
        <w:t>o</w:t>
      </w:r>
      <w:r w:rsidRPr="0096644E">
        <w:t>n a long-term average salt load in the Namoi River and a median discharge volume</w:t>
      </w:r>
      <w:r w:rsidR="00987147" w:rsidRPr="0096644E">
        <w:t xml:space="preserve"> for a nearby gauging station on the Namoi River</w:t>
      </w:r>
      <w:r w:rsidRPr="0096644E">
        <w:t xml:space="preserve">. </w:t>
      </w:r>
      <w:r w:rsidR="00987147" w:rsidRPr="0096644E">
        <w:t>The estimated leakage</w:t>
      </w:r>
      <w:r w:rsidR="001A3C31" w:rsidRPr="0096644E">
        <w:t xml:space="preserve"> volume</w:t>
      </w:r>
      <w:r w:rsidR="00154BC0" w:rsidRPr="0096644E">
        <w:t xml:space="preserve"> (derived from the groundwater model)</w:t>
      </w:r>
      <w:r w:rsidR="00987147" w:rsidRPr="0096644E">
        <w:t xml:space="preserve"> from the void should be reviewed given the uncertainties around the parameterisation of the groundwater model discussed in the preceding paragraphs</w:t>
      </w:r>
      <w:r w:rsidR="001A3C31" w:rsidRPr="0096644E">
        <w:t xml:space="preserve">. </w:t>
      </w:r>
      <w:r w:rsidR="00316600" w:rsidRPr="0096644E">
        <w:t xml:space="preserve">Additional calculations should </w:t>
      </w:r>
      <w:r w:rsidR="001A3C31" w:rsidRPr="0096644E">
        <w:t xml:space="preserve">then </w:t>
      </w:r>
      <w:r w:rsidR="00316600" w:rsidRPr="0096644E">
        <w:t>be undertaken examining the range of salt loads and discharge volumes which could occur in the receiving environment (</w:t>
      </w:r>
      <w:r w:rsidR="008C2167" w:rsidRPr="0096644E">
        <w:t>e.g.</w:t>
      </w:r>
      <w:r w:rsidR="00316600" w:rsidRPr="0096644E">
        <w:t xml:space="preserve"> the Namoi River) during </w:t>
      </w:r>
      <w:r w:rsidR="009A27A0" w:rsidRPr="0096644E">
        <w:t>leakage</w:t>
      </w:r>
      <w:r w:rsidR="00316600" w:rsidRPr="0096644E">
        <w:t xml:space="preserve">. This information is needed to understand if changes to water quality within the receiving environment will always be within the minimal impact considerations of the </w:t>
      </w:r>
      <w:r w:rsidR="00316600" w:rsidRPr="0096644E">
        <w:rPr>
          <w:i/>
        </w:rPr>
        <w:t xml:space="preserve">NSW Aquifer </w:t>
      </w:r>
      <w:r w:rsidR="009A27A0" w:rsidRPr="0096644E">
        <w:rPr>
          <w:i/>
        </w:rPr>
        <w:t>Interference</w:t>
      </w:r>
      <w:r w:rsidR="00316600" w:rsidRPr="0096644E">
        <w:rPr>
          <w:i/>
        </w:rPr>
        <w:t xml:space="preserve"> Policy</w:t>
      </w:r>
      <w:r w:rsidR="00316600" w:rsidRPr="0096644E">
        <w:t>.</w:t>
      </w:r>
    </w:p>
    <w:p w14:paraId="350D63EF" w14:textId="2BF0229E" w:rsidR="00842013" w:rsidRPr="0096644E" w:rsidRDefault="00842013" w:rsidP="00842013">
      <w:pPr>
        <w:pStyle w:val="ListNumber2"/>
      </w:pPr>
      <w:r w:rsidRPr="0096644E">
        <w:t>Documentation provided has identified that Whitehaven</w:t>
      </w:r>
      <w:r w:rsidR="00911AB5" w:rsidRPr="0096644E">
        <w:t xml:space="preserve"> Coal</w:t>
      </w:r>
      <w:r w:rsidRPr="0096644E">
        <w:t xml:space="preserve"> currently holds 396 shares (water allocation; EIS, Appendix A, p. 55) in the Upper Namoi Alluvium Zone 4. The proponent needs to confirm that these shares are for the exclusive use of the proposed project and are not required at any other Whitehaven</w:t>
      </w:r>
      <w:r w:rsidR="00781C33" w:rsidRPr="0096644E">
        <w:t xml:space="preserve"> Coal</w:t>
      </w:r>
      <w:r w:rsidRPr="0096644E">
        <w:t xml:space="preserve"> operation.</w:t>
      </w:r>
    </w:p>
    <w:p w14:paraId="5DBF857D" w14:textId="77777777" w:rsidR="00842013" w:rsidRPr="0096644E" w:rsidRDefault="00842013" w:rsidP="00842013">
      <w:pPr>
        <w:pStyle w:val="ListNumber2"/>
      </w:pPr>
      <w:r w:rsidRPr="0096644E">
        <w:t xml:space="preserve">The IESC notes that in two of the extreme climate scenarios investigated for the site water balance, the proponent may not hold sufficient water allocations in the Upper Namoi Alluvium for the maximum volume of water required from the proposed </w:t>
      </w:r>
      <w:proofErr w:type="spellStart"/>
      <w:r w:rsidRPr="0096644E">
        <w:t>borefield</w:t>
      </w:r>
      <w:proofErr w:type="spellEnd"/>
      <w:r w:rsidRPr="0096644E">
        <w:t>. The proponent suggests that options such as the use of chemical dust suppressants could significantly reduce predicted water use, or further water allocations could be purchased for short periods to allow operations to continue. If these or other options are unsuccessful, the proponent will need to temporarily alter operations to ensure that water usage remains within the allocations.</w:t>
      </w:r>
    </w:p>
    <w:p w14:paraId="57BF3D06" w14:textId="2C266918" w:rsidR="00842013" w:rsidRPr="0096644E" w:rsidRDefault="00842013" w:rsidP="00A51206">
      <w:pPr>
        <w:pStyle w:val="ListNumber3"/>
      </w:pPr>
      <w:r w:rsidRPr="0096644E">
        <w:lastRenderedPageBreak/>
        <w:t>Further information on the use of chemical dust suppressants should be provided and considered in the project risk assessment. This would include the proposed chemicals, typical application rates, and an assessment of the chemicals including the likelihood that they will enter the environment (e.g. soil, groundwater or surface water) and the potential persistence and toxicity of the</w:t>
      </w:r>
      <w:r w:rsidR="00AE3BFA" w:rsidRPr="0096644E">
        <w:t>se</w:t>
      </w:r>
      <w:r w:rsidRPr="0096644E">
        <w:t xml:space="preserve"> chemicals or </w:t>
      </w:r>
      <w:r w:rsidR="008C2167" w:rsidRPr="0096644E">
        <w:t xml:space="preserve">their </w:t>
      </w:r>
      <w:r w:rsidRPr="0096644E">
        <w:t>breakdown products.</w:t>
      </w:r>
    </w:p>
    <w:p w14:paraId="3C10127F" w14:textId="38594DC6" w:rsidR="007203C3" w:rsidRPr="0096644E" w:rsidRDefault="00316600" w:rsidP="00D622B9">
      <w:pPr>
        <w:pStyle w:val="ListNumber2"/>
      </w:pPr>
      <w:r w:rsidRPr="0096644E">
        <w:t xml:space="preserve">The proponent has provided several maps of the extent and magnitude of groundwater drawdown at multiple stages of the proposed project. </w:t>
      </w:r>
      <w:r w:rsidR="000E00F6" w:rsidRPr="0096644E">
        <w:t>However, i</w:t>
      </w:r>
      <w:r w:rsidRPr="0096644E">
        <w:t>t is unclear which</w:t>
      </w:r>
      <w:r w:rsidR="000E00F6" w:rsidRPr="0096644E">
        <w:t>,</w:t>
      </w:r>
      <w:r w:rsidRPr="0096644E">
        <w:t xml:space="preserve"> if any</w:t>
      </w:r>
      <w:r w:rsidR="000E00F6" w:rsidRPr="0096644E">
        <w:t>,</w:t>
      </w:r>
      <w:r w:rsidRPr="0096644E">
        <w:t xml:space="preserve"> of these maps shows the maximum extent of predicted drawdown. The proponent should </w:t>
      </w:r>
      <w:r w:rsidR="00617566" w:rsidRPr="0096644E">
        <w:t xml:space="preserve">either </w:t>
      </w:r>
      <w:r w:rsidRPr="0096644E">
        <w:t>clarify which map identifie</w:t>
      </w:r>
      <w:r w:rsidR="00302A7B" w:rsidRPr="0096644E">
        <w:t>s</w:t>
      </w:r>
      <w:r w:rsidRPr="0096644E">
        <w:t xml:space="preserve"> this and when </w:t>
      </w:r>
      <w:r w:rsidR="00617566" w:rsidRPr="0096644E">
        <w:t xml:space="preserve">maximum drawdown </w:t>
      </w:r>
      <w:r w:rsidRPr="0096644E">
        <w:t>is expected to occur</w:t>
      </w:r>
      <w:r w:rsidR="009A27A0" w:rsidRPr="0096644E">
        <w:t>,</w:t>
      </w:r>
      <w:r w:rsidRPr="0096644E">
        <w:t xml:space="preserve"> or provide such a map. This map is important for determining</w:t>
      </w:r>
      <w:r w:rsidR="00125C5D" w:rsidRPr="0096644E">
        <w:t xml:space="preserve"> potential impacts to GDEs</w:t>
      </w:r>
      <w:r w:rsidR="004B60EF" w:rsidRPr="0096644E">
        <w:t>,</w:t>
      </w:r>
      <w:r w:rsidR="00125C5D" w:rsidRPr="0096644E">
        <w:t xml:space="preserve"> and </w:t>
      </w:r>
      <w:r w:rsidRPr="0096644E">
        <w:t xml:space="preserve">how far </w:t>
      </w:r>
      <w:r w:rsidR="00617566" w:rsidRPr="0096644E">
        <w:t xml:space="preserve">and when </w:t>
      </w:r>
      <w:r w:rsidRPr="0096644E">
        <w:t xml:space="preserve">groundwater drawdown could extend below the Upper Namoi Alluvium and hence areas </w:t>
      </w:r>
      <w:r w:rsidR="00617566" w:rsidRPr="0096644E">
        <w:t xml:space="preserve">and times </w:t>
      </w:r>
      <w:r w:rsidRPr="0096644E">
        <w:t>where seepage from that aquifer could potentially occur.</w:t>
      </w:r>
      <w:r w:rsidR="00091CCF" w:rsidRPr="0096644E">
        <w:t xml:space="preserve"> </w:t>
      </w:r>
    </w:p>
    <w:p w14:paraId="4FA26DEC" w14:textId="319C64DC" w:rsidR="001611F9" w:rsidRPr="0096644E" w:rsidRDefault="004C6AFE" w:rsidP="00DB3B17">
      <w:pPr>
        <w:pStyle w:val="ListNumber2"/>
      </w:pPr>
      <w:r w:rsidRPr="0096644E">
        <w:t xml:space="preserve">To better understand the </w:t>
      </w:r>
      <w:r w:rsidR="005F3899" w:rsidRPr="0096644E">
        <w:t xml:space="preserve">distribution </w:t>
      </w:r>
      <w:r w:rsidRPr="0096644E">
        <w:t>of</w:t>
      </w:r>
      <w:r w:rsidR="009C5D80" w:rsidRPr="0096644E">
        <w:t>,</w:t>
      </w:r>
      <w:r w:rsidR="00DB3B17" w:rsidRPr="0096644E">
        <w:t xml:space="preserve"> and </w:t>
      </w:r>
      <w:r w:rsidR="009C5D80" w:rsidRPr="0096644E">
        <w:t xml:space="preserve">possible </w:t>
      </w:r>
      <w:r w:rsidR="00DB3B17" w:rsidRPr="0096644E">
        <w:t>impacts to</w:t>
      </w:r>
      <w:r w:rsidR="009C5D80" w:rsidRPr="0096644E">
        <w:t>,</w:t>
      </w:r>
      <w:r w:rsidRPr="0096644E">
        <w:t xml:space="preserve"> potential GDEs, particularly terrestrial GDEs</w:t>
      </w:r>
      <w:r w:rsidR="009A27A0" w:rsidRPr="0096644E">
        <w:t>,</w:t>
      </w:r>
      <w:r w:rsidRPr="0096644E">
        <w:t xml:space="preserve"> the proponent should p</w:t>
      </w:r>
      <w:r w:rsidR="00A7770E" w:rsidRPr="0096644E">
        <w:t xml:space="preserve">rovide </w:t>
      </w:r>
      <w:r w:rsidRPr="0096644E">
        <w:t>map</w:t>
      </w:r>
      <w:r w:rsidR="00A7770E" w:rsidRPr="0096644E">
        <w:t>s (for both baseline and maximum drawdown cases)</w:t>
      </w:r>
      <w:r w:rsidRPr="0096644E">
        <w:t xml:space="preserve"> clearly showing potential GDEs</w:t>
      </w:r>
      <w:r w:rsidR="00DB3B17" w:rsidRPr="0096644E">
        <w:t>, the estimated depth to</w:t>
      </w:r>
      <w:r w:rsidRPr="0096644E">
        <w:t xml:space="preserve"> the water table</w:t>
      </w:r>
      <w:r w:rsidR="00DB3B17" w:rsidRPr="0096644E">
        <w:t xml:space="preserve"> (in metres below ground level </w:t>
      </w:r>
      <w:r w:rsidR="00EB1F53" w:rsidRPr="0096644E">
        <w:t xml:space="preserve">rather than </w:t>
      </w:r>
      <w:r w:rsidR="00DB3B17" w:rsidRPr="0096644E">
        <w:t>the water table elevation)</w:t>
      </w:r>
      <w:r w:rsidRPr="0096644E">
        <w:t xml:space="preserve"> and the location</w:t>
      </w:r>
      <w:r w:rsidR="00617566" w:rsidRPr="0096644E">
        <w:t>s</w:t>
      </w:r>
      <w:r w:rsidRPr="0096644E">
        <w:t xml:space="preserve"> of bores used to estimate the water table depth.</w:t>
      </w:r>
      <w:r w:rsidR="00F52227" w:rsidRPr="0096644E">
        <w:t xml:space="preserve">  Appropriate risk analysis (e.g. Serov et al. 2012) of the potential impacts of groundwater drawdown to GDEs is required, along with proposed mitigation strategies if impacts cannot be avoided. </w:t>
      </w:r>
    </w:p>
    <w:p w14:paraId="659661D8" w14:textId="7A7E4848" w:rsidR="00832062" w:rsidRPr="0096644E" w:rsidRDefault="00832062" w:rsidP="00DB3B17">
      <w:pPr>
        <w:pStyle w:val="ListNumber2"/>
      </w:pPr>
      <w:r w:rsidRPr="0096644E">
        <w:t>As stygofauna are known to occur in the Namoi River alluvium, the proponent sampled ten bores and collected four stygofauna tax</w:t>
      </w:r>
      <w:r w:rsidR="00427C15" w:rsidRPr="0096644E">
        <w:t>a</w:t>
      </w:r>
      <w:r w:rsidRPr="0096644E">
        <w:t xml:space="preserve"> from three bores in the alluvial aquifer. One bore (GW2) had the highest abundance and diversity of stygofauna and is within the vicinity of the proposed</w:t>
      </w:r>
      <w:r w:rsidR="00427C15" w:rsidRPr="0096644E">
        <w:t xml:space="preserve"> </w:t>
      </w:r>
      <w:proofErr w:type="spellStart"/>
      <w:r w:rsidR="000E00F6" w:rsidRPr="0096644E">
        <w:t>borefield</w:t>
      </w:r>
      <w:proofErr w:type="spellEnd"/>
      <w:r w:rsidR="000E00F6" w:rsidRPr="0096644E">
        <w:t xml:space="preserve"> where drawdown in the alluvial aquifer is predicted to be approximately 2 m (EIS, Appendix A, Figure 62, p. 128).</w:t>
      </w:r>
      <w:r w:rsidR="00302A7B" w:rsidRPr="0096644E">
        <w:t xml:space="preserve"> </w:t>
      </w:r>
      <w:r w:rsidR="000E00F6" w:rsidRPr="0096644E">
        <w:t>Based on the coarse taxonomic level adopted by the proponent, the stygofauna taxa were considered widespread and therefore of low conservation value. However, given the predicted drawdown it would be appropriate</w:t>
      </w:r>
      <w:r w:rsidR="00DE5772" w:rsidRPr="0096644E">
        <w:t xml:space="preserve"> to sample the allu</w:t>
      </w:r>
      <w:r w:rsidR="000E00F6" w:rsidRPr="0096644E">
        <w:t>vium more intensely with a finer taxonomic resolution to confirm that short range endemic stygofauna</w:t>
      </w:r>
      <w:r w:rsidR="00424C89" w:rsidRPr="0096644E">
        <w:t xml:space="preserve"> (Eberhard et al. 2009)</w:t>
      </w:r>
      <w:r w:rsidR="000E00F6" w:rsidRPr="0096644E">
        <w:t xml:space="preserve"> will not be impacted in this high-value GDE</w:t>
      </w:r>
      <w:r w:rsidR="008C2167" w:rsidRPr="0096644E">
        <w:t xml:space="preserve"> (see paragraph 2j)</w:t>
      </w:r>
      <w:r w:rsidR="000E00F6" w:rsidRPr="0096644E">
        <w:t>.</w:t>
      </w:r>
    </w:p>
    <w:p w14:paraId="255FE422" w14:textId="77777777" w:rsidR="00DF1E3D" w:rsidRPr="0096644E" w:rsidRDefault="00DF1E3D" w:rsidP="00DF1E3D">
      <w:pPr>
        <w:pStyle w:val="ListNumber"/>
      </w:pPr>
      <w:r w:rsidRPr="0096644E">
        <w:t>The IESC has a number of suggested improvements for mitigation and management of potential impacts from the proposed project. These are discussed below.</w:t>
      </w:r>
    </w:p>
    <w:p w14:paraId="6ABFA751" w14:textId="2AC7F154" w:rsidR="00FE400C" w:rsidRPr="0096644E" w:rsidRDefault="00EB1F53" w:rsidP="001611F9">
      <w:pPr>
        <w:pStyle w:val="ListNumber2"/>
      </w:pPr>
      <w:r w:rsidRPr="0096644E">
        <w:t>The proponent proposes a</w:t>
      </w:r>
      <w:r w:rsidR="00DF1E3D" w:rsidRPr="0096644E">
        <w:t xml:space="preserve"> groundwater monitoring program </w:t>
      </w:r>
      <w:r w:rsidRPr="0096644E">
        <w:t xml:space="preserve">using </w:t>
      </w:r>
      <w:r w:rsidR="00DF1E3D" w:rsidRPr="0096644E">
        <w:t xml:space="preserve">the existing monitoring network. It is unclear from the documentation provided which bores will be monitored. There </w:t>
      </w:r>
      <w:r w:rsidR="000E00F6" w:rsidRPr="0096644E">
        <w:t>is</w:t>
      </w:r>
      <w:r w:rsidR="00DF1E3D" w:rsidRPr="0096644E">
        <w:t xml:space="preserve"> a large number of bores shown in Figure 16 (EIS, Appendix A, p. 87)</w:t>
      </w:r>
      <w:r w:rsidRPr="0096644E">
        <w:t>,</w:t>
      </w:r>
      <w:r w:rsidR="00DF1E3D" w:rsidRPr="0096644E">
        <w:t xml:space="preserve"> and it </w:t>
      </w:r>
      <w:r w:rsidR="00617566" w:rsidRPr="0096644E">
        <w:t xml:space="preserve">may be </w:t>
      </w:r>
      <w:r w:rsidR="00BE2590" w:rsidRPr="0096644E">
        <w:t>unnecessary</w:t>
      </w:r>
      <w:r w:rsidR="00DF1E3D" w:rsidRPr="0096644E">
        <w:t xml:space="preserve"> for the proponent to monitor all the bores shown. Bores which will be monitored</w:t>
      </w:r>
      <w:r w:rsidR="004B60EF" w:rsidRPr="0096644E">
        <w:t>, and the parameters to be measured,</w:t>
      </w:r>
      <w:r w:rsidR="00DF1E3D" w:rsidRPr="0096644E">
        <w:t xml:space="preserve"> need to be clearly identified so that it can be determined that </w:t>
      </w:r>
      <w:r w:rsidR="00BA7219" w:rsidRPr="0096644E">
        <w:t xml:space="preserve">the </w:t>
      </w:r>
      <w:r w:rsidR="00DF1E3D" w:rsidRPr="0096644E">
        <w:t>spatial and d</w:t>
      </w:r>
      <w:r w:rsidR="004F063B" w:rsidRPr="0096644E">
        <w:t>epth coverage will be suitable. The location</w:t>
      </w:r>
      <w:r w:rsidR="000E00F6" w:rsidRPr="0096644E">
        <w:t>s</w:t>
      </w:r>
      <w:r w:rsidR="004F063B" w:rsidRPr="0096644E">
        <w:t xml:space="preserve"> for </w:t>
      </w:r>
      <w:r w:rsidR="00DB7471" w:rsidRPr="0096644E">
        <w:t xml:space="preserve">the two proposed </w:t>
      </w:r>
      <w:r w:rsidR="004F063B" w:rsidRPr="0096644E">
        <w:t xml:space="preserve">bores to monitor for leaching from the Western Emplacement </w:t>
      </w:r>
      <w:r w:rsidR="00DB7471" w:rsidRPr="0096644E">
        <w:t>should also be clearly identified</w:t>
      </w:r>
      <w:r w:rsidR="00D0369B" w:rsidRPr="0096644E">
        <w:t xml:space="preserve"> so it can be determined if t</w:t>
      </w:r>
      <w:r w:rsidR="00781C33" w:rsidRPr="0096644E">
        <w:t>hese</w:t>
      </w:r>
      <w:r w:rsidR="00D0369B" w:rsidRPr="0096644E">
        <w:t xml:space="preserve"> bore</w:t>
      </w:r>
      <w:r w:rsidR="00DE5772" w:rsidRPr="0096644E">
        <w:t>s</w:t>
      </w:r>
      <w:r w:rsidR="00D0369B" w:rsidRPr="0096644E">
        <w:t xml:space="preserve"> will be </w:t>
      </w:r>
      <w:r w:rsidR="00DE5772" w:rsidRPr="0096644E">
        <w:t>sufficient</w:t>
      </w:r>
      <w:r w:rsidR="00DB7471" w:rsidRPr="0096644E">
        <w:t>.</w:t>
      </w:r>
    </w:p>
    <w:p w14:paraId="5582CCC1" w14:textId="249B3FE1" w:rsidR="00FE400C" w:rsidRPr="0096644E" w:rsidRDefault="00FE400C" w:rsidP="001611F9">
      <w:pPr>
        <w:pStyle w:val="ListNumber2"/>
      </w:pPr>
      <w:r w:rsidRPr="0096644E">
        <w:t xml:space="preserve">If the proposed </w:t>
      </w:r>
      <w:proofErr w:type="spellStart"/>
      <w:r w:rsidRPr="0096644E">
        <w:t>borefield</w:t>
      </w:r>
      <w:proofErr w:type="spellEnd"/>
      <w:r w:rsidRPr="0096644E">
        <w:t xml:space="preserve"> is installed</w:t>
      </w:r>
      <w:r w:rsidR="008267F6" w:rsidRPr="0096644E">
        <w:t>,</w:t>
      </w:r>
      <w:r w:rsidRPr="0096644E">
        <w:t xml:space="preserve"> then additional monitoring bores</w:t>
      </w:r>
      <w:r w:rsidR="00BA7219" w:rsidRPr="0096644E">
        <w:t xml:space="preserve"> (with monitoring at multiple</w:t>
      </w:r>
      <w:r w:rsidR="00EE0790" w:rsidRPr="0096644E">
        <w:t xml:space="preserve"> screen</w:t>
      </w:r>
      <w:r w:rsidR="00781C33" w:rsidRPr="0096644E">
        <w:t>ed</w:t>
      </w:r>
      <w:r w:rsidR="00BA7219" w:rsidRPr="0096644E">
        <w:t xml:space="preserve"> depths)</w:t>
      </w:r>
      <w:r w:rsidRPr="0096644E">
        <w:t xml:space="preserve"> will need to be installed to monitor potential impacts in both the Upper Namoi Alluvium and the </w:t>
      </w:r>
      <w:proofErr w:type="spellStart"/>
      <w:r w:rsidRPr="0096644E">
        <w:t>Maules</w:t>
      </w:r>
      <w:proofErr w:type="spellEnd"/>
      <w:r w:rsidRPr="0096644E">
        <w:t xml:space="preserve"> Creek Formation in the vicinity of the </w:t>
      </w:r>
      <w:proofErr w:type="spellStart"/>
      <w:r w:rsidRPr="0096644E">
        <w:t>borefield</w:t>
      </w:r>
      <w:proofErr w:type="spellEnd"/>
      <w:r w:rsidRPr="0096644E">
        <w:t>.</w:t>
      </w:r>
    </w:p>
    <w:p w14:paraId="15F5EB65" w14:textId="0ECE1F3E" w:rsidR="00FE400C" w:rsidRPr="0096644E" w:rsidRDefault="00FE400C" w:rsidP="001611F9">
      <w:pPr>
        <w:pStyle w:val="ListNumber2"/>
      </w:pPr>
      <w:r w:rsidRPr="0096644E">
        <w:t>Groundwater quality monitoring is proposed</w:t>
      </w:r>
      <w:r w:rsidR="00EB1F53" w:rsidRPr="0096644E">
        <w:t xml:space="preserve">; </w:t>
      </w:r>
      <w:r w:rsidRPr="0096644E">
        <w:t>however, the parameters</w:t>
      </w:r>
      <w:r w:rsidR="003605F1" w:rsidRPr="0096644E">
        <w:t xml:space="preserve"> to be analysed</w:t>
      </w:r>
      <w:r w:rsidRPr="0096644E">
        <w:t xml:space="preserve"> are limited</w:t>
      </w:r>
      <w:r w:rsidR="00BA7219" w:rsidRPr="0096644E">
        <w:t xml:space="preserve"> to several </w:t>
      </w:r>
      <w:proofErr w:type="spellStart"/>
      <w:r w:rsidR="00BA7219" w:rsidRPr="0096644E">
        <w:t>physico</w:t>
      </w:r>
      <w:proofErr w:type="spellEnd"/>
      <w:r w:rsidR="00BA7219" w:rsidRPr="0096644E">
        <w:t xml:space="preserve">-chemical parameters, major ions and </w:t>
      </w:r>
      <w:r w:rsidR="000E00F6" w:rsidRPr="0096644E">
        <w:t>five</w:t>
      </w:r>
      <w:r w:rsidR="00BA7219" w:rsidRPr="0096644E">
        <w:t xml:space="preserve"> metals/metalloids (</w:t>
      </w:r>
      <w:r w:rsidR="002E63BC" w:rsidRPr="0096644E">
        <w:t>aluminium</w:t>
      </w:r>
      <w:r w:rsidR="00BA7219" w:rsidRPr="0096644E">
        <w:t xml:space="preserve">, </w:t>
      </w:r>
      <w:r w:rsidR="002E63BC" w:rsidRPr="0096644E">
        <w:t>arsenic</w:t>
      </w:r>
      <w:r w:rsidR="00BA7219" w:rsidRPr="0096644E">
        <w:t xml:space="preserve">, </w:t>
      </w:r>
      <w:r w:rsidR="002E63BC" w:rsidRPr="0096644E">
        <w:t>molybdenum</w:t>
      </w:r>
      <w:r w:rsidR="00BA7219" w:rsidRPr="0096644E">
        <w:t xml:space="preserve">, </w:t>
      </w:r>
      <w:r w:rsidR="002E63BC" w:rsidRPr="0096644E">
        <w:t>selenium</w:t>
      </w:r>
      <w:r w:rsidR="00BA7219" w:rsidRPr="0096644E">
        <w:t xml:space="preserve"> and </w:t>
      </w:r>
      <w:r w:rsidR="002E63BC" w:rsidRPr="0096644E">
        <w:t>iron</w:t>
      </w:r>
      <w:r w:rsidR="00BA7219" w:rsidRPr="0096644E">
        <w:t>). H</w:t>
      </w:r>
      <w:r w:rsidRPr="0096644E">
        <w:t>ydrocarbons</w:t>
      </w:r>
      <w:r w:rsidR="00BA7219" w:rsidRPr="0096644E">
        <w:t xml:space="preserve"> and additional metals</w:t>
      </w:r>
      <w:r w:rsidRPr="0096644E">
        <w:t xml:space="preserve"> should be monitored</w:t>
      </w:r>
      <w:r w:rsidR="00BA7219" w:rsidRPr="0096644E">
        <w:t xml:space="preserve">, particularly as the </w:t>
      </w:r>
      <w:r w:rsidRPr="0096644E">
        <w:t>groundwater quality data and the geochemical analysis results</w:t>
      </w:r>
      <w:r w:rsidR="001D5DD9" w:rsidRPr="0096644E">
        <w:t xml:space="preserve"> (discussed further in the response to Question 2)</w:t>
      </w:r>
      <w:r w:rsidR="00BA7219" w:rsidRPr="0096644E">
        <w:t xml:space="preserve"> show that concentrations </w:t>
      </w:r>
      <w:r w:rsidR="002E63BC" w:rsidRPr="0096644E">
        <w:t xml:space="preserve">of some metals </w:t>
      </w:r>
      <w:r w:rsidR="00BA7219" w:rsidRPr="0096644E">
        <w:t xml:space="preserve">could be or are already elevated (compared to ANZG 2018 guideline values for aquatic ecosystem </w:t>
      </w:r>
      <w:r w:rsidR="00BA7219" w:rsidRPr="0096644E">
        <w:lastRenderedPageBreak/>
        <w:t>protection). Additional parameters to be monitored should include</w:t>
      </w:r>
      <w:r w:rsidR="00EB1F53" w:rsidRPr="0096644E">
        <w:t>:</w:t>
      </w:r>
      <w:r w:rsidRPr="0096644E">
        <w:t xml:space="preserve"> boron, copper, lead</w:t>
      </w:r>
      <w:r w:rsidR="00155684" w:rsidRPr="0096644E">
        <w:t>, antimony, tin,</w:t>
      </w:r>
      <w:r w:rsidR="003605F1" w:rsidRPr="0096644E">
        <w:t xml:space="preserve"> zinc</w:t>
      </w:r>
      <w:r w:rsidR="00155684" w:rsidRPr="0096644E">
        <w:t>, silver, cobalt, nickel and mercury</w:t>
      </w:r>
      <w:r w:rsidR="00BA7219" w:rsidRPr="0096644E">
        <w:t>.</w:t>
      </w:r>
      <w:r w:rsidRPr="0096644E">
        <w:t xml:space="preserve">   </w:t>
      </w:r>
    </w:p>
    <w:p w14:paraId="7617CAD4" w14:textId="70F15F54" w:rsidR="00EE0790" w:rsidRPr="0096644E" w:rsidRDefault="00EE0790" w:rsidP="00EE0790">
      <w:pPr>
        <w:pStyle w:val="ListNumber2"/>
      </w:pPr>
      <w:r w:rsidRPr="0096644E">
        <w:t>Only pH and electrical conductivity (EC) are proposed to be monitored in groundwater twice yearly, with other parameters monitored once annually. Groundwater quality monitoring for all parameters should occur more frequently than annually (at least seasonally for all parameters and potentially continuously for EC and temperature in the water</w:t>
      </w:r>
      <w:r w:rsidR="00495B98" w:rsidRPr="0096644E">
        <w:t xml:space="preserve"> </w:t>
      </w:r>
      <w:r w:rsidRPr="0096644E">
        <w:t>table aquifer) given the high value of the Upper Namoi Alluvial aquifer and the large number of users.</w:t>
      </w:r>
    </w:p>
    <w:p w14:paraId="16544F05" w14:textId="77777777" w:rsidR="000D3802" w:rsidRPr="0096644E" w:rsidRDefault="00D25764" w:rsidP="001611F9">
      <w:pPr>
        <w:pStyle w:val="ListNumber2"/>
      </w:pPr>
      <w:r w:rsidRPr="0096644E">
        <w:t>The groundwater monitoring plan, when developed, should include appropriate site-specific level and water quality guideline values and triggers. The plan should also include a trigger action response plan (TARP) which clearly outlines the actions and responses that will be taken, in a timely manner, when a trigger value is exceeded.</w:t>
      </w:r>
    </w:p>
    <w:p w14:paraId="3B6837AD" w14:textId="46D5E7F8" w:rsidR="001611F9" w:rsidRPr="0096644E" w:rsidRDefault="00FE400C" w:rsidP="001611F9">
      <w:pPr>
        <w:pStyle w:val="ListNumber2"/>
      </w:pPr>
      <w:r w:rsidRPr="0096644E">
        <w:t>Groundwater ultimately discharges to local surface water systems in the project region. As such</w:t>
      </w:r>
      <w:r w:rsidR="008267F6" w:rsidRPr="0096644E">
        <w:t>,</w:t>
      </w:r>
      <w:r w:rsidRPr="0096644E">
        <w:t xml:space="preserve"> relevant water quality objectives </w:t>
      </w:r>
      <w:r w:rsidR="000E00F6" w:rsidRPr="0096644E">
        <w:t xml:space="preserve">should </w:t>
      </w:r>
      <w:r w:rsidRPr="0096644E">
        <w:t xml:space="preserve">include the 95% species protection </w:t>
      </w:r>
      <w:r w:rsidR="00A81EE6" w:rsidRPr="0096644E">
        <w:t>guideline values</w:t>
      </w:r>
      <w:r w:rsidRPr="0096644E">
        <w:t xml:space="preserve"> for slightly to moderately disturbed </w:t>
      </w:r>
      <w:r w:rsidR="00EE0790" w:rsidRPr="0096644E">
        <w:t xml:space="preserve">aquatic </w:t>
      </w:r>
      <w:r w:rsidRPr="0096644E">
        <w:t>ecosystems</w:t>
      </w:r>
      <w:r w:rsidR="003605F1" w:rsidRPr="0096644E">
        <w:t xml:space="preserve"> </w:t>
      </w:r>
      <w:r w:rsidR="0088694D" w:rsidRPr="0096644E">
        <w:t>as outlined in ANZG (2018</w:t>
      </w:r>
      <w:r w:rsidR="003605F1" w:rsidRPr="0096644E">
        <w:t>)</w:t>
      </w:r>
      <w:r w:rsidRPr="0096644E">
        <w:t xml:space="preserve"> and not only </w:t>
      </w:r>
      <w:r w:rsidR="0019088A" w:rsidRPr="0096644E">
        <w:t xml:space="preserve">for </w:t>
      </w:r>
      <w:r w:rsidRPr="0096644E">
        <w:t>stock and domestic, and irrigation objectives. When developing water quality objectives for groundwater for the project</w:t>
      </w:r>
      <w:r w:rsidR="008267F6" w:rsidRPr="0096644E">
        <w:t>,</w:t>
      </w:r>
      <w:r w:rsidRPr="0096644E">
        <w:t xml:space="preserve"> these </w:t>
      </w:r>
      <w:r w:rsidR="000E00F6" w:rsidRPr="0096644E">
        <w:t xml:space="preserve">aquatic </w:t>
      </w:r>
      <w:r w:rsidR="008267F6" w:rsidRPr="0096644E">
        <w:t xml:space="preserve">species protection guideline </w:t>
      </w:r>
      <w:r w:rsidRPr="0096644E">
        <w:t>values need to be considered</w:t>
      </w:r>
      <w:r w:rsidR="00331308" w:rsidRPr="0096644E">
        <w:t xml:space="preserve"> and the most conservative guideline values</w:t>
      </w:r>
      <w:r w:rsidR="00424C89" w:rsidRPr="0096644E">
        <w:t xml:space="preserve"> for each contaminant (either aquatic ecosystem, stock and domestic or irrigation)</w:t>
      </w:r>
      <w:r w:rsidR="00331308" w:rsidRPr="0096644E">
        <w:t xml:space="preserve"> used</w:t>
      </w:r>
      <w:r w:rsidRPr="0096644E">
        <w:t xml:space="preserve">. </w:t>
      </w:r>
      <w:r w:rsidR="00DF1E3D" w:rsidRPr="0096644E">
        <w:t xml:space="preserve">  </w:t>
      </w:r>
    </w:p>
    <w:p w14:paraId="5A0550F4" w14:textId="2959E06E" w:rsidR="004E2F0F" w:rsidRPr="0096644E" w:rsidRDefault="004E2F0F" w:rsidP="00646A35">
      <w:pPr>
        <w:pStyle w:val="ListNumber2"/>
      </w:pPr>
      <w:r w:rsidRPr="0096644E">
        <w:t>The frequency of monitoring for groundwater levels could be i</w:t>
      </w:r>
      <w:r w:rsidR="00EE0790" w:rsidRPr="0096644E">
        <w:t>ncreased</w:t>
      </w:r>
      <w:r w:rsidR="00DE5772" w:rsidRPr="0096644E">
        <w:t xml:space="preserve"> from quarterly manual observations</w:t>
      </w:r>
      <w:r w:rsidRPr="0096644E">
        <w:t xml:space="preserve"> through the use of data loggers. </w:t>
      </w:r>
      <w:r w:rsidR="00EE0790" w:rsidRPr="0096644E">
        <w:t>This</w:t>
      </w:r>
      <w:r w:rsidRPr="0096644E">
        <w:t xml:space="preserve"> could improve future groundwater models by identifying any variations in recharge assumptions, confining conditions within shallow layers and verify</w:t>
      </w:r>
      <w:r w:rsidR="00DE5772" w:rsidRPr="0096644E">
        <w:t>ing</w:t>
      </w:r>
      <w:r w:rsidRPr="0096644E">
        <w:t xml:space="preserve"> </w:t>
      </w:r>
      <w:r w:rsidR="00331308" w:rsidRPr="0096644E">
        <w:t xml:space="preserve">specific storage </w:t>
      </w:r>
      <w:r w:rsidRPr="0096644E">
        <w:t>values.</w:t>
      </w:r>
    </w:p>
    <w:p w14:paraId="6E1A421B" w14:textId="085D0696" w:rsidR="00D25764" w:rsidRPr="0096644E" w:rsidRDefault="00D25764" w:rsidP="001611F9">
      <w:pPr>
        <w:pStyle w:val="ListNumber2"/>
      </w:pPr>
      <w:r w:rsidRPr="0096644E">
        <w:t xml:space="preserve">Monitoring </w:t>
      </w:r>
      <w:r w:rsidR="008267F6" w:rsidRPr="0096644E">
        <w:t>should</w:t>
      </w:r>
      <w:r w:rsidRPr="0096644E">
        <w:t xml:space="preserve"> continue post-mining given </w:t>
      </w:r>
      <w:r w:rsidR="000E00F6" w:rsidRPr="0096644E">
        <w:t xml:space="preserve">that </w:t>
      </w:r>
      <w:r w:rsidRPr="0096644E">
        <w:t>the extent and magnitude of groundwater drawdown will continue to increase post-mining.</w:t>
      </w:r>
    </w:p>
    <w:p w14:paraId="0066EC8A" w14:textId="207B5870" w:rsidR="00D25764" w:rsidRPr="0096644E" w:rsidRDefault="00D25764" w:rsidP="001611F9">
      <w:pPr>
        <w:pStyle w:val="ListNumber2"/>
      </w:pPr>
      <w:r w:rsidRPr="0096644E">
        <w:t>The proponent propose</w:t>
      </w:r>
      <w:r w:rsidR="008267F6" w:rsidRPr="0096644E">
        <w:t>s</w:t>
      </w:r>
      <w:r w:rsidRPr="0096644E">
        <w:t xml:space="preserve"> to update the groundwater model after five years. In the meantime, groundwater level observations should be regularly compared with model predictions. A robust </w:t>
      </w:r>
      <w:r w:rsidR="00265EE4" w:rsidRPr="0096644E">
        <w:t>set of</w:t>
      </w:r>
      <w:r w:rsidRPr="0096644E">
        <w:t xml:space="preserve"> </w:t>
      </w:r>
      <w:r w:rsidR="0088694D" w:rsidRPr="0096644E">
        <w:t>statistical</w:t>
      </w:r>
      <w:r w:rsidRPr="0096644E">
        <w:t xml:space="preserve"> criteria should be determined to identify when there is significant variation of observations from predictions. If </w:t>
      </w:r>
      <w:r w:rsidR="00265EE4" w:rsidRPr="0096644E">
        <w:t>these</w:t>
      </w:r>
      <w:r w:rsidRPr="0096644E">
        <w:t xml:space="preserve"> criteria </w:t>
      </w:r>
      <w:r w:rsidR="008E6A5E" w:rsidRPr="0096644E">
        <w:t>are</w:t>
      </w:r>
      <w:r w:rsidRPr="0096644E">
        <w:t xml:space="preserve"> exceeded</w:t>
      </w:r>
      <w:r w:rsidR="008267F6" w:rsidRPr="0096644E">
        <w:t>,</w:t>
      </w:r>
      <w:r w:rsidRPr="0096644E">
        <w:t xml:space="preserve"> an investigation should be initiated to determine if a full model review needs to be commenced</w:t>
      </w:r>
      <w:r w:rsidR="008E6A5E" w:rsidRPr="0096644E">
        <w:t xml:space="preserve"> </w:t>
      </w:r>
      <w:r w:rsidR="000F1421" w:rsidRPr="0096644E">
        <w:t xml:space="preserve">and </w:t>
      </w:r>
      <w:r w:rsidR="008E6A5E" w:rsidRPr="0096644E">
        <w:t>appropriate actions taken</w:t>
      </w:r>
      <w:r w:rsidRPr="0096644E">
        <w:t>.</w:t>
      </w:r>
    </w:p>
    <w:p w14:paraId="70E92088" w14:textId="24D93EBE" w:rsidR="00A7770E" w:rsidRPr="0096644E" w:rsidRDefault="00A7770E" w:rsidP="001611F9">
      <w:pPr>
        <w:pStyle w:val="ListNumber2"/>
      </w:pPr>
      <w:r w:rsidRPr="0096644E">
        <w:t>The IESC notes that the Namoi River</w:t>
      </w:r>
      <w:r w:rsidR="007E04CC" w:rsidRPr="0096644E">
        <w:t xml:space="preserve"> (a GDE)</w:t>
      </w:r>
      <w:r w:rsidRPr="0096644E">
        <w:t xml:space="preserve"> adjacent </w:t>
      </w:r>
      <w:r w:rsidR="000E00F6" w:rsidRPr="0096644E">
        <w:t xml:space="preserve">to </w:t>
      </w:r>
      <w:r w:rsidRPr="0096644E">
        <w:t>the project forms part of the state-listed ‘Lowland Darling River Aquatic Ecological Community’. This listing means that all native fish and other aquat</w:t>
      </w:r>
      <w:r w:rsidR="00C25DDB" w:rsidRPr="0096644E">
        <w:t xml:space="preserve">ic animals within its boundaries have the status of endangered species (NSW DPI 2007). </w:t>
      </w:r>
      <w:r w:rsidR="000E00F6" w:rsidRPr="0096644E">
        <w:t>For that reason, risk assessments need to be especially detailed and include assessments of alluvial stygofauna (</w:t>
      </w:r>
      <w:r w:rsidR="00DE5772" w:rsidRPr="0096644E">
        <w:t>see paragraph 1g</w:t>
      </w:r>
      <w:r w:rsidR="000E00F6" w:rsidRPr="0096644E">
        <w:t>).</w:t>
      </w:r>
    </w:p>
    <w:p w14:paraId="4BE3B947" w14:textId="5762752D" w:rsidR="001611F9" w:rsidRPr="0096644E" w:rsidRDefault="00D729D9" w:rsidP="001A3C31">
      <w:pPr>
        <w:pStyle w:val="ListNumber2"/>
      </w:pPr>
      <w:r w:rsidRPr="0096644E">
        <w:t>The IESC suggests that potenti</w:t>
      </w:r>
      <w:r w:rsidR="0088694D" w:rsidRPr="0096644E">
        <w:t xml:space="preserve">al impacts to the EPBC Act-listed Murray </w:t>
      </w:r>
      <w:r w:rsidR="001506F6" w:rsidRPr="0096644E">
        <w:t>C</w:t>
      </w:r>
      <w:r w:rsidRPr="0096644E">
        <w:t>od</w:t>
      </w:r>
      <w:r w:rsidR="0088694D" w:rsidRPr="0096644E">
        <w:t xml:space="preserve"> (</w:t>
      </w:r>
      <w:proofErr w:type="spellStart"/>
      <w:r w:rsidR="0088694D" w:rsidRPr="0096644E">
        <w:rPr>
          <w:i/>
        </w:rPr>
        <w:t>Maccullochella</w:t>
      </w:r>
      <w:proofErr w:type="spellEnd"/>
      <w:r w:rsidR="0088694D" w:rsidRPr="0096644E">
        <w:rPr>
          <w:i/>
        </w:rPr>
        <w:t xml:space="preserve"> </w:t>
      </w:r>
      <w:proofErr w:type="spellStart"/>
      <w:r w:rsidR="0088694D" w:rsidRPr="0096644E">
        <w:rPr>
          <w:i/>
        </w:rPr>
        <w:t>peelii</w:t>
      </w:r>
      <w:proofErr w:type="spellEnd"/>
      <w:r w:rsidR="0088694D" w:rsidRPr="0096644E">
        <w:t>)</w:t>
      </w:r>
      <w:r w:rsidRPr="0096644E">
        <w:t xml:space="preserve"> could be further reduced if construction activities </w:t>
      </w:r>
      <w:r w:rsidR="005E67B4" w:rsidRPr="0096644E">
        <w:t xml:space="preserve">(e.g. building the rail crossing) </w:t>
      </w:r>
      <w:r w:rsidRPr="0096644E">
        <w:t>in the Namoi River are avoided or limited during higher winter/spring flows which are a cue for breeding</w:t>
      </w:r>
      <w:r w:rsidR="0088694D" w:rsidRPr="0096644E">
        <w:t xml:space="preserve"> for this species</w:t>
      </w:r>
      <w:r w:rsidRPr="0096644E">
        <w:t xml:space="preserve">. </w:t>
      </w:r>
      <w:r w:rsidR="000E00F6" w:rsidRPr="0096644E">
        <w:t>To reduce</w:t>
      </w:r>
      <w:r w:rsidR="00D25764" w:rsidRPr="0096644E">
        <w:t xml:space="preserve"> potential impacts to the </w:t>
      </w:r>
      <w:r w:rsidR="0088694D" w:rsidRPr="0096644E">
        <w:t>state</w:t>
      </w:r>
      <w:r w:rsidR="008267F6" w:rsidRPr="0096644E">
        <w:t>-</w:t>
      </w:r>
      <w:r w:rsidR="0088694D" w:rsidRPr="0096644E">
        <w:t xml:space="preserve">listed </w:t>
      </w:r>
      <w:r w:rsidR="000D01D3" w:rsidRPr="0096644E">
        <w:t>e</w:t>
      </w:r>
      <w:r w:rsidR="00D25764" w:rsidRPr="0096644E">
        <w:t>el</w:t>
      </w:r>
      <w:r w:rsidR="000D01D3" w:rsidRPr="0096644E">
        <w:t>-</w:t>
      </w:r>
      <w:r w:rsidR="00D25764" w:rsidRPr="0096644E">
        <w:t>tailed catfish</w:t>
      </w:r>
      <w:r w:rsidR="0088694D" w:rsidRPr="0096644E">
        <w:t xml:space="preserve"> (</w:t>
      </w:r>
      <w:proofErr w:type="spellStart"/>
      <w:r w:rsidR="0088694D" w:rsidRPr="0096644E">
        <w:rPr>
          <w:i/>
        </w:rPr>
        <w:t>Tandanus</w:t>
      </w:r>
      <w:proofErr w:type="spellEnd"/>
      <w:r w:rsidR="0088694D" w:rsidRPr="0096644E">
        <w:rPr>
          <w:i/>
        </w:rPr>
        <w:t xml:space="preserve"> </w:t>
      </w:r>
      <w:proofErr w:type="spellStart"/>
      <w:r w:rsidR="0088694D" w:rsidRPr="0096644E">
        <w:rPr>
          <w:i/>
        </w:rPr>
        <w:t>tandanus</w:t>
      </w:r>
      <w:proofErr w:type="spellEnd"/>
      <w:r w:rsidR="0088694D" w:rsidRPr="0096644E">
        <w:t>)</w:t>
      </w:r>
      <w:r w:rsidR="00FE4FF3" w:rsidRPr="0096644E">
        <w:t>,</w:t>
      </w:r>
      <w:r w:rsidR="00D25764" w:rsidRPr="0096644E">
        <w:t xml:space="preserve"> construction activities </w:t>
      </w:r>
      <w:r w:rsidR="00BC7EA5" w:rsidRPr="0096644E">
        <w:t xml:space="preserve">likely to </w:t>
      </w:r>
      <w:r w:rsidR="00D25764" w:rsidRPr="0096644E">
        <w:t xml:space="preserve">disturb gravel bed </w:t>
      </w:r>
      <w:r w:rsidR="00BC7EA5" w:rsidRPr="0096644E">
        <w:t xml:space="preserve">spawning </w:t>
      </w:r>
      <w:r w:rsidR="00D25764" w:rsidRPr="0096644E">
        <w:t xml:space="preserve">sites </w:t>
      </w:r>
      <w:r w:rsidRPr="0096644E">
        <w:t>in the Namoi</w:t>
      </w:r>
      <w:r w:rsidR="00D25764" w:rsidRPr="0096644E">
        <w:t xml:space="preserve"> River </w:t>
      </w:r>
      <w:r w:rsidR="000E00F6" w:rsidRPr="0096644E">
        <w:t>should be</w:t>
      </w:r>
      <w:r w:rsidR="00D25764" w:rsidRPr="0096644E">
        <w:t xml:space="preserve"> avoided where possible</w:t>
      </w:r>
      <w:r w:rsidR="00BC7EA5" w:rsidRPr="0096644E">
        <w:t>, especially</w:t>
      </w:r>
      <w:r w:rsidR="00D25764" w:rsidRPr="0096644E">
        <w:t xml:space="preserve"> when temperatures are optimal (20</w:t>
      </w:r>
      <w:r w:rsidR="00265EE4" w:rsidRPr="0096644E">
        <w:t>–</w:t>
      </w:r>
      <w:r w:rsidR="00D25764" w:rsidRPr="0096644E">
        <w:t>24°C)</w:t>
      </w:r>
      <w:r w:rsidRPr="0096644E">
        <w:t xml:space="preserve"> for spawning</w:t>
      </w:r>
      <w:r w:rsidR="0088694D" w:rsidRPr="0096644E">
        <w:t xml:space="preserve"> for this species</w:t>
      </w:r>
      <w:r w:rsidR="00BC7EA5" w:rsidRPr="0096644E">
        <w:t xml:space="preserve"> (EIS, App. A, p. 53)</w:t>
      </w:r>
      <w:r w:rsidRPr="0096644E">
        <w:t>.</w:t>
      </w:r>
    </w:p>
    <w:p w14:paraId="7A47A4FC" w14:textId="7F5A06D6" w:rsidR="00D74FCA" w:rsidRPr="0096644E" w:rsidRDefault="007203C3" w:rsidP="00C60A1A">
      <w:pPr>
        <w:pStyle w:val="Question"/>
        <w:shd w:val="clear" w:color="auto" w:fill="E7E6E6"/>
      </w:pPr>
      <w:r w:rsidRPr="0096644E">
        <w:t>Question 2:</w:t>
      </w:r>
      <w:r w:rsidR="003A1193" w:rsidRPr="0096644E">
        <w:t xml:space="preserve"> Surface water and flooding</w:t>
      </w:r>
    </w:p>
    <w:p w14:paraId="29913E0D" w14:textId="78029AF4" w:rsidR="003A1193" w:rsidRPr="0096644E" w:rsidRDefault="003A1193" w:rsidP="00C60A1A">
      <w:pPr>
        <w:pStyle w:val="Question"/>
        <w:shd w:val="clear" w:color="auto" w:fill="E7E6E6"/>
      </w:pPr>
      <w:r w:rsidRPr="0096644E">
        <w:t xml:space="preserve">a. Does the IESC agree that the Vickery </w:t>
      </w:r>
      <w:r w:rsidR="0088694D" w:rsidRPr="0096644E">
        <w:t>Extension</w:t>
      </w:r>
      <w:r w:rsidRPr="0096644E">
        <w:t xml:space="preserve"> Project is unlikely to result in a significant change to surface water impacts (water quantity and quality) over and above those for the approved project and/or Whitehaven’s existing entitlements?</w:t>
      </w:r>
    </w:p>
    <w:p w14:paraId="44063EC8" w14:textId="77777777" w:rsidR="003A1193" w:rsidRPr="0096644E" w:rsidRDefault="003A1193" w:rsidP="00C60A1A">
      <w:pPr>
        <w:pStyle w:val="Question"/>
        <w:shd w:val="clear" w:color="auto" w:fill="E7E6E6"/>
      </w:pPr>
      <w:r w:rsidRPr="0096644E">
        <w:lastRenderedPageBreak/>
        <w:t>b. Does the IESC agree that the EIS provides reasonable estimations of the likely flood-related impacts to surrounding properties and the wider Namoi River floodplain?</w:t>
      </w:r>
    </w:p>
    <w:p w14:paraId="3EA35220" w14:textId="77777777" w:rsidR="003A1193" w:rsidRPr="0096644E" w:rsidRDefault="003A1193" w:rsidP="00C60A1A">
      <w:pPr>
        <w:pStyle w:val="Question"/>
        <w:shd w:val="clear" w:color="auto" w:fill="E7E6E6"/>
      </w:pPr>
      <w:r w:rsidRPr="0096644E">
        <w:t>c. Does the IESC recommend any specific measures to mitigate and manage the identified surface water and/or flood-related impacts?</w:t>
      </w:r>
    </w:p>
    <w:p w14:paraId="1A927CCE" w14:textId="5E333A4A" w:rsidR="00A81EE6" w:rsidRPr="0096644E" w:rsidRDefault="00A81EE6" w:rsidP="00D74FCA">
      <w:pPr>
        <w:pStyle w:val="ListNumber"/>
      </w:pPr>
      <w:r w:rsidRPr="0096644E">
        <w:t>The surface water</w:t>
      </w:r>
      <w:r w:rsidR="007841A5" w:rsidRPr="0096644E">
        <w:t xml:space="preserve"> and flood</w:t>
      </w:r>
      <w:r w:rsidRPr="0096644E">
        <w:t xml:space="preserve"> modelling predictions presented by the proponent indicate that the proposed project is unlikely to have a significant impact on surface water quantity and quality, and that impacts are </w:t>
      </w:r>
      <w:r w:rsidR="007841A5" w:rsidRPr="0096644E">
        <w:t xml:space="preserve">likely to be </w:t>
      </w:r>
      <w:r w:rsidR="00155684" w:rsidRPr="0096644E">
        <w:t>consistent</w:t>
      </w:r>
      <w:r w:rsidRPr="0096644E">
        <w:t xml:space="preserve"> </w:t>
      </w:r>
      <w:r w:rsidR="00155684" w:rsidRPr="0096644E">
        <w:t>with</w:t>
      </w:r>
      <w:r w:rsidR="007E04CC" w:rsidRPr="0096644E">
        <w:t xml:space="preserve"> those predicted for the a</w:t>
      </w:r>
      <w:r w:rsidRPr="0096644E">
        <w:t>pproved project.</w:t>
      </w:r>
      <w:r w:rsidR="007841A5" w:rsidRPr="0096644E">
        <w:t xml:space="preserve"> Water requirements are likely to be within the existing entitlements held by Whitehaven</w:t>
      </w:r>
      <w:r w:rsidR="00FA1BBB" w:rsidRPr="0096644E">
        <w:t xml:space="preserve"> Coal</w:t>
      </w:r>
      <w:r w:rsidR="007841A5" w:rsidRPr="0096644E">
        <w:t xml:space="preserve"> in most circumstances.</w:t>
      </w:r>
      <w:r w:rsidRPr="0096644E">
        <w:t xml:space="preserve"> </w:t>
      </w:r>
      <w:r w:rsidR="007841A5" w:rsidRPr="0096644E">
        <w:t xml:space="preserve">Specific issues </w:t>
      </w:r>
      <w:r w:rsidR="0057197F" w:rsidRPr="0096644E">
        <w:t>that</w:t>
      </w:r>
      <w:r w:rsidR="007841A5" w:rsidRPr="0096644E">
        <w:t xml:space="preserve"> could be given further consideration are outlined below.</w:t>
      </w:r>
    </w:p>
    <w:p w14:paraId="50EFAA2D" w14:textId="7D5E5112" w:rsidR="00DF1F1F" w:rsidRPr="0096644E" w:rsidRDefault="00F734DC" w:rsidP="003D141C">
      <w:pPr>
        <w:pStyle w:val="ListNumber2"/>
      </w:pPr>
      <w:r w:rsidRPr="0096644E">
        <w:t xml:space="preserve">The results of the proponent’s water balance model </w:t>
      </w:r>
      <w:r w:rsidR="007B4C3C" w:rsidRPr="0096644E">
        <w:t xml:space="preserve">confirm that the project is likely to </w:t>
      </w:r>
      <w:r w:rsidR="007841A5" w:rsidRPr="0096644E">
        <w:t xml:space="preserve">extract water from </w:t>
      </w:r>
      <w:r w:rsidR="007B4C3C" w:rsidRPr="0096644E">
        <w:t xml:space="preserve">the Namoi River, supplemented with some groundwater extraction </w:t>
      </w:r>
      <w:r w:rsidRPr="0096644E">
        <w:t>(EIS, App</w:t>
      </w:r>
      <w:r w:rsidR="0088694D" w:rsidRPr="0096644E">
        <w:t>endix</w:t>
      </w:r>
      <w:r w:rsidRPr="0096644E">
        <w:t xml:space="preserve"> B)</w:t>
      </w:r>
      <w:r w:rsidR="007B4C3C" w:rsidRPr="0096644E">
        <w:t>. The results</w:t>
      </w:r>
      <w:r w:rsidRPr="0096644E">
        <w:t xml:space="preserve"> suggest that </w:t>
      </w:r>
      <w:r w:rsidR="007B4C3C" w:rsidRPr="0096644E">
        <w:t>the proponent’s exi</w:t>
      </w:r>
      <w:r w:rsidR="005C1F7C" w:rsidRPr="0096644E">
        <w:t>s</w:t>
      </w:r>
      <w:r w:rsidR="007B4C3C" w:rsidRPr="0096644E">
        <w:t xml:space="preserve">ting </w:t>
      </w:r>
      <w:r w:rsidR="007841A5" w:rsidRPr="0096644E">
        <w:t>surface water allocations</w:t>
      </w:r>
      <w:r w:rsidR="007B4C3C" w:rsidRPr="0096644E">
        <w:t xml:space="preserve"> will be sufficient, even during dry years</w:t>
      </w:r>
      <w:r w:rsidR="00255A1C" w:rsidRPr="0096644E">
        <w:t>, provided full allocations are available</w:t>
      </w:r>
      <w:r w:rsidR="007B4C3C" w:rsidRPr="0096644E">
        <w:t xml:space="preserve">. </w:t>
      </w:r>
      <w:r w:rsidR="0038255F" w:rsidRPr="0096644E">
        <w:t xml:space="preserve">The proponent has undertaken </w:t>
      </w:r>
      <w:r w:rsidR="00BA7219" w:rsidRPr="0096644E">
        <w:t>a</w:t>
      </w:r>
      <w:r w:rsidR="00C25DDB" w:rsidRPr="0096644E">
        <w:t xml:space="preserve"> commendably</w:t>
      </w:r>
      <w:r w:rsidR="0038255F" w:rsidRPr="0096644E">
        <w:t xml:space="preserve"> thorough sensitivity analysis of the water balance model, incorporating climate variability, future climate change scenarios </w:t>
      </w:r>
      <w:r w:rsidR="00BF322C" w:rsidRPr="0096644E">
        <w:t>and parameter uncertainty (related to runoff characteristics of mine surfaces).</w:t>
      </w:r>
      <w:r w:rsidR="007841A5" w:rsidRPr="0096644E">
        <w:t xml:space="preserve"> Th</w:t>
      </w:r>
      <w:r w:rsidR="002D4B46" w:rsidRPr="0096644E">
        <w:t>e</w:t>
      </w:r>
      <w:r w:rsidR="007841A5" w:rsidRPr="0096644E">
        <w:t xml:space="preserve"> thoro</w:t>
      </w:r>
      <w:r w:rsidR="008A2095" w:rsidRPr="0096644E">
        <w:t>ughness of</w:t>
      </w:r>
      <w:r w:rsidR="00BF322C" w:rsidRPr="0096644E">
        <w:t xml:space="preserve"> the analysis and the effective use of independent reviewers</w:t>
      </w:r>
      <w:r w:rsidR="008A2095" w:rsidRPr="0096644E">
        <w:t xml:space="preserve"> increase</w:t>
      </w:r>
      <w:r w:rsidR="00495B98" w:rsidRPr="0096644E">
        <w:t>s</w:t>
      </w:r>
      <w:r w:rsidR="007841A5" w:rsidRPr="0096644E">
        <w:t xml:space="preserve"> confidence in the reliability of the model predictions. </w:t>
      </w:r>
      <w:r w:rsidR="00BF322C" w:rsidRPr="0096644E">
        <w:t xml:space="preserve">The analysis reveals that the predictions are sensitive to assumptions </w:t>
      </w:r>
      <w:r w:rsidR="00DF1F1F" w:rsidRPr="0096644E">
        <w:t>about</w:t>
      </w:r>
      <w:r w:rsidR="00BF322C" w:rsidRPr="0096644E">
        <w:t xml:space="preserve"> the fraction of incident rainfall that will become runof</w:t>
      </w:r>
      <w:r w:rsidR="00EE0790" w:rsidRPr="0096644E">
        <w:t>f;</w:t>
      </w:r>
      <w:r w:rsidR="00BF322C" w:rsidRPr="0096644E">
        <w:t xml:space="preserve"> efforts made to collate and utilise the limi</w:t>
      </w:r>
      <w:r w:rsidR="00EE0790" w:rsidRPr="0096644E">
        <w:t>ted information relevant to these</w:t>
      </w:r>
      <w:r w:rsidR="00BF322C" w:rsidRPr="0096644E">
        <w:t xml:space="preserve"> assumption</w:t>
      </w:r>
      <w:r w:rsidR="00EE0790" w:rsidRPr="0096644E">
        <w:t>s</w:t>
      </w:r>
      <w:r w:rsidR="00BF322C" w:rsidRPr="0096644E">
        <w:t xml:space="preserve"> </w:t>
      </w:r>
      <w:r w:rsidR="00DF1F1F" w:rsidRPr="0096644E">
        <w:t xml:space="preserve">are </w:t>
      </w:r>
      <w:r w:rsidR="00BF322C" w:rsidRPr="0096644E">
        <w:t>commended</w:t>
      </w:r>
      <w:r w:rsidR="00DF1F1F" w:rsidRPr="0096644E">
        <w:t>.</w:t>
      </w:r>
    </w:p>
    <w:p w14:paraId="646C4268" w14:textId="35045DDC" w:rsidR="00DF1F1F" w:rsidRPr="0096644E" w:rsidRDefault="007B4C3C" w:rsidP="00F77480">
      <w:pPr>
        <w:pStyle w:val="ListNumber2"/>
      </w:pPr>
      <w:r w:rsidRPr="0096644E">
        <w:t xml:space="preserve">If </w:t>
      </w:r>
      <w:r w:rsidR="00C527AC" w:rsidRPr="0096644E">
        <w:t>Whitehaven</w:t>
      </w:r>
      <w:r w:rsidR="00FA1BBB" w:rsidRPr="0096644E">
        <w:t xml:space="preserve"> Coal</w:t>
      </w:r>
      <w:r w:rsidR="00C527AC" w:rsidRPr="0096644E">
        <w:t xml:space="preserve">’s </w:t>
      </w:r>
      <w:r w:rsidR="007E04CC" w:rsidRPr="0096644E">
        <w:t xml:space="preserve">surface </w:t>
      </w:r>
      <w:r w:rsidRPr="0096644E">
        <w:t xml:space="preserve">water licences are not sufficient, the proponent </w:t>
      </w:r>
      <w:r w:rsidR="00C527AC" w:rsidRPr="0096644E">
        <w:t xml:space="preserve">proposes to use dust suppression chemicals, which can reduce the water required for dust suppression by half (EIS, Appendix B, p. 96). </w:t>
      </w:r>
      <w:r w:rsidR="006B6EBC" w:rsidRPr="0096644E">
        <w:t>Irwin et al.</w:t>
      </w:r>
      <w:r w:rsidR="00BD7575" w:rsidRPr="0096644E">
        <w:t xml:space="preserve"> (2008) </w:t>
      </w:r>
      <w:r w:rsidR="00FE4FF3" w:rsidRPr="0096644E">
        <w:t>showed</w:t>
      </w:r>
      <w:r w:rsidR="00BD7575" w:rsidRPr="0096644E">
        <w:t xml:space="preserve"> that impacts from some surfactants and organics used as dust suppressants are likely to be limited for surface water and groundwater quality. Acute toxicity </w:t>
      </w:r>
      <w:r w:rsidR="00EE0790" w:rsidRPr="0096644E">
        <w:t>to</w:t>
      </w:r>
      <w:r w:rsidR="00BD7575" w:rsidRPr="0096644E">
        <w:t xml:space="preserve"> invertebrates</w:t>
      </w:r>
      <w:r w:rsidR="00EE0790" w:rsidRPr="0096644E">
        <w:t xml:space="preserve"> and fish</w:t>
      </w:r>
      <w:r w:rsidR="00BD7575" w:rsidRPr="0096644E">
        <w:t xml:space="preserve"> and chronic toxicity </w:t>
      </w:r>
      <w:r w:rsidR="00EE0790" w:rsidRPr="0096644E">
        <w:t>to micro</w:t>
      </w:r>
      <w:r w:rsidR="00BD7575" w:rsidRPr="0096644E">
        <w:t xml:space="preserve"> algae were also assessed</w:t>
      </w:r>
      <w:r w:rsidR="000A7D1B" w:rsidRPr="0096644E">
        <w:t xml:space="preserve">, however, chronic toxicity </w:t>
      </w:r>
      <w:r w:rsidR="00EE0790" w:rsidRPr="0096644E">
        <w:t>to</w:t>
      </w:r>
      <w:r w:rsidR="000A7D1B" w:rsidRPr="0096644E">
        <w:t xml:space="preserve"> invertebrates</w:t>
      </w:r>
      <w:r w:rsidR="00EE0790" w:rsidRPr="0096644E">
        <w:t xml:space="preserve"> and fish</w:t>
      </w:r>
      <w:r w:rsidR="000A7D1B" w:rsidRPr="0096644E">
        <w:t xml:space="preserve"> was not assessed. The proponent should provide the information outlined in paragraph </w:t>
      </w:r>
      <w:r w:rsidR="003763DF" w:rsidRPr="0096644E">
        <w:t>1d (</w:t>
      </w:r>
      <w:proofErr w:type="spellStart"/>
      <w:r w:rsidR="003763DF" w:rsidRPr="0096644E">
        <w:t>i</w:t>
      </w:r>
      <w:proofErr w:type="spellEnd"/>
      <w:r w:rsidR="003763DF" w:rsidRPr="0096644E">
        <w:t>)</w:t>
      </w:r>
      <w:r w:rsidR="000A7D1B" w:rsidRPr="0096644E">
        <w:t xml:space="preserve"> for</w:t>
      </w:r>
      <w:r w:rsidR="00FA1BBB" w:rsidRPr="0096644E">
        <w:t xml:space="preserve"> the</w:t>
      </w:r>
      <w:r w:rsidR="000A7D1B" w:rsidRPr="0096644E">
        <w:t xml:space="preserve"> dust suppressants</w:t>
      </w:r>
      <w:r w:rsidR="00FA1BBB" w:rsidRPr="0096644E">
        <w:t xml:space="preserve"> </w:t>
      </w:r>
      <w:r w:rsidR="00EE0790" w:rsidRPr="0096644E">
        <w:t xml:space="preserve">potentially </w:t>
      </w:r>
      <w:r w:rsidR="00FA1BBB" w:rsidRPr="0096644E">
        <w:t>to be used</w:t>
      </w:r>
      <w:r w:rsidR="000A7D1B" w:rsidRPr="0096644E">
        <w:t xml:space="preserve"> and if data on chronic toxicity to aquatic organisms is not available</w:t>
      </w:r>
      <w:r w:rsidR="00EE0790" w:rsidRPr="0096644E">
        <w:t>,</w:t>
      </w:r>
      <w:r w:rsidR="000A7D1B" w:rsidRPr="0096644E">
        <w:t xml:space="preserve"> consider undertaking </w:t>
      </w:r>
      <w:r w:rsidR="00EE0790" w:rsidRPr="0096644E">
        <w:t>direct toxicity assessments according to ANZECC</w:t>
      </w:r>
      <w:r w:rsidR="00495B98" w:rsidRPr="0096644E">
        <w:t>/ARMCANZ</w:t>
      </w:r>
      <w:r w:rsidR="00EE0790" w:rsidRPr="0096644E">
        <w:t xml:space="preserve"> (2000)</w:t>
      </w:r>
      <w:r w:rsidR="000A7D1B" w:rsidRPr="0096644E">
        <w:t>.</w:t>
      </w:r>
    </w:p>
    <w:p w14:paraId="78D78CD8" w14:textId="13285BD5" w:rsidR="00E92981" w:rsidRPr="0096644E" w:rsidRDefault="002D152E" w:rsidP="00155684">
      <w:pPr>
        <w:pStyle w:val="ListNumber2"/>
        <w:ind w:left="709" w:hanging="283"/>
      </w:pPr>
      <w:r w:rsidRPr="0096644E">
        <w:t>The project has the potential to affect water quality through controlled and uncontrolled discharge from sediment dams</w:t>
      </w:r>
      <w:r w:rsidR="004606F5" w:rsidRPr="0096644E">
        <w:t>. Discharges are expected twice per year under median climatic conditions, with overflows predicted once in three y</w:t>
      </w:r>
      <w:r w:rsidR="00A86E13" w:rsidRPr="0096644E">
        <w:t>ears under the same conditions</w:t>
      </w:r>
      <w:r w:rsidR="009A48E0" w:rsidRPr="0096644E">
        <w:t>.</w:t>
      </w:r>
      <w:r w:rsidR="004606F5" w:rsidRPr="0096644E">
        <w:t xml:space="preserve"> The only </w:t>
      </w:r>
      <w:r w:rsidR="00495B98" w:rsidRPr="0096644E">
        <w:t xml:space="preserve">water </w:t>
      </w:r>
      <w:r w:rsidR="009A48E0" w:rsidRPr="0096644E">
        <w:t xml:space="preserve">quality criterion proposed for </w:t>
      </w:r>
      <w:r w:rsidR="00C527AC" w:rsidRPr="0096644E">
        <w:t xml:space="preserve">discharge </w:t>
      </w:r>
      <w:r w:rsidR="009A48E0" w:rsidRPr="0096644E">
        <w:t xml:space="preserve">water is </w:t>
      </w:r>
      <w:r w:rsidR="00C25DDB" w:rsidRPr="0096644E">
        <w:t>suspended solids</w:t>
      </w:r>
      <w:r w:rsidR="00C527AC" w:rsidRPr="0096644E">
        <w:t xml:space="preserve"> (up to </w:t>
      </w:r>
      <w:r w:rsidR="009A48E0" w:rsidRPr="0096644E">
        <w:t>50 mg/L</w:t>
      </w:r>
      <w:r w:rsidR="00C527AC" w:rsidRPr="0096644E">
        <w:t>)</w:t>
      </w:r>
      <w:r w:rsidR="009A48E0" w:rsidRPr="0096644E">
        <w:t>.</w:t>
      </w:r>
      <w:r w:rsidR="00A86E13" w:rsidRPr="0096644E">
        <w:t xml:space="preserve"> </w:t>
      </w:r>
      <w:r w:rsidR="00BA7219" w:rsidRPr="0096644E">
        <w:t xml:space="preserve">Although other parameters are proposed to be monitored in sediment dams, no guideline values for these other parameters are proposed for the discharges. </w:t>
      </w:r>
      <w:r w:rsidR="00C527AC" w:rsidRPr="0096644E">
        <w:t xml:space="preserve">The IESC considers that environmental protection would be enhanced if limits were also placed on </w:t>
      </w:r>
      <w:r w:rsidR="000423A4" w:rsidRPr="0096644E">
        <w:t>contaminant</w:t>
      </w:r>
      <w:r w:rsidR="00C527AC" w:rsidRPr="0096644E">
        <w:t xml:space="preserve"> concentrations in release water, particularly for </w:t>
      </w:r>
      <w:r w:rsidR="00DC44E9" w:rsidRPr="0096644E">
        <w:t xml:space="preserve">aluminium, </w:t>
      </w:r>
      <w:r w:rsidR="00C527AC" w:rsidRPr="0096644E">
        <w:t xml:space="preserve">molybdenum and arsenic which are noted to be elevated (compared to various ANZG </w:t>
      </w:r>
      <w:r w:rsidR="00FD5008" w:rsidRPr="0096644E">
        <w:t>2018</w:t>
      </w:r>
      <w:r w:rsidR="00C527AC" w:rsidRPr="0096644E">
        <w:t xml:space="preserve"> guideline values) in the water storages of nearby Whitehaven </w:t>
      </w:r>
      <w:r w:rsidR="00FA1BBB" w:rsidRPr="0096644E">
        <w:t xml:space="preserve">Coal </w:t>
      </w:r>
      <w:r w:rsidR="00C527AC" w:rsidRPr="0096644E">
        <w:t xml:space="preserve">mines. </w:t>
      </w:r>
      <w:r w:rsidR="00DC44E9" w:rsidRPr="0096644E">
        <w:t xml:space="preserve">Based on the geochemical assessment, silver, mercury and boron should also be monitored in sediment dams. </w:t>
      </w:r>
      <w:r w:rsidR="00C527AC" w:rsidRPr="0096644E">
        <w:t xml:space="preserve">Limits should be consistent with </w:t>
      </w:r>
      <w:r w:rsidR="000423A4" w:rsidRPr="0096644E">
        <w:t xml:space="preserve">the most conservative of the </w:t>
      </w:r>
      <w:r w:rsidR="00C527AC" w:rsidRPr="0096644E">
        <w:t xml:space="preserve">guideline values for </w:t>
      </w:r>
      <w:r w:rsidR="000423A4" w:rsidRPr="0096644E">
        <w:t xml:space="preserve">either </w:t>
      </w:r>
      <w:r w:rsidR="00C8389B" w:rsidRPr="0096644E">
        <w:t>aquatic</w:t>
      </w:r>
      <w:r w:rsidR="00C527AC" w:rsidRPr="0096644E">
        <w:t xml:space="preserve"> ecosystem protection </w:t>
      </w:r>
      <w:r w:rsidR="000423A4" w:rsidRPr="0096644E">
        <w:t>or</w:t>
      </w:r>
      <w:r w:rsidR="00C527AC" w:rsidRPr="0096644E">
        <w:t xml:space="preserve"> irrigation (given downstream irrigation use)</w:t>
      </w:r>
      <w:r w:rsidR="007E04CC" w:rsidRPr="0096644E">
        <w:t xml:space="preserve"> </w:t>
      </w:r>
      <w:r w:rsidR="00C527AC" w:rsidRPr="0096644E">
        <w:t xml:space="preserve">in the </w:t>
      </w:r>
      <w:r w:rsidR="00C527AC" w:rsidRPr="0096644E">
        <w:rPr>
          <w:i/>
        </w:rPr>
        <w:t>Australian and New Zealand Guidelines for Fresh and Marine Water Quality</w:t>
      </w:r>
      <w:r w:rsidR="00C527AC" w:rsidRPr="0096644E">
        <w:t xml:space="preserve"> (ANZG 2018). </w:t>
      </w:r>
    </w:p>
    <w:p w14:paraId="059CBB3C" w14:textId="03923D7F" w:rsidR="00DF1F1F" w:rsidRPr="0096644E" w:rsidRDefault="00DF1F1F" w:rsidP="00155684">
      <w:pPr>
        <w:pStyle w:val="ListNumber2"/>
        <w:ind w:left="709" w:hanging="283"/>
      </w:pPr>
      <w:r w:rsidRPr="0096644E">
        <w:t xml:space="preserve">The direction of surface water-groundwater exchanges across the bed and banks of most alluvial rivers strongly influences the rates and types of biogeochemical processes (e.g. nitrogen transformation, </w:t>
      </w:r>
      <w:r w:rsidR="00BD7575" w:rsidRPr="0096644E">
        <w:t xml:space="preserve">dissolved </w:t>
      </w:r>
      <w:r w:rsidRPr="0096644E">
        <w:t>carbon dynamics) in th</w:t>
      </w:r>
      <w:r w:rsidR="00E417A8" w:rsidRPr="0096644E">
        <w:t>e bed sediments (</w:t>
      </w:r>
      <w:proofErr w:type="spellStart"/>
      <w:r w:rsidR="00E417A8" w:rsidRPr="0096644E">
        <w:t>Boano</w:t>
      </w:r>
      <w:proofErr w:type="spellEnd"/>
      <w:r w:rsidR="00E417A8" w:rsidRPr="0096644E">
        <w:t xml:space="preserve"> et al. 2014).</w:t>
      </w:r>
      <w:r w:rsidRPr="0096644E">
        <w:t xml:space="preserve"> Changes to surface flow or the effects of groundwater drawdown may reverse the direction of surface water-groundwater exchange, alter the locations of upwelling and </w:t>
      </w:r>
      <w:proofErr w:type="spellStart"/>
      <w:r w:rsidRPr="0096644E">
        <w:t>downwelling</w:t>
      </w:r>
      <w:proofErr w:type="spellEnd"/>
      <w:r w:rsidRPr="0096644E">
        <w:t xml:space="preserve"> zones, or even cause repeated reversals of surface water</w:t>
      </w:r>
      <w:r w:rsidR="000939DB" w:rsidRPr="0096644E">
        <w:t>-groundwater</w:t>
      </w:r>
      <w:r w:rsidRPr="0096644E">
        <w:t xml:space="preserve"> exchange over time. Given the </w:t>
      </w:r>
      <w:r w:rsidRPr="0096644E">
        <w:lastRenderedPageBreak/>
        <w:t>significance of these biogeochemical processes to river water quality, especially during low flows, more information is needed on how these exchanges may be affected by the proposed project.</w:t>
      </w:r>
    </w:p>
    <w:p w14:paraId="101A723C" w14:textId="3EF5BAB3" w:rsidR="00BF322C" w:rsidRPr="0096644E" w:rsidRDefault="00BF322C" w:rsidP="00BF322C">
      <w:pPr>
        <w:pStyle w:val="ListNumber"/>
      </w:pPr>
      <w:r w:rsidRPr="0096644E">
        <w:t>The EIS provides a reasonable estimation of the likely flood-related impacts arising from the proposed project. The proponent has prepared separate TUFLOW models for the Namoi River and tributaries to the Namoi River which were calibrated based on flood hydrographs from the 1955 and 1988 flood events. The analyses prompt the following comments</w:t>
      </w:r>
      <w:r w:rsidR="002D4B46" w:rsidRPr="0096644E">
        <w:t>.</w:t>
      </w:r>
    </w:p>
    <w:p w14:paraId="619D2D54" w14:textId="6221E6BE" w:rsidR="00BF322C" w:rsidRPr="0096644E" w:rsidRDefault="00BF322C" w:rsidP="00BF322C">
      <w:pPr>
        <w:pStyle w:val="ListNumber2"/>
      </w:pPr>
      <w:r w:rsidRPr="0096644E">
        <w:t xml:space="preserve">The flood frequency analysis of </w:t>
      </w:r>
      <w:r w:rsidR="007E04CC" w:rsidRPr="0096644E">
        <w:t xml:space="preserve">the </w:t>
      </w:r>
      <w:r w:rsidRPr="0096644E">
        <w:t xml:space="preserve">Namoi River at Gunnedah provides estimates of the 1% </w:t>
      </w:r>
      <w:r w:rsidR="00BF7865" w:rsidRPr="0096644E">
        <w:t>annual exceedance probability (</w:t>
      </w:r>
      <w:r w:rsidRPr="0096644E">
        <w:t>AEP</w:t>
      </w:r>
      <w:r w:rsidR="00BF7865" w:rsidRPr="0096644E">
        <w:t>)</w:t>
      </w:r>
      <w:r w:rsidRPr="0096644E">
        <w:t xml:space="preserve"> flood that are likely to be overestimated (</w:t>
      </w:r>
      <w:r w:rsidR="007E04CC" w:rsidRPr="0096644E">
        <w:t>i.e.</w:t>
      </w:r>
      <w:r w:rsidRPr="0096644E">
        <w:t xml:space="preserve"> are conservatively high). This inference is based on the assumption that the </w:t>
      </w:r>
      <w:proofErr w:type="spellStart"/>
      <w:r w:rsidRPr="0096644E">
        <w:t>Cunnane</w:t>
      </w:r>
      <w:proofErr w:type="spellEnd"/>
      <w:r w:rsidRPr="0096644E">
        <w:t xml:space="preserve"> plotting position has been used to estimate the sample exceedance probability of the 1955 event (such that it is assigned an exceedance probability that is very close to 1% AEP), and that the historical period relevant to this maximum is 61 years (that is, that a larger event occurred in 1954). Records have been kept at that site since 1891 and thus it should be possible to identify more precisely the period over which the 1955 </w:t>
      </w:r>
      <w:r w:rsidR="007E04CC" w:rsidRPr="0096644E">
        <w:t xml:space="preserve">event </w:t>
      </w:r>
      <w:r w:rsidRPr="0096644E">
        <w:t>was considered to be the highest event. Any increase in this period over 61 years will result in a lower 1%</w:t>
      </w:r>
      <w:r w:rsidR="007E04CC" w:rsidRPr="0096644E">
        <w:t xml:space="preserve"> </w:t>
      </w:r>
      <w:r w:rsidRPr="0096644E">
        <w:t>AEP estimate. Given this, any mitigation works designed to accommodate the 1%</w:t>
      </w:r>
      <w:r w:rsidR="007E04CC" w:rsidRPr="0096644E">
        <w:t xml:space="preserve"> </w:t>
      </w:r>
      <w:r w:rsidRPr="0096644E">
        <w:t xml:space="preserve">AEP flood will provide protection against </w:t>
      </w:r>
      <w:r w:rsidR="002D4B46" w:rsidRPr="0096644E">
        <w:t xml:space="preserve">rarer </w:t>
      </w:r>
      <w:r w:rsidRPr="0096644E">
        <w:t>flood</w:t>
      </w:r>
      <w:r w:rsidR="002D4B46" w:rsidRPr="0096644E">
        <w:t xml:space="preserve"> events</w:t>
      </w:r>
      <w:r w:rsidRPr="0096644E">
        <w:t>.</w:t>
      </w:r>
    </w:p>
    <w:p w14:paraId="2F41F61F" w14:textId="07F55673" w:rsidR="00540970" w:rsidRPr="0096644E" w:rsidRDefault="00BF322C" w:rsidP="007F62F6">
      <w:pPr>
        <w:pStyle w:val="ListNumber2"/>
      </w:pPr>
      <w:r w:rsidRPr="0096644E">
        <w:t xml:space="preserve">Conversely, the </w:t>
      </w:r>
      <w:r w:rsidR="007E04CC" w:rsidRPr="0096644E">
        <w:t>p</w:t>
      </w:r>
      <w:r w:rsidRPr="0096644E">
        <w:t xml:space="preserve">robable </w:t>
      </w:r>
      <w:r w:rsidR="007E04CC" w:rsidRPr="0096644E">
        <w:t>m</w:t>
      </w:r>
      <w:r w:rsidRPr="0096644E">
        <w:t xml:space="preserve">aximum </w:t>
      </w:r>
      <w:r w:rsidR="007E04CC" w:rsidRPr="0096644E">
        <w:t>f</w:t>
      </w:r>
      <w:r w:rsidRPr="0096644E">
        <w:t>lood (PMF) for the Namoi</w:t>
      </w:r>
      <w:r w:rsidR="00540970" w:rsidRPr="0096644E">
        <w:t xml:space="preserve"> River</w:t>
      </w:r>
      <w:r w:rsidRPr="0096644E">
        <w:t xml:space="preserve"> at Gunnedah is most likely an underestimate. The proponent has estimated the PMF as being three times larger than the 1%</w:t>
      </w:r>
      <w:r w:rsidR="00540970" w:rsidRPr="0096644E">
        <w:t xml:space="preserve"> </w:t>
      </w:r>
      <w:r w:rsidRPr="0096644E">
        <w:t>AEP flood, though no evidence is provided in support of the factor of three adopted. Estimates of the PMF based on either south-eastern Australian (Nathan et al</w:t>
      </w:r>
      <w:r w:rsidR="00540970" w:rsidRPr="0096644E">
        <w:t>.</w:t>
      </w:r>
      <w:r w:rsidRPr="0096644E">
        <w:t xml:space="preserve"> 1994) or tropical Queensland (Watt et al</w:t>
      </w:r>
      <w:r w:rsidR="00540970" w:rsidRPr="0096644E">
        <w:t>.</w:t>
      </w:r>
      <w:r w:rsidRPr="0096644E">
        <w:t xml:space="preserve"> 2018) data indicate a PMF which is around six times the magnitude of the 1% AEP flood. The proponent’s estimate is also 20% lower than </w:t>
      </w:r>
      <w:r w:rsidR="000939DB" w:rsidRPr="0096644E">
        <w:t>observed global maxima (</w:t>
      </w:r>
      <w:proofErr w:type="spellStart"/>
      <w:r w:rsidR="000939DB" w:rsidRPr="0096644E">
        <w:t>Herschy</w:t>
      </w:r>
      <w:proofErr w:type="spellEnd"/>
      <w:r w:rsidRPr="0096644E">
        <w:t xml:space="preserve"> 2003). </w:t>
      </w:r>
      <w:r w:rsidR="00BF7865" w:rsidRPr="0096644E">
        <w:t xml:space="preserve">This </w:t>
      </w:r>
      <w:r w:rsidR="00742E84" w:rsidRPr="0096644E">
        <w:t>may</w:t>
      </w:r>
      <w:r w:rsidR="00BF7865" w:rsidRPr="0096644E">
        <w:t xml:space="preserve"> have implications for infrastructure design.</w:t>
      </w:r>
    </w:p>
    <w:p w14:paraId="7ED5547B" w14:textId="487E499E" w:rsidR="00BF322C" w:rsidRPr="0096644E" w:rsidRDefault="00BF322C" w:rsidP="007F62F6">
      <w:pPr>
        <w:pStyle w:val="ListNumber2"/>
      </w:pPr>
      <w:r w:rsidRPr="0096644E">
        <w:t>The flood estimates for the local tributaries are derived using two ind</w:t>
      </w:r>
      <w:r w:rsidR="00540970" w:rsidRPr="0096644E">
        <w:t>ependent methods, namely the</w:t>
      </w:r>
      <w:r w:rsidRPr="0096644E">
        <w:t xml:space="preserve"> XP-RAFTS flood event model (configured using regional information) and the RFFE model (which is based on a statistical analysis of a large body of gauged data). </w:t>
      </w:r>
      <w:r w:rsidR="00947773" w:rsidRPr="0096644E">
        <w:t>I</w:t>
      </w:r>
      <w:r w:rsidRPr="0096644E">
        <w:t xml:space="preserve">t is reassuring that these two sets of estimates are in good agreement </w:t>
      </w:r>
      <w:r w:rsidR="00742E84" w:rsidRPr="0096644E">
        <w:t>because deficiencies in this modelling</w:t>
      </w:r>
      <w:r w:rsidRPr="0096644E">
        <w:t xml:space="preserve"> </w:t>
      </w:r>
      <w:r w:rsidR="00742E84" w:rsidRPr="0096644E">
        <w:t>could affect design of flood bunds and other infrastructure</w:t>
      </w:r>
      <w:r w:rsidR="001D4104" w:rsidRPr="0096644E">
        <w:t>. However the IESC notes the following limitations.</w:t>
      </w:r>
    </w:p>
    <w:p w14:paraId="5916F4D5" w14:textId="7DA88C6F" w:rsidR="00BF322C" w:rsidRPr="0096644E" w:rsidRDefault="00BF322C" w:rsidP="00BF322C">
      <w:pPr>
        <w:pStyle w:val="ListNumber3"/>
      </w:pPr>
      <w:r w:rsidRPr="0096644E">
        <w:t xml:space="preserve">No attempt has been made to use nearby gauged information from </w:t>
      </w:r>
      <w:proofErr w:type="spellStart"/>
      <w:r w:rsidRPr="0096644E">
        <w:t>Maules</w:t>
      </w:r>
      <w:proofErr w:type="spellEnd"/>
      <w:r w:rsidRPr="0096644E">
        <w:t xml:space="preserve"> and </w:t>
      </w:r>
      <w:proofErr w:type="spellStart"/>
      <w:r w:rsidRPr="0096644E">
        <w:t>Coxs</w:t>
      </w:r>
      <w:proofErr w:type="spellEnd"/>
      <w:r w:rsidRPr="0096644E">
        <w:t xml:space="preserve"> Creeks, </w:t>
      </w:r>
      <w:r w:rsidR="00FE4FF3" w:rsidRPr="0096644E">
        <w:t>al</w:t>
      </w:r>
      <w:r w:rsidRPr="0096644E">
        <w:t>though these sites have been used in the surface water assessment (</w:t>
      </w:r>
      <w:r w:rsidR="00540970" w:rsidRPr="0096644E">
        <w:t xml:space="preserve">EIS, </w:t>
      </w:r>
      <w:r w:rsidRPr="0096644E">
        <w:t>Appendix B).</w:t>
      </w:r>
    </w:p>
    <w:p w14:paraId="60BB7CD9" w14:textId="3238A49E" w:rsidR="00BF322C" w:rsidRPr="0096644E" w:rsidRDefault="00BF322C" w:rsidP="00BF322C">
      <w:pPr>
        <w:pStyle w:val="ListNumber3"/>
      </w:pPr>
      <w:r w:rsidRPr="0096644E">
        <w:t>The design rainfall information used to derive the XP-RAFTS estimates are based on 1987 rather than 2016 information. The proponent notes (</w:t>
      </w:r>
      <w:r w:rsidR="00540970" w:rsidRPr="0096644E">
        <w:t xml:space="preserve">EIS, </w:t>
      </w:r>
      <w:r w:rsidRPr="0096644E">
        <w:t xml:space="preserve">Section 4.3.4) that the 2016 design rainfalls are lower than the 1987 estimates, which would suggest that the associated flood estimates are too </w:t>
      </w:r>
      <w:r w:rsidR="00A856B5" w:rsidRPr="0096644E">
        <w:t>high</w:t>
      </w:r>
      <w:r w:rsidRPr="0096644E">
        <w:t>.</w:t>
      </w:r>
    </w:p>
    <w:p w14:paraId="13B17923" w14:textId="51071E15" w:rsidR="00BF322C" w:rsidRPr="0096644E" w:rsidRDefault="00BF322C" w:rsidP="00BF322C">
      <w:pPr>
        <w:pStyle w:val="ListNumber3"/>
      </w:pPr>
      <w:r w:rsidRPr="0096644E">
        <w:t>However, the</w:t>
      </w:r>
      <w:r w:rsidR="002D4B46" w:rsidRPr="0096644E">
        <w:t>se</w:t>
      </w:r>
      <w:r w:rsidRPr="0096644E">
        <w:t xml:space="preserve"> rainfalls have been applied in conjunction with the 1987 temporal patterns. It is assumed by the </w:t>
      </w:r>
      <w:r w:rsidR="00540970" w:rsidRPr="0096644E">
        <w:t>peer r</w:t>
      </w:r>
      <w:r w:rsidRPr="0096644E">
        <w:t>eviewer (</w:t>
      </w:r>
      <w:r w:rsidR="00540970" w:rsidRPr="0096644E">
        <w:t xml:space="preserve">EIS, </w:t>
      </w:r>
      <w:r w:rsidRPr="0096644E">
        <w:t>Attachment 4) that the methodology adopted by the proponent will yield conservatively high results</w:t>
      </w:r>
      <w:r w:rsidR="006A5C30" w:rsidRPr="0096644E">
        <w:t>. A</w:t>
      </w:r>
      <w:r w:rsidRPr="0096644E">
        <w:t xml:space="preserve">s discussed in Nathan and Ling </w:t>
      </w:r>
      <w:r w:rsidR="000423A4" w:rsidRPr="0096644E">
        <w:t>(</w:t>
      </w:r>
      <w:r w:rsidRPr="0096644E">
        <w:t>2016)</w:t>
      </w:r>
      <w:r w:rsidR="006A5C30" w:rsidRPr="0096644E">
        <w:t>,</w:t>
      </w:r>
      <w:r w:rsidRPr="0096644E">
        <w:t xml:space="preserve"> studies have demonstrated that the influence of variability in temporal patterns yields flood estimates that may be higher or lower than any one adopted pattern (even if </w:t>
      </w:r>
      <w:r w:rsidR="000939DB" w:rsidRPr="0096644E">
        <w:t xml:space="preserve">it </w:t>
      </w:r>
      <w:r w:rsidRPr="0096644E">
        <w:t xml:space="preserve">is derived using the </w:t>
      </w:r>
      <w:r w:rsidR="00540970" w:rsidRPr="0096644E">
        <w:t>a</w:t>
      </w:r>
      <w:r w:rsidRPr="0096644E">
        <w:t xml:space="preserve">verage </w:t>
      </w:r>
      <w:r w:rsidR="00540970" w:rsidRPr="0096644E">
        <w:t>v</w:t>
      </w:r>
      <w:r w:rsidRPr="0096644E">
        <w:t xml:space="preserve">ariability </w:t>
      </w:r>
      <w:r w:rsidR="00540970" w:rsidRPr="0096644E">
        <w:t>m</w:t>
      </w:r>
      <w:r w:rsidRPr="0096644E">
        <w:t>etho</w:t>
      </w:r>
      <w:r w:rsidR="00540970" w:rsidRPr="0096644E">
        <w:t>d</w:t>
      </w:r>
      <w:r w:rsidRPr="0096644E">
        <w:t>).</w:t>
      </w:r>
      <w:r w:rsidR="00742E84" w:rsidRPr="0096644E">
        <w:t xml:space="preserve"> </w:t>
      </w:r>
    </w:p>
    <w:p w14:paraId="2AEFFB12" w14:textId="5FD0A53E" w:rsidR="00C527AC" w:rsidRPr="0096644E" w:rsidRDefault="00C527AC" w:rsidP="003D141C">
      <w:pPr>
        <w:pStyle w:val="ListNumber2"/>
      </w:pPr>
      <w:r w:rsidRPr="0096644E">
        <w:t xml:space="preserve">During flood events, there is the potential for erosion, settlement or slumping associated with the rail spur. Details of proposed remedial and contingency measures are planned to be provided in the Water Management Plan (EIS, p. 4-48). </w:t>
      </w:r>
      <w:r w:rsidR="00635ED0" w:rsidRPr="0096644E">
        <w:t>I</w:t>
      </w:r>
      <w:r w:rsidRPr="0096644E">
        <w:t>t is important that this plan clearly outlines inspection regimes and feasible mitigation measures.</w:t>
      </w:r>
      <w:r w:rsidR="00807A5A" w:rsidRPr="0096644E">
        <w:t xml:space="preserve"> While the results of the TUFLOW modelling </w:t>
      </w:r>
      <w:r w:rsidR="00807A5A" w:rsidRPr="0096644E">
        <w:lastRenderedPageBreak/>
        <w:t xml:space="preserve">suggest that the impacts of the rail spur on </w:t>
      </w:r>
      <w:r w:rsidR="000423A4" w:rsidRPr="0096644E">
        <w:t xml:space="preserve">water levels </w:t>
      </w:r>
      <w:r w:rsidR="00807A5A" w:rsidRPr="0096644E">
        <w:t xml:space="preserve">and velocities are modest, it is noted that </w:t>
      </w:r>
      <w:r w:rsidR="000423A4" w:rsidRPr="0096644E">
        <w:t xml:space="preserve">maps of this </w:t>
      </w:r>
      <w:r w:rsidR="00E03F43" w:rsidRPr="0096644E">
        <w:t>distribution (EIS, Appendix C, s</w:t>
      </w:r>
      <w:r w:rsidR="000423A4" w:rsidRPr="0096644E">
        <w:t>ection 6.4)</w:t>
      </w:r>
      <w:r w:rsidR="00807A5A" w:rsidRPr="0096644E">
        <w:t xml:space="preserve"> do not appear to capture the localised influence of culvert and bridge crossings. The location of all such waterway areas need to be provided to give greater confidence in the results of the modelling.</w:t>
      </w:r>
    </w:p>
    <w:p w14:paraId="7DB7081B" w14:textId="576BE7BB" w:rsidR="00155684" w:rsidRPr="0096644E" w:rsidRDefault="003D1E04" w:rsidP="00635ED0">
      <w:pPr>
        <w:pStyle w:val="ListNumber"/>
      </w:pPr>
      <w:r w:rsidRPr="0096644E">
        <w:t>The</w:t>
      </w:r>
      <w:r w:rsidR="00155684" w:rsidRPr="0096644E">
        <w:t xml:space="preserve"> geochemical assessment (EIS, Appendix M) identified some potential </w:t>
      </w:r>
      <w:r w:rsidR="000F120F" w:rsidRPr="0096644E">
        <w:t xml:space="preserve">issues which could affect groundwater quality and hence surface water quality given groundwater discharges to surface waters in the project region. </w:t>
      </w:r>
      <w:r w:rsidR="00C8389B" w:rsidRPr="0096644E">
        <w:t>The geochemical leach testing was undertaken with deionised water. To improve confidence in predic</w:t>
      </w:r>
      <w:r w:rsidR="000423A4" w:rsidRPr="0096644E">
        <w:t>tions, tests</w:t>
      </w:r>
      <w:r w:rsidR="00C8389B" w:rsidRPr="0096644E">
        <w:t xml:space="preserve"> </w:t>
      </w:r>
      <w:r w:rsidR="000423A4" w:rsidRPr="0096644E">
        <w:t xml:space="preserve">should be done </w:t>
      </w:r>
      <w:r w:rsidR="003763DF" w:rsidRPr="0096644E">
        <w:t>covering the</w:t>
      </w:r>
      <w:r w:rsidR="00C8389B" w:rsidRPr="0096644E">
        <w:t xml:space="preserve"> range of </w:t>
      </w:r>
      <w:r w:rsidR="000A7D1B" w:rsidRPr="0096644E">
        <w:t>potential environmental conditions applicable to the project</w:t>
      </w:r>
      <w:r w:rsidR="00C8389B" w:rsidRPr="0096644E">
        <w:t xml:space="preserve"> (</w:t>
      </w:r>
      <w:r w:rsidR="00BD7575" w:rsidRPr="0096644E">
        <w:t>e.g.</w:t>
      </w:r>
      <w:r w:rsidR="00C8389B" w:rsidRPr="0096644E">
        <w:t xml:space="preserve"> atmospheric exposure, different </w:t>
      </w:r>
      <w:r w:rsidR="00BD7575" w:rsidRPr="0096644E">
        <w:t>leaching solution</w:t>
      </w:r>
      <w:r w:rsidR="00C8389B" w:rsidRPr="0096644E">
        <w:t xml:space="preserve"> pH values</w:t>
      </w:r>
      <w:r w:rsidR="00BD7575" w:rsidRPr="0096644E">
        <w:t xml:space="preserve"> and</w:t>
      </w:r>
      <w:r w:rsidR="00C8389B" w:rsidRPr="0096644E">
        <w:t xml:space="preserve"> ionic concentration</w:t>
      </w:r>
      <w:r w:rsidR="003763DF" w:rsidRPr="0096644E">
        <w:t>s</w:t>
      </w:r>
      <w:r w:rsidR="00C8389B" w:rsidRPr="0096644E">
        <w:t xml:space="preserve"> reflective of anticipated conditions).</w:t>
      </w:r>
      <w:r w:rsidR="000F120F" w:rsidRPr="0096644E">
        <w:t xml:space="preserve"> </w:t>
      </w:r>
      <w:r w:rsidR="005C77C3" w:rsidRPr="0096644E">
        <w:t xml:space="preserve">Other identified </w:t>
      </w:r>
      <w:r w:rsidR="000F120F" w:rsidRPr="0096644E">
        <w:t>potential issues are outl</w:t>
      </w:r>
      <w:r w:rsidRPr="0096644E">
        <w:t xml:space="preserve">ined below. The IESC suggests some mitigation and management measures to supplement those currently </w:t>
      </w:r>
      <w:r w:rsidR="00B05B0E" w:rsidRPr="0096644E">
        <w:t>identified</w:t>
      </w:r>
      <w:r w:rsidRPr="0096644E">
        <w:t xml:space="preserve"> </w:t>
      </w:r>
      <w:r w:rsidR="000F120F" w:rsidRPr="0096644E">
        <w:t>by the proponent</w:t>
      </w:r>
      <w:r w:rsidRPr="0096644E">
        <w:t>.</w:t>
      </w:r>
      <w:r w:rsidR="00155684" w:rsidRPr="0096644E">
        <w:t xml:space="preserve"> </w:t>
      </w:r>
    </w:p>
    <w:p w14:paraId="71BEFCED" w14:textId="46F2C69C" w:rsidR="00155684" w:rsidRPr="0096644E" w:rsidRDefault="00155684" w:rsidP="00635ED0">
      <w:pPr>
        <w:pStyle w:val="ListNumber2"/>
      </w:pPr>
      <w:r w:rsidRPr="0096644E">
        <w:t xml:space="preserve">The overburden and </w:t>
      </w:r>
      <w:proofErr w:type="spellStart"/>
      <w:r w:rsidRPr="0096644E">
        <w:t>interburden</w:t>
      </w:r>
      <w:proofErr w:type="spellEnd"/>
      <w:r w:rsidRPr="0096644E">
        <w:t xml:space="preserve"> </w:t>
      </w:r>
      <w:r w:rsidR="00B72E0B" w:rsidRPr="0096644E">
        <w:t xml:space="preserve">are </w:t>
      </w:r>
      <w:r w:rsidRPr="0096644E">
        <w:t>expected to contain enriched concentrations of arsenic, silver, boron, antimony and selenium compared to average crustal abundance</w:t>
      </w:r>
      <w:r w:rsidR="00EC48FD" w:rsidRPr="0096644E">
        <w:t>s</w:t>
      </w:r>
      <w:r w:rsidRPr="0096644E">
        <w:t>. Under neutral to alkaline conditions, arsenic, molybdenum and selenium will readily leach. Surface water monitoring should include these metals.</w:t>
      </w:r>
    </w:p>
    <w:p w14:paraId="46F9F986" w14:textId="61DB20F0" w:rsidR="00155684" w:rsidRPr="0096644E" w:rsidRDefault="00155684" w:rsidP="003D141C">
      <w:pPr>
        <w:pStyle w:val="ListNumber2"/>
      </w:pPr>
      <w:r w:rsidRPr="0096644E">
        <w:t xml:space="preserve">If the overburden emplacement is constructed such that waste rock with higher </w:t>
      </w:r>
      <w:proofErr w:type="spellStart"/>
      <w:r w:rsidRPr="0096644E">
        <w:t>sulfur</w:t>
      </w:r>
      <w:proofErr w:type="spellEnd"/>
      <w:r w:rsidRPr="0096644E">
        <w:t xml:space="preserve"> content is exposed for prolonged periods to the atmosphere</w:t>
      </w:r>
      <w:r w:rsidR="00C8389B" w:rsidRPr="0096644E">
        <w:t xml:space="preserve"> and moisture</w:t>
      </w:r>
      <w:r w:rsidR="00B72E0B" w:rsidRPr="0096644E">
        <w:t>,</w:t>
      </w:r>
      <w:r w:rsidRPr="0096644E">
        <w:t xml:space="preserve"> acidic conditions could result. This co</w:t>
      </w:r>
      <w:r w:rsidR="0091780B" w:rsidRPr="0096644E">
        <w:t>uld cause increased leaching of</w:t>
      </w:r>
      <w:r w:rsidRPr="0096644E">
        <w:t xml:space="preserve"> arsenic, cobalt, n</w:t>
      </w:r>
      <w:r w:rsidR="000F120F" w:rsidRPr="0096644E">
        <w:t xml:space="preserve">ickel, lead, selenium and zinc. The proponent proposes to </w:t>
      </w:r>
      <w:r w:rsidRPr="0096644E">
        <w:t>blend</w:t>
      </w:r>
      <w:r w:rsidR="000F120F" w:rsidRPr="0096644E">
        <w:t xml:space="preserve"> waste rock and </w:t>
      </w:r>
      <w:r w:rsidRPr="0096644E">
        <w:t>ensure that the surface layer (‘final lift’) of the waste rock emplacement does not contain any potentially-acid-forming material (EIS, App</w:t>
      </w:r>
      <w:r w:rsidR="000F120F" w:rsidRPr="0096644E">
        <w:t>endix</w:t>
      </w:r>
      <w:r w:rsidRPr="0096644E">
        <w:t> M, p. 32). The IESC considers that this should be effective in mitigating the risk of acidification and associated acidic leaching.</w:t>
      </w:r>
      <w:r w:rsidR="000F120F" w:rsidRPr="0096644E">
        <w:t xml:space="preserve"> However, surface water monitoring should include </w:t>
      </w:r>
      <w:r w:rsidR="00EC48FD" w:rsidRPr="0096644E">
        <w:t xml:space="preserve">sampling for </w:t>
      </w:r>
      <w:r w:rsidR="000F120F" w:rsidRPr="0096644E">
        <w:t xml:space="preserve">arsenic, cobalt, nickel, lead, </w:t>
      </w:r>
      <w:r w:rsidR="00DC44E9" w:rsidRPr="0096644E">
        <w:t xml:space="preserve">molybdenum, </w:t>
      </w:r>
      <w:r w:rsidR="000F120F" w:rsidRPr="0096644E">
        <w:t>selenium and zinc to monit</w:t>
      </w:r>
      <w:r w:rsidR="0076796A" w:rsidRPr="0096644E">
        <w:t>or</w:t>
      </w:r>
      <w:r w:rsidR="000F120F" w:rsidRPr="0096644E">
        <w:t xml:space="preserve"> for potential leaching.</w:t>
      </w:r>
    </w:p>
    <w:p w14:paraId="650C5370" w14:textId="2E0F603B" w:rsidR="00155684" w:rsidRPr="0096644E" w:rsidRDefault="00155684" w:rsidP="00635ED0">
      <w:pPr>
        <w:pStyle w:val="ListNumber2"/>
      </w:pPr>
      <w:r w:rsidRPr="0096644E">
        <w:t>Coal rejects will be disposed of on</w:t>
      </w:r>
      <w:r w:rsidR="00590E48" w:rsidRPr="0096644E">
        <w:t>-</w:t>
      </w:r>
      <w:r w:rsidRPr="0096644E">
        <w:t>site. A small proportion of the coal or coal rejects may have a very low acid</w:t>
      </w:r>
      <w:r w:rsidR="00EC48FD" w:rsidRPr="0096644E">
        <w:t>-</w:t>
      </w:r>
      <w:r w:rsidRPr="0096644E">
        <w:t>neutralising capacity. Therefore, there is a risk that some of the reject material may be acid-forming</w:t>
      </w:r>
      <w:r w:rsidR="00C25DDB" w:rsidRPr="0096644E">
        <w:t xml:space="preserve"> if exposed to oxidative conditions (either aerial or through leaching)</w:t>
      </w:r>
      <w:r w:rsidRPr="0096644E">
        <w:t xml:space="preserve">. Concentrations of silver, arsenic, mercury and selenium are high in the coal material and elevated concentrations of molybdenum and selenium may also occur as these are readily soluble in the expected neutral pH conditions. Surface water monitoring should include </w:t>
      </w:r>
      <w:r w:rsidR="00EC48FD" w:rsidRPr="0096644E">
        <w:t xml:space="preserve">sampling for </w:t>
      </w:r>
      <w:r w:rsidRPr="0096644E">
        <w:t>these metals.</w:t>
      </w:r>
    </w:p>
    <w:p w14:paraId="24E9E181" w14:textId="037CC11D" w:rsidR="00CF2E7E" w:rsidRPr="0096644E" w:rsidRDefault="00155684" w:rsidP="000F120F">
      <w:pPr>
        <w:pStyle w:val="ListNumber2"/>
        <w:ind w:left="709" w:hanging="283"/>
      </w:pPr>
      <w:r w:rsidRPr="0096644E">
        <w:t xml:space="preserve">On-site disposal of coal rejects from the </w:t>
      </w:r>
      <w:r w:rsidR="000F120F" w:rsidRPr="0096644E">
        <w:t xml:space="preserve">CHPP </w:t>
      </w:r>
      <w:r w:rsidRPr="0096644E">
        <w:t>is proposed.</w:t>
      </w:r>
      <w:r w:rsidR="000F120F" w:rsidRPr="0096644E">
        <w:t xml:space="preserve"> The CHPP may process coal from other Whitehaven</w:t>
      </w:r>
      <w:r w:rsidR="005C77C3" w:rsidRPr="0096644E">
        <w:t xml:space="preserve"> Coal</w:t>
      </w:r>
      <w:r w:rsidR="000F120F" w:rsidRPr="0096644E">
        <w:t xml:space="preserve"> operations.</w:t>
      </w:r>
      <w:r w:rsidRPr="0096644E">
        <w:t xml:space="preserve">  A </w:t>
      </w:r>
      <w:r w:rsidR="00C8389B" w:rsidRPr="0096644E">
        <w:t>geochemical</w:t>
      </w:r>
      <w:r w:rsidRPr="0096644E">
        <w:t xml:space="preserve"> assessment of the coal rejects from the other Whitehaven </w:t>
      </w:r>
      <w:r w:rsidR="005C77C3" w:rsidRPr="0096644E">
        <w:t xml:space="preserve">Coal </w:t>
      </w:r>
      <w:r w:rsidRPr="0096644E">
        <w:t xml:space="preserve">mines that could be disposed of at the project site is likely to </w:t>
      </w:r>
      <w:r w:rsidR="00EA23E8" w:rsidRPr="0096644E">
        <w:t xml:space="preserve">already </w:t>
      </w:r>
      <w:r w:rsidRPr="0096644E">
        <w:t>exist and should be included in this documentation.</w:t>
      </w:r>
      <w:r w:rsidR="00BF7865" w:rsidRPr="0096644E">
        <w:t xml:space="preserve"> Any mitigation or special handling measures required for this material</w:t>
      </w:r>
      <w:r w:rsidR="007D573A" w:rsidRPr="0096644E">
        <w:t xml:space="preserve"> should be discussed.</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96644E" w14:paraId="41D8E41F" w14:textId="77777777" w:rsidTr="00B1520C">
        <w:trPr>
          <w:trHeight w:val="19"/>
        </w:trPr>
        <w:tc>
          <w:tcPr>
            <w:tcW w:w="1809" w:type="dxa"/>
            <w:tcBorders>
              <w:top w:val="single" w:sz="4" w:space="0" w:color="auto"/>
              <w:bottom w:val="single" w:sz="4" w:space="0" w:color="auto"/>
            </w:tcBorders>
          </w:tcPr>
          <w:p w14:paraId="3B7CE855" w14:textId="77777777" w:rsidR="007203C3" w:rsidRPr="0096644E" w:rsidRDefault="007203C3" w:rsidP="00D622B9">
            <w:pPr>
              <w:pStyle w:val="Heading6"/>
            </w:pPr>
            <w:r w:rsidRPr="0096644E">
              <w:t>Date of advice</w:t>
            </w:r>
          </w:p>
        </w:tc>
        <w:tc>
          <w:tcPr>
            <w:tcW w:w="8159" w:type="dxa"/>
            <w:tcBorders>
              <w:top w:val="single" w:sz="4" w:space="0" w:color="auto"/>
              <w:bottom w:val="single" w:sz="4" w:space="0" w:color="auto"/>
            </w:tcBorders>
          </w:tcPr>
          <w:p w14:paraId="41E9CFE2" w14:textId="34DD8588" w:rsidR="007203C3" w:rsidRPr="00D93677" w:rsidRDefault="00D93677" w:rsidP="00D93677">
            <w:pPr>
              <w:pStyle w:val="Tabletext"/>
            </w:pPr>
            <w:r w:rsidRPr="00D93677">
              <w:t>14</w:t>
            </w:r>
            <w:r w:rsidR="007203C3" w:rsidRPr="00D93677">
              <w:t xml:space="preserve"> </w:t>
            </w:r>
            <w:r w:rsidRPr="00D93677">
              <w:t>November</w:t>
            </w:r>
            <w:r w:rsidR="007203C3" w:rsidRPr="00D93677">
              <w:t xml:space="preserve"> 201</w:t>
            </w:r>
            <w:r w:rsidRPr="00D93677">
              <w:t>8</w:t>
            </w:r>
            <w:r w:rsidR="003E2135" w:rsidRPr="00D93677">
              <w:t xml:space="preserve"> </w:t>
            </w:r>
          </w:p>
        </w:tc>
      </w:tr>
      <w:tr w:rsidR="007203C3" w:rsidRPr="0096644E" w14:paraId="5B7897DB" w14:textId="77777777" w:rsidTr="00B1520C">
        <w:trPr>
          <w:trHeight w:val="161"/>
        </w:trPr>
        <w:tc>
          <w:tcPr>
            <w:tcW w:w="1809" w:type="dxa"/>
            <w:tcBorders>
              <w:top w:val="single" w:sz="4" w:space="0" w:color="auto"/>
              <w:bottom w:val="single" w:sz="4" w:space="0" w:color="auto"/>
            </w:tcBorders>
          </w:tcPr>
          <w:p w14:paraId="38B45CFE" w14:textId="77777777" w:rsidR="007203C3" w:rsidRPr="0096644E" w:rsidRDefault="007203C3" w:rsidP="00903F36">
            <w:pPr>
              <w:pStyle w:val="Heading6"/>
            </w:pPr>
            <w:r w:rsidRPr="0096644E">
              <w:t xml:space="preserve">Source documentation </w:t>
            </w:r>
            <w:r w:rsidR="00903F36" w:rsidRPr="0096644E">
              <w:t>provided</w:t>
            </w:r>
            <w:r w:rsidRPr="0096644E">
              <w:t xml:space="preserve"> to the </w:t>
            </w:r>
            <w:r w:rsidR="00A83DF5" w:rsidRPr="0096644E">
              <w:t>IESC</w:t>
            </w:r>
            <w:r w:rsidRPr="0096644E">
              <w:t xml:space="preserve"> </w:t>
            </w:r>
            <w:r w:rsidR="00903F36" w:rsidRPr="0096644E">
              <w:t>for</w:t>
            </w:r>
            <w:r w:rsidRPr="0096644E">
              <w:t xml:space="preserve"> the formulation of this advice</w:t>
            </w:r>
          </w:p>
        </w:tc>
        <w:tc>
          <w:tcPr>
            <w:tcW w:w="8159" w:type="dxa"/>
            <w:tcBorders>
              <w:top w:val="single" w:sz="4" w:space="0" w:color="auto"/>
              <w:bottom w:val="single" w:sz="4" w:space="0" w:color="auto"/>
            </w:tcBorders>
          </w:tcPr>
          <w:p w14:paraId="7A604D0B" w14:textId="0062E615" w:rsidR="007203C3" w:rsidRPr="0096644E" w:rsidRDefault="0096765A" w:rsidP="005C77C3">
            <w:pPr>
              <w:pStyle w:val="Tabletext"/>
              <w:rPr>
                <w:szCs w:val="22"/>
              </w:rPr>
            </w:pPr>
            <w:r w:rsidRPr="0096644E">
              <w:rPr>
                <w:i/>
              </w:rPr>
              <w:t>Vickery Extension Project Environmental Impact Statement</w:t>
            </w:r>
            <w:r w:rsidRPr="0096644E">
              <w:t xml:space="preserve"> (and appendices) 2018. Whitehaven Coal. Available</w:t>
            </w:r>
            <w:r w:rsidR="00033697" w:rsidRPr="0096644E">
              <w:t xml:space="preserve"> [online]</w:t>
            </w:r>
            <w:r w:rsidRPr="0096644E">
              <w:t xml:space="preserve">: </w:t>
            </w:r>
            <w:hyperlink r:id="rId13" w:history="1">
              <w:r w:rsidRPr="0096644E">
                <w:rPr>
                  <w:rStyle w:val="Hyperlink"/>
                </w:rPr>
                <w:t>http://majorprojects.planning.nsw.gov.au/index.pl?action=view_job&amp;job_id=7480</w:t>
              </w:r>
            </w:hyperlink>
            <w:r w:rsidRPr="0096644E">
              <w:t xml:space="preserve"> </w:t>
            </w:r>
            <w:r w:rsidR="00033697" w:rsidRPr="0096644E">
              <w:t xml:space="preserve">accessed </w:t>
            </w:r>
            <w:r w:rsidR="005C77C3" w:rsidRPr="0096644E">
              <w:t>November</w:t>
            </w:r>
            <w:r w:rsidR="00033697" w:rsidRPr="0096644E">
              <w:t xml:space="preserve"> 2018.</w:t>
            </w:r>
          </w:p>
        </w:tc>
      </w:tr>
      <w:tr w:rsidR="007203C3" w:rsidRPr="0096644E" w14:paraId="1775AA61" w14:textId="77777777" w:rsidTr="00B1520C">
        <w:trPr>
          <w:trHeight w:val="19"/>
        </w:trPr>
        <w:tc>
          <w:tcPr>
            <w:tcW w:w="1809" w:type="dxa"/>
            <w:tcBorders>
              <w:top w:val="single" w:sz="4" w:space="0" w:color="auto"/>
              <w:bottom w:val="single" w:sz="4" w:space="0" w:color="auto"/>
            </w:tcBorders>
          </w:tcPr>
          <w:p w14:paraId="3C6685F3" w14:textId="77777777" w:rsidR="007203C3" w:rsidRPr="0096644E" w:rsidRDefault="007203C3" w:rsidP="00D622B9">
            <w:pPr>
              <w:pStyle w:val="Heading6"/>
            </w:pPr>
            <w:r w:rsidRPr="0096644E">
              <w:lastRenderedPageBreak/>
              <w:t xml:space="preserve">References cited within the </w:t>
            </w:r>
            <w:r w:rsidR="00A83DF5" w:rsidRPr="0096644E">
              <w:t>IESC</w:t>
            </w:r>
            <w:r w:rsidRPr="0096644E">
              <w:t>’s advice</w:t>
            </w:r>
          </w:p>
        </w:tc>
        <w:tc>
          <w:tcPr>
            <w:tcW w:w="8159" w:type="dxa"/>
            <w:tcBorders>
              <w:top w:val="single" w:sz="4" w:space="0" w:color="auto"/>
              <w:bottom w:val="single" w:sz="4" w:space="0" w:color="auto"/>
            </w:tcBorders>
          </w:tcPr>
          <w:p w14:paraId="4B2EE7B7" w14:textId="4F9148EE" w:rsidR="00A75401" w:rsidRPr="0096644E" w:rsidRDefault="00476BE5" w:rsidP="00A86E13">
            <w:pPr>
              <w:pStyle w:val="Tabletext"/>
              <w:spacing w:after="120" w:line="240" w:lineRule="auto"/>
              <w:ind w:left="493" w:hanging="493"/>
            </w:pPr>
            <w:r w:rsidRPr="0096644E">
              <w:rPr>
                <w:noProof/>
                <w:lang w:eastAsia="en-AU"/>
              </w:rPr>
              <w:t xml:space="preserve">ANZECC/ARMCANZ 2000. </w:t>
            </w:r>
            <w:r w:rsidRPr="0096644E">
              <w:rPr>
                <w:i/>
                <w:noProof/>
                <w:lang w:eastAsia="en-AU"/>
              </w:rPr>
              <w:t xml:space="preserve">Australian </w:t>
            </w:r>
            <w:r w:rsidR="005B4B0D">
              <w:rPr>
                <w:i/>
                <w:noProof/>
                <w:lang w:eastAsia="en-AU"/>
              </w:rPr>
              <w:t>g</w:t>
            </w:r>
            <w:r w:rsidRPr="0096644E">
              <w:rPr>
                <w:i/>
                <w:noProof/>
                <w:lang w:eastAsia="en-AU"/>
              </w:rPr>
              <w:t xml:space="preserve">uidelines for </w:t>
            </w:r>
            <w:r w:rsidR="005B4B0D">
              <w:rPr>
                <w:i/>
                <w:noProof/>
                <w:lang w:eastAsia="en-AU"/>
              </w:rPr>
              <w:t>w</w:t>
            </w:r>
            <w:r w:rsidRPr="0096644E">
              <w:rPr>
                <w:i/>
                <w:noProof/>
                <w:lang w:eastAsia="en-AU"/>
              </w:rPr>
              <w:t xml:space="preserve">ater </w:t>
            </w:r>
            <w:r w:rsidR="005B4B0D">
              <w:rPr>
                <w:i/>
                <w:noProof/>
                <w:lang w:eastAsia="en-AU"/>
              </w:rPr>
              <w:t>q</w:t>
            </w:r>
            <w:r w:rsidRPr="0096644E">
              <w:rPr>
                <w:i/>
                <w:noProof/>
                <w:lang w:eastAsia="en-AU"/>
              </w:rPr>
              <w:t xml:space="preserve">uality </w:t>
            </w:r>
            <w:r w:rsidR="005B4B0D">
              <w:rPr>
                <w:i/>
                <w:noProof/>
                <w:lang w:eastAsia="en-AU"/>
              </w:rPr>
              <w:t>monitoring and r</w:t>
            </w:r>
            <w:r w:rsidRPr="0096644E">
              <w:rPr>
                <w:i/>
                <w:noProof/>
                <w:lang w:eastAsia="en-AU"/>
              </w:rPr>
              <w:t>eporting.</w:t>
            </w:r>
            <w:r w:rsidRPr="0096644E">
              <w:rPr>
                <w:noProof/>
                <w:lang w:eastAsia="en-AU"/>
              </w:rPr>
              <w:t xml:space="preserve"> National </w:t>
            </w:r>
            <w:r w:rsidR="005B4B0D">
              <w:rPr>
                <w:noProof/>
                <w:lang w:eastAsia="en-AU"/>
              </w:rPr>
              <w:t>w</w:t>
            </w:r>
            <w:r w:rsidRPr="0096644E">
              <w:rPr>
                <w:noProof/>
                <w:lang w:eastAsia="en-AU"/>
              </w:rPr>
              <w:t xml:space="preserve">ater </w:t>
            </w:r>
            <w:r w:rsidR="005B4B0D">
              <w:rPr>
                <w:noProof/>
                <w:lang w:eastAsia="en-AU"/>
              </w:rPr>
              <w:t>q</w:t>
            </w:r>
            <w:r w:rsidRPr="0096644E">
              <w:rPr>
                <w:noProof/>
                <w:lang w:eastAsia="en-AU"/>
              </w:rPr>
              <w:t xml:space="preserve">uality </w:t>
            </w:r>
            <w:r w:rsidR="005B4B0D">
              <w:rPr>
                <w:noProof/>
                <w:lang w:eastAsia="en-AU"/>
              </w:rPr>
              <w:t>m</w:t>
            </w:r>
            <w:r w:rsidRPr="0096644E">
              <w:rPr>
                <w:noProof/>
                <w:lang w:eastAsia="en-AU"/>
              </w:rPr>
              <w:t xml:space="preserve">anagement </w:t>
            </w:r>
            <w:r w:rsidR="005B4B0D">
              <w:rPr>
                <w:noProof/>
                <w:lang w:eastAsia="en-AU"/>
              </w:rPr>
              <w:t>s</w:t>
            </w:r>
            <w:r w:rsidRPr="0096644E">
              <w:rPr>
                <w:noProof/>
                <w:lang w:eastAsia="en-AU"/>
              </w:rPr>
              <w:t>trategy (NWQMS). Canberra: Australian and New Zealand Environment and Conservation Council and Agriculture and Resource Management Council of Australia and New Zealand</w:t>
            </w:r>
            <w:r w:rsidR="005B4B0D">
              <w:rPr>
                <w:noProof/>
                <w:lang w:eastAsia="en-AU"/>
              </w:rPr>
              <w:t>.</w:t>
            </w:r>
          </w:p>
          <w:p w14:paraId="442D8981" w14:textId="59CD24CB" w:rsidR="00A86E13" w:rsidRPr="0096644E" w:rsidRDefault="00A86E13" w:rsidP="00A86E13">
            <w:pPr>
              <w:pStyle w:val="Tabletext"/>
              <w:spacing w:after="120" w:line="240" w:lineRule="auto"/>
              <w:ind w:left="493" w:hanging="493"/>
            </w:pPr>
            <w:r w:rsidRPr="0096644E">
              <w:t>ANZG 2018. </w:t>
            </w:r>
            <w:r w:rsidRPr="0096644E">
              <w:rPr>
                <w:i/>
              </w:rPr>
              <w:t xml:space="preserve">Australian and New Zealand </w:t>
            </w:r>
            <w:r w:rsidR="000D4A9A">
              <w:rPr>
                <w:i/>
              </w:rPr>
              <w:t>guidelines for f</w:t>
            </w:r>
            <w:r w:rsidRPr="0096644E">
              <w:rPr>
                <w:i/>
              </w:rPr>
              <w:t xml:space="preserve">resh and </w:t>
            </w:r>
            <w:r w:rsidR="000D4A9A">
              <w:rPr>
                <w:i/>
              </w:rPr>
              <w:t>m</w:t>
            </w:r>
            <w:r w:rsidRPr="0096644E">
              <w:rPr>
                <w:i/>
              </w:rPr>
              <w:t xml:space="preserve">arine </w:t>
            </w:r>
            <w:r w:rsidR="000D4A9A">
              <w:rPr>
                <w:i/>
              </w:rPr>
              <w:t>water q</w:t>
            </w:r>
            <w:r w:rsidRPr="0096644E">
              <w:rPr>
                <w:i/>
              </w:rPr>
              <w:t>uality</w:t>
            </w:r>
            <w:r w:rsidRPr="0096644E">
              <w:t>. Australian and New Zealand Governments and Australian state and territory governments, Canberra ACT, Australia. Available</w:t>
            </w:r>
            <w:r w:rsidR="00033697" w:rsidRPr="0096644E">
              <w:t xml:space="preserve"> [online]</w:t>
            </w:r>
            <w:r w:rsidRPr="0096644E">
              <w:t xml:space="preserve">: </w:t>
            </w:r>
            <w:hyperlink r:id="rId14" w:history="1">
              <w:r w:rsidR="00C25DDB" w:rsidRPr="0096644E">
                <w:rPr>
                  <w:rStyle w:val="Hyperlink"/>
                </w:rPr>
                <w:t>www.waterquality.gov.au/anz-guidelines</w:t>
              </w:r>
            </w:hyperlink>
            <w:r w:rsidR="00C25DDB" w:rsidRPr="0096644E">
              <w:rPr>
                <w:rStyle w:val="Hyperlink"/>
                <w:u w:val="none"/>
              </w:rPr>
              <w:t xml:space="preserve"> </w:t>
            </w:r>
            <w:r w:rsidR="00C25DDB" w:rsidRPr="0096644E">
              <w:rPr>
                <w:rStyle w:val="Hyperlink"/>
                <w:color w:val="auto"/>
                <w:u w:val="none"/>
              </w:rPr>
              <w:t xml:space="preserve">accessed </w:t>
            </w:r>
            <w:r w:rsidR="000A7D1B" w:rsidRPr="0096644E">
              <w:rPr>
                <w:rStyle w:val="Hyperlink"/>
                <w:color w:val="auto"/>
                <w:u w:val="none"/>
              </w:rPr>
              <w:t xml:space="preserve">November </w:t>
            </w:r>
            <w:r w:rsidR="00C25DDB" w:rsidRPr="0096644E">
              <w:rPr>
                <w:rStyle w:val="Hyperlink"/>
                <w:color w:val="auto"/>
                <w:u w:val="none"/>
              </w:rPr>
              <w:t>2018.</w:t>
            </w:r>
          </w:p>
          <w:p w14:paraId="189D7117" w14:textId="474E9E62" w:rsidR="00E417A8" w:rsidRPr="0096644E" w:rsidRDefault="00E417A8" w:rsidP="00A86E13">
            <w:pPr>
              <w:pStyle w:val="Tabletext"/>
              <w:spacing w:after="120" w:line="240" w:lineRule="auto"/>
              <w:ind w:left="493" w:hanging="493"/>
            </w:pPr>
            <w:proofErr w:type="spellStart"/>
            <w:r w:rsidRPr="0096644E">
              <w:t>Boano</w:t>
            </w:r>
            <w:proofErr w:type="spellEnd"/>
            <w:r w:rsidRPr="0096644E">
              <w:t xml:space="preserve"> F, Harvey JW, Marion A, P</w:t>
            </w:r>
            <w:r w:rsidR="00476BE5" w:rsidRPr="0096644E">
              <w:t xml:space="preserve">ackman AI, </w:t>
            </w:r>
            <w:proofErr w:type="spellStart"/>
            <w:r w:rsidR="00476BE5" w:rsidRPr="0096644E">
              <w:t>Revelli</w:t>
            </w:r>
            <w:proofErr w:type="spellEnd"/>
            <w:r w:rsidR="00476BE5" w:rsidRPr="0096644E">
              <w:t xml:space="preserve"> R, </w:t>
            </w:r>
            <w:proofErr w:type="spellStart"/>
            <w:r w:rsidR="00476BE5" w:rsidRPr="0096644E">
              <w:t>Ridolfi</w:t>
            </w:r>
            <w:proofErr w:type="spellEnd"/>
            <w:r w:rsidR="00476BE5" w:rsidRPr="0096644E">
              <w:t xml:space="preserve"> L</w:t>
            </w:r>
            <w:r w:rsidRPr="0096644E">
              <w:t xml:space="preserve"> </w:t>
            </w:r>
            <w:r w:rsidR="00476BE5" w:rsidRPr="0096644E">
              <w:t xml:space="preserve">and </w:t>
            </w:r>
            <w:proofErr w:type="spellStart"/>
            <w:r w:rsidRPr="0096644E">
              <w:t>Wörman</w:t>
            </w:r>
            <w:proofErr w:type="spellEnd"/>
            <w:r w:rsidRPr="0096644E">
              <w:t xml:space="preserve"> A 2014. </w:t>
            </w:r>
            <w:proofErr w:type="spellStart"/>
            <w:r w:rsidRPr="0096644E">
              <w:t>Hyporheic</w:t>
            </w:r>
            <w:proofErr w:type="spellEnd"/>
            <w:r w:rsidRPr="0096644E">
              <w:t xml:space="preserve"> flow and transport processes: Mechanisms, models and biogeochemical implications. </w:t>
            </w:r>
            <w:r w:rsidRPr="0096644E">
              <w:rPr>
                <w:i/>
              </w:rPr>
              <w:t>Reviews of Geophysics</w:t>
            </w:r>
            <w:r w:rsidRPr="0096644E">
              <w:t xml:space="preserve"> 52(4):603-679. Available [online]: </w:t>
            </w:r>
            <w:hyperlink r:id="rId15" w:history="1">
              <w:r w:rsidRPr="0096644E">
                <w:rPr>
                  <w:rStyle w:val="Hyperlink"/>
                </w:rPr>
                <w:t>https://doi.org/10.1002/2012RG000417</w:t>
              </w:r>
            </w:hyperlink>
            <w:r w:rsidRPr="0096644E">
              <w:t xml:space="preserve"> accessed November 2018.</w:t>
            </w:r>
          </w:p>
          <w:p w14:paraId="5BE1AA56" w14:textId="3187D52C" w:rsidR="00424C89" w:rsidRPr="0096644E" w:rsidRDefault="00424C89" w:rsidP="00A86E13">
            <w:pPr>
              <w:pStyle w:val="Tabletext"/>
              <w:spacing w:after="120" w:line="240" w:lineRule="auto"/>
              <w:ind w:left="493" w:hanging="493"/>
            </w:pPr>
            <w:r w:rsidRPr="0096644E">
              <w:t xml:space="preserve">Eberhard SM, </w:t>
            </w:r>
            <w:proofErr w:type="spellStart"/>
            <w:r w:rsidRPr="0096644E">
              <w:t>Halse</w:t>
            </w:r>
            <w:proofErr w:type="spellEnd"/>
            <w:r w:rsidRPr="0096644E">
              <w:t xml:space="preserve"> SA, Williams MR, Scanlon MD, Cocking J and Barron HJ 2009. Exploring the relationship between sampling efficiency and short-range endemism for groundwater fauna in the </w:t>
            </w:r>
            <w:proofErr w:type="spellStart"/>
            <w:r w:rsidRPr="0096644E">
              <w:t>Pilbra</w:t>
            </w:r>
            <w:proofErr w:type="spellEnd"/>
            <w:r w:rsidRPr="0096644E">
              <w:t xml:space="preserve"> region, Western Australia. </w:t>
            </w:r>
            <w:r w:rsidRPr="0096644E">
              <w:rPr>
                <w:i/>
              </w:rPr>
              <w:t>Freshwater Biology</w:t>
            </w:r>
            <w:r w:rsidRPr="0096644E">
              <w:t xml:space="preserve"> 54:885-901</w:t>
            </w:r>
            <w:r w:rsidR="00EF13BB" w:rsidRPr="0096644E">
              <w:t>.</w:t>
            </w:r>
          </w:p>
          <w:p w14:paraId="517B1234" w14:textId="0FCA2094" w:rsidR="00C25DDB" w:rsidRPr="0096644E" w:rsidRDefault="00C25DDB" w:rsidP="00A86E13">
            <w:pPr>
              <w:pStyle w:val="Tabletext"/>
              <w:spacing w:after="120" w:line="240" w:lineRule="auto"/>
              <w:ind w:left="493" w:hanging="493"/>
            </w:pPr>
            <w:proofErr w:type="spellStart"/>
            <w:r w:rsidRPr="0096644E">
              <w:t>Herschy</w:t>
            </w:r>
            <w:proofErr w:type="spellEnd"/>
            <w:r w:rsidRPr="0096644E">
              <w:t xml:space="preserve"> R 2003. </w:t>
            </w:r>
            <w:r w:rsidRPr="0096644E">
              <w:rPr>
                <w:i/>
              </w:rPr>
              <w:t>World catalogue of maximum observed floods.</w:t>
            </w:r>
            <w:r w:rsidRPr="0096644E">
              <w:t xml:space="preserve"> IAHS publication number 284.</w:t>
            </w:r>
            <w:r w:rsidR="00C8389B" w:rsidRPr="0096644E">
              <w:t xml:space="preserve"> Wallingford, Oxfordshire: International Association of Hydrological Sciences.</w:t>
            </w:r>
          </w:p>
          <w:p w14:paraId="0A519EBB" w14:textId="585099D1" w:rsidR="00F657D7" w:rsidRPr="0096644E" w:rsidRDefault="005B0855" w:rsidP="00033697">
            <w:pPr>
              <w:pStyle w:val="Tabletext"/>
              <w:spacing w:line="240" w:lineRule="auto"/>
              <w:ind w:left="493" w:hanging="493"/>
            </w:pPr>
            <w:r w:rsidRPr="0096644E">
              <w:t>IESC,</w:t>
            </w:r>
            <w:r w:rsidR="0048018F" w:rsidRPr="0096644E">
              <w:t xml:space="preserve"> 201</w:t>
            </w:r>
            <w:r w:rsidR="001E2E34" w:rsidRPr="0096644E">
              <w:t>8</w:t>
            </w:r>
            <w:r w:rsidR="0048018F" w:rsidRPr="0096644E">
              <w:t xml:space="preserve">. </w:t>
            </w:r>
            <w:r w:rsidR="0048018F" w:rsidRPr="0096644E">
              <w:rPr>
                <w:i/>
              </w:rPr>
              <w:t xml:space="preserve">Information Guidelines for </w:t>
            </w:r>
            <w:r w:rsidR="001E2E34" w:rsidRPr="0096644E">
              <w:rPr>
                <w:i/>
              </w:rPr>
              <w:t xml:space="preserve">proponents preparing </w:t>
            </w:r>
            <w:r w:rsidR="0048018F" w:rsidRPr="0096644E">
              <w:rPr>
                <w:i/>
              </w:rPr>
              <w:t>coal seam gas and large coal mining development proposals</w:t>
            </w:r>
            <w:r w:rsidR="0048018F" w:rsidRPr="0096644E">
              <w:t>. Available</w:t>
            </w:r>
            <w:r w:rsidR="00033697" w:rsidRPr="0096644E">
              <w:t xml:space="preserve"> [online]</w:t>
            </w:r>
            <w:r w:rsidR="0048018F" w:rsidRPr="0096644E">
              <w:t xml:space="preserve">: </w:t>
            </w:r>
            <w:r w:rsidR="00C25DDB" w:rsidRPr="0096644E">
              <w:t xml:space="preserve"> </w:t>
            </w:r>
            <w:hyperlink r:id="rId16" w:history="1">
              <w:r w:rsidR="00C25DDB" w:rsidRPr="0096644E">
                <w:rPr>
                  <w:rStyle w:val="Hyperlink"/>
                </w:rPr>
                <w:t>http://iesc.environment.gov.au/publications/information-guidelines-independent-expert-scientific-committee-advice-coal-seam-gas</w:t>
              </w:r>
            </w:hyperlink>
            <w:r w:rsidR="00C25DDB" w:rsidRPr="0096644E">
              <w:t xml:space="preserve"> accessed </w:t>
            </w:r>
            <w:r w:rsidR="000A7D1B" w:rsidRPr="0096644E">
              <w:t xml:space="preserve">November </w:t>
            </w:r>
            <w:r w:rsidR="00C25DDB" w:rsidRPr="0096644E">
              <w:t>2018.</w:t>
            </w:r>
          </w:p>
          <w:p w14:paraId="17F3FFAB" w14:textId="77777777" w:rsidR="00C25DDB" w:rsidRPr="0096644E" w:rsidRDefault="00C25DDB" w:rsidP="00033697">
            <w:pPr>
              <w:pStyle w:val="Tabletext"/>
              <w:spacing w:line="240" w:lineRule="auto"/>
              <w:ind w:left="493" w:hanging="493"/>
            </w:pPr>
          </w:p>
          <w:p w14:paraId="7E835897" w14:textId="76A33363" w:rsidR="000A7D1B" w:rsidRPr="0096644E" w:rsidRDefault="000A7D1B" w:rsidP="00033697">
            <w:pPr>
              <w:pStyle w:val="Tabletext"/>
              <w:spacing w:line="240" w:lineRule="auto"/>
              <w:ind w:left="493" w:hanging="493"/>
            </w:pPr>
            <w:r w:rsidRPr="0096644E">
              <w:t>Irwin K</w:t>
            </w:r>
            <w:r w:rsidR="00476BE5" w:rsidRPr="0096644E">
              <w:t xml:space="preserve">, Hall F, </w:t>
            </w:r>
            <w:proofErr w:type="spellStart"/>
            <w:r w:rsidR="00476BE5" w:rsidRPr="0096644E">
              <w:t>Kemner</w:t>
            </w:r>
            <w:proofErr w:type="spellEnd"/>
            <w:r w:rsidR="00476BE5" w:rsidRPr="0096644E">
              <w:t xml:space="preserve"> W, </w:t>
            </w:r>
            <w:proofErr w:type="spellStart"/>
            <w:r w:rsidR="00476BE5" w:rsidRPr="0096644E">
              <w:t>Beighley</w:t>
            </w:r>
            <w:proofErr w:type="spellEnd"/>
            <w:r w:rsidR="00476BE5" w:rsidRPr="0096644E">
              <w:t xml:space="preserve"> E</w:t>
            </w:r>
            <w:r w:rsidR="00FE2408" w:rsidRPr="0096644E">
              <w:t xml:space="preserve"> </w:t>
            </w:r>
            <w:r w:rsidR="00476BE5" w:rsidRPr="0096644E">
              <w:t xml:space="preserve">and </w:t>
            </w:r>
            <w:proofErr w:type="spellStart"/>
            <w:r w:rsidRPr="0096644E">
              <w:t>Husby</w:t>
            </w:r>
            <w:proofErr w:type="spellEnd"/>
            <w:r w:rsidRPr="0096644E">
              <w:t xml:space="preserve"> P 2008. </w:t>
            </w:r>
            <w:r w:rsidRPr="0096644E">
              <w:rPr>
                <w:i/>
              </w:rPr>
              <w:t>Testing of dust suppressants for water quality impacts. Final Report.</w:t>
            </w:r>
            <w:r w:rsidRPr="0096644E">
              <w:t xml:space="preserve"> US EPA. Available [online]: </w:t>
            </w:r>
            <w:hyperlink r:id="rId17" w:history="1">
              <w:r w:rsidRPr="0096644E">
                <w:rPr>
                  <w:rStyle w:val="Hyperlink"/>
                </w:rPr>
                <w:t>https://www3.epa.gov/region9/air/dust/DustSuppressants-sept2008.pdf</w:t>
              </w:r>
            </w:hyperlink>
            <w:r w:rsidRPr="0096644E">
              <w:t xml:space="preserve"> accessed November 2018</w:t>
            </w:r>
          </w:p>
          <w:p w14:paraId="4305A3A2" w14:textId="77777777" w:rsidR="000A7D1B" w:rsidRPr="0096644E" w:rsidRDefault="000A7D1B" w:rsidP="00033697">
            <w:pPr>
              <w:pStyle w:val="Tabletext"/>
              <w:spacing w:line="240" w:lineRule="auto"/>
              <w:ind w:left="493" w:hanging="493"/>
            </w:pPr>
          </w:p>
          <w:p w14:paraId="543A11EC" w14:textId="1BE72203" w:rsidR="005F3899" w:rsidRPr="0096644E" w:rsidRDefault="00C25DDB" w:rsidP="00033697">
            <w:pPr>
              <w:pStyle w:val="Tabletext"/>
              <w:spacing w:line="240" w:lineRule="auto"/>
              <w:ind w:left="493" w:hanging="493"/>
            </w:pPr>
            <w:r w:rsidRPr="0096644E">
              <w:t xml:space="preserve">Nathan R and Ling F 2016. </w:t>
            </w:r>
            <w:r w:rsidRPr="0096644E">
              <w:rPr>
                <w:i/>
              </w:rPr>
              <w:t xml:space="preserve">Chapter 3: Types </w:t>
            </w:r>
            <w:r w:rsidR="00CD56ED" w:rsidRPr="0096644E">
              <w:rPr>
                <w:i/>
              </w:rPr>
              <w:t>o</w:t>
            </w:r>
            <w:r w:rsidRPr="0096644E">
              <w:rPr>
                <w:i/>
              </w:rPr>
              <w:t xml:space="preserve">f simulation approaches. </w:t>
            </w:r>
            <w:r w:rsidR="005445A7" w:rsidRPr="0096644E">
              <w:t xml:space="preserve">In </w:t>
            </w:r>
            <w:r w:rsidR="005D7515" w:rsidRPr="0096644E">
              <w:t xml:space="preserve">Ball J, </w:t>
            </w:r>
            <w:proofErr w:type="spellStart"/>
            <w:r w:rsidR="005D7515" w:rsidRPr="0096644E">
              <w:t>Babister</w:t>
            </w:r>
            <w:proofErr w:type="spellEnd"/>
            <w:r w:rsidR="005D7515" w:rsidRPr="0096644E">
              <w:t xml:space="preserve"> M, Nathan R, Weeks B, </w:t>
            </w:r>
            <w:proofErr w:type="spellStart"/>
            <w:r w:rsidR="005D7515" w:rsidRPr="0096644E">
              <w:t>Weinmann</w:t>
            </w:r>
            <w:proofErr w:type="spellEnd"/>
            <w:r w:rsidR="005D7515" w:rsidRPr="0096644E">
              <w:t xml:space="preserve"> E, </w:t>
            </w:r>
            <w:proofErr w:type="spellStart"/>
            <w:r w:rsidR="005D7515" w:rsidRPr="0096644E">
              <w:t>Retallick</w:t>
            </w:r>
            <w:proofErr w:type="spellEnd"/>
            <w:r w:rsidR="005D7515" w:rsidRPr="0096644E">
              <w:t xml:space="preserve"> M and </w:t>
            </w:r>
            <w:proofErr w:type="spellStart"/>
            <w:r w:rsidR="005D7515" w:rsidRPr="0096644E">
              <w:t>Testoni</w:t>
            </w:r>
            <w:proofErr w:type="spellEnd"/>
            <w:r w:rsidR="005D7515" w:rsidRPr="0096644E">
              <w:t xml:space="preserve"> I (editors) </w:t>
            </w:r>
            <w:r w:rsidR="005D7515" w:rsidRPr="0096644E">
              <w:rPr>
                <w:i/>
              </w:rPr>
              <w:t>Australian rainfall and runoff. A guide to flood estimation. Book 4 Catchment simulation.</w:t>
            </w:r>
            <w:r w:rsidR="005D7515" w:rsidRPr="0096644E">
              <w:t xml:space="preserve"> Geoscience Australia. Available [online]: </w:t>
            </w:r>
            <w:hyperlink r:id="rId18" w:history="1">
              <w:r w:rsidR="005D7515" w:rsidRPr="0096644E">
                <w:rPr>
                  <w:rStyle w:val="Hyperlink"/>
                </w:rPr>
                <w:t>http://book.arr.org.au.s3-website-ap-southeast-2.amazonaws.com/</w:t>
              </w:r>
            </w:hyperlink>
            <w:r w:rsidR="005D7515" w:rsidRPr="0096644E">
              <w:t xml:space="preserve"> accessed </w:t>
            </w:r>
            <w:r w:rsidR="000A7D1B" w:rsidRPr="0096644E">
              <w:t xml:space="preserve">November </w:t>
            </w:r>
            <w:r w:rsidR="005D7515" w:rsidRPr="0096644E">
              <w:t>2018.</w:t>
            </w:r>
          </w:p>
          <w:p w14:paraId="1C70DE43" w14:textId="77777777" w:rsidR="005D7515" w:rsidRPr="0096644E" w:rsidRDefault="005D7515" w:rsidP="00033697">
            <w:pPr>
              <w:pStyle w:val="Tabletext"/>
              <w:spacing w:line="240" w:lineRule="auto"/>
              <w:ind w:left="493" w:hanging="493"/>
            </w:pPr>
          </w:p>
          <w:p w14:paraId="5BBF74E5" w14:textId="6DF76243" w:rsidR="005D7515" w:rsidRPr="0096644E" w:rsidRDefault="005D7515" w:rsidP="00033697">
            <w:pPr>
              <w:pStyle w:val="Tabletext"/>
              <w:spacing w:line="240" w:lineRule="auto"/>
              <w:ind w:left="493" w:hanging="493"/>
            </w:pPr>
            <w:r w:rsidRPr="0096644E">
              <w:t xml:space="preserve">Nathan RJ, </w:t>
            </w:r>
            <w:proofErr w:type="spellStart"/>
            <w:r w:rsidRPr="0096644E">
              <w:t>Weinmann</w:t>
            </w:r>
            <w:proofErr w:type="spellEnd"/>
            <w:r w:rsidRPr="0096644E">
              <w:t xml:space="preserve"> PE </w:t>
            </w:r>
            <w:r w:rsidR="00476BE5" w:rsidRPr="0096644E">
              <w:t xml:space="preserve">and </w:t>
            </w:r>
            <w:proofErr w:type="spellStart"/>
            <w:r w:rsidRPr="0096644E">
              <w:t>Gato</w:t>
            </w:r>
            <w:proofErr w:type="spellEnd"/>
            <w:r w:rsidRPr="0096644E">
              <w:t xml:space="preserve"> S 1994. A quick method for estimation of the probable maximum flood in south-east Australia. International Hydrology and Water Resources Symposium: Water Down Under</w:t>
            </w:r>
            <w:r w:rsidRPr="0096644E">
              <w:rPr>
                <w:i/>
              </w:rPr>
              <w:t>.</w:t>
            </w:r>
            <w:r w:rsidRPr="0096644E">
              <w:t xml:space="preserve"> November 1994, Adelaide. </w:t>
            </w:r>
            <w:r w:rsidRPr="0096644E">
              <w:rPr>
                <w:i/>
              </w:rPr>
              <w:t xml:space="preserve">I.E. </w:t>
            </w:r>
            <w:r w:rsidR="00FC0BA9" w:rsidRPr="0096644E">
              <w:rPr>
                <w:i/>
              </w:rPr>
              <w:t xml:space="preserve">Australia </w:t>
            </w:r>
            <w:r w:rsidRPr="0096644E">
              <w:rPr>
                <w:i/>
              </w:rPr>
              <w:t>Nat</w:t>
            </w:r>
            <w:r w:rsidR="00FC0BA9" w:rsidRPr="0096644E">
              <w:rPr>
                <w:i/>
              </w:rPr>
              <w:t>ional</w:t>
            </w:r>
            <w:r w:rsidRPr="0096644E">
              <w:rPr>
                <w:i/>
              </w:rPr>
              <w:t xml:space="preserve"> Conf</w:t>
            </w:r>
            <w:r w:rsidR="00FC0BA9" w:rsidRPr="0096644E">
              <w:rPr>
                <w:i/>
              </w:rPr>
              <w:t>erence,</w:t>
            </w:r>
            <w:r w:rsidRPr="0096644E">
              <w:rPr>
                <w:i/>
              </w:rPr>
              <w:t xml:space="preserve"> </w:t>
            </w:r>
            <w:r w:rsidR="00FC0BA9" w:rsidRPr="0096644E">
              <w:t xml:space="preserve">Institution of Engineers, </w:t>
            </w:r>
            <w:r w:rsidRPr="0096644E">
              <w:t>Pub</w:t>
            </w:r>
            <w:r w:rsidR="00FC0BA9" w:rsidRPr="0096644E">
              <w:t>lication</w:t>
            </w:r>
            <w:r w:rsidRPr="0096644E">
              <w:t xml:space="preserve">. No. 94, 229-234. </w:t>
            </w:r>
          </w:p>
          <w:p w14:paraId="661818C9" w14:textId="77777777" w:rsidR="005D7515" w:rsidRPr="0096644E" w:rsidRDefault="005D7515" w:rsidP="00033697">
            <w:pPr>
              <w:pStyle w:val="Tabletext"/>
              <w:spacing w:line="240" w:lineRule="auto"/>
              <w:ind w:left="493" w:hanging="493"/>
            </w:pPr>
          </w:p>
          <w:p w14:paraId="535C8DF9" w14:textId="41FAE018" w:rsidR="00652FA8" w:rsidRPr="0096644E" w:rsidRDefault="00652FA8" w:rsidP="00033697">
            <w:pPr>
              <w:pStyle w:val="Tabletext"/>
              <w:spacing w:line="240" w:lineRule="auto"/>
              <w:ind w:left="493" w:hanging="493"/>
            </w:pPr>
            <w:r w:rsidRPr="0096644E">
              <w:t xml:space="preserve">NSW DPI 2007. </w:t>
            </w:r>
            <w:r w:rsidRPr="0096644E">
              <w:rPr>
                <w:i/>
              </w:rPr>
              <w:t>Endangered ecological communities in</w:t>
            </w:r>
            <w:r w:rsidR="00116ADA" w:rsidRPr="0096644E">
              <w:rPr>
                <w:i/>
              </w:rPr>
              <w:t xml:space="preserve"> NSW</w:t>
            </w:r>
            <w:r w:rsidR="00FC0BA9" w:rsidRPr="0096644E">
              <w:rPr>
                <w:i/>
              </w:rPr>
              <w:t>:</w:t>
            </w:r>
            <w:r w:rsidR="00116ADA" w:rsidRPr="0096644E">
              <w:rPr>
                <w:i/>
              </w:rPr>
              <w:t xml:space="preserve"> Lowland Darling River aquatic ecological community.</w:t>
            </w:r>
            <w:r w:rsidR="00116ADA" w:rsidRPr="0096644E">
              <w:t xml:space="preserve"> </w:t>
            </w:r>
            <w:proofErr w:type="spellStart"/>
            <w:r w:rsidR="00FC0BA9" w:rsidRPr="0096644E">
              <w:t>Primefac</w:t>
            </w:r>
            <w:r w:rsidR="000A7D1B" w:rsidRPr="0096644E">
              <w:t>t</w:t>
            </w:r>
            <w:proofErr w:type="spellEnd"/>
            <w:r w:rsidR="00FC0BA9" w:rsidRPr="0096644E">
              <w:t xml:space="preserve"> 173. </w:t>
            </w:r>
            <w:r w:rsidR="00116ADA" w:rsidRPr="0096644E">
              <w:t xml:space="preserve">Available [online]: </w:t>
            </w:r>
            <w:hyperlink r:id="rId19" w:history="1">
              <w:r w:rsidR="00116ADA" w:rsidRPr="0096644E">
                <w:rPr>
                  <w:rStyle w:val="Hyperlink"/>
                </w:rPr>
                <w:t>http://www.dpi.nsw.gov.au/__data/assets/pdf_file/0006/171573/Lowland-Darling-River-aquatic-ecological-community.pdf</w:t>
              </w:r>
            </w:hyperlink>
            <w:r w:rsidR="00045895" w:rsidRPr="0096644E">
              <w:t xml:space="preserve"> accessed </w:t>
            </w:r>
            <w:r w:rsidR="000A7D1B" w:rsidRPr="0096644E">
              <w:t xml:space="preserve">November </w:t>
            </w:r>
            <w:r w:rsidR="00045895" w:rsidRPr="0096644E">
              <w:t>2018.</w:t>
            </w:r>
          </w:p>
          <w:p w14:paraId="311465BF" w14:textId="77777777" w:rsidR="00652FA8" w:rsidRPr="0096644E" w:rsidRDefault="00652FA8" w:rsidP="00033697">
            <w:pPr>
              <w:pStyle w:val="Tabletext"/>
              <w:spacing w:line="240" w:lineRule="auto"/>
              <w:ind w:left="493" w:hanging="493"/>
            </w:pPr>
          </w:p>
          <w:p w14:paraId="570D7B08" w14:textId="571F76C3" w:rsidR="005F3899" w:rsidRPr="0096644E" w:rsidRDefault="00476BE5" w:rsidP="00033697">
            <w:pPr>
              <w:pStyle w:val="Tabletext"/>
              <w:spacing w:line="240" w:lineRule="auto"/>
              <w:ind w:left="493" w:hanging="493"/>
            </w:pPr>
            <w:r w:rsidRPr="0096644E">
              <w:t xml:space="preserve">Serov P, </w:t>
            </w:r>
            <w:proofErr w:type="spellStart"/>
            <w:r w:rsidRPr="0096644E">
              <w:t>Kuginis</w:t>
            </w:r>
            <w:proofErr w:type="spellEnd"/>
            <w:r w:rsidRPr="0096644E">
              <w:t xml:space="preserve"> L and</w:t>
            </w:r>
            <w:r w:rsidR="005F3899" w:rsidRPr="0096644E">
              <w:t xml:space="preserve"> Williams JP 2012. </w:t>
            </w:r>
            <w:r w:rsidR="005F3899" w:rsidRPr="0096644E">
              <w:rPr>
                <w:i/>
              </w:rPr>
              <w:t>Risk assessment guidelines for groundwater-dependent ecosystems, Volume 1 – The conceptual framework</w:t>
            </w:r>
            <w:r w:rsidR="005F3899" w:rsidRPr="0096644E">
              <w:t>, NSW Primary Industries, Office of Water, Sydney. Available</w:t>
            </w:r>
            <w:r w:rsidR="00590297" w:rsidRPr="0096644E">
              <w:t xml:space="preserve"> [online]</w:t>
            </w:r>
            <w:r w:rsidR="005F3899" w:rsidRPr="0096644E">
              <w:t xml:space="preserve">: </w:t>
            </w:r>
            <w:hyperlink r:id="rId20" w:history="1">
              <w:r w:rsidR="005F3899" w:rsidRPr="0096644E">
                <w:rPr>
                  <w:rStyle w:val="Hyperlink"/>
                </w:rPr>
                <w:t>https://www.water.nsw.gov.au/water-management-old/water-availability/risk-assessment/groundwater-dependent-ecosystems</w:t>
              </w:r>
            </w:hyperlink>
            <w:r w:rsidR="00045895" w:rsidRPr="0096644E">
              <w:t xml:space="preserve">  a</w:t>
            </w:r>
            <w:r w:rsidR="005F3899" w:rsidRPr="0096644E">
              <w:t xml:space="preserve">ccessed </w:t>
            </w:r>
            <w:r w:rsidR="000A7D1B" w:rsidRPr="0096644E">
              <w:t xml:space="preserve">November </w:t>
            </w:r>
            <w:r w:rsidR="005F3899" w:rsidRPr="0096644E">
              <w:t>2018.</w:t>
            </w:r>
          </w:p>
          <w:p w14:paraId="73FED27D" w14:textId="77777777" w:rsidR="005D7515" w:rsidRPr="0096644E" w:rsidRDefault="005D7515" w:rsidP="00033697">
            <w:pPr>
              <w:pStyle w:val="Tabletext"/>
              <w:spacing w:line="240" w:lineRule="auto"/>
              <w:ind w:left="493" w:hanging="493"/>
            </w:pPr>
          </w:p>
          <w:p w14:paraId="2200E59E" w14:textId="6F162978" w:rsidR="00BF322C" w:rsidRPr="0096644E" w:rsidRDefault="005D7515" w:rsidP="00FE2408">
            <w:pPr>
              <w:pStyle w:val="Tabletext"/>
              <w:spacing w:line="240" w:lineRule="auto"/>
              <w:ind w:left="493" w:hanging="493"/>
            </w:pPr>
            <w:r w:rsidRPr="0096644E">
              <w:t>Watt S, Hughes M</w:t>
            </w:r>
            <w:r w:rsidR="00476BE5" w:rsidRPr="0096644E">
              <w:t xml:space="preserve"> and</w:t>
            </w:r>
            <w:r w:rsidRPr="0096644E">
              <w:t xml:space="preserve"> Sciacca D 2018. A quick probabl</w:t>
            </w:r>
            <w:r w:rsidR="00045895" w:rsidRPr="0096644E">
              <w:t>e</w:t>
            </w:r>
            <w:r w:rsidRPr="0096644E">
              <w:t xml:space="preserve"> maximum flood estimation method for Queensland. Proceedings</w:t>
            </w:r>
            <w:r w:rsidR="00045895" w:rsidRPr="0096644E">
              <w:t xml:space="preserve"> of the </w:t>
            </w:r>
            <w:r w:rsidRPr="0096644E">
              <w:t>ANCOLD conference</w:t>
            </w:r>
            <w:r w:rsidR="00045895" w:rsidRPr="0096644E">
              <w:t>,</w:t>
            </w:r>
            <w:r w:rsidRPr="0096644E">
              <w:t xml:space="preserve"> </w:t>
            </w:r>
            <w:r w:rsidR="000A7D1B" w:rsidRPr="0096644E">
              <w:t xml:space="preserve">November </w:t>
            </w:r>
            <w:r w:rsidRPr="0096644E">
              <w:t>2018, Melbourne.</w:t>
            </w:r>
          </w:p>
        </w:tc>
      </w:tr>
    </w:tbl>
    <w:p w14:paraId="181605C3" w14:textId="457BD14D" w:rsidR="007203C3" w:rsidRPr="00062A46" w:rsidRDefault="00FE4995" w:rsidP="00D622B9">
      <w:r w:rsidRPr="0096644E">
        <w:fldChar w:fldCharType="begin"/>
      </w:r>
      <w:r w:rsidR="00C37525" w:rsidRPr="0096644E">
        <w:instrText xml:space="preserve"> ADDIN </w:instrText>
      </w:r>
      <w:r w:rsidRPr="0096644E">
        <w:fldChar w:fldCharType="end"/>
      </w:r>
    </w:p>
    <w:sectPr w:rsidR="007203C3" w:rsidRPr="00062A46" w:rsidSect="00BE27DD">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649A2" w14:textId="77777777" w:rsidR="001A3C31" w:rsidRDefault="001A3C31" w:rsidP="00D622B9">
      <w:r>
        <w:separator/>
      </w:r>
    </w:p>
  </w:endnote>
  <w:endnote w:type="continuationSeparator" w:id="0">
    <w:p w14:paraId="33ACE8B3" w14:textId="77777777" w:rsidR="001A3C31" w:rsidRDefault="001A3C31" w:rsidP="00D622B9">
      <w:r>
        <w:continuationSeparator/>
      </w:r>
    </w:p>
  </w:endnote>
  <w:endnote w:type="continuationNotice" w:id="1">
    <w:p w14:paraId="2BDF54B4" w14:textId="77777777" w:rsidR="001A3C31" w:rsidRDefault="001A3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091B" w14:textId="77777777" w:rsidR="00561694" w:rsidRDefault="00561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86662" w14:textId="77777777" w:rsidR="001A3C31" w:rsidRPr="00637239" w:rsidRDefault="001A3C31" w:rsidP="003B5A88">
    <w:pPr>
      <w:pStyle w:val="Footer"/>
      <w:pBdr>
        <w:top w:val="single" w:sz="12" w:space="0" w:color="auto"/>
      </w:pBdr>
    </w:pPr>
  </w:p>
  <w:p w14:paraId="194CA3BB" w14:textId="08CFF7DC" w:rsidR="001A3C31" w:rsidRPr="00EF606E" w:rsidRDefault="001A3C31" w:rsidP="003B5A88">
    <w:pPr>
      <w:pStyle w:val="Footer"/>
      <w:pBdr>
        <w:top w:val="single" w:sz="12" w:space="0" w:color="auto"/>
      </w:pBdr>
      <w:rPr>
        <w:sz w:val="20"/>
      </w:rPr>
    </w:pPr>
    <w:r w:rsidRPr="00EF606E">
      <w:rPr>
        <w:sz w:val="20"/>
      </w:rPr>
      <w:t>Vickery Ext</w:t>
    </w:r>
    <w:r w:rsidR="00CB2B63">
      <w:rPr>
        <w:sz w:val="20"/>
      </w:rPr>
      <w:t>ension Project Advice</w:t>
    </w:r>
    <w:r w:rsidR="00FC0BA9" w:rsidRPr="00EF606E">
      <w:rPr>
        <w:sz w:val="20"/>
      </w:rPr>
      <w:ptab w:relativeTo="margin" w:alignment="right" w:leader="none"/>
    </w:r>
    <w:r w:rsidR="00D93677">
      <w:rPr>
        <w:sz w:val="20"/>
      </w:rPr>
      <w:t>14</w:t>
    </w:r>
    <w:r w:rsidRPr="00EF606E">
      <w:rPr>
        <w:sz w:val="20"/>
      </w:rPr>
      <w:t xml:space="preserve"> </w:t>
    </w:r>
    <w:r w:rsidR="00D93677">
      <w:rPr>
        <w:sz w:val="20"/>
      </w:rPr>
      <w:t>November</w:t>
    </w:r>
    <w:r w:rsidRPr="00EF606E">
      <w:rPr>
        <w:sz w:val="20"/>
      </w:rPr>
      <w:t xml:space="preserve"> 201</w:t>
    </w:r>
    <w:r w:rsidR="00D93677">
      <w:rPr>
        <w:sz w:val="20"/>
      </w:rPr>
      <w:t>8</w:t>
    </w:r>
  </w:p>
  <w:p w14:paraId="2C320697" w14:textId="77777777" w:rsidR="001A3C31" w:rsidRPr="00637239" w:rsidRDefault="001A3C31"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561694">
      <w:rPr>
        <w:noProof/>
        <w:sz w:val="20"/>
      </w:rPr>
      <w:t>10</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D8A5" w14:textId="77777777" w:rsidR="001A3C31" w:rsidRPr="007B11FD" w:rsidRDefault="001A3C31" w:rsidP="000F240D">
    <w:pPr>
      <w:pStyle w:val="Footer"/>
      <w:pBdr>
        <w:top w:val="single" w:sz="12" w:space="0" w:color="auto"/>
      </w:pBdr>
      <w:ind w:left="-426"/>
    </w:pPr>
  </w:p>
  <w:p w14:paraId="3ABFFE85" w14:textId="090D319C" w:rsidR="001A3C31" w:rsidRPr="00F71B44" w:rsidRDefault="001A3C31" w:rsidP="000F240D">
    <w:pPr>
      <w:pStyle w:val="Footer"/>
      <w:pBdr>
        <w:top w:val="single" w:sz="12" w:space="0" w:color="auto"/>
      </w:pBdr>
      <w:ind w:left="-426"/>
      <w:rPr>
        <w:sz w:val="20"/>
      </w:rPr>
    </w:pPr>
    <w:r w:rsidRPr="00F71B44">
      <w:rPr>
        <w:sz w:val="20"/>
      </w:rPr>
      <w:t>Vickery Extension Project Advice</w:t>
    </w:r>
    <w:r w:rsidRPr="00F71B44">
      <w:rPr>
        <w:sz w:val="20"/>
      </w:rPr>
      <w:ptab w:relativeTo="margin" w:alignment="right" w:leader="none"/>
    </w:r>
    <w:r w:rsidR="00D93677">
      <w:rPr>
        <w:sz w:val="20"/>
      </w:rPr>
      <w:t>14</w:t>
    </w:r>
    <w:r w:rsidRPr="00F71B44">
      <w:rPr>
        <w:sz w:val="20"/>
      </w:rPr>
      <w:t xml:space="preserve"> </w:t>
    </w:r>
    <w:r w:rsidR="00D93677">
      <w:rPr>
        <w:sz w:val="20"/>
      </w:rPr>
      <w:t>November</w:t>
    </w:r>
    <w:r w:rsidRPr="00F71B44">
      <w:rPr>
        <w:sz w:val="20"/>
      </w:rPr>
      <w:t xml:space="preserve"> 201</w:t>
    </w:r>
    <w:r w:rsidR="00D93677">
      <w:rPr>
        <w:sz w:val="20"/>
      </w:rPr>
      <w:t>8</w:t>
    </w:r>
  </w:p>
  <w:p w14:paraId="72940037" w14:textId="77777777" w:rsidR="001A3C31" w:rsidRPr="00637239" w:rsidRDefault="001A3C31"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561694">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2858" w14:textId="77777777" w:rsidR="001A3C31" w:rsidRDefault="001A3C31" w:rsidP="00D622B9">
      <w:r>
        <w:separator/>
      </w:r>
    </w:p>
  </w:footnote>
  <w:footnote w:type="continuationSeparator" w:id="0">
    <w:p w14:paraId="3E7D11E5" w14:textId="77777777" w:rsidR="001A3C31" w:rsidRDefault="001A3C31" w:rsidP="00D622B9">
      <w:r>
        <w:continuationSeparator/>
      </w:r>
    </w:p>
  </w:footnote>
  <w:footnote w:type="continuationNotice" w:id="1">
    <w:p w14:paraId="10A558D5" w14:textId="77777777" w:rsidR="001A3C31" w:rsidRDefault="001A3C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AA56" w14:textId="77777777" w:rsidR="001A3C31" w:rsidRDefault="001A3C31"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B697" w14:textId="77777777" w:rsidR="00561694" w:rsidRDefault="00561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43F3" w14:textId="77777777" w:rsidR="001A3C31" w:rsidRDefault="001A3C31" w:rsidP="00B22B57">
    <w:pPr>
      <w:pStyle w:val="Header"/>
      <w:ind w:left="-1418"/>
    </w:pPr>
    <w:r>
      <w:rPr>
        <w:noProof/>
        <w:lang w:eastAsia="en-AU"/>
      </w:rPr>
      <w:drawing>
        <wp:inline distT="0" distB="0" distL="0" distR="0" wp14:anchorId="05097ABA" wp14:editId="57B5D370">
          <wp:extent cx="7617448" cy="1818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41EFCC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960EB"/>
    <w:multiLevelType w:val="multilevel"/>
    <w:tmpl w:val="AEE2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0"/>
  </w:num>
  <w:num w:numId="4">
    <w:abstractNumId w:val="9"/>
  </w:num>
  <w:num w:numId="5">
    <w:abstractNumId w:val="16"/>
  </w:num>
  <w:num w:numId="6">
    <w:abstractNumId w:val="18"/>
  </w:num>
  <w:num w:numId="7">
    <w:abstractNumId w:val="14"/>
  </w:num>
  <w:num w:numId="8">
    <w:abstractNumId w:val="5"/>
  </w:num>
  <w:num w:numId="9">
    <w:abstractNumId w:val="21"/>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5"/>
  </w:num>
  <w:num w:numId="18">
    <w:abstractNumId w:val="4"/>
  </w:num>
  <w:num w:numId="19">
    <w:abstractNumId w:val="17"/>
  </w:num>
  <w:num w:numId="20">
    <w:abstractNumId w:val="6"/>
  </w:num>
  <w:num w:numId="21">
    <w:abstractNumId w:val="13"/>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2"/>
  </w:num>
  <w:num w:numId="31">
    <w:abstractNumId w:val="16"/>
  </w:num>
  <w:num w:numId="32">
    <w:abstractNumId w:val="12"/>
  </w:num>
  <w:num w:numId="33">
    <w:abstractNumId w:val="12"/>
  </w:num>
  <w:num w:numId="34">
    <w:abstractNumId w:val="12"/>
  </w:num>
  <w:num w:numId="35">
    <w:abstractNumId w:val="19"/>
  </w:num>
  <w:num w:numId="36">
    <w:abstractNumId w:val="7"/>
  </w:num>
  <w:num w:numId="37">
    <w:abstractNumId w:val="11"/>
  </w:num>
  <w:num w:numId="38">
    <w:abstractNumId w:val="16"/>
  </w:num>
  <w:num w:numId="39">
    <w:abstractNumId w:val="12"/>
  </w:num>
  <w:num w:numId="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290E"/>
    <w:rsid w:val="00012D66"/>
    <w:rsid w:val="00015ADA"/>
    <w:rsid w:val="00020C99"/>
    <w:rsid w:val="00022481"/>
    <w:rsid w:val="0002640B"/>
    <w:rsid w:val="0002707B"/>
    <w:rsid w:val="00031B32"/>
    <w:rsid w:val="00033697"/>
    <w:rsid w:val="000423A4"/>
    <w:rsid w:val="00043A03"/>
    <w:rsid w:val="00045895"/>
    <w:rsid w:val="0005148E"/>
    <w:rsid w:val="000547F0"/>
    <w:rsid w:val="00062A46"/>
    <w:rsid w:val="000730DB"/>
    <w:rsid w:val="000759E5"/>
    <w:rsid w:val="0007601C"/>
    <w:rsid w:val="000811AE"/>
    <w:rsid w:val="00084AC6"/>
    <w:rsid w:val="00085816"/>
    <w:rsid w:val="00091608"/>
    <w:rsid w:val="0009196E"/>
    <w:rsid w:val="00091CCF"/>
    <w:rsid w:val="00092F92"/>
    <w:rsid w:val="0009333C"/>
    <w:rsid w:val="00093755"/>
    <w:rsid w:val="000939DB"/>
    <w:rsid w:val="00093E5E"/>
    <w:rsid w:val="00094729"/>
    <w:rsid w:val="0009704F"/>
    <w:rsid w:val="000A0F11"/>
    <w:rsid w:val="000A125A"/>
    <w:rsid w:val="000A228F"/>
    <w:rsid w:val="000A57CD"/>
    <w:rsid w:val="000A7D1B"/>
    <w:rsid w:val="000B2FF3"/>
    <w:rsid w:val="000B3758"/>
    <w:rsid w:val="000B7681"/>
    <w:rsid w:val="000B7B42"/>
    <w:rsid w:val="000C02B7"/>
    <w:rsid w:val="000C2814"/>
    <w:rsid w:val="000C451B"/>
    <w:rsid w:val="000C5342"/>
    <w:rsid w:val="000C706A"/>
    <w:rsid w:val="000D01D3"/>
    <w:rsid w:val="000D2887"/>
    <w:rsid w:val="000D3802"/>
    <w:rsid w:val="000D4A9A"/>
    <w:rsid w:val="000D6D63"/>
    <w:rsid w:val="000D706B"/>
    <w:rsid w:val="000D7810"/>
    <w:rsid w:val="000E0081"/>
    <w:rsid w:val="000E00F6"/>
    <w:rsid w:val="000E07CF"/>
    <w:rsid w:val="000E72BA"/>
    <w:rsid w:val="000F120F"/>
    <w:rsid w:val="000F1421"/>
    <w:rsid w:val="000F240D"/>
    <w:rsid w:val="00100BEF"/>
    <w:rsid w:val="0010225C"/>
    <w:rsid w:val="00102E17"/>
    <w:rsid w:val="0010635A"/>
    <w:rsid w:val="00107568"/>
    <w:rsid w:val="00112457"/>
    <w:rsid w:val="0011498E"/>
    <w:rsid w:val="00116ADA"/>
    <w:rsid w:val="00116F28"/>
    <w:rsid w:val="00117A45"/>
    <w:rsid w:val="001224AE"/>
    <w:rsid w:val="00123035"/>
    <w:rsid w:val="0012388C"/>
    <w:rsid w:val="00125C5D"/>
    <w:rsid w:val="001260D0"/>
    <w:rsid w:val="00126291"/>
    <w:rsid w:val="001337D4"/>
    <w:rsid w:val="001340EA"/>
    <w:rsid w:val="00134A52"/>
    <w:rsid w:val="00141E02"/>
    <w:rsid w:val="00147C12"/>
    <w:rsid w:val="00147EFC"/>
    <w:rsid w:val="001506F6"/>
    <w:rsid w:val="001527A1"/>
    <w:rsid w:val="001530DC"/>
    <w:rsid w:val="001539AF"/>
    <w:rsid w:val="00154989"/>
    <w:rsid w:val="00154BC0"/>
    <w:rsid w:val="00155684"/>
    <w:rsid w:val="00155A9F"/>
    <w:rsid w:val="0015684F"/>
    <w:rsid w:val="00160262"/>
    <w:rsid w:val="001611F9"/>
    <w:rsid w:val="0016186F"/>
    <w:rsid w:val="0016281C"/>
    <w:rsid w:val="0016433A"/>
    <w:rsid w:val="0016780A"/>
    <w:rsid w:val="001713FA"/>
    <w:rsid w:val="00173EBF"/>
    <w:rsid w:val="00174832"/>
    <w:rsid w:val="001765DA"/>
    <w:rsid w:val="001842A2"/>
    <w:rsid w:val="00185039"/>
    <w:rsid w:val="00185407"/>
    <w:rsid w:val="00186465"/>
    <w:rsid w:val="00187FA8"/>
    <w:rsid w:val="0019088A"/>
    <w:rsid w:val="001922D0"/>
    <w:rsid w:val="00192F5E"/>
    <w:rsid w:val="00197772"/>
    <w:rsid w:val="001A191F"/>
    <w:rsid w:val="001A3C31"/>
    <w:rsid w:val="001A51C8"/>
    <w:rsid w:val="001B472B"/>
    <w:rsid w:val="001B4CA8"/>
    <w:rsid w:val="001B74EB"/>
    <w:rsid w:val="001C2A92"/>
    <w:rsid w:val="001C3292"/>
    <w:rsid w:val="001C4F3D"/>
    <w:rsid w:val="001C70C1"/>
    <w:rsid w:val="001C794B"/>
    <w:rsid w:val="001D0CDC"/>
    <w:rsid w:val="001D1D82"/>
    <w:rsid w:val="001D4104"/>
    <w:rsid w:val="001D5DD9"/>
    <w:rsid w:val="001E1182"/>
    <w:rsid w:val="001E2E34"/>
    <w:rsid w:val="001F0E8B"/>
    <w:rsid w:val="001F488A"/>
    <w:rsid w:val="001F5F1F"/>
    <w:rsid w:val="00200944"/>
    <w:rsid w:val="00202387"/>
    <w:rsid w:val="00202C90"/>
    <w:rsid w:val="00213DE8"/>
    <w:rsid w:val="00216118"/>
    <w:rsid w:val="002209AB"/>
    <w:rsid w:val="002251E3"/>
    <w:rsid w:val="002262E6"/>
    <w:rsid w:val="00227A95"/>
    <w:rsid w:val="00231171"/>
    <w:rsid w:val="002316BD"/>
    <w:rsid w:val="00233687"/>
    <w:rsid w:val="002336F3"/>
    <w:rsid w:val="00234BFF"/>
    <w:rsid w:val="002374E1"/>
    <w:rsid w:val="002473FC"/>
    <w:rsid w:val="00251575"/>
    <w:rsid w:val="00252E3C"/>
    <w:rsid w:val="00255A1C"/>
    <w:rsid w:val="00262198"/>
    <w:rsid w:val="00264AF9"/>
    <w:rsid w:val="00265EE4"/>
    <w:rsid w:val="00277426"/>
    <w:rsid w:val="00277A51"/>
    <w:rsid w:val="00285F1B"/>
    <w:rsid w:val="00291857"/>
    <w:rsid w:val="00292B81"/>
    <w:rsid w:val="0029322E"/>
    <w:rsid w:val="002943E7"/>
    <w:rsid w:val="00294A0A"/>
    <w:rsid w:val="00296477"/>
    <w:rsid w:val="002974BC"/>
    <w:rsid w:val="002A5EC3"/>
    <w:rsid w:val="002A7B17"/>
    <w:rsid w:val="002B18AE"/>
    <w:rsid w:val="002B6472"/>
    <w:rsid w:val="002B67D3"/>
    <w:rsid w:val="002C1C93"/>
    <w:rsid w:val="002C3139"/>
    <w:rsid w:val="002C3257"/>
    <w:rsid w:val="002C3738"/>
    <w:rsid w:val="002C5066"/>
    <w:rsid w:val="002D152E"/>
    <w:rsid w:val="002D4AAC"/>
    <w:rsid w:val="002D4B46"/>
    <w:rsid w:val="002D6C33"/>
    <w:rsid w:val="002E1AB0"/>
    <w:rsid w:val="002E23E4"/>
    <w:rsid w:val="002E329F"/>
    <w:rsid w:val="002E43EF"/>
    <w:rsid w:val="002E63BC"/>
    <w:rsid w:val="002F045A"/>
    <w:rsid w:val="0030039D"/>
    <w:rsid w:val="00300715"/>
    <w:rsid w:val="00302A7B"/>
    <w:rsid w:val="0030326F"/>
    <w:rsid w:val="00310701"/>
    <w:rsid w:val="00311510"/>
    <w:rsid w:val="003138AC"/>
    <w:rsid w:val="00315980"/>
    <w:rsid w:val="00316600"/>
    <w:rsid w:val="00316F7F"/>
    <w:rsid w:val="00320162"/>
    <w:rsid w:val="0032087E"/>
    <w:rsid w:val="003218E8"/>
    <w:rsid w:val="00330DCE"/>
    <w:rsid w:val="00331202"/>
    <w:rsid w:val="00331308"/>
    <w:rsid w:val="00331E11"/>
    <w:rsid w:val="003331DF"/>
    <w:rsid w:val="00334761"/>
    <w:rsid w:val="00334FCE"/>
    <w:rsid w:val="00337EBC"/>
    <w:rsid w:val="0034033E"/>
    <w:rsid w:val="00341DCD"/>
    <w:rsid w:val="0034248E"/>
    <w:rsid w:val="00343E78"/>
    <w:rsid w:val="0034504D"/>
    <w:rsid w:val="0034563E"/>
    <w:rsid w:val="003504CC"/>
    <w:rsid w:val="003518D6"/>
    <w:rsid w:val="0035460C"/>
    <w:rsid w:val="003556BD"/>
    <w:rsid w:val="003605F1"/>
    <w:rsid w:val="00364E6D"/>
    <w:rsid w:val="00365147"/>
    <w:rsid w:val="00365F42"/>
    <w:rsid w:val="0037016E"/>
    <w:rsid w:val="00370E55"/>
    <w:rsid w:val="00371A17"/>
    <w:rsid w:val="00372908"/>
    <w:rsid w:val="003763DF"/>
    <w:rsid w:val="00376457"/>
    <w:rsid w:val="0037694D"/>
    <w:rsid w:val="00381917"/>
    <w:rsid w:val="0038255F"/>
    <w:rsid w:val="00383020"/>
    <w:rsid w:val="00383750"/>
    <w:rsid w:val="00390744"/>
    <w:rsid w:val="0039598C"/>
    <w:rsid w:val="003975FD"/>
    <w:rsid w:val="003A0593"/>
    <w:rsid w:val="003A1193"/>
    <w:rsid w:val="003A403D"/>
    <w:rsid w:val="003B3CAA"/>
    <w:rsid w:val="003B5A88"/>
    <w:rsid w:val="003B60CC"/>
    <w:rsid w:val="003C0A7E"/>
    <w:rsid w:val="003C1B25"/>
    <w:rsid w:val="003C2443"/>
    <w:rsid w:val="003C31E0"/>
    <w:rsid w:val="003C43B1"/>
    <w:rsid w:val="003C5DA3"/>
    <w:rsid w:val="003D141C"/>
    <w:rsid w:val="003D1E04"/>
    <w:rsid w:val="003D4BCD"/>
    <w:rsid w:val="003E01D8"/>
    <w:rsid w:val="003E2100"/>
    <w:rsid w:val="003E2135"/>
    <w:rsid w:val="003E2BDB"/>
    <w:rsid w:val="003E45FA"/>
    <w:rsid w:val="003E53CA"/>
    <w:rsid w:val="003E5ED5"/>
    <w:rsid w:val="003F0CB7"/>
    <w:rsid w:val="003F6F5B"/>
    <w:rsid w:val="00400F8F"/>
    <w:rsid w:val="0040342D"/>
    <w:rsid w:val="00403FB9"/>
    <w:rsid w:val="00405E1C"/>
    <w:rsid w:val="004118D4"/>
    <w:rsid w:val="0041192D"/>
    <w:rsid w:val="0041275D"/>
    <w:rsid w:val="00413EE1"/>
    <w:rsid w:val="0042128E"/>
    <w:rsid w:val="00423A53"/>
    <w:rsid w:val="0042465A"/>
    <w:rsid w:val="00424C89"/>
    <w:rsid w:val="00427482"/>
    <w:rsid w:val="00427C15"/>
    <w:rsid w:val="004319BE"/>
    <w:rsid w:val="00432B60"/>
    <w:rsid w:val="004330EA"/>
    <w:rsid w:val="004333E6"/>
    <w:rsid w:val="00440698"/>
    <w:rsid w:val="00443289"/>
    <w:rsid w:val="00450600"/>
    <w:rsid w:val="004540E2"/>
    <w:rsid w:val="00454454"/>
    <w:rsid w:val="004555E6"/>
    <w:rsid w:val="004606F5"/>
    <w:rsid w:val="0046782E"/>
    <w:rsid w:val="00467924"/>
    <w:rsid w:val="004712A5"/>
    <w:rsid w:val="0047266F"/>
    <w:rsid w:val="004756EB"/>
    <w:rsid w:val="00476BE5"/>
    <w:rsid w:val="00476D6B"/>
    <w:rsid w:val="0048018F"/>
    <w:rsid w:val="004861E6"/>
    <w:rsid w:val="0049013A"/>
    <w:rsid w:val="00492C16"/>
    <w:rsid w:val="0049536B"/>
    <w:rsid w:val="00495B98"/>
    <w:rsid w:val="004966CA"/>
    <w:rsid w:val="004A0678"/>
    <w:rsid w:val="004A48A3"/>
    <w:rsid w:val="004B0D92"/>
    <w:rsid w:val="004B0EC0"/>
    <w:rsid w:val="004B32B2"/>
    <w:rsid w:val="004B5A51"/>
    <w:rsid w:val="004B60EF"/>
    <w:rsid w:val="004B66F1"/>
    <w:rsid w:val="004C3B7B"/>
    <w:rsid w:val="004C3EA0"/>
    <w:rsid w:val="004C6AFE"/>
    <w:rsid w:val="004D46F2"/>
    <w:rsid w:val="004D74CD"/>
    <w:rsid w:val="004E2F0F"/>
    <w:rsid w:val="004E7542"/>
    <w:rsid w:val="004F063B"/>
    <w:rsid w:val="004F32CC"/>
    <w:rsid w:val="004F3D69"/>
    <w:rsid w:val="004F7169"/>
    <w:rsid w:val="00500D66"/>
    <w:rsid w:val="005036A6"/>
    <w:rsid w:val="0050791E"/>
    <w:rsid w:val="00511E3E"/>
    <w:rsid w:val="00514C8E"/>
    <w:rsid w:val="005158B1"/>
    <w:rsid w:val="00517F35"/>
    <w:rsid w:val="00523A57"/>
    <w:rsid w:val="00523ED3"/>
    <w:rsid w:val="00527F1D"/>
    <w:rsid w:val="00531DBF"/>
    <w:rsid w:val="005337FC"/>
    <w:rsid w:val="00540970"/>
    <w:rsid w:val="005445A7"/>
    <w:rsid w:val="00545759"/>
    <w:rsid w:val="00545BE0"/>
    <w:rsid w:val="00554B02"/>
    <w:rsid w:val="00554C6A"/>
    <w:rsid w:val="00561694"/>
    <w:rsid w:val="00562E85"/>
    <w:rsid w:val="0056332F"/>
    <w:rsid w:val="0056756A"/>
    <w:rsid w:val="0057197F"/>
    <w:rsid w:val="005758D5"/>
    <w:rsid w:val="00581C39"/>
    <w:rsid w:val="005834A4"/>
    <w:rsid w:val="00584F6B"/>
    <w:rsid w:val="00590297"/>
    <w:rsid w:val="005903B6"/>
    <w:rsid w:val="00590788"/>
    <w:rsid w:val="00590E48"/>
    <w:rsid w:val="00592B20"/>
    <w:rsid w:val="00592F31"/>
    <w:rsid w:val="0059434F"/>
    <w:rsid w:val="00596EF4"/>
    <w:rsid w:val="005A0247"/>
    <w:rsid w:val="005A126E"/>
    <w:rsid w:val="005A1DC7"/>
    <w:rsid w:val="005A452F"/>
    <w:rsid w:val="005A703F"/>
    <w:rsid w:val="005B0855"/>
    <w:rsid w:val="005B140D"/>
    <w:rsid w:val="005B4B0D"/>
    <w:rsid w:val="005C0417"/>
    <w:rsid w:val="005C18EA"/>
    <w:rsid w:val="005C1F7C"/>
    <w:rsid w:val="005C1FEA"/>
    <w:rsid w:val="005C3495"/>
    <w:rsid w:val="005C3785"/>
    <w:rsid w:val="005C77C3"/>
    <w:rsid w:val="005D5249"/>
    <w:rsid w:val="005D7515"/>
    <w:rsid w:val="005E13EA"/>
    <w:rsid w:val="005E15E0"/>
    <w:rsid w:val="005E21BF"/>
    <w:rsid w:val="005E3889"/>
    <w:rsid w:val="005E3981"/>
    <w:rsid w:val="005E3DFC"/>
    <w:rsid w:val="005E60AF"/>
    <w:rsid w:val="005E67B4"/>
    <w:rsid w:val="005E7B4E"/>
    <w:rsid w:val="005F1DEA"/>
    <w:rsid w:val="005F2A3E"/>
    <w:rsid w:val="005F3899"/>
    <w:rsid w:val="005F4932"/>
    <w:rsid w:val="005F77AC"/>
    <w:rsid w:val="00602FCB"/>
    <w:rsid w:val="0060599E"/>
    <w:rsid w:val="00607FC9"/>
    <w:rsid w:val="00610955"/>
    <w:rsid w:val="0061490C"/>
    <w:rsid w:val="00616861"/>
    <w:rsid w:val="00617566"/>
    <w:rsid w:val="00622B29"/>
    <w:rsid w:val="00622FE1"/>
    <w:rsid w:val="0062521C"/>
    <w:rsid w:val="006307DD"/>
    <w:rsid w:val="00630A2B"/>
    <w:rsid w:val="00630BA2"/>
    <w:rsid w:val="0063283F"/>
    <w:rsid w:val="00632DC7"/>
    <w:rsid w:val="00633896"/>
    <w:rsid w:val="00634B8D"/>
    <w:rsid w:val="006357FB"/>
    <w:rsid w:val="00635C61"/>
    <w:rsid w:val="00635ED0"/>
    <w:rsid w:val="00637239"/>
    <w:rsid w:val="006406FC"/>
    <w:rsid w:val="0064407B"/>
    <w:rsid w:val="00646122"/>
    <w:rsid w:val="00652FA8"/>
    <w:rsid w:val="00653E16"/>
    <w:rsid w:val="00656C3E"/>
    <w:rsid w:val="00657220"/>
    <w:rsid w:val="0066104B"/>
    <w:rsid w:val="00661419"/>
    <w:rsid w:val="006655EE"/>
    <w:rsid w:val="00667C10"/>
    <w:rsid w:val="00667EF4"/>
    <w:rsid w:val="00672B85"/>
    <w:rsid w:val="00673B97"/>
    <w:rsid w:val="00674E59"/>
    <w:rsid w:val="00675949"/>
    <w:rsid w:val="00676FCA"/>
    <w:rsid w:val="00677177"/>
    <w:rsid w:val="0068056B"/>
    <w:rsid w:val="0068612E"/>
    <w:rsid w:val="00687858"/>
    <w:rsid w:val="00687981"/>
    <w:rsid w:val="00687C92"/>
    <w:rsid w:val="006903B7"/>
    <w:rsid w:val="00692CF9"/>
    <w:rsid w:val="0069534E"/>
    <w:rsid w:val="00696365"/>
    <w:rsid w:val="0069669C"/>
    <w:rsid w:val="006A1200"/>
    <w:rsid w:val="006A1AAA"/>
    <w:rsid w:val="006A2C5A"/>
    <w:rsid w:val="006A4F4E"/>
    <w:rsid w:val="006A5C30"/>
    <w:rsid w:val="006B14DB"/>
    <w:rsid w:val="006B21C4"/>
    <w:rsid w:val="006B6EBC"/>
    <w:rsid w:val="006C458F"/>
    <w:rsid w:val="006C4A1A"/>
    <w:rsid w:val="006C4DA7"/>
    <w:rsid w:val="006C7DAD"/>
    <w:rsid w:val="006D0393"/>
    <w:rsid w:val="006D1A83"/>
    <w:rsid w:val="006D2E5C"/>
    <w:rsid w:val="006D55C6"/>
    <w:rsid w:val="006D5D1E"/>
    <w:rsid w:val="006E1CFE"/>
    <w:rsid w:val="006E31A2"/>
    <w:rsid w:val="006E6B68"/>
    <w:rsid w:val="006E6D10"/>
    <w:rsid w:val="006F0273"/>
    <w:rsid w:val="006F10C4"/>
    <w:rsid w:val="006F40E9"/>
    <w:rsid w:val="006F5603"/>
    <w:rsid w:val="00701400"/>
    <w:rsid w:val="007037CF"/>
    <w:rsid w:val="00703BB8"/>
    <w:rsid w:val="00704B37"/>
    <w:rsid w:val="00712A8B"/>
    <w:rsid w:val="00714726"/>
    <w:rsid w:val="00714B40"/>
    <w:rsid w:val="00716583"/>
    <w:rsid w:val="007167C0"/>
    <w:rsid w:val="007203C3"/>
    <w:rsid w:val="00720481"/>
    <w:rsid w:val="00720B98"/>
    <w:rsid w:val="00721642"/>
    <w:rsid w:val="00721BC7"/>
    <w:rsid w:val="0072510B"/>
    <w:rsid w:val="00727C18"/>
    <w:rsid w:val="00727E2F"/>
    <w:rsid w:val="00733193"/>
    <w:rsid w:val="00737CBA"/>
    <w:rsid w:val="00742E84"/>
    <w:rsid w:val="00743723"/>
    <w:rsid w:val="00745688"/>
    <w:rsid w:val="00746735"/>
    <w:rsid w:val="00752FF8"/>
    <w:rsid w:val="00754854"/>
    <w:rsid w:val="00754C17"/>
    <w:rsid w:val="0075732A"/>
    <w:rsid w:val="00760262"/>
    <w:rsid w:val="0076110C"/>
    <w:rsid w:val="0076289A"/>
    <w:rsid w:val="0076292D"/>
    <w:rsid w:val="0076310C"/>
    <w:rsid w:val="00764C44"/>
    <w:rsid w:val="00766009"/>
    <w:rsid w:val="0076744F"/>
    <w:rsid w:val="0076796A"/>
    <w:rsid w:val="00767BCE"/>
    <w:rsid w:val="00767EFC"/>
    <w:rsid w:val="007707DE"/>
    <w:rsid w:val="00770B5D"/>
    <w:rsid w:val="00773B33"/>
    <w:rsid w:val="007752F1"/>
    <w:rsid w:val="00776768"/>
    <w:rsid w:val="00781C33"/>
    <w:rsid w:val="00782D61"/>
    <w:rsid w:val="007841A5"/>
    <w:rsid w:val="00784E40"/>
    <w:rsid w:val="00787D99"/>
    <w:rsid w:val="00791024"/>
    <w:rsid w:val="007921C6"/>
    <w:rsid w:val="00794818"/>
    <w:rsid w:val="007970CC"/>
    <w:rsid w:val="007A2573"/>
    <w:rsid w:val="007A3B9C"/>
    <w:rsid w:val="007A6E07"/>
    <w:rsid w:val="007B047A"/>
    <w:rsid w:val="007B106C"/>
    <w:rsid w:val="007B11FD"/>
    <w:rsid w:val="007B1A4E"/>
    <w:rsid w:val="007B1A96"/>
    <w:rsid w:val="007B3D05"/>
    <w:rsid w:val="007B4C3C"/>
    <w:rsid w:val="007B5503"/>
    <w:rsid w:val="007C6BB3"/>
    <w:rsid w:val="007D14B4"/>
    <w:rsid w:val="007D3AD7"/>
    <w:rsid w:val="007D573A"/>
    <w:rsid w:val="007D7702"/>
    <w:rsid w:val="007E04CC"/>
    <w:rsid w:val="007E24F6"/>
    <w:rsid w:val="007F62F6"/>
    <w:rsid w:val="00800F64"/>
    <w:rsid w:val="00801FB7"/>
    <w:rsid w:val="00802F0B"/>
    <w:rsid w:val="00804922"/>
    <w:rsid w:val="00807A5A"/>
    <w:rsid w:val="00810A67"/>
    <w:rsid w:val="0081315B"/>
    <w:rsid w:val="00815426"/>
    <w:rsid w:val="00815C9D"/>
    <w:rsid w:val="0081695C"/>
    <w:rsid w:val="00823223"/>
    <w:rsid w:val="008267F6"/>
    <w:rsid w:val="008268F1"/>
    <w:rsid w:val="00832062"/>
    <w:rsid w:val="00833CF7"/>
    <w:rsid w:val="00835E13"/>
    <w:rsid w:val="00842013"/>
    <w:rsid w:val="00843160"/>
    <w:rsid w:val="00845601"/>
    <w:rsid w:val="00852038"/>
    <w:rsid w:val="008524B9"/>
    <w:rsid w:val="00855C5C"/>
    <w:rsid w:val="0086233C"/>
    <w:rsid w:val="0086530C"/>
    <w:rsid w:val="00865CFA"/>
    <w:rsid w:val="00877737"/>
    <w:rsid w:val="00881FD8"/>
    <w:rsid w:val="00883CE7"/>
    <w:rsid w:val="0088694D"/>
    <w:rsid w:val="00892811"/>
    <w:rsid w:val="008938F7"/>
    <w:rsid w:val="008A187F"/>
    <w:rsid w:val="008A18FE"/>
    <w:rsid w:val="008A2095"/>
    <w:rsid w:val="008A3C96"/>
    <w:rsid w:val="008B0BBA"/>
    <w:rsid w:val="008B1627"/>
    <w:rsid w:val="008B4019"/>
    <w:rsid w:val="008B4F96"/>
    <w:rsid w:val="008B505F"/>
    <w:rsid w:val="008B65C9"/>
    <w:rsid w:val="008C00AD"/>
    <w:rsid w:val="008C2167"/>
    <w:rsid w:val="008C2D4A"/>
    <w:rsid w:val="008C6A05"/>
    <w:rsid w:val="008C7DBB"/>
    <w:rsid w:val="008D0F94"/>
    <w:rsid w:val="008D3900"/>
    <w:rsid w:val="008D6E1D"/>
    <w:rsid w:val="008D6EDB"/>
    <w:rsid w:val="008E1DD6"/>
    <w:rsid w:val="008E36FE"/>
    <w:rsid w:val="008E6A5E"/>
    <w:rsid w:val="008E7105"/>
    <w:rsid w:val="008F39B4"/>
    <w:rsid w:val="008F4162"/>
    <w:rsid w:val="00903E02"/>
    <w:rsid w:val="00903F36"/>
    <w:rsid w:val="00906330"/>
    <w:rsid w:val="009066A4"/>
    <w:rsid w:val="009110D5"/>
    <w:rsid w:val="00911AB5"/>
    <w:rsid w:val="00913175"/>
    <w:rsid w:val="009143E4"/>
    <w:rsid w:val="00916EDB"/>
    <w:rsid w:val="0091780B"/>
    <w:rsid w:val="00917D72"/>
    <w:rsid w:val="00920861"/>
    <w:rsid w:val="00922B13"/>
    <w:rsid w:val="009242EF"/>
    <w:rsid w:val="00924A95"/>
    <w:rsid w:val="00924AB9"/>
    <w:rsid w:val="0092615F"/>
    <w:rsid w:val="00932291"/>
    <w:rsid w:val="00933B1B"/>
    <w:rsid w:val="0093408E"/>
    <w:rsid w:val="00937ABC"/>
    <w:rsid w:val="0094014D"/>
    <w:rsid w:val="00940467"/>
    <w:rsid w:val="00942973"/>
    <w:rsid w:val="00947507"/>
    <w:rsid w:val="00947773"/>
    <w:rsid w:val="00952DDF"/>
    <w:rsid w:val="00952EC4"/>
    <w:rsid w:val="0096644E"/>
    <w:rsid w:val="0096765A"/>
    <w:rsid w:val="009717C1"/>
    <w:rsid w:val="00972423"/>
    <w:rsid w:val="009812D4"/>
    <w:rsid w:val="00982653"/>
    <w:rsid w:val="00983065"/>
    <w:rsid w:val="00987147"/>
    <w:rsid w:val="009873F4"/>
    <w:rsid w:val="00991997"/>
    <w:rsid w:val="009920D8"/>
    <w:rsid w:val="009A27A0"/>
    <w:rsid w:val="009A371F"/>
    <w:rsid w:val="009A4869"/>
    <w:rsid w:val="009A48E0"/>
    <w:rsid w:val="009B38BE"/>
    <w:rsid w:val="009B4556"/>
    <w:rsid w:val="009B682F"/>
    <w:rsid w:val="009C3D0F"/>
    <w:rsid w:val="009C55B8"/>
    <w:rsid w:val="009C5D80"/>
    <w:rsid w:val="009D6232"/>
    <w:rsid w:val="009E1B19"/>
    <w:rsid w:val="009E1D6D"/>
    <w:rsid w:val="009E67BE"/>
    <w:rsid w:val="009E773B"/>
    <w:rsid w:val="009E79B6"/>
    <w:rsid w:val="009E7F55"/>
    <w:rsid w:val="009F35E2"/>
    <w:rsid w:val="009F438B"/>
    <w:rsid w:val="009F65F9"/>
    <w:rsid w:val="009F68BA"/>
    <w:rsid w:val="00A013AA"/>
    <w:rsid w:val="00A06277"/>
    <w:rsid w:val="00A06325"/>
    <w:rsid w:val="00A079DC"/>
    <w:rsid w:val="00A1037A"/>
    <w:rsid w:val="00A10BAB"/>
    <w:rsid w:val="00A111C2"/>
    <w:rsid w:val="00A17C39"/>
    <w:rsid w:val="00A21440"/>
    <w:rsid w:val="00A238AA"/>
    <w:rsid w:val="00A26549"/>
    <w:rsid w:val="00A338E7"/>
    <w:rsid w:val="00A3466B"/>
    <w:rsid w:val="00A35A12"/>
    <w:rsid w:val="00A35CAA"/>
    <w:rsid w:val="00A36E7F"/>
    <w:rsid w:val="00A415BD"/>
    <w:rsid w:val="00A41E65"/>
    <w:rsid w:val="00A426F9"/>
    <w:rsid w:val="00A43517"/>
    <w:rsid w:val="00A43E0A"/>
    <w:rsid w:val="00A46247"/>
    <w:rsid w:val="00A47F07"/>
    <w:rsid w:val="00A5006F"/>
    <w:rsid w:val="00A530C7"/>
    <w:rsid w:val="00A55F5B"/>
    <w:rsid w:val="00A60185"/>
    <w:rsid w:val="00A611EE"/>
    <w:rsid w:val="00A622EC"/>
    <w:rsid w:val="00A661EA"/>
    <w:rsid w:val="00A66263"/>
    <w:rsid w:val="00A6775C"/>
    <w:rsid w:val="00A70A6C"/>
    <w:rsid w:val="00A7351D"/>
    <w:rsid w:val="00A75401"/>
    <w:rsid w:val="00A7770E"/>
    <w:rsid w:val="00A80D01"/>
    <w:rsid w:val="00A81EE6"/>
    <w:rsid w:val="00A830E5"/>
    <w:rsid w:val="00A83DF5"/>
    <w:rsid w:val="00A84BF3"/>
    <w:rsid w:val="00A856B5"/>
    <w:rsid w:val="00A86E13"/>
    <w:rsid w:val="00A87135"/>
    <w:rsid w:val="00A90ADD"/>
    <w:rsid w:val="00A93280"/>
    <w:rsid w:val="00A93C73"/>
    <w:rsid w:val="00A951EA"/>
    <w:rsid w:val="00A952FF"/>
    <w:rsid w:val="00A961A6"/>
    <w:rsid w:val="00A973E1"/>
    <w:rsid w:val="00A97F71"/>
    <w:rsid w:val="00AA199E"/>
    <w:rsid w:val="00AA1C65"/>
    <w:rsid w:val="00AA2548"/>
    <w:rsid w:val="00AA3B6E"/>
    <w:rsid w:val="00AA58C4"/>
    <w:rsid w:val="00AB11C8"/>
    <w:rsid w:val="00AB2248"/>
    <w:rsid w:val="00AC08A8"/>
    <w:rsid w:val="00AC618C"/>
    <w:rsid w:val="00AD20F6"/>
    <w:rsid w:val="00AD56C8"/>
    <w:rsid w:val="00AD58F2"/>
    <w:rsid w:val="00AE3BFA"/>
    <w:rsid w:val="00AE5712"/>
    <w:rsid w:val="00AF205E"/>
    <w:rsid w:val="00AF5EA3"/>
    <w:rsid w:val="00AF6573"/>
    <w:rsid w:val="00AF65FE"/>
    <w:rsid w:val="00AF7690"/>
    <w:rsid w:val="00B0512A"/>
    <w:rsid w:val="00B0529F"/>
    <w:rsid w:val="00B05B0E"/>
    <w:rsid w:val="00B05D52"/>
    <w:rsid w:val="00B1418B"/>
    <w:rsid w:val="00B151A0"/>
    <w:rsid w:val="00B1520C"/>
    <w:rsid w:val="00B1560E"/>
    <w:rsid w:val="00B20F84"/>
    <w:rsid w:val="00B21195"/>
    <w:rsid w:val="00B22B3D"/>
    <w:rsid w:val="00B22B57"/>
    <w:rsid w:val="00B24B22"/>
    <w:rsid w:val="00B25310"/>
    <w:rsid w:val="00B32F8F"/>
    <w:rsid w:val="00B41E1E"/>
    <w:rsid w:val="00B42C1C"/>
    <w:rsid w:val="00B4690F"/>
    <w:rsid w:val="00B47C42"/>
    <w:rsid w:val="00B510B1"/>
    <w:rsid w:val="00B54CF5"/>
    <w:rsid w:val="00B54DE9"/>
    <w:rsid w:val="00B553EC"/>
    <w:rsid w:val="00B55870"/>
    <w:rsid w:val="00B60059"/>
    <w:rsid w:val="00B624AD"/>
    <w:rsid w:val="00B72269"/>
    <w:rsid w:val="00B72E0B"/>
    <w:rsid w:val="00B77732"/>
    <w:rsid w:val="00B80D6D"/>
    <w:rsid w:val="00B81A99"/>
    <w:rsid w:val="00B87997"/>
    <w:rsid w:val="00B9154F"/>
    <w:rsid w:val="00B93DD0"/>
    <w:rsid w:val="00B93ED7"/>
    <w:rsid w:val="00B97732"/>
    <w:rsid w:val="00BA0849"/>
    <w:rsid w:val="00BA3359"/>
    <w:rsid w:val="00BA56D7"/>
    <w:rsid w:val="00BA65A8"/>
    <w:rsid w:val="00BA6A97"/>
    <w:rsid w:val="00BA6D19"/>
    <w:rsid w:val="00BA7219"/>
    <w:rsid w:val="00BA7461"/>
    <w:rsid w:val="00BA7DA9"/>
    <w:rsid w:val="00BB72AD"/>
    <w:rsid w:val="00BC35A3"/>
    <w:rsid w:val="00BC3BC9"/>
    <w:rsid w:val="00BC4215"/>
    <w:rsid w:val="00BC5526"/>
    <w:rsid w:val="00BC7EA5"/>
    <w:rsid w:val="00BD0396"/>
    <w:rsid w:val="00BD1A6F"/>
    <w:rsid w:val="00BD5B71"/>
    <w:rsid w:val="00BD7575"/>
    <w:rsid w:val="00BE2590"/>
    <w:rsid w:val="00BE27DD"/>
    <w:rsid w:val="00BE6D3C"/>
    <w:rsid w:val="00BE7852"/>
    <w:rsid w:val="00BF322C"/>
    <w:rsid w:val="00BF6D87"/>
    <w:rsid w:val="00BF7865"/>
    <w:rsid w:val="00BF7CEE"/>
    <w:rsid w:val="00C03880"/>
    <w:rsid w:val="00C03B25"/>
    <w:rsid w:val="00C135CF"/>
    <w:rsid w:val="00C200E4"/>
    <w:rsid w:val="00C25DDB"/>
    <w:rsid w:val="00C265C2"/>
    <w:rsid w:val="00C2683F"/>
    <w:rsid w:val="00C26A4E"/>
    <w:rsid w:val="00C3184D"/>
    <w:rsid w:val="00C31DBB"/>
    <w:rsid w:val="00C37525"/>
    <w:rsid w:val="00C40B5A"/>
    <w:rsid w:val="00C43084"/>
    <w:rsid w:val="00C4714E"/>
    <w:rsid w:val="00C50941"/>
    <w:rsid w:val="00C527AC"/>
    <w:rsid w:val="00C5504F"/>
    <w:rsid w:val="00C55991"/>
    <w:rsid w:val="00C60A1A"/>
    <w:rsid w:val="00C63376"/>
    <w:rsid w:val="00C641BB"/>
    <w:rsid w:val="00C66245"/>
    <w:rsid w:val="00C66CB4"/>
    <w:rsid w:val="00C74F97"/>
    <w:rsid w:val="00C76A08"/>
    <w:rsid w:val="00C803D7"/>
    <w:rsid w:val="00C8276E"/>
    <w:rsid w:val="00C8389B"/>
    <w:rsid w:val="00C83AD1"/>
    <w:rsid w:val="00C842AC"/>
    <w:rsid w:val="00C85B7B"/>
    <w:rsid w:val="00C92AD5"/>
    <w:rsid w:val="00C93152"/>
    <w:rsid w:val="00C93FD9"/>
    <w:rsid w:val="00C964CF"/>
    <w:rsid w:val="00C96688"/>
    <w:rsid w:val="00CA0723"/>
    <w:rsid w:val="00CA3238"/>
    <w:rsid w:val="00CA4542"/>
    <w:rsid w:val="00CA6EE8"/>
    <w:rsid w:val="00CB1690"/>
    <w:rsid w:val="00CB2B63"/>
    <w:rsid w:val="00CB6D76"/>
    <w:rsid w:val="00CC27E7"/>
    <w:rsid w:val="00CC2B33"/>
    <w:rsid w:val="00CC4365"/>
    <w:rsid w:val="00CD11B0"/>
    <w:rsid w:val="00CD275A"/>
    <w:rsid w:val="00CD56ED"/>
    <w:rsid w:val="00CD5E0E"/>
    <w:rsid w:val="00CD7E84"/>
    <w:rsid w:val="00CE19DF"/>
    <w:rsid w:val="00CE2DF7"/>
    <w:rsid w:val="00CE71C2"/>
    <w:rsid w:val="00CF2242"/>
    <w:rsid w:val="00CF2E7E"/>
    <w:rsid w:val="00CF42D5"/>
    <w:rsid w:val="00CF4EDA"/>
    <w:rsid w:val="00CF562A"/>
    <w:rsid w:val="00CF5929"/>
    <w:rsid w:val="00D00281"/>
    <w:rsid w:val="00D01E11"/>
    <w:rsid w:val="00D021CB"/>
    <w:rsid w:val="00D0369B"/>
    <w:rsid w:val="00D10C4C"/>
    <w:rsid w:val="00D10F1A"/>
    <w:rsid w:val="00D116F8"/>
    <w:rsid w:val="00D15280"/>
    <w:rsid w:val="00D16595"/>
    <w:rsid w:val="00D17596"/>
    <w:rsid w:val="00D22640"/>
    <w:rsid w:val="00D25764"/>
    <w:rsid w:val="00D26D3A"/>
    <w:rsid w:val="00D441B2"/>
    <w:rsid w:val="00D44FD6"/>
    <w:rsid w:val="00D45C91"/>
    <w:rsid w:val="00D45EE3"/>
    <w:rsid w:val="00D50618"/>
    <w:rsid w:val="00D509E9"/>
    <w:rsid w:val="00D53B1C"/>
    <w:rsid w:val="00D57BD7"/>
    <w:rsid w:val="00D61714"/>
    <w:rsid w:val="00D620BE"/>
    <w:rsid w:val="00D622B9"/>
    <w:rsid w:val="00D652C8"/>
    <w:rsid w:val="00D656FF"/>
    <w:rsid w:val="00D729D9"/>
    <w:rsid w:val="00D73238"/>
    <w:rsid w:val="00D74FCA"/>
    <w:rsid w:val="00D76848"/>
    <w:rsid w:val="00D80DE4"/>
    <w:rsid w:val="00D82448"/>
    <w:rsid w:val="00D82E6D"/>
    <w:rsid w:val="00D83615"/>
    <w:rsid w:val="00D83AAD"/>
    <w:rsid w:val="00D878E7"/>
    <w:rsid w:val="00D921D5"/>
    <w:rsid w:val="00D93677"/>
    <w:rsid w:val="00D97037"/>
    <w:rsid w:val="00DA11D5"/>
    <w:rsid w:val="00DA1B12"/>
    <w:rsid w:val="00DA4F90"/>
    <w:rsid w:val="00DA54C9"/>
    <w:rsid w:val="00DA6739"/>
    <w:rsid w:val="00DA6CAE"/>
    <w:rsid w:val="00DB1A9E"/>
    <w:rsid w:val="00DB31D6"/>
    <w:rsid w:val="00DB3296"/>
    <w:rsid w:val="00DB3B17"/>
    <w:rsid w:val="00DB4005"/>
    <w:rsid w:val="00DB44AD"/>
    <w:rsid w:val="00DB44E2"/>
    <w:rsid w:val="00DB61F1"/>
    <w:rsid w:val="00DB7471"/>
    <w:rsid w:val="00DC325B"/>
    <w:rsid w:val="00DC34EB"/>
    <w:rsid w:val="00DC44E9"/>
    <w:rsid w:val="00DC4E2E"/>
    <w:rsid w:val="00DC78C0"/>
    <w:rsid w:val="00DD46A9"/>
    <w:rsid w:val="00DE1D6F"/>
    <w:rsid w:val="00DE2C10"/>
    <w:rsid w:val="00DE5772"/>
    <w:rsid w:val="00DF14C9"/>
    <w:rsid w:val="00DF1E3D"/>
    <w:rsid w:val="00DF1E5B"/>
    <w:rsid w:val="00DF1F1F"/>
    <w:rsid w:val="00DF2275"/>
    <w:rsid w:val="00DF3F5E"/>
    <w:rsid w:val="00DF4764"/>
    <w:rsid w:val="00DF5461"/>
    <w:rsid w:val="00DF5653"/>
    <w:rsid w:val="00DF7CA8"/>
    <w:rsid w:val="00E03F43"/>
    <w:rsid w:val="00E0596E"/>
    <w:rsid w:val="00E06CFE"/>
    <w:rsid w:val="00E06F66"/>
    <w:rsid w:val="00E10EEC"/>
    <w:rsid w:val="00E2111A"/>
    <w:rsid w:val="00E21678"/>
    <w:rsid w:val="00E24BC3"/>
    <w:rsid w:val="00E270CE"/>
    <w:rsid w:val="00E344AA"/>
    <w:rsid w:val="00E356E5"/>
    <w:rsid w:val="00E36F81"/>
    <w:rsid w:val="00E371E1"/>
    <w:rsid w:val="00E378A8"/>
    <w:rsid w:val="00E40B9B"/>
    <w:rsid w:val="00E40F9D"/>
    <w:rsid w:val="00E417A8"/>
    <w:rsid w:val="00E45765"/>
    <w:rsid w:val="00E5098C"/>
    <w:rsid w:val="00E52CDE"/>
    <w:rsid w:val="00E54ECD"/>
    <w:rsid w:val="00E574EF"/>
    <w:rsid w:val="00E57CD8"/>
    <w:rsid w:val="00E57E07"/>
    <w:rsid w:val="00E60213"/>
    <w:rsid w:val="00E661B2"/>
    <w:rsid w:val="00E7248A"/>
    <w:rsid w:val="00E74D29"/>
    <w:rsid w:val="00E806FF"/>
    <w:rsid w:val="00E83C74"/>
    <w:rsid w:val="00E83CEE"/>
    <w:rsid w:val="00E91F18"/>
    <w:rsid w:val="00E9226D"/>
    <w:rsid w:val="00E92981"/>
    <w:rsid w:val="00E962CD"/>
    <w:rsid w:val="00E96424"/>
    <w:rsid w:val="00EA00D0"/>
    <w:rsid w:val="00EA23E8"/>
    <w:rsid w:val="00EA2A91"/>
    <w:rsid w:val="00EA416C"/>
    <w:rsid w:val="00EA5941"/>
    <w:rsid w:val="00EB0865"/>
    <w:rsid w:val="00EB1F53"/>
    <w:rsid w:val="00EB60CE"/>
    <w:rsid w:val="00EB7D53"/>
    <w:rsid w:val="00EC37F0"/>
    <w:rsid w:val="00EC48FD"/>
    <w:rsid w:val="00EC596B"/>
    <w:rsid w:val="00ED5EEB"/>
    <w:rsid w:val="00ED61AB"/>
    <w:rsid w:val="00EE0790"/>
    <w:rsid w:val="00EE0994"/>
    <w:rsid w:val="00EE13C5"/>
    <w:rsid w:val="00EE3146"/>
    <w:rsid w:val="00EF13BB"/>
    <w:rsid w:val="00EF50BB"/>
    <w:rsid w:val="00EF5270"/>
    <w:rsid w:val="00EF606E"/>
    <w:rsid w:val="00EF71E4"/>
    <w:rsid w:val="00F00192"/>
    <w:rsid w:val="00F01DF6"/>
    <w:rsid w:val="00F027B8"/>
    <w:rsid w:val="00F02C99"/>
    <w:rsid w:val="00F0340D"/>
    <w:rsid w:val="00F035F2"/>
    <w:rsid w:val="00F059A6"/>
    <w:rsid w:val="00F14A04"/>
    <w:rsid w:val="00F1702A"/>
    <w:rsid w:val="00F2100A"/>
    <w:rsid w:val="00F23756"/>
    <w:rsid w:val="00F2464C"/>
    <w:rsid w:val="00F2502A"/>
    <w:rsid w:val="00F2523A"/>
    <w:rsid w:val="00F25FFA"/>
    <w:rsid w:val="00F27237"/>
    <w:rsid w:val="00F310D2"/>
    <w:rsid w:val="00F31E11"/>
    <w:rsid w:val="00F36F3D"/>
    <w:rsid w:val="00F36FD1"/>
    <w:rsid w:val="00F37C48"/>
    <w:rsid w:val="00F424D7"/>
    <w:rsid w:val="00F477BD"/>
    <w:rsid w:val="00F50333"/>
    <w:rsid w:val="00F52227"/>
    <w:rsid w:val="00F53491"/>
    <w:rsid w:val="00F54656"/>
    <w:rsid w:val="00F55386"/>
    <w:rsid w:val="00F56411"/>
    <w:rsid w:val="00F60181"/>
    <w:rsid w:val="00F657D7"/>
    <w:rsid w:val="00F65A1C"/>
    <w:rsid w:val="00F66F50"/>
    <w:rsid w:val="00F67883"/>
    <w:rsid w:val="00F71B44"/>
    <w:rsid w:val="00F7231A"/>
    <w:rsid w:val="00F734DC"/>
    <w:rsid w:val="00F7628B"/>
    <w:rsid w:val="00F77432"/>
    <w:rsid w:val="00F80DD4"/>
    <w:rsid w:val="00F81162"/>
    <w:rsid w:val="00F82FF8"/>
    <w:rsid w:val="00F8330D"/>
    <w:rsid w:val="00F84305"/>
    <w:rsid w:val="00F8485C"/>
    <w:rsid w:val="00F84879"/>
    <w:rsid w:val="00F87149"/>
    <w:rsid w:val="00F87AC6"/>
    <w:rsid w:val="00F87FFE"/>
    <w:rsid w:val="00F9138D"/>
    <w:rsid w:val="00F954C9"/>
    <w:rsid w:val="00FA1BBB"/>
    <w:rsid w:val="00FA4CF0"/>
    <w:rsid w:val="00FA61AA"/>
    <w:rsid w:val="00FA69A4"/>
    <w:rsid w:val="00FB1279"/>
    <w:rsid w:val="00FB1495"/>
    <w:rsid w:val="00FC0BA9"/>
    <w:rsid w:val="00FC1435"/>
    <w:rsid w:val="00FC20F8"/>
    <w:rsid w:val="00FD1694"/>
    <w:rsid w:val="00FD2134"/>
    <w:rsid w:val="00FD5008"/>
    <w:rsid w:val="00FD7636"/>
    <w:rsid w:val="00FE0FB3"/>
    <w:rsid w:val="00FE2408"/>
    <w:rsid w:val="00FE3229"/>
    <w:rsid w:val="00FE400C"/>
    <w:rsid w:val="00FE4485"/>
    <w:rsid w:val="00FE4995"/>
    <w:rsid w:val="00FE4FF3"/>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E2245"/>
  <w15:docId w15:val="{F5E894A2-94DA-4AAC-8934-581BE60C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HTMLCite">
    <w:name w:val="HTML Cite"/>
    <w:basedOn w:val="DefaultParagraphFont"/>
    <w:uiPriority w:val="99"/>
    <w:semiHidden/>
    <w:unhideWhenUsed/>
    <w:rsid w:val="00E7248A"/>
    <w:rPr>
      <w:i/>
      <w:iCs/>
    </w:rPr>
  </w:style>
  <w:style w:type="character" w:customStyle="1" w:styleId="st">
    <w:name w:val="st"/>
    <w:basedOn w:val="DefaultParagraphFont"/>
    <w:rsid w:val="00E7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32475479">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95665546">
      <w:bodyDiv w:val="1"/>
      <w:marLeft w:val="0"/>
      <w:marRight w:val="0"/>
      <w:marTop w:val="0"/>
      <w:marBottom w:val="0"/>
      <w:divBdr>
        <w:top w:val="none" w:sz="0" w:space="0" w:color="auto"/>
        <w:left w:val="none" w:sz="0" w:space="0" w:color="auto"/>
        <w:bottom w:val="none" w:sz="0" w:space="0" w:color="auto"/>
        <w:right w:val="none" w:sz="0" w:space="0" w:color="auto"/>
      </w:divBdr>
      <w:divsChild>
        <w:div w:id="1002048370">
          <w:marLeft w:val="0"/>
          <w:marRight w:val="0"/>
          <w:marTop w:val="0"/>
          <w:marBottom w:val="0"/>
          <w:divBdr>
            <w:top w:val="none" w:sz="0" w:space="0" w:color="auto"/>
            <w:left w:val="none" w:sz="0" w:space="0" w:color="auto"/>
            <w:bottom w:val="none" w:sz="0" w:space="0" w:color="auto"/>
            <w:right w:val="none" w:sz="0" w:space="0" w:color="auto"/>
          </w:divBdr>
        </w:div>
        <w:div w:id="501629782">
          <w:marLeft w:val="45"/>
          <w:marRight w:val="45"/>
          <w:marTop w:val="15"/>
          <w:marBottom w:val="0"/>
          <w:divBdr>
            <w:top w:val="none" w:sz="0" w:space="0" w:color="auto"/>
            <w:left w:val="none" w:sz="0" w:space="0" w:color="auto"/>
            <w:bottom w:val="none" w:sz="0" w:space="0" w:color="auto"/>
            <w:right w:val="none" w:sz="0" w:space="0" w:color="auto"/>
          </w:divBdr>
          <w:divsChild>
            <w:div w:id="2013412283">
              <w:marLeft w:val="0"/>
              <w:marRight w:val="0"/>
              <w:marTop w:val="0"/>
              <w:marBottom w:val="0"/>
              <w:divBdr>
                <w:top w:val="none" w:sz="0" w:space="0" w:color="auto"/>
                <w:left w:val="none" w:sz="0" w:space="0" w:color="auto"/>
                <w:bottom w:val="none" w:sz="0" w:space="0" w:color="auto"/>
                <w:right w:val="none" w:sz="0" w:space="0" w:color="auto"/>
              </w:divBdr>
            </w:div>
          </w:divsChild>
        </w:div>
        <w:div w:id="1160728240">
          <w:marLeft w:val="0"/>
          <w:marRight w:val="0"/>
          <w:marTop w:val="0"/>
          <w:marBottom w:val="0"/>
          <w:divBdr>
            <w:top w:val="none" w:sz="0" w:space="0" w:color="auto"/>
            <w:left w:val="none" w:sz="0" w:space="0" w:color="auto"/>
            <w:bottom w:val="none" w:sz="0" w:space="0" w:color="auto"/>
            <w:right w:val="none" w:sz="0" w:space="0" w:color="auto"/>
          </w:divBdr>
        </w:div>
      </w:divsChild>
    </w:div>
    <w:div w:id="15192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ajorprojects.planning.nsw.gov.au/index.pl?action=view_job&amp;job_id=7480" TargetMode="External"/><Relationship Id="rId18" Type="http://schemas.openxmlformats.org/officeDocument/2006/relationships/hyperlink" Target="http://book.arr.org.au.s3-website-ap-southeast-2.amazonaw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3.epa.gov/region9/air/dust/DustSuppressants-sept2008.pdf" TargetMode="External"/><Relationship Id="rId2" Type="http://schemas.openxmlformats.org/officeDocument/2006/relationships/styles" Target="styles.xml"/><Relationship Id="rId16" Type="http://schemas.openxmlformats.org/officeDocument/2006/relationships/hyperlink" Target="http://iesc.environment.gov.au/publications/information-guidelines-independent-expert-scientific-committee-advice-coal-seam-gas" TargetMode="External"/><Relationship Id="rId20" Type="http://schemas.openxmlformats.org/officeDocument/2006/relationships/hyperlink" Target="https://www.water.nsw.gov.au/water-management-old/water-availability/risk-assessment/groundwater-dependent-ecosyste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2/2012RG000417" TargetMode="External"/><Relationship Id="rId10" Type="http://schemas.openxmlformats.org/officeDocument/2006/relationships/footer" Target="footer2.xml"/><Relationship Id="rId19" Type="http://schemas.openxmlformats.org/officeDocument/2006/relationships/hyperlink" Target="http://www.dpi.nsw.gov.au/__data/assets/pdf_file/0006/171573/Lowland-Darling-River-aquatic-ecological-community.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aterquality.gov.au/anz-guidelin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860AE4DA.dotm</Template>
  <TotalTime>1</TotalTime>
  <Pages>10</Pages>
  <Words>5612</Words>
  <Characters>31992</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2018-099: Vickery Extension Project (EPBC 2016/7649 and SSD 7480) – Expansion</dc:title>
  <dc:creator>IESC</dc:creator>
  <cp:lastModifiedBy>Bec Durack</cp:lastModifiedBy>
  <cp:revision>2</cp:revision>
  <dcterms:created xsi:type="dcterms:W3CDTF">2018-11-20T00:34:00Z</dcterms:created>
  <dcterms:modified xsi:type="dcterms:W3CDTF">2018-11-20T00:34:00Z</dcterms:modified>
</cp:coreProperties>
</file>