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FD82" w14:textId="77777777" w:rsidR="00932F28" w:rsidRPr="00BF21A7" w:rsidRDefault="00932F28" w:rsidP="00FD7882">
      <w:pPr>
        <w:pStyle w:val="Header"/>
        <w:ind w:hanging="1418"/>
        <w:sectPr w:rsidR="00932F28" w:rsidRPr="00BF21A7" w:rsidSect="000B3281">
          <w:headerReference w:type="even" r:id="rId7"/>
          <w:headerReference w:type="default" r:id="rId8"/>
          <w:footerReference w:type="default" r:id="rId9"/>
          <w:headerReference w:type="first" r:id="rId10"/>
          <w:footerReference w:type="first" r:id="rId11"/>
          <w:pgSz w:w="11906" w:h="16838"/>
          <w:pgMar w:top="142" w:right="1440" w:bottom="1440" w:left="1440" w:header="425" w:footer="425" w:gutter="0"/>
          <w:pgNumType w:start="1"/>
          <w:cols w:space="708"/>
          <w:titlePg/>
          <w:docGrid w:linePitch="360"/>
        </w:sectPr>
      </w:pPr>
    </w:p>
    <w:p w14:paraId="680A45B5" w14:textId="77777777" w:rsidR="00932F28" w:rsidRPr="00BF21A7" w:rsidRDefault="00932F28" w:rsidP="00932F28">
      <w:pPr>
        <w:pStyle w:val="Heading1"/>
        <w:suppressLineNumbers/>
      </w:pPr>
      <w:r w:rsidRPr="00BF21A7">
        <w:t>Advice to decision maker on coal seam gas project</w:t>
      </w:r>
    </w:p>
    <w:p w14:paraId="6D2116A7" w14:textId="77777777" w:rsidR="00932F28" w:rsidRPr="00AB6916" w:rsidRDefault="00932F28" w:rsidP="00932F28">
      <w:pPr>
        <w:pStyle w:val="Heading2"/>
        <w:suppressLineNumbers/>
      </w:pPr>
      <w:r w:rsidRPr="00BF21A7">
        <w:t>IESC 20</w:t>
      </w:r>
      <w:r>
        <w:t>21</w:t>
      </w:r>
      <w:r w:rsidRPr="00BF21A7">
        <w:t>-</w:t>
      </w:r>
      <w:r w:rsidRPr="00AB6916">
        <w:t xml:space="preserve">130: </w:t>
      </w:r>
      <w:proofErr w:type="spellStart"/>
      <w:r w:rsidRPr="00AB6916">
        <w:rPr>
          <w:rFonts w:ascii="Arial Bold" w:hAnsi="Arial Bold"/>
        </w:rPr>
        <w:t>Towrie</w:t>
      </w:r>
      <w:proofErr w:type="spellEnd"/>
      <w:r w:rsidRPr="00AB6916">
        <w:rPr>
          <w:rFonts w:ascii="Arial Bold" w:hAnsi="Arial Bold"/>
        </w:rPr>
        <w:t xml:space="preserve"> Gas Development</w:t>
      </w:r>
      <w:r w:rsidRPr="00AB6916">
        <w:t xml:space="preserve"> (Queensland) (EPBC 2021/8979) –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932F28" w:rsidRPr="00BF21A7" w14:paraId="7BFEF916" w14:textId="77777777" w:rsidTr="001E4EC1">
        <w:trPr>
          <w:trHeight w:val="563"/>
        </w:trPr>
        <w:tc>
          <w:tcPr>
            <w:tcW w:w="1810" w:type="dxa"/>
            <w:tcBorders>
              <w:top w:val="single" w:sz="4" w:space="0" w:color="auto"/>
              <w:bottom w:val="single" w:sz="4" w:space="0" w:color="auto"/>
            </w:tcBorders>
          </w:tcPr>
          <w:p w14:paraId="296F0612" w14:textId="77777777" w:rsidR="00932F28" w:rsidRPr="00BF21A7" w:rsidRDefault="00932F28" w:rsidP="001E4EC1">
            <w:pPr>
              <w:pStyle w:val="Heading6"/>
              <w:suppressLineNumbers/>
            </w:pPr>
            <w:r w:rsidRPr="00BF21A7">
              <w:t>Requesting agency</w:t>
            </w:r>
          </w:p>
        </w:tc>
        <w:tc>
          <w:tcPr>
            <w:tcW w:w="7830" w:type="dxa"/>
            <w:tcBorders>
              <w:top w:val="single" w:sz="4" w:space="0" w:color="auto"/>
              <w:bottom w:val="single" w:sz="4" w:space="0" w:color="auto"/>
            </w:tcBorders>
          </w:tcPr>
          <w:p w14:paraId="2348AEB1" w14:textId="77777777" w:rsidR="00932F28" w:rsidRPr="00BF21A7" w:rsidRDefault="00932F28" w:rsidP="001E4EC1">
            <w:pPr>
              <w:pStyle w:val="Tabletext"/>
              <w:suppressLineNumbers/>
            </w:pPr>
            <w:r w:rsidRPr="00BF21A7">
              <w:t xml:space="preserve">The Australian Government Department of </w:t>
            </w:r>
            <w:r>
              <w:t xml:space="preserve">Agriculture, </w:t>
            </w:r>
            <w:proofErr w:type="gramStart"/>
            <w:r>
              <w:t>Water</w:t>
            </w:r>
            <w:proofErr w:type="gramEnd"/>
            <w:r>
              <w:t xml:space="preserve"> and </w:t>
            </w:r>
            <w:r w:rsidRPr="00BF21A7">
              <w:t xml:space="preserve">the Environment </w:t>
            </w:r>
          </w:p>
          <w:p w14:paraId="36628116" w14:textId="77777777" w:rsidR="00932F28" w:rsidRPr="00BF21A7" w:rsidRDefault="00932F28" w:rsidP="001E4EC1">
            <w:pPr>
              <w:pStyle w:val="Tabletext"/>
              <w:suppressLineNumbers/>
            </w:pPr>
          </w:p>
        </w:tc>
      </w:tr>
      <w:tr w:rsidR="00932F28" w:rsidRPr="00BF21A7" w14:paraId="212CF77A" w14:textId="77777777" w:rsidTr="001E4EC1">
        <w:trPr>
          <w:trHeight w:val="19"/>
        </w:trPr>
        <w:tc>
          <w:tcPr>
            <w:tcW w:w="1810" w:type="dxa"/>
            <w:tcBorders>
              <w:top w:val="single" w:sz="4" w:space="0" w:color="auto"/>
              <w:bottom w:val="single" w:sz="4" w:space="0" w:color="auto"/>
            </w:tcBorders>
          </w:tcPr>
          <w:p w14:paraId="7FA6C7DC" w14:textId="77777777" w:rsidR="00932F28" w:rsidRPr="00BF21A7" w:rsidRDefault="00932F28" w:rsidP="001E4EC1">
            <w:pPr>
              <w:pStyle w:val="Heading6"/>
              <w:suppressLineNumbers/>
            </w:pPr>
            <w:r w:rsidRPr="00BF21A7">
              <w:t>Date of request</w:t>
            </w:r>
          </w:p>
        </w:tc>
        <w:tc>
          <w:tcPr>
            <w:tcW w:w="7830" w:type="dxa"/>
            <w:tcBorders>
              <w:top w:val="single" w:sz="4" w:space="0" w:color="auto"/>
              <w:bottom w:val="single" w:sz="4" w:space="0" w:color="auto"/>
            </w:tcBorders>
          </w:tcPr>
          <w:p w14:paraId="3C4E4154" w14:textId="77777777" w:rsidR="00932F28" w:rsidRPr="00A33FA5" w:rsidRDefault="00932F28" w:rsidP="001E4EC1">
            <w:pPr>
              <w:pStyle w:val="Tabletext"/>
              <w:suppressLineNumbers/>
            </w:pPr>
            <w:r w:rsidRPr="00A33FA5">
              <w:t>21 December 2021</w:t>
            </w:r>
            <w:r w:rsidRPr="00A33FA5">
              <w:rPr>
                <w:b/>
              </w:rPr>
              <w:t xml:space="preserve"> </w:t>
            </w:r>
          </w:p>
        </w:tc>
      </w:tr>
      <w:tr w:rsidR="00932F28" w:rsidRPr="00BF21A7" w14:paraId="31731B2C" w14:textId="77777777" w:rsidTr="001E4EC1">
        <w:trPr>
          <w:trHeight w:val="19"/>
        </w:trPr>
        <w:tc>
          <w:tcPr>
            <w:tcW w:w="1810" w:type="dxa"/>
            <w:tcBorders>
              <w:top w:val="single" w:sz="4" w:space="0" w:color="auto"/>
              <w:bottom w:val="single" w:sz="4" w:space="0" w:color="auto"/>
            </w:tcBorders>
          </w:tcPr>
          <w:p w14:paraId="551ED37E" w14:textId="77777777" w:rsidR="00932F28" w:rsidRPr="00BF21A7" w:rsidRDefault="00932F28" w:rsidP="001E4EC1">
            <w:pPr>
              <w:pStyle w:val="Heading6"/>
              <w:suppressLineNumbers/>
            </w:pPr>
            <w:r w:rsidRPr="00BF21A7">
              <w:t>Date request accepted</w:t>
            </w:r>
          </w:p>
        </w:tc>
        <w:tc>
          <w:tcPr>
            <w:tcW w:w="7830" w:type="dxa"/>
            <w:tcBorders>
              <w:top w:val="single" w:sz="4" w:space="0" w:color="auto"/>
              <w:bottom w:val="single" w:sz="4" w:space="0" w:color="auto"/>
            </w:tcBorders>
          </w:tcPr>
          <w:p w14:paraId="1AA47041" w14:textId="77777777" w:rsidR="00932F28" w:rsidRPr="00BF21A7" w:rsidRDefault="00932F28" w:rsidP="001E4EC1">
            <w:pPr>
              <w:pStyle w:val="Tabletext"/>
              <w:suppressLineNumbers/>
            </w:pPr>
            <w:r w:rsidRPr="00A33FA5">
              <w:t>23 December 2021</w:t>
            </w:r>
            <w:r w:rsidRPr="00A33FA5">
              <w:rPr>
                <w:b/>
                <w:lang w:eastAsia="en-AU"/>
              </w:rPr>
              <w:t xml:space="preserve"> </w:t>
            </w:r>
          </w:p>
        </w:tc>
      </w:tr>
      <w:tr w:rsidR="00932F28" w:rsidRPr="00BF21A7" w14:paraId="1C601D54" w14:textId="77777777" w:rsidTr="001E4EC1">
        <w:trPr>
          <w:trHeight w:val="19"/>
        </w:trPr>
        <w:tc>
          <w:tcPr>
            <w:tcW w:w="1810" w:type="dxa"/>
            <w:tcBorders>
              <w:top w:val="single" w:sz="4" w:space="0" w:color="auto"/>
              <w:bottom w:val="single" w:sz="4" w:space="0" w:color="auto"/>
            </w:tcBorders>
          </w:tcPr>
          <w:p w14:paraId="27E62B3F" w14:textId="77777777" w:rsidR="00932F28" w:rsidRPr="00BF21A7" w:rsidRDefault="00932F28" w:rsidP="001E4EC1">
            <w:pPr>
              <w:pStyle w:val="Heading6"/>
              <w:suppressLineNumbers/>
            </w:pPr>
            <w:r w:rsidRPr="00BF21A7">
              <w:t xml:space="preserve">Advice stage </w:t>
            </w:r>
          </w:p>
        </w:tc>
        <w:tc>
          <w:tcPr>
            <w:tcW w:w="7830" w:type="dxa"/>
            <w:tcBorders>
              <w:top w:val="single" w:sz="4" w:space="0" w:color="auto"/>
              <w:bottom w:val="single" w:sz="4" w:space="0" w:color="auto"/>
            </w:tcBorders>
          </w:tcPr>
          <w:p w14:paraId="14AF1909" w14:textId="22142B63" w:rsidR="00932F28" w:rsidRPr="00BF21A7" w:rsidRDefault="00932F28" w:rsidP="001E4EC1">
            <w:pPr>
              <w:pStyle w:val="Tabletext"/>
              <w:suppressLineNumbers/>
              <w:rPr>
                <w:lang w:eastAsia="en-AU"/>
              </w:rPr>
            </w:pPr>
            <w:r w:rsidRPr="00BF21A7">
              <w:rPr>
                <w:lang w:eastAsia="en-AU"/>
              </w:rPr>
              <w:t xml:space="preserve">Assessment </w:t>
            </w:r>
          </w:p>
        </w:tc>
      </w:tr>
    </w:tbl>
    <w:p w14:paraId="2E51D5B1" w14:textId="77777777" w:rsidR="00932F28" w:rsidRPr="00BF21A7" w:rsidRDefault="00932F28" w:rsidP="00932F28">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932F28" w:rsidRPr="00BF21A7" w14:paraId="70B211DC" w14:textId="77777777" w:rsidTr="001E4EC1">
        <w:trPr>
          <w:trHeight w:val="416"/>
        </w:trPr>
        <w:tc>
          <w:tcPr>
            <w:tcW w:w="9640" w:type="dxa"/>
            <w:shd w:val="clear" w:color="auto" w:fill="E7E6E6"/>
          </w:tcPr>
          <w:p w14:paraId="147FA74B" w14:textId="77777777" w:rsidR="00932F28" w:rsidRPr="00BF21A7" w:rsidRDefault="00932F28" w:rsidP="001E4EC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0041A05F" w14:textId="77777777" w:rsidR="00932F28" w:rsidRPr="00BF21A7" w:rsidRDefault="00932F28" w:rsidP="001E4EC1">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Pr>
                <w:rFonts w:ascii="Arial" w:hAnsi="Arial" w:cs="Arial"/>
                <w:sz w:val="20"/>
                <w:szCs w:val="20"/>
              </w:rPr>
              <w:t xml:space="preserve">Agriculture, </w:t>
            </w:r>
            <w:proofErr w:type="gramStart"/>
            <w:r>
              <w:rPr>
                <w:rFonts w:ascii="Arial" w:hAnsi="Arial" w:cs="Arial"/>
                <w:sz w:val="20"/>
                <w:szCs w:val="20"/>
              </w:rPr>
              <w:t>Water</w:t>
            </w:r>
            <w:proofErr w:type="gramEnd"/>
            <w:r>
              <w:rPr>
                <w:rFonts w:ascii="Arial" w:hAnsi="Arial" w:cs="Arial"/>
                <w:sz w:val="20"/>
                <w:szCs w:val="20"/>
              </w:rPr>
              <w:t xml:space="preserve"> and </w:t>
            </w:r>
            <w:r w:rsidRPr="00BF21A7">
              <w:rPr>
                <w:rFonts w:ascii="Arial" w:hAnsi="Arial" w:cs="Arial"/>
                <w:sz w:val="20"/>
                <w:szCs w:val="20"/>
              </w:rPr>
              <w:t xml:space="preserve">the Environment to provide advice on the </w:t>
            </w:r>
            <w:r w:rsidRPr="001A57C6">
              <w:rPr>
                <w:rFonts w:ascii="Arial" w:hAnsi="Arial" w:cs="Arial"/>
                <w:bCs/>
                <w:sz w:val="20"/>
                <w:szCs w:val="20"/>
              </w:rPr>
              <w:t xml:space="preserve">Santos </w:t>
            </w:r>
            <w:proofErr w:type="spellStart"/>
            <w:r w:rsidRPr="001A57C6">
              <w:rPr>
                <w:rFonts w:ascii="Arial" w:hAnsi="Arial" w:cs="Arial"/>
                <w:bCs/>
                <w:sz w:val="20"/>
                <w:szCs w:val="20"/>
              </w:rPr>
              <w:t>Towrie</w:t>
            </w:r>
            <w:proofErr w:type="spellEnd"/>
            <w:r w:rsidRPr="001A57C6">
              <w:rPr>
                <w:rFonts w:ascii="Arial" w:hAnsi="Arial" w:cs="Arial"/>
                <w:bCs/>
                <w:sz w:val="20"/>
                <w:szCs w:val="20"/>
              </w:rPr>
              <w:t xml:space="preserve"> Gas Development</w:t>
            </w:r>
            <w:r w:rsidRPr="001A57C6">
              <w:rPr>
                <w:rFonts w:ascii="Arial" w:hAnsi="Arial" w:cs="Arial"/>
                <w:sz w:val="20"/>
                <w:szCs w:val="20"/>
              </w:rPr>
              <w:t xml:space="preserve"> </w:t>
            </w:r>
            <w:r w:rsidRPr="00BF21A7">
              <w:rPr>
                <w:rFonts w:ascii="Arial" w:hAnsi="Arial" w:cs="Arial"/>
                <w:sz w:val="20"/>
                <w:szCs w:val="20"/>
              </w:rPr>
              <w:t xml:space="preserve">in </w:t>
            </w:r>
            <w:r>
              <w:rPr>
                <w:rFonts w:ascii="Arial" w:hAnsi="Arial" w:cs="Arial"/>
                <w:sz w:val="20"/>
                <w:szCs w:val="20"/>
              </w:rPr>
              <w:t>Queensland</w:t>
            </w:r>
            <w:r w:rsidRPr="00BF21A7">
              <w:rPr>
                <w:rFonts w:ascii="Arial" w:hAnsi="Arial" w:cs="Arial"/>
                <w:sz w:val="20"/>
                <w:szCs w:val="20"/>
              </w:rPr>
              <w:t xml:space="preserve">. This document provides the IESC’s advice in response to the requesting agency’s questions. These questions are directed at matters specific to the project to be considered during the requesting agency’s assessment process. This advice draws upon the available assessment documentation, </w:t>
            </w:r>
            <w:proofErr w:type="gramStart"/>
            <w:r w:rsidRPr="00BF21A7">
              <w:rPr>
                <w:rFonts w:ascii="Arial" w:hAnsi="Arial" w:cs="Arial"/>
                <w:sz w:val="20"/>
                <w:szCs w:val="20"/>
              </w:rPr>
              <w:t>data</w:t>
            </w:r>
            <w:proofErr w:type="gramEnd"/>
            <w:r w:rsidRPr="00BF21A7">
              <w:rPr>
                <w:rFonts w:ascii="Arial" w:hAnsi="Arial" w:cs="Arial"/>
                <w:sz w:val="20"/>
                <w:szCs w:val="20"/>
              </w:rPr>
              <w:t xml:space="preserve"> and methodologies, together with the expert deliberations of the IESC, and is assessed against the IESC Information Guidelines (IESC, 2018).</w:t>
            </w:r>
          </w:p>
        </w:tc>
      </w:tr>
    </w:tbl>
    <w:p w14:paraId="6B14493E" w14:textId="77777777" w:rsidR="00932F28" w:rsidRDefault="00932F28" w:rsidP="00932F28">
      <w:pPr>
        <w:pStyle w:val="Heading3"/>
        <w:rPr>
          <w:color w:val="365F91" w:themeColor="accent1" w:themeShade="BF"/>
        </w:rPr>
      </w:pPr>
      <w:r>
        <w:t>Summary</w:t>
      </w:r>
      <w:r w:rsidRPr="3C5BAC0E">
        <w:rPr>
          <w:color w:val="365F91" w:themeColor="accent1" w:themeShade="BF"/>
        </w:rPr>
        <w:t xml:space="preserve"> </w:t>
      </w:r>
    </w:p>
    <w:p w14:paraId="2049120B" w14:textId="44805D6B" w:rsidR="00932F28" w:rsidRDefault="12D45265">
      <w:pPr>
        <w:rPr>
          <w:rFonts w:eastAsia="Arial"/>
        </w:rPr>
      </w:pPr>
      <w:r w:rsidRPr="3C5BAC0E">
        <w:rPr>
          <w:rFonts w:eastAsia="Arial"/>
        </w:rPr>
        <w:t xml:space="preserve">The </w:t>
      </w:r>
      <w:proofErr w:type="spellStart"/>
      <w:r w:rsidRPr="3C5BAC0E">
        <w:rPr>
          <w:rFonts w:eastAsia="Arial"/>
        </w:rPr>
        <w:t>Towrie</w:t>
      </w:r>
      <w:proofErr w:type="spellEnd"/>
      <w:r w:rsidRPr="3C5BAC0E">
        <w:rPr>
          <w:rFonts w:eastAsia="Arial"/>
        </w:rPr>
        <w:t xml:space="preserve"> Gas Development (the project) is a new 116-well development targeting coal seam gas (CSG) from the Bandanna Formation, which is overlain by the </w:t>
      </w:r>
      <w:proofErr w:type="spellStart"/>
      <w:r w:rsidRPr="3C5BAC0E">
        <w:rPr>
          <w:rFonts w:eastAsia="Arial"/>
        </w:rPr>
        <w:t>Rewan</w:t>
      </w:r>
      <w:proofErr w:type="spellEnd"/>
      <w:r w:rsidRPr="3C5BAC0E">
        <w:rPr>
          <w:rFonts w:eastAsia="Arial"/>
        </w:rPr>
        <w:t xml:space="preserve"> Group, a thick aquitard</w:t>
      </w:r>
      <w:r w:rsidR="009D6D58">
        <w:rPr>
          <w:rFonts w:eastAsia="Arial"/>
        </w:rPr>
        <w:t xml:space="preserve"> at the re</w:t>
      </w:r>
      <w:r w:rsidR="0035192E">
        <w:rPr>
          <w:rFonts w:eastAsia="Arial"/>
        </w:rPr>
        <w:t>gional scale</w:t>
      </w:r>
      <w:r w:rsidRPr="3C5BAC0E">
        <w:rPr>
          <w:rFonts w:eastAsia="Arial"/>
        </w:rPr>
        <w:t xml:space="preserve">. Peak groundwater production is predicted to be ~2.2 ML/day, with a total of ~2.3 GL abstracted over the lifetime of the project. Hydraulic stimulation is expected to be used on a currently unknown number of wells. </w:t>
      </w:r>
    </w:p>
    <w:p w14:paraId="044ACFBB" w14:textId="1F3362AC" w:rsidR="00932F28" w:rsidRDefault="12D45265">
      <w:pPr>
        <w:rPr>
          <w:rFonts w:eastAsia="Arial"/>
        </w:rPr>
      </w:pPr>
      <w:r w:rsidRPr="3C5BAC0E">
        <w:rPr>
          <w:rFonts w:eastAsia="Arial"/>
        </w:rPr>
        <w:t xml:space="preserve">The project </w:t>
      </w:r>
      <w:proofErr w:type="gramStart"/>
      <w:r w:rsidRPr="3C5BAC0E">
        <w:rPr>
          <w:rFonts w:eastAsia="Arial"/>
        </w:rPr>
        <w:t xml:space="preserve">is located </w:t>
      </w:r>
      <w:r w:rsidR="00932F28">
        <w:t>in</w:t>
      </w:r>
      <w:proofErr w:type="gramEnd"/>
      <w:r w:rsidR="00932F28">
        <w:t xml:space="preserve"> the Arcadia Valley, Queensland</w:t>
      </w:r>
      <w:r w:rsidR="4F4003BD">
        <w:t>,</w:t>
      </w:r>
      <w:r w:rsidR="00932F28">
        <w:t xml:space="preserve"> north of Injune</w:t>
      </w:r>
      <w:r w:rsidR="5B289797">
        <w:t xml:space="preserve"> and</w:t>
      </w:r>
      <w:r w:rsidR="00932F28">
        <w:t xml:space="preserve"> in the northern portion of the Surat Cumulative Management Area (CMA). </w:t>
      </w:r>
      <w:r w:rsidR="22497BB0">
        <w:t>It</w:t>
      </w:r>
      <w:r w:rsidR="00932F28">
        <w:t xml:space="preserve"> will share </w:t>
      </w:r>
      <w:r w:rsidR="00720839">
        <w:t xml:space="preserve">produced </w:t>
      </w:r>
      <w:r w:rsidR="00932F28">
        <w:t>water treatment and storage facilities with the Arcadia Gas Project, 16 km to the southwest.</w:t>
      </w:r>
      <w:r w:rsidR="008B742C">
        <w:t xml:space="preserve"> </w:t>
      </w:r>
    </w:p>
    <w:p w14:paraId="450FE451" w14:textId="22F15BE7" w:rsidR="00932F28" w:rsidRDefault="00932F28" w:rsidP="00932F28">
      <w:r>
        <w:t xml:space="preserve">The lower areas of the Arcadia Valley have been and continue to be used for agriculture, including cropping and cattle grazing. Many areas historically associated with agriculture are degraded; however, </w:t>
      </w:r>
      <w:r>
        <w:lastRenderedPageBreak/>
        <w:t>corridors of good-quality remnant vegetation and aquatic habitat persist. Higher elevations of the project area will not be cleared and will retain extensive patches of good-quality vegetation.</w:t>
      </w:r>
    </w:p>
    <w:p w14:paraId="02880BC2" w14:textId="06ACFB56" w:rsidR="00932F28" w:rsidRPr="00C33949" w:rsidRDefault="00932F28" w:rsidP="3C5BAC0E">
      <w:pPr>
        <w:autoSpaceDE/>
        <w:autoSpaceDN/>
        <w:adjustRightInd/>
        <w:spacing w:after="120"/>
        <w:rPr>
          <w:rFonts w:eastAsia="Calibri"/>
        </w:rPr>
      </w:pPr>
      <w:r>
        <w:t xml:space="preserve">The project area and immediate vicinity support </w:t>
      </w:r>
      <w:r w:rsidRPr="3C5BAC0E">
        <w:rPr>
          <w:rFonts w:eastAsia="Calibri"/>
        </w:rPr>
        <w:t>threatened ecological communities (TECs) including Brigalow (</w:t>
      </w:r>
      <w:r w:rsidRPr="3C5BAC0E">
        <w:rPr>
          <w:rFonts w:eastAsia="Calibri"/>
          <w:i/>
          <w:iCs/>
        </w:rPr>
        <w:t xml:space="preserve">Acacia </w:t>
      </w:r>
      <w:proofErr w:type="spellStart"/>
      <w:r w:rsidRPr="3C5BAC0E">
        <w:rPr>
          <w:rFonts w:eastAsia="Calibri"/>
          <w:i/>
          <w:iCs/>
        </w:rPr>
        <w:t>harpophylla</w:t>
      </w:r>
      <w:proofErr w:type="spellEnd"/>
      <w:r w:rsidRPr="3C5BAC0E">
        <w:rPr>
          <w:rFonts w:eastAsia="Calibri"/>
        </w:rPr>
        <w:t xml:space="preserve"> dominated and co-dominated) and Poplar Box Grassy Woodland on Alluvial Plains. These TECs may be groundwater-dependent and grow along wetlands and ephemeral watercourses in the project area</w:t>
      </w:r>
      <w:r w:rsidR="7552F3A2" w:rsidRPr="3C5BAC0E">
        <w:rPr>
          <w:rFonts w:eastAsia="Calibri"/>
        </w:rPr>
        <w:t xml:space="preserve">. Low-potential terrestrial </w:t>
      </w:r>
      <w:r w:rsidR="7552F3A2" w:rsidRPr="3C5BAC0E">
        <w:rPr>
          <w:rFonts w:eastAsia="Arial"/>
        </w:rPr>
        <w:t>groundwater-dependent ecosystems (</w:t>
      </w:r>
      <w:r w:rsidR="7552F3A2" w:rsidRPr="3C5BAC0E">
        <w:rPr>
          <w:rFonts w:eastAsia="Calibri"/>
        </w:rPr>
        <w:t>GDEs) have been mapped in the north-eastern portions of the project area, and moderate-potential terrestrial GDEs occur immediately to the west of the project area.</w:t>
      </w:r>
      <w:r w:rsidR="7552F3A2">
        <w:t xml:space="preserve"> </w:t>
      </w:r>
      <w:r w:rsidR="7552F3A2" w:rsidRPr="3C5BAC0E">
        <w:rPr>
          <w:rFonts w:eastAsia="Calibri"/>
        </w:rPr>
        <w:t xml:space="preserve">It is also probable that subterranean GDEs exist in the project area, particularly in the alluvium. These potential GDEs have not been confirmed with field data. </w:t>
      </w:r>
      <w:r w:rsidR="7552F3A2" w:rsidRPr="3C5BAC0E">
        <w:rPr>
          <w:rFonts w:eastAsia="Arial"/>
        </w:rPr>
        <w:t>Groundwater impacts will be largely managed under the Coal Seam Gas - Joint industry framework</w:t>
      </w:r>
      <w:r w:rsidR="00D659B4">
        <w:rPr>
          <w:rFonts w:eastAsia="Arial"/>
        </w:rPr>
        <w:t xml:space="preserve"> </w:t>
      </w:r>
      <w:r w:rsidR="7552F3A2" w:rsidRPr="3C5BAC0E">
        <w:rPr>
          <w:rFonts w:eastAsia="Arial"/>
        </w:rPr>
        <w:t>(2021).</w:t>
      </w:r>
      <w:r>
        <w:t xml:space="preserve"> </w:t>
      </w:r>
      <w:r w:rsidRPr="3C5BAC0E">
        <w:rPr>
          <w:rFonts w:eastAsia="Calibri"/>
        </w:rPr>
        <w:t xml:space="preserve">Riparian vegetation is associated with wetlands and ephemeral creeks and may provide habitat for </w:t>
      </w:r>
      <w:proofErr w:type="gramStart"/>
      <w:r w:rsidRPr="3C5BAC0E">
        <w:rPr>
          <w:rFonts w:eastAsia="Arial"/>
        </w:rPr>
        <w:t>a number of</w:t>
      </w:r>
      <w:proofErr w:type="gramEnd"/>
      <w:r w:rsidRPr="3C5BAC0E">
        <w:rPr>
          <w:rFonts w:eastAsia="Arial"/>
        </w:rPr>
        <w:t xml:space="preserve"> species listed by the Environment Protection and Biodiversity Conservation (EPBC) Act (1999)</w:t>
      </w:r>
      <w:r w:rsidR="020AB6F3" w:rsidRPr="3C5BAC0E">
        <w:rPr>
          <w:rFonts w:eastAsia="Arial"/>
        </w:rPr>
        <w:t xml:space="preserve">. </w:t>
      </w:r>
      <w:r w:rsidR="020AB6F3" w:rsidRPr="3C5BAC0E">
        <w:rPr>
          <w:rFonts w:eastAsia="Calibri"/>
        </w:rPr>
        <w:t>A constructed wetland in the northeast is used for agriculture but nonetheless provides good-quality aquatic habitat, including for the EPBC Act-listed glossy ibis (</w:t>
      </w:r>
      <w:proofErr w:type="spellStart"/>
      <w:r w:rsidR="020AB6F3" w:rsidRPr="3C5BAC0E">
        <w:rPr>
          <w:rFonts w:eastAsia="Calibri"/>
          <w:i/>
          <w:iCs/>
        </w:rPr>
        <w:t>Plegadis</w:t>
      </w:r>
      <w:proofErr w:type="spellEnd"/>
      <w:r w:rsidR="020AB6F3" w:rsidRPr="3C5BAC0E">
        <w:rPr>
          <w:rFonts w:eastAsia="Calibri"/>
          <w:i/>
          <w:iCs/>
        </w:rPr>
        <w:t xml:space="preserve"> </w:t>
      </w:r>
      <w:proofErr w:type="spellStart"/>
      <w:r w:rsidR="020AB6F3" w:rsidRPr="3C5BAC0E">
        <w:rPr>
          <w:rFonts w:eastAsia="Calibri"/>
          <w:i/>
          <w:iCs/>
        </w:rPr>
        <w:t>falcinellus</w:t>
      </w:r>
      <w:proofErr w:type="spellEnd"/>
      <w:r w:rsidR="020AB6F3" w:rsidRPr="3C5BAC0E">
        <w:rPr>
          <w:rFonts w:eastAsia="Calibri"/>
        </w:rPr>
        <w:t>) and potentially Australian painted snipe (</w:t>
      </w:r>
      <w:proofErr w:type="spellStart"/>
      <w:r w:rsidR="020AB6F3" w:rsidRPr="3C5BAC0E">
        <w:rPr>
          <w:rFonts w:eastAsia="Calibri"/>
          <w:i/>
          <w:iCs/>
        </w:rPr>
        <w:t>Rostratula</w:t>
      </w:r>
      <w:proofErr w:type="spellEnd"/>
      <w:r w:rsidR="020AB6F3" w:rsidRPr="3C5BAC0E">
        <w:rPr>
          <w:rFonts w:eastAsia="Calibri"/>
          <w:i/>
          <w:iCs/>
        </w:rPr>
        <w:t xml:space="preserve"> australis</w:t>
      </w:r>
      <w:r w:rsidR="020AB6F3" w:rsidRPr="3C5BAC0E">
        <w:rPr>
          <w:rFonts w:eastAsia="Calibri"/>
        </w:rPr>
        <w:t>) and Latham's snipe (</w:t>
      </w:r>
      <w:proofErr w:type="spellStart"/>
      <w:r w:rsidR="020AB6F3" w:rsidRPr="3C5BAC0E">
        <w:rPr>
          <w:rFonts w:eastAsia="Calibri"/>
          <w:i/>
          <w:iCs/>
        </w:rPr>
        <w:t>Gallinago</w:t>
      </w:r>
      <w:proofErr w:type="spellEnd"/>
      <w:r w:rsidR="020AB6F3" w:rsidRPr="3C5BAC0E">
        <w:rPr>
          <w:rFonts w:eastAsia="Calibri"/>
          <w:i/>
          <w:iCs/>
        </w:rPr>
        <w:t xml:space="preserve"> </w:t>
      </w:r>
      <w:proofErr w:type="spellStart"/>
      <w:r w:rsidR="020AB6F3" w:rsidRPr="3C5BAC0E">
        <w:rPr>
          <w:rFonts w:eastAsia="Calibri"/>
          <w:i/>
          <w:iCs/>
        </w:rPr>
        <w:t>hardwickii</w:t>
      </w:r>
      <w:proofErr w:type="spellEnd"/>
      <w:r w:rsidR="020AB6F3" w:rsidRPr="3C5BAC0E">
        <w:rPr>
          <w:rFonts w:eastAsia="Calibri"/>
        </w:rPr>
        <w:t>)</w:t>
      </w:r>
      <w:r w:rsidR="007E7F8C" w:rsidRPr="3C5BAC0E">
        <w:rPr>
          <w:rFonts w:eastAsia="Arial"/>
        </w:rPr>
        <w:t>.</w:t>
      </w:r>
    </w:p>
    <w:p w14:paraId="6C4274D2" w14:textId="157B23B6" w:rsidR="00932F28" w:rsidRPr="00BF21A7" w:rsidRDefault="00932F28" w:rsidP="00932F28">
      <w:pPr>
        <w:keepNext/>
      </w:pPr>
      <w:r w:rsidRPr="00BF21A7">
        <w:rPr>
          <w:u w:val="single"/>
        </w:rPr>
        <w:t>Key potential impacts</w:t>
      </w:r>
      <w:r w:rsidRPr="00BF21A7">
        <w:t xml:space="preserve"> from this project are:</w:t>
      </w:r>
    </w:p>
    <w:p w14:paraId="66F81EAE" w14:textId="7BC31451" w:rsidR="006F00E5" w:rsidRDefault="006F00E5" w:rsidP="006F00E5">
      <w:pPr>
        <w:pStyle w:val="ListParagraph"/>
        <w:numPr>
          <w:ilvl w:val="0"/>
          <w:numId w:val="10"/>
        </w:numPr>
        <w:rPr>
          <w:rFonts w:eastAsia="Arial"/>
        </w:rPr>
      </w:pPr>
      <w:r>
        <w:rPr>
          <w:rFonts w:eastAsia="Arial"/>
        </w:rPr>
        <w:t xml:space="preserve">long-term </w:t>
      </w:r>
      <w:r w:rsidRPr="0520A47F">
        <w:rPr>
          <w:rFonts w:eastAsia="Arial"/>
        </w:rPr>
        <w:t xml:space="preserve">drawdown </w:t>
      </w:r>
      <w:r>
        <w:rPr>
          <w:rFonts w:eastAsia="Arial"/>
        </w:rPr>
        <w:t>of the water table</w:t>
      </w:r>
      <w:r w:rsidRPr="0520A47F">
        <w:rPr>
          <w:rFonts w:eastAsia="Arial"/>
        </w:rPr>
        <w:t xml:space="preserve"> that may </w:t>
      </w:r>
      <w:r>
        <w:rPr>
          <w:rFonts w:eastAsia="Arial"/>
        </w:rPr>
        <w:t>impact</w:t>
      </w:r>
      <w:r w:rsidRPr="0520A47F">
        <w:rPr>
          <w:rFonts w:eastAsia="Arial"/>
        </w:rPr>
        <w:t xml:space="preserve"> potential terrestrial and subterranean GDEs, possibly including groundwater-dependent </w:t>
      </w:r>
      <w:proofErr w:type="gramStart"/>
      <w:r w:rsidRPr="0520A47F">
        <w:rPr>
          <w:rFonts w:eastAsia="Arial"/>
        </w:rPr>
        <w:t>TECs</w:t>
      </w:r>
      <w:r>
        <w:rPr>
          <w:rFonts w:eastAsia="Arial"/>
        </w:rPr>
        <w:t>;</w:t>
      </w:r>
      <w:proofErr w:type="gramEnd"/>
      <w:r>
        <w:rPr>
          <w:rFonts w:eastAsia="Arial"/>
        </w:rPr>
        <w:t xml:space="preserve"> </w:t>
      </w:r>
    </w:p>
    <w:p w14:paraId="2B4814CE" w14:textId="541A9A89" w:rsidR="00932F28" w:rsidRDefault="007E7F8C" w:rsidP="000D47F2">
      <w:pPr>
        <w:pStyle w:val="ListParagraph"/>
        <w:numPr>
          <w:ilvl w:val="0"/>
          <w:numId w:val="10"/>
        </w:numPr>
        <w:jc w:val="both"/>
      </w:pPr>
      <w:r>
        <w:t xml:space="preserve">overtopping </w:t>
      </w:r>
      <w:r w:rsidR="00932F28">
        <w:t>from the Mt Kingsley Dam</w:t>
      </w:r>
      <w:r w:rsidR="00D225FB">
        <w:t xml:space="preserve"> </w:t>
      </w:r>
      <w:r>
        <w:t xml:space="preserve">of produced water </w:t>
      </w:r>
      <w:r w:rsidR="00932F28">
        <w:t xml:space="preserve">that may alter surface water quality in Ironbark Creek and the constructed wetland, possibly impacting aquatic habitat and riparian vegetation; </w:t>
      </w:r>
    </w:p>
    <w:p w14:paraId="0752E6BA" w14:textId="428D723E" w:rsidR="00932F28" w:rsidRPr="007961C1" w:rsidRDefault="00932F28" w:rsidP="000D47F2">
      <w:pPr>
        <w:pStyle w:val="ListParagraph"/>
        <w:numPr>
          <w:ilvl w:val="0"/>
          <w:numId w:val="10"/>
        </w:numPr>
        <w:jc w:val="both"/>
        <w:rPr>
          <w:rFonts w:eastAsia="Arial"/>
        </w:rPr>
      </w:pPr>
      <w:r>
        <w:t>altered surface water quality</w:t>
      </w:r>
      <w:r w:rsidR="46A769DE">
        <w:t xml:space="preserve">, </w:t>
      </w:r>
      <w:proofErr w:type="gramStart"/>
      <w:r w:rsidR="46A769DE">
        <w:t>runoff</w:t>
      </w:r>
      <w:proofErr w:type="gramEnd"/>
      <w:r>
        <w:t xml:space="preserve"> and flow regimes due to construction activities </w:t>
      </w:r>
      <w:r w:rsidRPr="000530D6">
        <w:rPr>
          <w:rStyle w:val="normaltextrun"/>
          <w:bdr w:val="none" w:sz="0" w:space="0" w:color="auto" w:frame="1"/>
        </w:rPr>
        <w:t>(including well pads, access tracks and pipelines</w:t>
      </w:r>
      <w:r w:rsidRPr="69F368DB">
        <w:t>);</w:t>
      </w:r>
      <w:r w:rsidR="006F00E5">
        <w:t xml:space="preserve"> and,</w:t>
      </w:r>
    </w:p>
    <w:p w14:paraId="1EB4687D" w14:textId="1FD22872" w:rsidR="009C0F43" w:rsidRPr="003F4C3A" w:rsidRDefault="00145631" w:rsidP="3C5BAC0E">
      <w:pPr>
        <w:pStyle w:val="ListParagraph"/>
        <w:numPr>
          <w:ilvl w:val="0"/>
          <w:numId w:val="10"/>
        </w:numPr>
        <w:rPr>
          <w:rFonts w:eastAsia="Arial"/>
        </w:rPr>
      </w:pPr>
      <w:r w:rsidRPr="3C5BAC0E">
        <w:rPr>
          <w:rFonts w:eastAsia="Arial"/>
        </w:rPr>
        <w:t>c</w:t>
      </w:r>
      <w:r w:rsidR="009C0F43" w:rsidRPr="3C5BAC0E">
        <w:rPr>
          <w:rFonts w:eastAsia="Arial"/>
        </w:rPr>
        <w:t>umulative</w:t>
      </w:r>
      <w:r w:rsidRPr="3C5BAC0E">
        <w:rPr>
          <w:rFonts w:eastAsia="Arial"/>
        </w:rPr>
        <w:t xml:space="preserve"> contribution</w:t>
      </w:r>
      <w:r w:rsidR="00C6288A" w:rsidRPr="3C5BAC0E">
        <w:rPr>
          <w:rFonts w:eastAsia="Arial"/>
        </w:rPr>
        <w:t>s</w:t>
      </w:r>
      <w:r w:rsidRPr="3C5BAC0E">
        <w:rPr>
          <w:rFonts w:eastAsia="Arial"/>
        </w:rPr>
        <w:t xml:space="preserve"> to </w:t>
      </w:r>
      <w:r w:rsidR="004C3CED" w:rsidRPr="3C5BAC0E">
        <w:rPr>
          <w:rFonts w:eastAsia="Arial"/>
        </w:rPr>
        <w:t xml:space="preserve">fragmentation and </w:t>
      </w:r>
      <w:r w:rsidR="436D021F" w:rsidRPr="3C5BAC0E">
        <w:rPr>
          <w:rFonts w:eastAsia="Arial"/>
        </w:rPr>
        <w:t>impaired ecological condition</w:t>
      </w:r>
      <w:r w:rsidR="004C3CED" w:rsidRPr="3C5BAC0E">
        <w:rPr>
          <w:rFonts w:eastAsia="Arial"/>
        </w:rPr>
        <w:t xml:space="preserve"> of water-dependent assets</w:t>
      </w:r>
      <w:r w:rsidR="000C69AC" w:rsidRPr="3C5BAC0E">
        <w:rPr>
          <w:rFonts w:eastAsia="Arial"/>
        </w:rPr>
        <w:t xml:space="preserve"> that </w:t>
      </w:r>
      <w:r w:rsidR="00DC6E4C" w:rsidRPr="3C5BAC0E">
        <w:rPr>
          <w:rFonts w:eastAsia="Arial"/>
        </w:rPr>
        <w:t xml:space="preserve">potentially </w:t>
      </w:r>
      <w:r w:rsidR="000C69AC" w:rsidRPr="3C5BAC0E">
        <w:rPr>
          <w:rFonts w:eastAsia="Arial"/>
        </w:rPr>
        <w:t xml:space="preserve">support </w:t>
      </w:r>
      <w:r w:rsidR="00DC6E4C" w:rsidRPr="3C5BAC0E">
        <w:rPr>
          <w:rFonts w:eastAsia="Arial"/>
        </w:rPr>
        <w:t xml:space="preserve">multiple </w:t>
      </w:r>
      <w:r w:rsidR="000C69AC" w:rsidRPr="3C5BAC0E">
        <w:rPr>
          <w:rFonts w:eastAsia="Arial"/>
        </w:rPr>
        <w:t>EPBC Act-listed species.</w:t>
      </w:r>
    </w:p>
    <w:p w14:paraId="0A0477BF" w14:textId="77777777" w:rsidR="00932F28" w:rsidRDefault="00932F28" w:rsidP="00932F28">
      <w:pPr>
        <w:pStyle w:val="ListBullet"/>
        <w:ind w:left="0" w:firstLine="0"/>
        <w:rPr>
          <w:lang w:val="en-AU"/>
        </w:rPr>
      </w:pPr>
      <w:r w:rsidRPr="0520A47F">
        <w:rPr>
          <w:lang w:val="en-AU"/>
        </w:rPr>
        <w:t>The IESC has identified key areas in which additional work is required to address the key potential impacts, as detailed in this advice. These are summarised below.</w:t>
      </w:r>
    </w:p>
    <w:p w14:paraId="68728791" w14:textId="567D12AA" w:rsidR="00932F28" w:rsidRDefault="009C0F43" w:rsidP="000D47F2">
      <w:pPr>
        <w:pStyle w:val="ListParagraph"/>
        <w:numPr>
          <w:ilvl w:val="0"/>
          <w:numId w:val="10"/>
        </w:numPr>
        <w:jc w:val="both"/>
      </w:pPr>
      <w:r w:rsidRPr="009C0F43">
        <w:t>Evidence for</w:t>
      </w:r>
      <w:r w:rsidR="00CD19D0">
        <w:t xml:space="preserve"> </w:t>
      </w:r>
      <w:proofErr w:type="spellStart"/>
      <w:r w:rsidR="00CD19D0">
        <w:t>Rewan</w:t>
      </w:r>
      <w:proofErr w:type="spellEnd"/>
      <w:r w:rsidR="00CD19D0">
        <w:t xml:space="preserve"> Group</w:t>
      </w:r>
      <w:r w:rsidRPr="009C0F43">
        <w:t xml:space="preserve"> aquitard integrity within the </w:t>
      </w:r>
      <w:r w:rsidR="001F7F73">
        <w:t>project area</w:t>
      </w:r>
      <w:r w:rsidRPr="009C0F43">
        <w:t xml:space="preserve"> has not provided confidence of possible </w:t>
      </w:r>
      <w:r w:rsidR="00734643">
        <w:t xml:space="preserve">hydrogeological and impact </w:t>
      </w:r>
      <w:r w:rsidRPr="009C0F43">
        <w:t>pathways due to</w:t>
      </w:r>
      <w:r w:rsidR="006642BD">
        <w:t xml:space="preserve"> potential</w:t>
      </w:r>
      <w:r w:rsidRPr="009C0F43">
        <w:t xml:space="preserve"> local</w:t>
      </w:r>
      <w:r w:rsidR="00734643">
        <w:t>-</w:t>
      </w:r>
      <w:r w:rsidRPr="009C0F43">
        <w:t>scale heterogeneity.</w:t>
      </w:r>
      <w:r>
        <w:t xml:space="preserve"> </w:t>
      </w:r>
      <w:r w:rsidR="00EF3764">
        <w:t>The proponent should obtain</w:t>
      </w:r>
      <w:r w:rsidR="00932F28">
        <w:t xml:space="preserve"> site-specific data on hydraulic properties</w:t>
      </w:r>
      <w:r w:rsidR="00BE34EE">
        <w:t xml:space="preserve">, particularly </w:t>
      </w:r>
      <w:r>
        <w:t xml:space="preserve">vertical </w:t>
      </w:r>
      <w:r w:rsidR="00BE34EE">
        <w:t>hydraulic conductivity,</w:t>
      </w:r>
      <w:r>
        <w:t xml:space="preserve"> </w:t>
      </w:r>
      <w:r w:rsidR="00932F28">
        <w:t xml:space="preserve">to confirm critical assumptions regarding the aquitard characteristics of the </w:t>
      </w:r>
      <w:proofErr w:type="spellStart"/>
      <w:r w:rsidR="00932F28">
        <w:t>Rewan</w:t>
      </w:r>
      <w:proofErr w:type="spellEnd"/>
      <w:r w:rsidR="00932F28">
        <w:t xml:space="preserve"> Group. </w:t>
      </w:r>
      <w:r w:rsidR="0056061D">
        <w:t xml:space="preserve">Modelling </w:t>
      </w:r>
      <w:r w:rsidR="00EF3764">
        <w:t xml:space="preserve">uncertainty analysis </w:t>
      </w:r>
      <w:r w:rsidR="0056061D">
        <w:t xml:space="preserve">should </w:t>
      </w:r>
      <w:r w:rsidR="00EF3764">
        <w:t xml:space="preserve">consider whether </w:t>
      </w:r>
      <w:r w:rsidR="0056061D">
        <w:t xml:space="preserve">site-specific </w:t>
      </w:r>
      <w:r w:rsidR="0084343E">
        <w:t>hydraulic properties</w:t>
      </w:r>
      <w:r w:rsidR="0056061D">
        <w:t xml:space="preserve"> </w:t>
      </w:r>
      <w:r w:rsidR="00734643">
        <w:t>(e.g</w:t>
      </w:r>
      <w:r w:rsidR="00FD23D9">
        <w:t>.</w:t>
      </w:r>
      <w:r w:rsidR="00734643">
        <w:t xml:space="preserve">, </w:t>
      </w:r>
      <w:proofErr w:type="spellStart"/>
      <w:r w:rsidR="00734643">
        <w:t>storativity</w:t>
      </w:r>
      <w:proofErr w:type="spellEnd"/>
      <w:r w:rsidR="00734643">
        <w:t xml:space="preserve"> and anisotropy of hydraulic conductivity) </w:t>
      </w:r>
      <w:r w:rsidR="0056061D">
        <w:t xml:space="preserve">fall outside the range of </w:t>
      </w:r>
      <w:r w:rsidR="00EF3764">
        <w:t>the uncertainty analysis</w:t>
      </w:r>
      <w:r w:rsidR="0056061D">
        <w:t xml:space="preserve"> used </w:t>
      </w:r>
      <w:r w:rsidR="00EF3764">
        <w:t>by</w:t>
      </w:r>
      <w:r w:rsidR="0056061D">
        <w:t xml:space="preserve"> OGIA</w:t>
      </w:r>
      <w:r w:rsidR="00EF3764">
        <w:t>.</w:t>
      </w:r>
      <w:r w:rsidR="0056061D">
        <w:t xml:space="preserve"> </w:t>
      </w:r>
    </w:p>
    <w:p w14:paraId="7CD3E66A" w14:textId="167C424C" w:rsidR="00A3012F" w:rsidRDefault="00BE7B3B" w:rsidP="000D47F2">
      <w:pPr>
        <w:pStyle w:val="ListParagraph"/>
        <w:numPr>
          <w:ilvl w:val="0"/>
          <w:numId w:val="10"/>
        </w:numPr>
        <w:jc w:val="both"/>
      </w:pPr>
      <w:r>
        <w:t xml:space="preserve">Depending on the outcome of the above, </w:t>
      </w:r>
      <w:r w:rsidR="005070C4">
        <w:t xml:space="preserve">groundwater </w:t>
      </w:r>
      <w:r>
        <w:t>modelling that</w:t>
      </w:r>
      <w:r w:rsidR="004A73BE">
        <w:t xml:space="preserve"> further </w:t>
      </w:r>
      <w:r>
        <w:t xml:space="preserve">addresses the heterogeneity </w:t>
      </w:r>
      <w:r w:rsidR="004A73BE">
        <w:t xml:space="preserve">within the </w:t>
      </w:r>
      <w:proofErr w:type="spellStart"/>
      <w:r w:rsidR="00472836">
        <w:t>Rewan</w:t>
      </w:r>
      <w:proofErr w:type="spellEnd"/>
      <w:r w:rsidR="00472836">
        <w:t xml:space="preserve"> Group </w:t>
      </w:r>
      <w:r w:rsidR="004A73BE">
        <w:t>aquitard</w:t>
      </w:r>
      <w:r w:rsidR="00814A01">
        <w:t xml:space="preserve">, </w:t>
      </w:r>
      <w:r w:rsidR="00EB6E08">
        <w:t>and local-scale modelling, are required</w:t>
      </w:r>
      <w:r w:rsidR="004A73BE">
        <w:t xml:space="preserve"> </w:t>
      </w:r>
      <w:r w:rsidR="008352C8">
        <w:t>to inform risk assessment of</w:t>
      </w:r>
      <w:r w:rsidR="004A73BE">
        <w:t xml:space="preserve"> the possibil</w:t>
      </w:r>
      <w:r w:rsidR="00EB6E08">
        <w:t>i</w:t>
      </w:r>
      <w:r w:rsidR="004A73BE">
        <w:t>ty of water table drawdown</w:t>
      </w:r>
      <w:r w:rsidR="005070C4">
        <w:t xml:space="preserve"> with impacts to GDEs</w:t>
      </w:r>
      <w:r w:rsidR="004A73BE">
        <w:t>.</w:t>
      </w:r>
      <w:r w:rsidR="00EF4654">
        <w:t xml:space="preserve"> </w:t>
      </w:r>
    </w:p>
    <w:p w14:paraId="29EFE75E" w14:textId="74F69F02" w:rsidR="00FE75A6" w:rsidRDefault="00C01F61" w:rsidP="000D47F2">
      <w:pPr>
        <w:pStyle w:val="ListParagraph"/>
        <w:numPr>
          <w:ilvl w:val="0"/>
          <w:numId w:val="10"/>
        </w:numPr>
        <w:jc w:val="both"/>
      </w:pPr>
      <w:r>
        <w:t xml:space="preserve">If the site-specific hydrogeological data and groundwater modelling </w:t>
      </w:r>
      <w:r w:rsidR="00D62561">
        <w:t xml:space="preserve">indicate that the </w:t>
      </w:r>
      <w:proofErr w:type="spellStart"/>
      <w:r w:rsidR="00D62561">
        <w:t>Rewan</w:t>
      </w:r>
      <w:proofErr w:type="spellEnd"/>
      <w:r w:rsidR="00D62561">
        <w:t xml:space="preserve"> Group is not an effective aquitard, the proponent should </w:t>
      </w:r>
      <w:r w:rsidR="007D54E7">
        <w:t xml:space="preserve">collect baseline data on potentially impacted </w:t>
      </w:r>
      <w:r w:rsidR="007D360A">
        <w:t>water-dependent assets</w:t>
      </w:r>
      <w:r w:rsidR="007D54E7">
        <w:t xml:space="preserve"> such as groundwater-dependent vegetation and </w:t>
      </w:r>
      <w:r w:rsidR="007D360A">
        <w:t>subterranean GDEs.</w:t>
      </w:r>
    </w:p>
    <w:p w14:paraId="5F300F19" w14:textId="75D55EB9" w:rsidR="002F7926" w:rsidRDefault="007B2469" w:rsidP="3C5BAC0E">
      <w:pPr>
        <w:pStyle w:val="ListParagraph"/>
        <w:numPr>
          <w:ilvl w:val="0"/>
          <w:numId w:val="10"/>
        </w:numPr>
        <w:jc w:val="both"/>
        <w:rPr>
          <w:rFonts w:eastAsia="Arial"/>
        </w:rPr>
      </w:pPr>
      <w:r>
        <w:t>To a</w:t>
      </w:r>
      <w:r w:rsidR="00223C4B">
        <w:t xml:space="preserve">ddress the risk of overtopping of the Mt Kingsley Dam due to </w:t>
      </w:r>
      <w:r w:rsidR="00932F28">
        <w:t>the possibility of extreme rainfall events increasing with climate change</w:t>
      </w:r>
      <w:r>
        <w:t xml:space="preserve">, </w:t>
      </w:r>
      <w:r w:rsidR="00270FCE">
        <w:t xml:space="preserve">the proponent should collect baseline data </w:t>
      </w:r>
      <w:r w:rsidR="45CBBBC7" w:rsidRPr="3C5BAC0E">
        <w:rPr>
          <w:rFonts w:eastAsia="Arial"/>
        </w:rPr>
        <w:t xml:space="preserve">(e.g., assemblage composition, ecological condition, groundwater-dependence) </w:t>
      </w:r>
      <w:r w:rsidR="00270FCE">
        <w:t xml:space="preserve">on surface water quality at </w:t>
      </w:r>
      <w:r w:rsidR="00F61D89">
        <w:t>potentially vulnerable</w:t>
      </w:r>
      <w:r w:rsidR="00270FCE">
        <w:t xml:space="preserve"> sites (e.g., constructed wetland and Ironbark Creek) against which </w:t>
      </w:r>
      <w:r w:rsidR="00270FCE">
        <w:lastRenderedPageBreak/>
        <w:t xml:space="preserve">monitoring data can be compared to confirm the </w:t>
      </w:r>
      <w:r w:rsidR="00270FCE" w:rsidRPr="3C5BAC0E">
        <w:rPr>
          <w:rFonts w:eastAsia="Arial"/>
        </w:rPr>
        <w:t xml:space="preserve">proponent’s predictions of </w:t>
      </w:r>
      <w:r w:rsidR="00270FCE">
        <w:t>no impacts from the project</w:t>
      </w:r>
      <w:r w:rsidR="4F18DDE2">
        <w:t>. This information would enable assessment of the potential impacts and risks of groundwater drawdown to these GDEs</w:t>
      </w:r>
      <w:r w:rsidR="00270FCE">
        <w:t xml:space="preserve">. </w:t>
      </w:r>
    </w:p>
    <w:p w14:paraId="21F92582" w14:textId="39342C8C" w:rsidR="00BE75E7" w:rsidRPr="00795654" w:rsidRDefault="002F7926" w:rsidP="00795654">
      <w:pPr>
        <w:pStyle w:val="ListParagraph"/>
        <w:numPr>
          <w:ilvl w:val="0"/>
          <w:numId w:val="10"/>
        </w:numPr>
        <w:jc w:val="both"/>
        <w:rPr>
          <w:rFonts w:eastAsia="Arial"/>
        </w:rPr>
      </w:pPr>
      <w:r>
        <w:t xml:space="preserve">An ecohydrological conceptual model </w:t>
      </w:r>
      <w:r w:rsidR="006D1A4A">
        <w:t>to identify</w:t>
      </w:r>
      <w:r>
        <w:t xml:space="preserve"> potential impact pathways, associated risks and likely modifying factors </w:t>
      </w:r>
      <w:r w:rsidR="00431745">
        <w:t>is required</w:t>
      </w:r>
      <w:r>
        <w:t xml:space="preserve"> </w:t>
      </w:r>
      <w:r w:rsidR="00BE75E7">
        <w:t xml:space="preserve">to </w:t>
      </w:r>
      <w:r>
        <w:t>guide monitoring and mitigation strategies</w:t>
      </w:r>
      <w:r w:rsidR="002A270A">
        <w:t>.</w:t>
      </w:r>
    </w:p>
    <w:p w14:paraId="135B57E3" w14:textId="77777777" w:rsidR="00932F28" w:rsidRPr="00BF21A7" w:rsidRDefault="00932F28" w:rsidP="00932F28">
      <w:pPr>
        <w:rPr>
          <w:b/>
        </w:rPr>
      </w:pPr>
      <w:r w:rsidRPr="00BF21A7">
        <w:rPr>
          <w:b/>
        </w:rPr>
        <w:t>Context</w:t>
      </w:r>
    </w:p>
    <w:p w14:paraId="027A87D1" w14:textId="1E36BBF5" w:rsidR="00223C4B" w:rsidRDefault="00223C4B" w:rsidP="00223C4B">
      <w:pPr>
        <w:autoSpaceDE/>
        <w:autoSpaceDN/>
        <w:adjustRightInd/>
        <w:rPr>
          <w:rFonts w:eastAsia="Calibri"/>
        </w:rPr>
      </w:pPr>
      <w:r w:rsidRPr="0520A47F">
        <w:rPr>
          <w:rFonts w:eastAsia="Calibri"/>
        </w:rPr>
        <w:t xml:space="preserve">The </w:t>
      </w:r>
      <w:proofErr w:type="spellStart"/>
      <w:r w:rsidRPr="0520A47F">
        <w:rPr>
          <w:rFonts w:eastAsia="Calibri"/>
        </w:rPr>
        <w:t>Towrie</w:t>
      </w:r>
      <w:proofErr w:type="spellEnd"/>
      <w:r w:rsidRPr="0520A47F">
        <w:rPr>
          <w:rFonts w:eastAsia="Calibri"/>
        </w:rPr>
        <w:t xml:space="preserve"> Gas Development is a 116-well development</w:t>
      </w:r>
      <w:r w:rsidRPr="0520A47F">
        <w:rPr>
          <w:rFonts w:eastAsia="Arial"/>
        </w:rPr>
        <w:t xml:space="preserve"> targeting coal seam gas (CSG) from</w:t>
      </w:r>
      <w:r w:rsidRPr="0520A47F">
        <w:rPr>
          <w:rFonts w:eastAsia="Calibri"/>
        </w:rPr>
        <w:t xml:space="preserve"> the Bandanna Formation, which is overlain by the </w:t>
      </w:r>
      <w:proofErr w:type="spellStart"/>
      <w:r w:rsidRPr="0520A47F">
        <w:rPr>
          <w:rFonts w:eastAsia="Calibri"/>
        </w:rPr>
        <w:t>Rewan</w:t>
      </w:r>
      <w:proofErr w:type="spellEnd"/>
      <w:r w:rsidRPr="0520A47F">
        <w:rPr>
          <w:rFonts w:eastAsia="Calibri"/>
        </w:rPr>
        <w:t xml:space="preserve"> Group, a thick aquitard</w:t>
      </w:r>
      <w:r w:rsidR="00AC3B41">
        <w:rPr>
          <w:rFonts w:eastAsia="Calibri"/>
        </w:rPr>
        <w:t xml:space="preserve"> at the regional scale</w:t>
      </w:r>
      <w:r w:rsidRPr="0520A47F">
        <w:rPr>
          <w:rFonts w:eastAsia="Calibri"/>
        </w:rPr>
        <w:t xml:space="preserve">. Peak groundwater production is predicted to be ~2.2 ML/day, with a total of ~2.3 GL abstracted over the lifetime of the project. Hydraulic stimulation is expected to be used on a currently unknown number of wells. </w:t>
      </w:r>
    </w:p>
    <w:p w14:paraId="773FA275" w14:textId="7BDF3BA9" w:rsidR="00932F28" w:rsidRPr="00261C9A" w:rsidRDefault="00932F28" w:rsidP="00932F28">
      <w:pPr>
        <w:autoSpaceDE/>
        <w:autoSpaceDN/>
        <w:adjustRightInd/>
        <w:rPr>
          <w:rFonts w:eastAsia="Calibri"/>
        </w:rPr>
      </w:pPr>
      <w:r w:rsidRPr="0520A47F">
        <w:rPr>
          <w:rFonts w:eastAsia="Calibri"/>
        </w:rPr>
        <w:t xml:space="preserve">The project </w:t>
      </w:r>
      <w:proofErr w:type="gramStart"/>
      <w:r w:rsidRPr="0520A47F">
        <w:rPr>
          <w:rFonts w:eastAsia="Calibri"/>
        </w:rPr>
        <w:t>is located in</w:t>
      </w:r>
      <w:proofErr w:type="gramEnd"/>
      <w:r w:rsidRPr="0520A47F">
        <w:rPr>
          <w:rFonts w:eastAsia="Calibri"/>
        </w:rPr>
        <w:t xml:space="preserve"> the Arcadia Valley approximately 90 km south of the township of Rolleston and 60 km north of Injune, Queensland. The area (87 km</w:t>
      </w:r>
      <w:r w:rsidRPr="0520A47F">
        <w:rPr>
          <w:rFonts w:eastAsia="Arial"/>
          <w:vertAlign w:val="superscript"/>
        </w:rPr>
        <w:t xml:space="preserve"> 2</w:t>
      </w:r>
      <w:r w:rsidRPr="0520A47F">
        <w:rPr>
          <w:rFonts w:eastAsia="Calibri"/>
        </w:rPr>
        <w:t xml:space="preserve">) is located within the Comet River Catchment (part of the Fitzroy </w:t>
      </w:r>
      <w:r w:rsidR="00AF4800" w:rsidRPr="0520A47F">
        <w:rPr>
          <w:rFonts w:eastAsia="Calibri"/>
        </w:rPr>
        <w:t xml:space="preserve">River </w:t>
      </w:r>
      <w:r w:rsidRPr="0520A47F">
        <w:rPr>
          <w:rFonts w:eastAsia="Calibri"/>
        </w:rPr>
        <w:t xml:space="preserve">Basin), bounded by the Expedition and </w:t>
      </w:r>
      <w:proofErr w:type="spellStart"/>
      <w:r w:rsidRPr="0520A47F">
        <w:rPr>
          <w:rFonts w:eastAsia="Calibri"/>
        </w:rPr>
        <w:t>Shotover</w:t>
      </w:r>
      <w:proofErr w:type="spellEnd"/>
      <w:r w:rsidRPr="0520A47F">
        <w:rPr>
          <w:rFonts w:eastAsia="Calibri"/>
        </w:rPr>
        <w:t xml:space="preserve"> Ranges in the east, the Carnarvon Range in the south and the Buckland Tableland in the west. Most watercourses are ephemeral and typically </w:t>
      </w:r>
      <w:r w:rsidR="48B1C5F9" w:rsidRPr="0520A47F">
        <w:rPr>
          <w:rFonts w:eastAsia="Calibri"/>
        </w:rPr>
        <w:t xml:space="preserve">only </w:t>
      </w:r>
      <w:r w:rsidRPr="0520A47F">
        <w:rPr>
          <w:rFonts w:eastAsia="Calibri"/>
        </w:rPr>
        <w:t>flow during and immediately after rainfall events. Key watercourses include Spring, Arcadia</w:t>
      </w:r>
      <w:r w:rsidR="005D2473" w:rsidRPr="0520A47F">
        <w:rPr>
          <w:rFonts w:eastAsia="Calibri"/>
        </w:rPr>
        <w:t>,</w:t>
      </w:r>
      <w:r w:rsidRPr="0520A47F">
        <w:rPr>
          <w:rFonts w:eastAsia="Calibri"/>
        </w:rPr>
        <w:t xml:space="preserve"> </w:t>
      </w:r>
      <w:proofErr w:type="gramStart"/>
      <w:r w:rsidRPr="0520A47F">
        <w:rPr>
          <w:rFonts w:eastAsia="Calibri"/>
        </w:rPr>
        <w:t>Station</w:t>
      </w:r>
      <w:proofErr w:type="gramEnd"/>
      <w:r w:rsidRPr="0520A47F">
        <w:rPr>
          <w:rFonts w:eastAsia="Calibri"/>
        </w:rPr>
        <w:t xml:space="preserve"> </w:t>
      </w:r>
      <w:r w:rsidR="005D2473" w:rsidRPr="0520A47F">
        <w:rPr>
          <w:rFonts w:eastAsia="Calibri"/>
        </w:rPr>
        <w:t>and Ironbark creeks</w:t>
      </w:r>
      <w:r w:rsidRPr="0520A47F">
        <w:rPr>
          <w:rFonts w:eastAsia="Calibri"/>
        </w:rPr>
        <w:t xml:space="preserve">. These merge to join the Brown River which subsequently becomes the Comet River. </w:t>
      </w:r>
    </w:p>
    <w:p w14:paraId="2273F00D" w14:textId="3B0F53CF" w:rsidR="00932F28" w:rsidRPr="00127183" w:rsidRDefault="00932F28" w:rsidP="0520A47F">
      <w:pPr>
        <w:autoSpaceDE/>
        <w:autoSpaceDN/>
        <w:adjustRightInd/>
        <w:rPr>
          <w:rFonts w:eastAsia="Calibri"/>
        </w:rPr>
      </w:pPr>
      <w:r w:rsidRPr="0520A47F">
        <w:rPr>
          <w:rFonts w:eastAsia="Calibri"/>
        </w:rPr>
        <w:t xml:space="preserve">The project area includes lacustrine, </w:t>
      </w:r>
      <w:proofErr w:type="gramStart"/>
      <w:r w:rsidRPr="0520A47F">
        <w:rPr>
          <w:rFonts w:eastAsia="Calibri"/>
        </w:rPr>
        <w:t>riverine</w:t>
      </w:r>
      <w:proofErr w:type="gramEnd"/>
      <w:r w:rsidRPr="0520A47F">
        <w:rPr>
          <w:rFonts w:eastAsia="Calibri"/>
        </w:rPr>
        <w:t xml:space="preserve"> and minor palustrine wetlands</w:t>
      </w:r>
      <w:r w:rsidR="00AB4BCB" w:rsidRPr="0520A47F">
        <w:rPr>
          <w:rFonts w:eastAsia="Calibri"/>
        </w:rPr>
        <w:t>. The constructed wetland in the project area’s northeast</w:t>
      </w:r>
      <w:r w:rsidR="00A07207" w:rsidRPr="0520A47F">
        <w:rPr>
          <w:rFonts w:eastAsia="Calibri"/>
        </w:rPr>
        <w:t xml:space="preserve"> is </w:t>
      </w:r>
      <w:r w:rsidR="003B3FD9" w:rsidRPr="0520A47F">
        <w:rPr>
          <w:rFonts w:eastAsia="Calibri"/>
        </w:rPr>
        <w:t>locally important as</w:t>
      </w:r>
      <w:r w:rsidR="000D4DF0" w:rsidRPr="0520A47F">
        <w:rPr>
          <w:rFonts w:eastAsia="Calibri"/>
        </w:rPr>
        <w:t xml:space="preserve"> it is</w:t>
      </w:r>
      <w:r w:rsidR="003B3FD9" w:rsidRPr="0520A47F">
        <w:rPr>
          <w:rFonts w:eastAsia="Calibri"/>
        </w:rPr>
        <w:t xml:space="preserve"> one of the </w:t>
      </w:r>
      <w:r w:rsidR="00947684" w:rsidRPr="0520A47F">
        <w:rPr>
          <w:rFonts w:eastAsia="Calibri"/>
        </w:rPr>
        <w:t xml:space="preserve">Arcadia Valley’s </w:t>
      </w:r>
      <w:r w:rsidR="00012BD7" w:rsidRPr="0520A47F">
        <w:rPr>
          <w:rFonts w:eastAsia="Calibri"/>
        </w:rPr>
        <w:t xml:space="preserve">largest and </w:t>
      </w:r>
      <w:r w:rsidR="00947684" w:rsidRPr="0520A47F">
        <w:rPr>
          <w:rFonts w:eastAsia="Calibri"/>
        </w:rPr>
        <w:t xml:space="preserve">best quality </w:t>
      </w:r>
      <w:r w:rsidR="00516AE6" w:rsidRPr="0520A47F">
        <w:rPr>
          <w:rFonts w:eastAsia="Calibri"/>
        </w:rPr>
        <w:t>wetlands</w:t>
      </w:r>
      <w:r w:rsidR="00947684" w:rsidRPr="0520A47F">
        <w:rPr>
          <w:rFonts w:eastAsia="Calibri"/>
        </w:rPr>
        <w:t>. It</w:t>
      </w:r>
      <w:r w:rsidR="00A07207" w:rsidRPr="0520A47F">
        <w:rPr>
          <w:rFonts w:eastAsia="Calibri"/>
        </w:rPr>
        <w:t xml:space="preserve"> expands and contracts seasonally</w:t>
      </w:r>
      <w:r w:rsidR="002454A8">
        <w:rPr>
          <w:rFonts w:eastAsia="Calibri"/>
        </w:rPr>
        <w:t xml:space="preserve"> and</w:t>
      </w:r>
      <w:r w:rsidR="00592DC2" w:rsidRPr="0520A47F">
        <w:rPr>
          <w:rFonts w:eastAsia="Calibri"/>
        </w:rPr>
        <w:t xml:space="preserve"> contains </w:t>
      </w:r>
      <w:r w:rsidR="00516AE6" w:rsidRPr="0520A47F">
        <w:rPr>
          <w:rFonts w:eastAsia="Calibri"/>
        </w:rPr>
        <w:t xml:space="preserve">aquatic vegetation and </w:t>
      </w:r>
      <w:r w:rsidR="38BF9AEA" w:rsidRPr="0520A47F">
        <w:rPr>
          <w:rFonts w:eastAsia="Arial"/>
        </w:rPr>
        <w:t xml:space="preserve">diverse </w:t>
      </w:r>
      <w:r w:rsidR="00516AE6" w:rsidRPr="0520A47F">
        <w:rPr>
          <w:rFonts w:eastAsia="Calibri"/>
        </w:rPr>
        <w:t>microhabitats</w:t>
      </w:r>
      <w:r w:rsidR="00A47FF5">
        <w:rPr>
          <w:rFonts w:eastAsia="Calibri"/>
        </w:rPr>
        <w:t xml:space="preserve"> </w:t>
      </w:r>
      <w:r w:rsidR="00516AE6" w:rsidRPr="0520A47F">
        <w:rPr>
          <w:rFonts w:eastAsia="Calibri"/>
        </w:rPr>
        <w:t>relative to surrounding dams</w:t>
      </w:r>
      <w:r w:rsidR="008B0F82">
        <w:rPr>
          <w:rFonts w:eastAsia="Calibri"/>
        </w:rPr>
        <w:t xml:space="preserve"> </w:t>
      </w:r>
      <w:r w:rsidR="005436BC">
        <w:rPr>
          <w:rFonts w:eastAsia="Calibri"/>
        </w:rPr>
        <w:t>(</w:t>
      </w:r>
      <w:r w:rsidR="008B0F82">
        <w:rPr>
          <w:rFonts w:eastAsia="Calibri"/>
        </w:rPr>
        <w:t xml:space="preserve">AECOM 2021, p. </w:t>
      </w:r>
      <w:r w:rsidR="005436BC">
        <w:rPr>
          <w:rFonts w:eastAsia="Calibri"/>
        </w:rPr>
        <w:t>67)</w:t>
      </w:r>
      <w:r w:rsidR="00516AE6" w:rsidRPr="0520A47F">
        <w:rPr>
          <w:rFonts w:eastAsia="Calibri"/>
        </w:rPr>
        <w:t>.</w:t>
      </w:r>
      <w:r w:rsidR="00AB4BCB" w:rsidRPr="0520A47F">
        <w:rPr>
          <w:rFonts w:eastAsia="Calibri"/>
        </w:rPr>
        <w:t xml:space="preserve"> </w:t>
      </w:r>
      <w:r w:rsidR="00787393" w:rsidRPr="0520A47F">
        <w:rPr>
          <w:rFonts w:eastAsia="Calibri"/>
        </w:rPr>
        <w:t>The wetland supports</w:t>
      </w:r>
      <w:r w:rsidR="00592DC2" w:rsidRPr="0520A47F">
        <w:rPr>
          <w:rFonts w:eastAsia="Calibri"/>
        </w:rPr>
        <w:t xml:space="preserve"> substantial riparian vegetation, particularly on the eastern side</w:t>
      </w:r>
      <w:r w:rsidR="000D4DF0" w:rsidRPr="0520A47F">
        <w:rPr>
          <w:rFonts w:eastAsia="Calibri"/>
        </w:rPr>
        <w:t>,</w:t>
      </w:r>
      <w:r w:rsidR="00592DC2" w:rsidRPr="0520A47F">
        <w:rPr>
          <w:rFonts w:eastAsia="Calibri"/>
        </w:rPr>
        <w:t xml:space="preserve"> </w:t>
      </w:r>
      <w:r w:rsidR="00947684" w:rsidRPr="0520A47F">
        <w:rPr>
          <w:rFonts w:eastAsia="Calibri"/>
        </w:rPr>
        <w:t xml:space="preserve">which is likely to provide refugia, breeding and </w:t>
      </w:r>
      <w:r w:rsidR="32DD36A8" w:rsidRPr="0520A47F">
        <w:rPr>
          <w:rFonts w:eastAsia="Calibri"/>
        </w:rPr>
        <w:t>foraging</w:t>
      </w:r>
      <w:r w:rsidR="00947684" w:rsidRPr="0520A47F">
        <w:rPr>
          <w:rFonts w:eastAsia="Calibri"/>
        </w:rPr>
        <w:t xml:space="preserve"> habitat for native fauna</w:t>
      </w:r>
      <w:r w:rsidR="00592DC2" w:rsidRPr="0520A47F">
        <w:rPr>
          <w:rFonts w:eastAsia="Calibri"/>
        </w:rPr>
        <w:t xml:space="preserve">. </w:t>
      </w:r>
      <w:r w:rsidR="00AB4BCB" w:rsidRPr="0520A47F">
        <w:rPr>
          <w:rFonts w:eastAsia="Calibri"/>
        </w:rPr>
        <w:t xml:space="preserve">The </w:t>
      </w:r>
      <w:r w:rsidRPr="0520A47F">
        <w:rPr>
          <w:rFonts w:eastAsia="Calibri"/>
        </w:rPr>
        <w:t>nearest</w:t>
      </w:r>
      <w:r w:rsidR="00AB4BCB" w:rsidRPr="0520A47F">
        <w:rPr>
          <w:rFonts w:eastAsia="Calibri"/>
        </w:rPr>
        <w:t xml:space="preserve"> natural</w:t>
      </w:r>
      <w:r w:rsidRPr="0520A47F">
        <w:rPr>
          <w:rFonts w:eastAsia="Calibri"/>
        </w:rPr>
        <w:t xml:space="preserve"> wetland, Lake </w:t>
      </w:r>
      <w:proofErr w:type="spellStart"/>
      <w:r w:rsidRPr="0520A47F">
        <w:rPr>
          <w:rFonts w:eastAsia="Calibri"/>
        </w:rPr>
        <w:t>Nuga</w:t>
      </w:r>
      <w:proofErr w:type="spellEnd"/>
      <w:r w:rsidRPr="0520A47F">
        <w:rPr>
          <w:rFonts w:eastAsia="Calibri"/>
        </w:rPr>
        <w:t xml:space="preserve"> </w:t>
      </w:r>
      <w:proofErr w:type="spellStart"/>
      <w:r w:rsidRPr="0520A47F">
        <w:rPr>
          <w:rFonts w:eastAsia="Calibri"/>
        </w:rPr>
        <w:t>Nuga</w:t>
      </w:r>
      <w:proofErr w:type="spellEnd"/>
      <w:r w:rsidRPr="0520A47F">
        <w:rPr>
          <w:rFonts w:eastAsia="Calibri"/>
        </w:rPr>
        <w:t xml:space="preserve">, </w:t>
      </w:r>
      <w:r w:rsidR="122FA941" w:rsidRPr="0520A47F">
        <w:rPr>
          <w:rFonts w:eastAsia="Calibri"/>
        </w:rPr>
        <w:t xml:space="preserve">is </w:t>
      </w:r>
      <w:r w:rsidRPr="0520A47F">
        <w:rPr>
          <w:rFonts w:eastAsia="Calibri"/>
        </w:rPr>
        <w:t xml:space="preserve">an inland intermittent freshwater lake/floodplain approximately 25 km north of the project area. The nearest spring complex is approximately 6 km northwest of the proposed project. </w:t>
      </w:r>
    </w:p>
    <w:p w14:paraId="5F4865DA" w14:textId="73DFDF78" w:rsidR="00932F28" w:rsidRPr="00127183" w:rsidRDefault="00E4658E" w:rsidP="0520A47F">
      <w:pPr>
        <w:autoSpaceDE/>
        <w:autoSpaceDN/>
        <w:adjustRightInd/>
        <w:rPr>
          <w:rFonts w:eastAsia="Calibri"/>
        </w:rPr>
      </w:pPr>
      <w:r w:rsidRPr="3C5BAC0E">
        <w:rPr>
          <w:rFonts w:eastAsia="Calibri"/>
        </w:rPr>
        <w:t xml:space="preserve">Riparian vegetation is associated with wetlands and ephemeral creeks and may provide habitat for </w:t>
      </w:r>
      <w:r w:rsidRPr="3C5BAC0E">
        <w:rPr>
          <w:rFonts w:eastAsia="Arial"/>
        </w:rPr>
        <w:t xml:space="preserve">a number of species listed by the Environment Protection and Biodiversity Conservation (EPBC) Act (1999): </w:t>
      </w:r>
      <w:r w:rsidRPr="3C5BAC0E">
        <w:rPr>
          <w:rFonts w:eastAsia="Calibri"/>
        </w:rPr>
        <w:t xml:space="preserve">adorned </w:t>
      </w:r>
      <w:proofErr w:type="spellStart"/>
      <w:r w:rsidRPr="3C5BAC0E">
        <w:rPr>
          <w:rFonts w:eastAsia="Calibri"/>
        </w:rPr>
        <w:t>delma</w:t>
      </w:r>
      <w:proofErr w:type="spellEnd"/>
      <w:r w:rsidRPr="3C5BAC0E">
        <w:rPr>
          <w:rFonts w:eastAsia="Calibri"/>
        </w:rPr>
        <w:t xml:space="preserve"> (</w:t>
      </w:r>
      <w:r w:rsidRPr="3C5BAC0E">
        <w:rPr>
          <w:rFonts w:eastAsia="Calibri"/>
          <w:i/>
          <w:iCs/>
        </w:rPr>
        <w:t xml:space="preserve">Delma </w:t>
      </w:r>
      <w:proofErr w:type="spellStart"/>
      <w:r w:rsidRPr="3C5BAC0E">
        <w:rPr>
          <w:rFonts w:eastAsia="Calibri"/>
          <w:i/>
          <w:iCs/>
        </w:rPr>
        <w:t>torquata</w:t>
      </w:r>
      <w:proofErr w:type="spellEnd"/>
      <w:r w:rsidRPr="3C5BAC0E">
        <w:rPr>
          <w:rFonts w:eastAsia="Calibri"/>
        </w:rPr>
        <w:t>), yakka skink (</w:t>
      </w:r>
      <w:proofErr w:type="spellStart"/>
      <w:r w:rsidRPr="3C5BAC0E">
        <w:rPr>
          <w:rFonts w:eastAsia="Calibri"/>
          <w:i/>
          <w:iCs/>
        </w:rPr>
        <w:t>Egernia</w:t>
      </w:r>
      <w:proofErr w:type="spellEnd"/>
      <w:r w:rsidRPr="3C5BAC0E">
        <w:rPr>
          <w:rFonts w:eastAsia="Calibri"/>
          <w:i/>
          <w:iCs/>
        </w:rPr>
        <w:t xml:space="preserve"> rugosa</w:t>
      </w:r>
      <w:r w:rsidRPr="3C5BAC0E">
        <w:rPr>
          <w:rFonts w:eastAsia="Calibri"/>
        </w:rPr>
        <w:t xml:space="preserve">), </w:t>
      </w:r>
      <w:proofErr w:type="spellStart"/>
      <w:r w:rsidRPr="3C5BAC0E">
        <w:rPr>
          <w:rFonts w:eastAsia="Calibri"/>
        </w:rPr>
        <w:t>Dunmall's</w:t>
      </w:r>
      <w:proofErr w:type="spellEnd"/>
      <w:r w:rsidRPr="3C5BAC0E">
        <w:rPr>
          <w:rFonts w:eastAsia="Calibri"/>
        </w:rPr>
        <w:t xml:space="preserve"> snake (</w:t>
      </w:r>
      <w:proofErr w:type="spellStart"/>
      <w:r w:rsidRPr="3C5BAC0E">
        <w:rPr>
          <w:rFonts w:eastAsia="Calibri"/>
          <w:i/>
          <w:iCs/>
        </w:rPr>
        <w:t>Furina</w:t>
      </w:r>
      <w:proofErr w:type="spellEnd"/>
      <w:r w:rsidRPr="3C5BAC0E">
        <w:rPr>
          <w:rFonts w:eastAsia="Calibri"/>
          <w:i/>
          <w:iCs/>
        </w:rPr>
        <w:t xml:space="preserve"> </w:t>
      </w:r>
      <w:proofErr w:type="spellStart"/>
      <w:r w:rsidRPr="3C5BAC0E">
        <w:rPr>
          <w:rFonts w:eastAsia="Calibri"/>
          <w:i/>
          <w:iCs/>
        </w:rPr>
        <w:t>dunmalli</w:t>
      </w:r>
      <w:proofErr w:type="spellEnd"/>
      <w:r w:rsidRPr="3C5BAC0E">
        <w:rPr>
          <w:rFonts w:eastAsia="Calibri"/>
        </w:rPr>
        <w:t>), large-eared pied bat (</w:t>
      </w:r>
      <w:proofErr w:type="spellStart"/>
      <w:r w:rsidRPr="3C5BAC0E">
        <w:rPr>
          <w:rFonts w:eastAsia="Calibri"/>
          <w:i/>
          <w:iCs/>
        </w:rPr>
        <w:t>Chalinolobus</w:t>
      </w:r>
      <w:proofErr w:type="spellEnd"/>
      <w:r w:rsidRPr="3C5BAC0E">
        <w:rPr>
          <w:rFonts w:eastAsia="Calibri"/>
          <w:i/>
          <w:iCs/>
        </w:rPr>
        <w:t xml:space="preserve"> </w:t>
      </w:r>
      <w:proofErr w:type="spellStart"/>
      <w:r w:rsidRPr="3C5BAC0E">
        <w:rPr>
          <w:rFonts w:eastAsia="Calibri"/>
          <w:i/>
          <w:iCs/>
        </w:rPr>
        <w:t>dwyeri</w:t>
      </w:r>
      <w:proofErr w:type="spellEnd"/>
      <w:r w:rsidRPr="3C5BAC0E">
        <w:rPr>
          <w:rFonts w:eastAsia="Calibri"/>
        </w:rPr>
        <w:t>), south-eastern long-eared bat (</w:t>
      </w:r>
      <w:proofErr w:type="spellStart"/>
      <w:r w:rsidRPr="3C5BAC0E">
        <w:rPr>
          <w:rFonts w:eastAsia="Calibri"/>
          <w:i/>
          <w:iCs/>
        </w:rPr>
        <w:t>Nyctophilus</w:t>
      </w:r>
      <w:proofErr w:type="spellEnd"/>
      <w:r w:rsidRPr="3C5BAC0E">
        <w:rPr>
          <w:rFonts w:eastAsia="Calibri"/>
          <w:i/>
          <w:iCs/>
        </w:rPr>
        <w:t xml:space="preserve"> </w:t>
      </w:r>
      <w:proofErr w:type="spellStart"/>
      <w:r w:rsidRPr="3C5BAC0E">
        <w:rPr>
          <w:rFonts w:eastAsia="Calibri"/>
          <w:i/>
          <w:iCs/>
        </w:rPr>
        <w:t>corbeni</w:t>
      </w:r>
      <w:proofErr w:type="spellEnd"/>
      <w:r w:rsidRPr="3C5BAC0E">
        <w:rPr>
          <w:rFonts w:eastAsia="Calibri"/>
        </w:rPr>
        <w:t>), koala (</w:t>
      </w:r>
      <w:r w:rsidRPr="3C5BAC0E">
        <w:rPr>
          <w:rFonts w:eastAsia="Calibri"/>
          <w:i/>
          <w:iCs/>
        </w:rPr>
        <w:t>Phascolarctos cinereus</w:t>
      </w:r>
      <w:r w:rsidRPr="3C5BAC0E">
        <w:rPr>
          <w:rFonts w:eastAsia="Calibri"/>
        </w:rPr>
        <w:t>), northern quoll (</w:t>
      </w:r>
      <w:proofErr w:type="spellStart"/>
      <w:r w:rsidRPr="3C5BAC0E">
        <w:rPr>
          <w:rFonts w:eastAsia="Calibri"/>
          <w:i/>
          <w:iCs/>
        </w:rPr>
        <w:t>Dasyurus</w:t>
      </w:r>
      <w:proofErr w:type="spellEnd"/>
      <w:r w:rsidRPr="3C5BAC0E">
        <w:rPr>
          <w:rFonts w:eastAsia="Calibri"/>
          <w:i/>
          <w:iCs/>
        </w:rPr>
        <w:t xml:space="preserve"> </w:t>
      </w:r>
      <w:proofErr w:type="spellStart"/>
      <w:r w:rsidRPr="3C5BAC0E">
        <w:rPr>
          <w:rFonts w:eastAsia="Calibri"/>
          <w:i/>
          <w:iCs/>
        </w:rPr>
        <w:t>hallucatus</w:t>
      </w:r>
      <w:proofErr w:type="spellEnd"/>
      <w:r w:rsidRPr="3C5BAC0E">
        <w:rPr>
          <w:rFonts w:eastAsia="Calibri"/>
        </w:rPr>
        <w:t>), greater glider (</w:t>
      </w:r>
      <w:proofErr w:type="spellStart"/>
      <w:r w:rsidRPr="3C5BAC0E">
        <w:rPr>
          <w:rFonts w:eastAsia="Calibri"/>
          <w:i/>
          <w:iCs/>
        </w:rPr>
        <w:t>Petauroides</w:t>
      </w:r>
      <w:proofErr w:type="spellEnd"/>
      <w:r w:rsidRPr="3C5BAC0E">
        <w:rPr>
          <w:rFonts w:eastAsia="Calibri"/>
          <w:i/>
          <w:iCs/>
        </w:rPr>
        <w:t xml:space="preserve"> </w:t>
      </w:r>
      <w:proofErr w:type="spellStart"/>
      <w:r w:rsidRPr="3C5BAC0E">
        <w:rPr>
          <w:rFonts w:eastAsia="Calibri"/>
          <w:i/>
          <w:iCs/>
        </w:rPr>
        <w:t>volans</w:t>
      </w:r>
      <w:proofErr w:type="spellEnd"/>
      <w:r w:rsidRPr="3C5BAC0E">
        <w:rPr>
          <w:rFonts w:eastAsia="Calibri"/>
        </w:rPr>
        <w:t>), red goshawk (</w:t>
      </w:r>
      <w:proofErr w:type="spellStart"/>
      <w:r w:rsidRPr="3C5BAC0E">
        <w:rPr>
          <w:rFonts w:eastAsia="Calibri"/>
          <w:i/>
          <w:iCs/>
        </w:rPr>
        <w:t>Erythrotriorchis</w:t>
      </w:r>
      <w:proofErr w:type="spellEnd"/>
      <w:r w:rsidRPr="3C5BAC0E">
        <w:rPr>
          <w:rFonts w:eastAsia="Calibri"/>
          <w:i/>
          <w:iCs/>
        </w:rPr>
        <w:t xml:space="preserve"> radiatus</w:t>
      </w:r>
      <w:r w:rsidRPr="3C5BAC0E">
        <w:rPr>
          <w:rFonts w:eastAsia="Calibri"/>
        </w:rPr>
        <w:t>), grey falcon (</w:t>
      </w:r>
      <w:r w:rsidRPr="3C5BAC0E">
        <w:rPr>
          <w:rFonts w:eastAsia="Calibri"/>
          <w:i/>
          <w:iCs/>
        </w:rPr>
        <w:t xml:space="preserve">Falco </w:t>
      </w:r>
      <w:proofErr w:type="spellStart"/>
      <w:r w:rsidRPr="3C5BAC0E">
        <w:rPr>
          <w:rFonts w:eastAsia="Calibri"/>
          <w:i/>
          <w:iCs/>
        </w:rPr>
        <w:t>hypoleucos</w:t>
      </w:r>
      <w:proofErr w:type="spellEnd"/>
      <w:r w:rsidRPr="3C5BAC0E">
        <w:rPr>
          <w:rFonts w:eastAsia="Calibri"/>
        </w:rPr>
        <w:t>), squatter pigeon (southern) (</w:t>
      </w:r>
      <w:proofErr w:type="spellStart"/>
      <w:r w:rsidRPr="3C5BAC0E">
        <w:rPr>
          <w:rFonts w:eastAsia="Calibri"/>
          <w:i/>
          <w:iCs/>
        </w:rPr>
        <w:t>Geophaps</w:t>
      </w:r>
      <w:proofErr w:type="spellEnd"/>
      <w:r w:rsidRPr="3C5BAC0E">
        <w:rPr>
          <w:rFonts w:eastAsia="Calibri"/>
          <w:i/>
          <w:iCs/>
        </w:rPr>
        <w:t xml:space="preserve"> scripta scripta</w:t>
      </w:r>
      <w:r w:rsidRPr="3C5BAC0E">
        <w:rPr>
          <w:rFonts w:eastAsia="Calibri"/>
        </w:rPr>
        <w:t>), rufous fantail (</w:t>
      </w:r>
      <w:proofErr w:type="spellStart"/>
      <w:r w:rsidRPr="3C5BAC0E">
        <w:rPr>
          <w:rFonts w:eastAsia="Calibri"/>
          <w:i/>
          <w:iCs/>
        </w:rPr>
        <w:t>Rhipidura</w:t>
      </w:r>
      <w:proofErr w:type="spellEnd"/>
      <w:r w:rsidRPr="3C5BAC0E">
        <w:rPr>
          <w:rFonts w:eastAsia="Calibri"/>
          <w:i/>
          <w:iCs/>
        </w:rPr>
        <w:t xml:space="preserve"> </w:t>
      </w:r>
      <w:proofErr w:type="spellStart"/>
      <w:r w:rsidRPr="3C5BAC0E">
        <w:rPr>
          <w:rFonts w:eastAsia="Calibri"/>
          <w:i/>
          <w:iCs/>
        </w:rPr>
        <w:t>rufifrons</w:t>
      </w:r>
      <w:proofErr w:type="spellEnd"/>
      <w:r w:rsidRPr="3C5BAC0E">
        <w:rPr>
          <w:rFonts w:eastAsia="Calibri"/>
        </w:rPr>
        <w:t>) and painted honeyeater (</w:t>
      </w:r>
      <w:proofErr w:type="spellStart"/>
      <w:r w:rsidRPr="3C5BAC0E">
        <w:rPr>
          <w:rFonts w:eastAsia="Calibri"/>
          <w:i/>
          <w:iCs/>
        </w:rPr>
        <w:t>Grantiella</w:t>
      </w:r>
      <w:proofErr w:type="spellEnd"/>
      <w:r w:rsidRPr="3C5BAC0E">
        <w:rPr>
          <w:rFonts w:eastAsia="Calibri"/>
          <w:i/>
          <w:iCs/>
        </w:rPr>
        <w:t xml:space="preserve"> </w:t>
      </w:r>
      <w:proofErr w:type="spellStart"/>
      <w:r w:rsidRPr="3C5BAC0E">
        <w:rPr>
          <w:rFonts w:eastAsia="Calibri"/>
          <w:i/>
          <w:iCs/>
        </w:rPr>
        <w:t>picta</w:t>
      </w:r>
      <w:proofErr w:type="spellEnd"/>
      <w:r w:rsidRPr="3C5BAC0E">
        <w:rPr>
          <w:rFonts w:eastAsia="Calibri"/>
        </w:rPr>
        <w:t>).</w:t>
      </w:r>
      <w:r w:rsidR="000B16B2" w:rsidRPr="000B16B2">
        <w:rPr>
          <w:rFonts w:eastAsia="Calibri"/>
        </w:rPr>
        <w:t xml:space="preserve"> </w:t>
      </w:r>
      <w:r w:rsidR="000B16B2" w:rsidRPr="3C5BAC0E">
        <w:rPr>
          <w:rFonts w:eastAsia="Calibri"/>
        </w:rPr>
        <w:t xml:space="preserve">Two National Parks (NP) occur within 20 km of the project area: Expedition NP to the east and south and Carnarvon NP to the northeast. </w:t>
      </w:r>
      <w:proofErr w:type="spellStart"/>
      <w:r w:rsidR="000B16B2" w:rsidRPr="3C5BAC0E">
        <w:rPr>
          <w:rFonts w:eastAsia="Calibri"/>
        </w:rPr>
        <w:t>Boxvale</w:t>
      </w:r>
      <w:proofErr w:type="spellEnd"/>
      <w:r w:rsidR="000B16B2" w:rsidRPr="3C5BAC0E">
        <w:rPr>
          <w:rFonts w:eastAsia="Calibri"/>
        </w:rPr>
        <w:t xml:space="preserve"> State Forest lies to the west. Riparian corridors in the project area may provide habitat connectivity between these more vegetated areas.</w:t>
      </w:r>
    </w:p>
    <w:p w14:paraId="5C24ED44" w14:textId="1C3DA52D" w:rsidR="00932F28" w:rsidRPr="00BF21A7" w:rsidRDefault="00932F28" w:rsidP="00932F28">
      <w:pPr>
        <w:pStyle w:val="Heading3"/>
      </w:pPr>
      <w:r w:rsidRPr="00BF21A7">
        <w:t>Response to questions</w:t>
      </w:r>
    </w:p>
    <w:p w14:paraId="47EE8551" w14:textId="57DBA5DA" w:rsidR="00932F28" w:rsidRPr="00BF21A7" w:rsidRDefault="00932F28" w:rsidP="00DB13DB">
      <w:pPr>
        <w:pStyle w:val="Default"/>
        <w:spacing w:after="200" w:line="276" w:lineRule="auto"/>
      </w:pPr>
      <w:r w:rsidRPr="00BF21A7">
        <w:rPr>
          <w:rFonts w:ascii="Arial" w:eastAsia="Times New Roman" w:hAnsi="Arial" w:cs="Arial"/>
          <w:color w:val="auto"/>
          <w:sz w:val="20"/>
          <w:szCs w:val="20"/>
          <w:lang w:eastAsia="en-US"/>
        </w:rPr>
        <w:t>The IESC’s advice, in response to the requesting agency’s specific questions is provided below.</w:t>
      </w:r>
    </w:p>
    <w:p w14:paraId="247D402E" w14:textId="77777777" w:rsidR="00932F28" w:rsidRPr="00BF21A7" w:rsidRDefault="00932F28" w:rsidP="00932F28">
      <w:pPr>
        <w:pStyle w:val="Question"/>
        <w:shd w:val="clear" w:color="auto" w:fill="E7E6E6"/>
        <w:rPr>
          <w:lang w:eastAsia="en-AU"/>
        </w:rPr>
      </w:pPr>
      <w:r>
        <w:t xml:space="preserve">Question 1: Has the proponent provided sufficient documentation for the IESC to be confident that any risks to EPBC-listed springs and GDEs arising from the project are very low, </w:t>
      </w:r>
      <w:proofErr w:type="gramStart"/>
      <w:r>
        <w:t>low</w:t>
      </w:r>
      <w:proofErr w:type="gramEnd"/>
      <w:r>
        <w:t xml:space="preserve"> or moderate? </w:t>
      </w:r>
      <w:proofErr w:type="gramStart"/>
      <w:r>
        <w:t>In particular, does</w:t>
      </w:r>
      <w:proofErr w:type="gramEnd"/>
      <w:r>
        <w:t xml:space="preserve"> the IESC consider that the proponent has supplied sufficient evidence to be confident that the integrity of the </w:t>
      </w:r>
      <w:proofErr w:type="spellStart"/>
      <w:r>
        <w:t>Rewan</w:t>
      </w:r>
      <w:proofErr w:type="spellEnd"/>
      <w:r>
        <w:t xml:space="preserve"> Formation is sufficient to limit hydraulic connectivity between the Bandana Formation and overlying formations, thereby protecting the environmental values associated with these formations from drawdown-related impacts?</w:t>
      </w:r>
    </w:p>
    <w:p w14:paraId="60747BA0" w14:textId="7DFC6D85" w:rsidR="000309ED" w:rsidRPr="00020C5E" w:rsidRDefault="0045600C" w:rsidP="000309ED">
      <w:pPr>
        <w:pStyle w:val="ListNumber"/>
      </w:pPr>
      <w:r>
        <w:lastRenderedPageBreak/>
        <w:t xml:space="preserve">The documentation provided is not sufficient for the IESC to be confident that risks to EPBC Act-listed springs and GDEs fall in the very low – moderate category range. </w:t>
      </w:r>
      <w:r w:rsidR="00507EE3">
        <w:t>Furthermore, while</w:t>
      </w:r>
      <w:r w:rsidR="000309ED">
        <w:t xml:space="preserve"> the regional-scale OGIA model is appropriate for predicting potential cumulative impacts, it is inappropriate for assessing impacts at the local scale. Consequently, comprehensive assessment of the risk to EPBC Act-listed springs and other GDEs is not possible</w:t>
      </w:r>
      <w:r w:rsidR="00412D30">
        <w:t xml:space="preserve"> with the documentation provided and the available OGIA model</w:t>
      </w:r>
      <w:r w:rsidR="000309ED">
        <w:t>.</w:t>
      </w:r>
    </w:p>
    <w:p w14:paraId="0AE12F1E" w14:textId="2047D0E1" w:rsidR="0045600C" w:rsidRDefault="0045600C" w:rsidP="0045600C">
      <w:pPr>
        <w:pStyle w:val="ListNumber"/>
        <w:rPr>
          <w:rFonts w:eastAsia="Arial"/>
        </w:rPr>
      </w:pPr>
      <w:r w:rsidRPr="74550A2A">
        <w:rPr>
          <w:rFonts w:eastAsia="Arial"/>
        </w:rPr>
        <w:t>Project</w:t>
      </w:r>
      <w:r>
        <w:t xml:space="preserve">-specific hydraulic data (e.g., vertical hydraulic conductivity, anisotropy of hydraulic conductivity and </w:t>
      </w:r>
      <w:proofErr w:type="spellStart"/>
      <w:r>
        <w:t>storativity</w:t>
      </w:r>
      <w:proofErr w:type="spellEnd"/>
      <w:r>
        <w:t>) are required to confirm the proponent’s assumptions that the</w:t>
      </w:r>
      <w:r w:rsidRPr="74550A2A">
        <w:rPr>
          <w:rFonts w:eastAsia="Arial"/>
        </w:rPr>
        <w:t xml:space="preserve"> integrity of the </w:t>
      </w:r>
      <w:proofErr w:type="spellStart"/>
      <w:r w:rsidRPr="74550A2A">
        <w:rPr>
          <w:rFonts w:eastAsia="Arial"/>
        </w:rPr>
        <w:t>Rewan</w:t>
      </w:r>
      <w:proofErr w:type="spellEnd"/>
      <w:r w:rsidRPr="74550A2A">
        <w:rPr>
          <w:rFonts w:eastAsia="Arial"/>
        </w:rPr>
        <w:t xml:space="preserve"> Group is sufficient to limit hydraulic connectivity between the Bandanna Formation and overlying formations (i.e., is an aquitard) and will constrain </w:t>
      </w:r>
      <w:r>
        <w:t>downwards groundwater fluxes that may affect the water table</w:t>
      </w:r>
      <w:r w:rsidRPr="74550A2A">
        <w:rPr>
          <w:rFonts w:eastAsia="Arial"/>
        </w:rPr>
        <w:t>, thereby protecting the environmental values associated with these formations from drawdown-related impacts</w:t>
      </w:r>
      <w:r>
        <w:t xml:space="preserve">. For example, the current hydraulic parameter data provided by the proponent is derived from bores within 20 km of the project area; however, data from bores located inside the project </w:t>
      </w:r>
      <w:r w:rsidR="00F965A1">
        <w:t>area</w:t>
      </w:r>
      <w:r>
        <w:t xml:space="preserve"> do not appear to be available. The range of hydraulic conductivities provided for the </w:t>
      </w:r>
      <w:proofErr w:type="spellStart"/>
      <w:r>
        <w:t>Rewan</w:t>
      </w:r>
      <w:proofErr w:type="spellEnd"/>
      <w:r>
        <w:t xml:space="preserve"> Group varies by several orders of magnitude across only four tests</w:t>
      </w:r>
      <w:r w:rsidR="00136324">
        <w:t xml:space="preserve"> (</w:t>
      </w:r>
      <w:r w:rsidR="003C5F09">
        <w:t xml:space="preserve">KCB 2021, p. </w:t>
      </w:r>
      <w:r w:rsidR="00480B79">
        <w:t>71</w:t>
      </w:r>
      <w:r w:rsidR="00136324">
        <w:t>)</w:t>
      </w:r>
      <w:r>
        <w:t xml:space="preserve">, indicating local heterogeneity that may alter the aquitard characteristics of the </w:t>
      </w:r>
      <w:proofErr w:type="spellStart"/>
      <w:r>
        <w:t>Rewan</w:t>
      </w:r>
      <w:proofErr w:type="spellEnd"/>
      <w:r>
        <w:t xml:space="preserve"> Group in the project area. </w:t>
      </w:r>
    </w:p>
    <w:p w14:paraId="0BEC1128" w14:textId="21EFD050" w:rsidR="0045600C" w:rsidRPr="00BF21A7" w:rsidRDefault="0045600C" w:rsidP="0045600C">
      <w:pPr>
        <w:pStyle w:val="ListNumber"/>
      </w:pPr>
      <w:r>
        <w:t xml:space="preserve">The </w:t>
      </w:r>
      <w:r w:rsidR="00136324">
        <w:t xml:space="preserve">current </w:t>
      </w:r>
      <w:r>
        <w:t xml:space="preserve">OGIA model cannot reliably predict groundwater dynamics in Layer 1 which are crucial for predicting potential impacts on many water-dependent assets. Furthermore, the proponent has concluded that the regional groundwater system is hydraulically separated from alluvial groundwater, largely based on a single data point in the northeast of the project area, collected in 1969, showing that the water table in the </w:t>
      </w:r>
      <w:proofErr w:type="spellStart"/>
      <w:r>
        <w:t>Rewan</w:t>
      </w:r>
      <w:proofErr w:type="spellEnd"/>
      <w:r>
        <w:t xml:space="preserve"> Group was &gt;21 metres below ground level (</w:t>
      </w:r>
      <w:proofErr w:type="spellStart"/>
      <w:r>
        <w:t>mbgl</w:t>
      </w:r>
      <w:proofErr w:type="spellEnd"/>
      <w:r>
        <w:t xml:space="preserve">). Water table data from the surrounding region also highlight the considerable variation in water table depth and, therefore, data from one bore should not be relied upon to support this assumption. Additional site-specific water table data (including seasonal variation) and additional supporting evidence on the hydraulic separation between the regional system and alluvial groundwater are required. This information is important as it pertains directly to drawdown risks for GDEs that may be reliant on alluvial groundwater. </w:t>
      </w:r>
    </w:p>
    <w:p w14:paraId="0658D063" w14:textId="7F5ACD19" w:rsidR="00120CE7" w:rsidRDefault="00120CE7" w:rsidP="00120CE7">
      <w:pPr>
        <w:pStyle w:val="ListNumber"/>
      </w:pPr>
      <w:r>
        <w:t xml:space="preserve">A local-scale model underpinned by project-specific data will enable a more comprehensive assessment of the risks to water-dependent assets (e.g., terrestrial GDEs). Should this additional information and modelling indicate that the risk of drawdown impacting GDEs is high, then the work outlined in Paragraphs </w:t>
      </w:r>
      <w:r w:rsidR="00232D5F">
        <w:t>7</w:t>
      </w:r>
      <w:r>
        <w:t xml:space="preserve">, </w:t>
      </w:r>
      <w:r w:rsidR="00232D5F">
        <w:t>8</w:t>
      </w:r>
      <w:r>
        <w:t xml:space="preserve"> and </w:t>
      </w:r>
      <w:r w:rsidR="00232D5F">
        <w:t>9</w:t>
      </w:r>
      <w:r>
        <w:t xml:space="preserve"> needs to be conducted.</w:t>
      </w:r>
    </w:p>
    <w:p w14:paraId="5C634391" w14:textId="049FC631" w:rsidR="00120CE7" w:rsidRDefault="009038D2" w:rsidP="00411B09">
      <w:pPr>
        <w:pStyle w:val="ListNumber"/>
      </w:pPr>
      <w:r>
        <w:t>If t</w:t>
      </w:r>
      <w:r w:rsidR="003E32C1">
        <w:t xml:space="preserve">he assumption that the </w:t>
      </w:r>
      <w:proofErr w:type="spellStart"/>
      <w:r w:rsidR="003E32C1">
        <w:t>Rewan</w:t>
      </w:r>
      <w:proofErr w:type="spellEnd"/>
      <w:r w:rsidR="003E32C1">
        <w:t xml:space="preserve"> Group is a sufficient aquitard cannot be verified with the</w:t>
      </w:r>
      <w:r w:rsidR="00DA2E13">
        <w:t xml:space="preserve"> project-specific</w:t>
      </w:r>
      <w:r w:rsidR="003E32C1">
        <w:t xml:space="preserve"> </w:t>
      </w:r>
      <w:r w:rsidR="60F82DD2">
        <w:t xml:space="preserve">hydraulic </w:t>
      </w:r>
      <w:r w:rsidR="003E32C1">
        <w:t>data</w:t>
      </w:r>
      <w:r w:rsidR="001862A4">
        <w:t xml:space="preserve"> (Paragraph 2)</w:t>
      </w:r>
      <w:r w:rsidR="00766688">
        <w:t xml:space="preserve"> and appropriate </w:t>
      </w:r>
      <w:r w:rsidR="00116F05">
        <w:t xml:space="preserve">model </w:t>
      </w:r>
      <w:r w:rsidR="00766688">
        <w:t>uncertainty analysis</w:t>
      </w:r>
      <w:r w:rsidR="00DA2E13">
        <w:t>, then an update to the regional OGIA model is required</w:t>
      </w:r>
      <w:r w:rsidR="00C7146E">
        <w:t xml:space="preserve"> </w:t>
      </w:r>
      <w:r w:rsidR="00C0142D">
        <w:t>(to assess the project’s contribution to cumulative impacts)</w:t>
      </w:r>
      <w:r w:rsidR="00AE260A">
        <w:t>.</w:t>
      </w:r>
      <w:r w:rsidR="00411B09">
        <w:t xml:space="preserve"> Further, </w:t>
      </w:r>
      <w:r w:rsidR="005C42C2">
        <w:t>groundwate</w:t>
      </w:r>
      <w:r w:rsidR="0031252A">
        <w:t>r</w:t>
      </w:r>
      <w:r w:rsidR="009026F8">
        <w:t xml:space="preserve"> model</w:t>
      </w:r>
      <w:r w:rsidR="007D6874">
        <w:t>ling</w:t>
      </w:r>
      <w:r w:rsidR="009026F8">
        <w:t xml:space="preserve"> s</w:t>
      </w:r>
      <w:r w:rsidR="0009481E">
        <w:t>h</w:t>
      </w:r>
      <w:r w:rsidR="009026F8">
        <w:t xml:space="preserve">ould investigate the role of heterogeneity in the </w:t>
      </w:r>
      <w:proofErr w:type="spellStart"/>
      <w:r w:rsidR="003320D8">
        <w:t>Rewan</w:t>
      </w:r>
      <w:proofErr w:type="spellEnd"/>
      <w:r w:rsidR="003320D8">
        <w:t xml:space="preserve"> Group </w:t>
      </w:r>
      <w:r w:rsidR="009026F8">
        <w:t xml:space="preserve">aquitard and its control on </w:t>
      </w:r>
      <w:r w:rsidR="00746AC0">
        <w:t xml:space="preserve">limiting drawdown of the water table. </w:t>
      </w:r>
    </w:p>
    <w:p w14:paraId="418346B7" w14:textId="4CA4F418" w:rsidR="00932F28" w:rsidRPr="00BF21A7" w:rsidRDefault="00932F28" w:rsidP="3C5BAC0E">
      <w:pPr>
        <w:pStyle w:val="ListNumber"/>
        <w:rPr>
          <w:rFonts w:eastAsia="Arial"/>
        </w:rPr>
      </w:pPr>
      <w:r>
        <w:t xml:space="preserve">It is unclear whether construction of infrastructure (which will cover up to 10% of the tenure) and associated surface water abstractions may reduce recharge rates in aquifers within the project area via altered flow timings or volumes. </w:t>
      </w:r>
      <w:r w:rsidR="0EE1B0AC" w:rsidRPr="3C5BAC0E">
        <w:rPr>
          <w:rFonts w:eastAsia="Arial"/>
        </w:rPr>
        <w:t>Rates and spatial patterns of</w:t>
      </w:r>
      <w:r>
        <w:t xml:space="preserve"> recharge may be particularly important for GDEs associated with alluvial aquifers</w:t>
      </w:r>
      <w:r w:rsidR="00464FC2">
        <w:t xml:space="preserve">, with </w:t>
      </w:r>
      <w:r w:rsidR="00DD5C5C">
        <w:t>the degree of this reliance</w:t>
      </w:r>
      <w:r w:rsidR="00464FC2">
        <w:t xml:space="preserve"> </w:t>
      </w:r>
      <w:r w:rsidR="00907F21">
        <w:t>corresponding</w:t>
      </w:r>
      <w:r w:rsidR="00464FC2">
        <w:t xml:space="preserve"> with natural seasonal </w:t>
      </w:r>
      <w:r w:rsidR="00907F21">
        <w:t>and interannual fluctuations in recharge volumes</w:t>
      </w:r>
      <w:r w:rsidR="00464FC2">
        <w:t xml:space="preserve">. This </w:t>
      </w:r>
      <w:r w:rsidR="0B388043" w:rsidRPr="3C5BAC0E">
        <w:rPr>
          <w:rFonts w:eastAsia="Arial"/>
        </w:rPr>
        <w:t>may be especially relevant</w:t>
      </w:r>
      <w:r>
        <w:t xml:space="preserve"> in a system where alluvial groundwater is </w:t>
      </w:r>
      <w:r w:rsidR="00464FC2">
        <w:t xml:space="preserve">hydraulically separated </w:t>
      </w:r>
      <w:r>
        <w:t>from the regional water table. Reduced recharge may decrease groundwater availability for GDEs and cause similar material impacts to groundwater drawdown. The proponent has relied on recharge estimates from OGIA, which did not include alluvial data</w:t>
      </w:r>
      <w:r w:rsidR="000D23A1">
        <w:t xml:space="preserve"> (</w:t>
      </w:r>
      <w:r w:rsidR="008630D3">
        <w:t>KCB 2021, p. 74</w:t>
      </w:r>
      <w:r w:rsidR="000D23A1">
        <w:t>)</w:t>
      </w:r>
      <w:r>
        <w:t>. The proponent should assess recharge rates in the alluvium based on field data and discuss how the pro</w:t>
      </w:r>
      <w:r w:rsidR="7F6F8137">
        <w:t>ject</w:t>
      </w:r>
      <w:r>
        <w:t xml:space="preserve"> may impact recharge mechanisms (e.g.</w:t>
      </w:r>
      <w:r w:rsidR="71F814E1">
        <w:t>,</w:t>
      </w:r>
      <w:r>
        <w:t xml:space="preserve"> abstraction of surface water or altered</w:t>
      </w:r>
      <w:r w:rsidR="031CE828">
        <w:t xml:space="preserve"> </w:t>
      </w:r>
      <w:r w:rsidR="031CE828" w:rsidRPr="3C5BAC0E">
        <w:rPr>
          <w:rFonts w:eastAsia="Arial"/>
        </w:rPr>
        <w:t>surface runoff and</w:t>
      </w:r>
      <w:r>
        <w:t xml:space="preserve"> flow regimes due to associated infrastructure).</w:t>
      </w:r>
    </w:p>
    <w:p w14:paraId="3F5C82A8" w14:textId="7D29C32D" w:rsidR="00932F28" w:rsidRDefault="00932F28" w:rsidP="005D06CC">
      <w:pPr>
        <w:pStyle w:val="Question"/>
        <w:shd w:val="clear" w:color="auto" w:fill="E7E6E6"/>
      </w:pPr>
      <w:r w:rsidRPr="00BF21A7">
        <w:lastRenderedPageBreak/>
        <w:t>Question 2:</w:t>
      </w:r>
      <w:r w:rsidRPr="001E0A46">
        <w:t xml:space="preserve"> If the IESC is not confident in the above, what are the key potential impacts to matters of national environmental significance associated with the proposal and what additional work needs to be undertaken to quantify key risks?</w:t>
      </w:r>
    </w:p>
    <w:p w14:paraId="2672FD34" w14:textId="488183F2" w:rsidR="00932F28" w:rsidRDefault="00873503" w:rsidP="00932F28">
      <w:pPr>
        <w:pStyle w:val="ListNumber"/>
        <w:rPr>
          <w:rFonts w:eastAsia="Arial"/>
        </w:rPr>
      </w:pPr>
      <w:r>
        <w:t>Potentially r</w:t>
      </w:r>
      <w:r w:rsidR="00397488">
        <w:t xml:space="preserve">educed alluvial recharge and </w:t>
      </w:r>
      <w:r w:rsidR="00D0715D">
        <w:t xml:space="preserve">increased </w:t>
      </w:r>
      <w:r w:rsidR="00397488">
        <w:t xml:space="preserve">drawdown in the shallow aquifers may impact terrestrial GDEs via reduced </w:t>
      </w:r>
      <w:r w:rsidR="003F2CC1">
        <w:t>ground</w:t>
      </w:r>
      <w:r w:rsidR="00397488">
        <w:t xml:space="preserve">water availability to phreatic vegetation. </w:t>
      </w:r>
      <w:r w:rsidR="0BBCB265" w:rsidRPr="3C5BAC0E">
        <w:rPr>
          <w:rFonts w:eastAsia="Arial"/>
        </w:rPr>
        <w:t xml:space="preserve">If the </w:t>
      </w:r>
      <w:proofErr w:type="spellStart"/>
      <w:r w:rsidR="0BBCB265" w:rsidRPr="3C5BAC0E">
        <w:rPr>
          <w:rFonts w:eastAsia="Arial"/>
        </w:rPr>
        <w:t>Rewan</w:t>
      </w:r>
      <w:proofErr w:type="spellEnd"/>
      <w:r w:rsidR="0BBCB265" w:rsidRPr="3C5BAC0E">
        <w:rPr>
          <w:rFonts w:eastAsia="Arial"/>
        </w:rPr>
        <w:t xml:space="preserve"> Group is not an effective aquitard in the project area (see response to Question 1), drawdown in the Bandanna Formation may also cause downwards groundwater fluxes in formations overlying the </w:t>
      </w:r>
      <w:proofErr w:type="spellStart"/>
      <w:r w:rsidR="0BBCB265" w:rsidRPr="3C5BAC0E">
        <w:rPr>
          <w:rFonts w:eastAsia="Arial"/>
        </w:rPr>
        <w:t>Rewan</w:t>
      </w:r>
      <w:proofErr w:type="spellEnd"/>
      <w:r w:rsidR="004624E9">
        <w:rPr>
          <w:rFonts w:eastAsia="Arial"/>
        </w:rPr>
        <w:t xml:space="preserve"> Group</w:t>
      </w:r>
      <w:r w:rsidR="0BBCB265" w:rsidRPr="3C5BAC0E">
        <w:rPr>
          <w:rFonts w:eastAsia="Arial"/>
        </w:rPr>
        <w:t>, including the alluvium.</w:t>
      </w:r>
      <w:r w:rsidR="0BBCB265">
        <w:t xml:space="preserve"> </w:t>
      </w:r>
      <w:r w:rsidR="00932F28">
        <w:t xml:space="preserve">To better understand risks </w:t>
      </w:r>
      <w:r w:rsidR="7FD1A379" w:rsidRPr="3C5BAC0E">
        <w:rPr>
          <w:rFonts w:eastAsia="Arial"/>
        </w:rPr>
        <w:t xml:space="preserve">of a lowered water table </w:t>
      </w:r>
      <w:r w:rsidR="00932F28">
        <w:t>to terrestrial GDEs, including possibl</w:t>
      </w:r>
      <w:r w:rsidR="5D938220">
        <w:t>e</w:t>
      </w:r>
      <w:r w:rsidR="00932F28">
        <w:t xml:space="preserve"> groundwater-dependent TECs, the proponent should conduct field-based surveys in areas mapped as potential GDEs to identify the degree of groundwater</w:t>
      </w:r>
      <w:r w:rsidR="43FB0132">
        <w:t>-</w:t>
      </w:r>
      <w:r w:rsidR="00932F28">
        <w:t>dependence (if any)</w:t>
      </w:r>
      <w:r w:rsidR="003F2CC1">
        <w:t>,</w:t>
      </w:r>
      <w:r w:rsidR="00932F28">
        <w:t xml:space="preserve"> identify </w:t>
      </w:r>
      <w:r w:rsidR="1FE197BB">
        <w:t>likely</w:t>
      </w:r>
      <w:r w:rsidR="00932F28">
        <w:t xml:space="preserve"> source aquifers</w:t>
      </w:r>
      <w:r w:rsidR="003F2CC1">
        <w:t xml:space="preserve">, and map </w:t>
      </w:r>
      <w:r w:rsidR="78A10AE8">
        <w:t>GDE</w:t>
      </w:r>
      <w:r w:rsidR="003F2CC1">
        <w:t xml:space="preserve"> distribution in relation to the water table (including seasonal </w:t>
      </w:r>
      <w:r w:rsidR="74E0D6DD" w:rsidRPr="3C5BAC0E">
        <w:rPr>
          <w:rFonts w:eastAsia="Arial"/>
        </w:rPr>
        <w:t xml:space="preserve">and interannual </w:t>
      </w:r>
      <w:r w:rsidR="003F2CC1">
        <w:t>variations)</w:t>
      </w:r>
      <w:r w:rsidR="00932F28">
        <w:t xml:space="preserve">. </w:t>
      </w:r>
      <w:r w:rsidR="6143E2E7">
        <w:t>T</w:t>
      </w:r>
      <w:r w:rsidR="00932F28">
        <w:t xml:space="preserve">hese surveys </w:t>
      </w:r>
      <w:r w:rsidR="65C123FA">
        <w:t>c</w:t>
      </w:r>
      <w:r w:rsidR="00932F28">
        <w:t>ould follow the methods described in Doody et al. (2019</w:t>
      </w:r>
      <w:proofErr w:type="gramStart"/>
      <w:r w:rsidR="00932F28">
        <w:t>)</w:t>
      </w:r>
      <w:r w:rsidR="0A2B5B0D">
        <w:t>, and</w:t>
      </w:r>
      <w:proofErr w:type="gramEnd"/>
      <w:r w:rsidR="00932F28">
        <w:t xml:space="preserve"> will permit the risk of drawdown-related impacts to potential GDEs to be conceptualised </w:t>
      </w:r>
      <w:r w:rsidR="59DB886C" w:rsidRPr="3C5BAC0E">
        <w:rPr>
          <w:rFonts w:eastAsia="Arial"/>
        </w:rPr>
        <w:t xml:space="preserve">and assessed </w:t>
      </w:r>
      <w:r w:rsidR="00932F28">
        <w:t>more accurately</w:t>
      </w:r>
      <w:r w:rsidR="00016388">
        <w:t>, to better quantify the risks to these water-dependent assets</w:t>
      </w:r>
      <w:r w:rsidR="00932F28">
        <w:t xml:space="preserve">. </w:t>
      </w:r>
    </w:p>
    <w:p w14:paraId="175F0730" w14:textId="12B1AAD5" w:rsidR="00130B30" w:rsidRDefault="00130B30" w:rsidP="00130B30">
      <w:pPr>
        <w:pStyle w:val="ListNumber"/>
        <w:rPr>
          <w:rFonts w:ascii="Calibri" w:eastAsia="Calibri" w:hAnsi="Calibri" w:cs="Calibri"/>
          <w:lang w:eastAsia="en-GB"/>
        </w:rPr>
      </w:pPr>
      <w:r>
        <w:t>Stygofauna, if present, may be similarly affected by drawdown and reduced alluvial recharge. Stygofauna often facilitate useful ecosystem functions such as nutrient cycling (</w:t>
      </w:r>
      <w:proofErr w:type="spellStart"/>
      <w:r>
        <w:t>Saccò</w:t>
      </w:r>
      <w:proofErr w:type="spellEnd"/>
      <w:r>
        <w:t xml:space="preserve"> et al. 2019) and are likely to be present in shallow aquifers, particularly in the alluvium. However, the proponent has not conducted stygofauna sampling. As stygofauna diversity and abundance may decrease with drawdown, reduced recharge and/or altered groundwater quality, the proponent should sample stygofauna using methods described in Doody et al. (2019) and collect groundwater quality data to derive an appropriate baseline dataset against which to assess potential impacts </w:t>
      </w:r>
      <w:r w:rsidR="05D0622B" w:rsidRPr="3C5BAC0E">
        <w:rPr>
          <w:rFonts w:eastAsia="Arial"/>
        </w:rPr>
        <w:t xml:space="preserve">and </w:t>
      </w:r>
      <w:r w:rsidR="00624242">
        <w:rPr>
          <w:rFonts w:eastAsia="Arial"/>
        </w:rPr>
        <w:t xml:space="preserve">quantify </w:t>
      </w:r>
      <w:r w:rsidR="05D0622B" w:rsidRPr="3C5BAC0E">
        <w:rPr>
          <w:rFonts w:eastAsia="Arial"/>
        </w:rPr>
        <w:t xml:space="preserve">risks </w:t>
      </w:r>
      <w:r>
        <w:t>of the project. </w:t>
      </w:r>
    </w:p>
    <w:p w14:paraId="718DCE6D" w14:textId="65AF90D7" w:rsidR="00707774" w:rsidRPr="00704741" w:rsidRDefault="00707774" w:rsidP="0520A47F">
      <w:pPr>
        <w:pStyle w:val="ListNumber"/>
        <w:rPr>
          <w:rFonts w:eastAsia="Arial"/>
        </w:rPr>
      </w:pPr>
      <w:r>
        <w:t xml:space="preserve">The proponent provides a conceptual model of the hydrological and hydrogeological systems of the project area and surrounds, portrayed as a broad diagrammatic cross-section of the </w:t>
      </w:r>
      <w:r w:rsidR="005D48F8">
        <w:t>project are</w:t>
      </w:r>
      <w:r w:rsidR="00CC01A8">
        <w:t>a</w:t>
      </w:r>
      <w:r>
        <w:t xml:space="preserve"> and the underlying geological formations (Figure 7-30, KCB 2021, p. 102). However, this conceptual model does not illustrate the potential impact pathways,</w:t>
      </w:r>
      <w:r w:rsidR="00BC3C36">
        <w:t xml:space="preserve"> </w:t>
      </w:r>
      <w:r>
        <w:t>their associated risks and the likely modifying factors associated with the proposed development. The IE</w:t>
      </w:r>
      <w:r w:rsidR="004E47D2">
        <w:t>S</w:t>
      </w:r>
      <w:r>
        <w:t xml:space="preserve">C recommends that the proponent provides an ecohydrological conceptual model showing possible impact pathways and their potential environmental consequences, spatially georeferenced to a map of the project area and the current cross-sectional diagram. This would help communicate what and where impacts may occur during and after the project, </w:t>
      </w:r>
      <w:r w:rsidR="00C23771">
        <w:t xml:space="preserve">underpin a </w:t>
      </w:r>
      <w:r w:rsidR="00624242">
        <w:t xml:space="preserve">quantitative </w:t>
      </w:r>
      <w:r w:rsidR="00C23771">
        <w:t xml:space="preserve">risk assessment </w:t>
      </w:r>
      <w:r>
        <w:t>and could be used to guide selection and application of cost-effective monitoring and mitigation strategies. </w:t>
      </w:r>
    </w:p>
    <w:p w14:paraId="5EC793AE" w14:textId="2BAFA77E" w:rsidR="003E7445" w:rsidRDefault="003E7445" w:rsidP="003E7445">
      <w:pPr>
        <w:pStyle w:val="ListNumber"/>
        <w:rPr>
          <w:rFonts w:eastAsia="Arial"/>
        </w:rPr>
      </w:pPr>
      <w:r>
        <w:t>Linear infrastructure will cross ephemeral watercourses on-site. The information provided regarding the standard designs and risk assessments relating to this infrastructure does not adequately address the extent to which this infrastructure may impact flow</w:t>
      </w:r>
      <w:r w:rsidRPr="3C5BAC0E">
        <w:rPr>
          <w:rFonts w:eastAsia="Arial"/>
        </w:rPr>
        <w:t xml:space="preserve"> and sediment</w:t>
      </w:r>
      <w:r>
        <w:t xml:space="preserve"> regimes. Details of these designs should be provided together with a </w:t>
      </w:r>
      <w:r w:rsidR="00D47B19">
        <w:t xml:space="preserve">quantitative </w:t>
      </w:r>
      <w:r>
        <w:t xml:space="preserve">risk assessment. </w:t>
      </w:r>
    </w:p>
    <w:p w14:paraId="47F4EB8A" w14:textId="1FD6AA06" w:rsidR="003E7445" w:rsidRPr="00707774" w:rsidRDefault="003E7445" w:rsidP="003E7445">
      <w:pPr>
        <w:pStyle w:val="ListNumber"/>
        <w:rPr>
          <w:rFonts w:eastAsia="Arial"/>
        </w:rPr>
      </w:pPr>
      <w:r>
        <w:t xml:space="preserve">The IESC notes that the proponent intends to extract water from the constructed wetland for construction purposes, and that the monitoring of this extraction will be undertaken in liaison with landholders. </w:t>
      </w:r>
      <w:r w:rsidRPr="3C5BAC0E">
        <w:rPr>
          <w:rFonts w:eastAsia="Arial"/>
        </w:rPr>
        <w:t>There are insufficient details of this proposed monitoring for the IESC to be able to assess that the constructed wetland’s important habitat values will be fully protected</w:t>
      </w:r>
      <w:r w:rsidR="008334FA">
        <w:rPr>
          <w:rFonts w:eastAsia="Arial"/>
        </w:rPr>
        <w:t xml:space="preserve"> and that a quantitative risk assessment can be </w:t>
      </w:r>
      <w:r w:rsidR="00C611EE">
        <w:rPr>
          <w:rFonts w:eastAsia="Arial"/>
        </w:rPr>
        <w:t>done</w:t>
      </w:r>
      <w:r w:rsidRPr="3C5BAC0E">
        <w:rPr>
          <w:rFonts w:eastAsia="Arial"/>
        </w:rPr>
        <w:t xml:space="preserve">. The proponent should outline an appropriate monitoring approach, integrated with assessments of habitat quality and water regime (Paragraphs </w:t>
      </w:r>
      <w:r w:rsidR="00B13B5F">
        <w:rPr>
          <w:rFonts w:eastAsia="Arial"/>
        </w:rPr>
        <w:t xml:space="preserve">12 </w:t>
      </w:r>
      <w:r w:rsidRPr="3C5BAC0E">
        <w:rPr>
          <w:rFonts w:eastAsia="Arial"/>
        </w:rPr>
        <w:t xml:space="preserve">and </w:t>
      </w:r>
      <w:r w:rsidR="00B0188F">
        <w:rPr>
          <w:rFonts w:eastAsia="Arial"/>
        </w:rPr>
        <w:t>13</w:t>
      </w:r>
      <w:r w:rsidRPr="3C5BAC0E">
        <w:rPr>
          <w:rFonts w:eastAsia="Arial"/>
        </w:rPr>
        <w:t>), to ensure that the cumulative effects of water extraction do not compromise the ecohydrological requirements and aquatic values of this</w:t>
      </w:r>
      <w:r>
        <w:t xml:space="preserve"> wetland. </w:t>
      </w:r>
      <w:r w:rsidR="00F5544F">
        <w:t>The results of baseline data</w:t>
      </w:r>
      <w:r w:rsidR="002D20B4">
        <w:t xml:space="preserve"> and subsequent monitoring information can be used to </w:t>
      </w:r>
      <w:r w:rsidR="008334FA">
        <w:t>refine</w:t>
      </w:r>
      <w:r w:rsidR="002D20B4">
        <w:t xml:space="preserve"> </w:t>
      </w:r>
      <w:r w:rsidR="00C611EE">
        <w:t xml:space="preserve">the </w:t>
      </w:r>
      <w:r w:rsidR="002D20B4">
        <w:t xml:space="preserve">quantitative </w:t>
      </w:r>
      <w:proofErr w:type="spellStart"/>
      <w:r w:rsidR="002D20B4">
        <w:t>risk</w:t>
      </w:r>
      <w:r w:rsidR="00C611EE">
        <w:t>assessment</w:t>
      </w:r>
      <w:proofErr w:type="spellEnd"/>
      <w:r w:rsidR="00C611EE">
        <w:t>.</w:t>
      </w:r>
    </w:p>
    <w:p w14:paraId="56B97725" w14:textId="6F1A1406" w:rsidR="00932F28" w:rsidRPr="00BF21A7" w:rsidRDefault="00932F28" w:rsidP="0059396D">
      <w:pPr>
        <w:pStyle w:val="Question"/>
        <w:shd w:val="clear" w:color="auto" w:fill="E7E6E6"/>
      </w:pPr>
      <w:bookmarkStart w:id="0" w:name="_Hlk93395762"/>
      <w:r>
        <w:lastRenderedPageBreak/>
        <w:t xml:space="preserve">Question 3: In addition to the above, does the IESC consider that risks to MNES relating to surface water storage (including offsite impacts) and hydraulic fracturing have been adequately assessed? </w:t>
      </w:r>
      <w:proofErr w:type="gramStart"/>
      <w:r>
        <w:t>In particular, impacts</w:t>
      </w:r>
      <w:proofErr w:type="gramEnd"/>
      <w:r>
        <w:t xml:space="preserve"> related to overtopping and unintended discharge of produced water and hydraulic fracturing fluid stored in offsite storage ponds.</w:t>
      </w:r>
    </w:p>
    <w:p w14:paraId="7659872D" w14:textId="284FFAAC" w:rsidR="0050075F" w:rsidRPr="008A13F0" w:rsidRDefault="00784636" w:rsidP="0050075F">
      <w:pPr>
        <w:pStyle w:val="ListNumber"/>
        <w:rPr>
          <w:rFonts w:eastAsia="Arial"/>
          <w:sz w:val="16"/>
          <w:szCs w:val="16"/>
        </w:rPr>
      </w:pPr>
      <w:r>
        <w:t xml:space="preserve">The model used by the proponent to forecast water production was not provided and apparently did not incorporate altered climatic conditions (e.g., frequency and scale of extreme rainfall events) that would be expected to be associated with climate change. This is highly relevant because the main intended water storage facility, Mt Kingsley Dam, has limited freeboard considering </w:t>
      </w:r>
      <w:r w:rsidR="2F966E71">
        <w:t xml:space="preserve">the </w:t>
      </w:r>
      <w:r>
        <w:t>forecasted water production</w:t>
      </w:r>
      <w:r w:rsidR="006304B8">
        <w:t xml:space="preserve"> (KCB 2021, p. 33)</w:t>
      </w:r>
      <w:r>
        <w:t>. Should overtopping of this facility occur, surface water quality in the neighbouring Ironbark Creek and the constructed wetland may be impacted</w:t>
      </w:r>
      <w:r w:rsidR="00C95B73">
        <w:t>,</w:t>
      </w:r>
      <w:r>
        <w:t xml:space="preserve"> </w:t>
      </w:r>
      <w:r w:rsidR="00675A8B">
        <w:t>together with</w:t>
      </w:r>
      <w:r>
        <w:t xml:space="preserve"> riparian vegetation</w:t>
      </w:r>
      <w:r w:rsidR="5B8BC298" w:rsidRPr="3C5BAC0E">
        <w:rPr>
          <w:rFonts w:eastAsia="Arial"/>
        </w:rPr>
        <w:t xml:space="preserve"> and other biota (Paragraph 1</w:t>
      </w:r>
      <w:r w:rsidR="0082190B">
        <w:rPr>
          <w:rFonts w:eastAsia="Arial"/>
        </w:rPr>
        <w:t>3</w:t>
      </w:r>
      <w:r w:rsidR="5B8BC298" w:rsidRPr="3C5BAC0E">
        <w:rPr>
          <w:rFonts w:eastAsia="Arial"/>
        </w:rPr>
        <w:t>)</w:t>
      </w:r>
      <w:r>
        <w:t xml:space="preserve"> associated with these water</w:t>
      </w:r>
      <w:r w:rsidR="71F40120" w:rsidRPr="3C5BAC0E">
        <w:rPr>
          <w:rFonts w:eastAsia="Arial"/>
        </w:rPr>
        <w:t>-dependent assets</w:t>
      </w:r>
      <w:r>
        <w:t xml:space="preserve">. </w:t>
      </w:r>
      <w:r w:rsidR="0050075F">
        <w:t>Given the</w:t>
      </w:r>
      <w:r w:rsidR="00035FC0">
        <w:t>se</w:t>
      </w:r>
      <w:r w:rsidR="0050075F">
        <w:t xml:space="preserve"> risks, the IESC recommends that a baseline assessment be undertaken of surface water quality and water regime in the constructed wetland and Ironbark Creek. Subsequently, comprehensive surface water quality monitoring needs to be undertaken for an appropriate period </w:t>
      </w:r>
      <w:r w:rsidR="0050075F" w:rsidRPr="3C5BAC0E">
        <w:rPr>
          <w:rFonts w:eastAsia="Arial"/>
        </w:rPr>
        <w:t xml:space="preserve">during and </w:t>
      </w:r>
      <w:r w:rsidR="0050075F">
        <w:t xml:space="preserve">following construction to </w:t>
      </w:r>
      <w:r w:rsidR="0050075F" w:rsidRPr="3C5BAC0E">
        <w:rPr>
          <w:rFonts w:eastAsia="Arial"/>
        </w:rPr>
        <w:t>detect and guide mitigation of</w:t>
      </w:r>
      <w:r w:rsidR="0050075F">
        <w:t xml:space="preserve"> potential impacts to their riparian vegetation and aquatic habitats. </w:t>
      </w:r>
    </w:p>
    <w:p w14:paraId="4139E77B" w14:textId="63ECE038" w:rsidR="00893819" w:rsidRDefault="00893819" w:rsidP="3C5BAC0E">
      <w:pPr>
        <w:pStyle w:val="ListNumber"/>
        <w:rPr>
          <w:rFonts w:eastAsia="Arial"/>
        </w:rPr>
      </w:pPr>
      <w:r w:rsidRPr="3C5BAC0E">
        <w:rPr>
          <w:rFonts w:eastAsia="Arial"/>
        </w:rPr>
        <w:t xml:space="preserve">The proponent should conduct field-based sampling for aquatic biota (including invertebrates) in the constructed wetland and, when flowing, Ironbark Creek before, during and for an appropriate time after the proposed project. These data will provide baseline and subsequent monitoring information to allow the proponent to verify the predicted lack of impacts due to </w:t>
      </w:r>
      <w:r w:rsidR="76684E56" w:rsidRPr="3C5BAC0E">
        <w:rPr>
          <w:rFonts w:eastAsia="Arial"/>
        </w:rPr>
        <w:t xml:space="preserve">reduced water quality, </w:t>
      </w:r>
      <w:r w:rsidRPr="3C5BAC0E">
        <w:rPr>
          <w:rFonts w:eastAsia="Arial"/>
        </w:rPr>
        <w:t>altered flows</w:t>
      </w:r>
      <w:r w:rsidR="1DD9D833" w:rsidRPr="3C5BAC0E">
        <w:rPr>
          <w:rFonts w:eastAsia="Arial"/>
        </w:rPr>
        <w:t xml:space="preserve"> or volumes</w:t>
      </w:r>
      <w:r w:rsidRPr="3C5BAC0E">
        <w:rPr>
          <w:rFonts w:eastAsia="Arial"/>
        </w:rPr>
        <w:t>, sedimentation and/or riparian zone clearance associated with the project</w:t>
      </w:r>
      <w:r>
        <w:t>.</w:t>
      </w:r>
    </w:p>
    <w:p w14:paraId="56BDB798" w14:textId="719D68F5" w:rsidR="007400B0" w:rsidRDefault="2F4FB84A" w:rsidP="007400B0">
      <w:pPr>
        <w:pStyle w:val="ListNumber"/>
      </w:pPr>
      <w:r>
        <w:t>Although</w:t>
      </w:r>
      <w:r w:rsidR="007400B0">
        <w:t xml:space="preserve"> the proponent d</w:t>
      </w:r>
      <w:r w:rsidR="33505C6D">
        <w:t>escribes</w:t>
      </w:r>
      <w:r w:rsidR="007400B0">
        <w:t xml:space="preserve"> actions to be undertaken following chemical spills and accidents</w:t>
      </w:r>
      <w:r w:rsidR="00800338">
        <w:t xml:space="preserve"> (</w:t>
      </w:r>
      <w:r w:rsidR="00826855">
        <w:t xml:space="preserve">EHS Support 2021, </w:t>
      </w:r>
      <w:r w:rsidR="00CC7C6E">
        <w:t>A</w:t>
      </w:r>
      <w:r w:rsidR="005A4C19">
        <w:t>pp. 10)</w:t>
      </w:r>
      <w:r w:rsidR="007400B0">
        <w:t xml:space="preserve">, such events </w:t>
      </w:r>
      <w:r w:rsidR="52BAABAC">
        <w:t>a</w:t>
      </w:r>
      <w:r w:rsidR="007400B0">
        <w:t xml:space="preserve">re not considered in the risk assessment for chemicals used on-site. Additionally, a key monitoring strategy </w:t>
      </w:r>
      <w:r w:rsidR="58E7D29E">
        <w:t>propo</w:t>
      </w:r>
      <w:r w:rsidR="007400B0">
        <w:t xml:space="preserve">sed for hydraulic stimulation activities includes sampling source water, stimulation fluids, and flowback water for geogenic compounds. However, the IESC considers the sampling suite for flowback monitoring </w:t>
      </w:r>
      <w:r w:rsidR="098D1ACE">
        <w:t xml:space="preserve">is </w:t>
      </w:r>
      <w:r w:rsidR="007400B0">
        <w:t>insufficient for ensuring water quality objectives</w:t>
      </w:r>
      <w:r w:rsidR="002F137E">
        <w:t xml:space="preserve"> are met</w:t>
      </w:r>
      <w:r w:rsidR="3F0B97BC">
        <w:t>,</w:t>
      </w:r>
      <w:r w:rsidR="0078786C">
        <w:t xml:space="preserve"> and recommends also monitoring major ions, organics and naturally occurring </w:t>
      </w:r>
      <w:r w:rsidR="00D77AF7">
        <w:t>radioactive materials</w:t>
      </w:r>
      <w:r w:rsidR="007400B0">
        <w:t xml:space="preserve">. </w:t>
      </w:r>
    </w:p>
    <w:p w14:paraId="634C9D14" w14:textId="0884C056" w:rsidR="00932F28" w:rsidRDefault="00E81287" w:rsidP="00932F28">
      <w:pPr>
        <w:pStyle w:val="ListNumber"/>
      </w:pPr>
      <w:proofErr w:type="gramStart"/>
      <w:r>
        <w:t>The m</w:t>
      </w:r>
      <w:r w:rsidR="00FC28BD">
        <w:t>ajority of</w:t>
      </w:r>
      <w:proofErr w:type="gramEnd"/>
      <w:r w:rsidR="00FC28BD">
        <w:t xml:space="preserve"> </w:t>
      </w:r>
      <w:r w:rsidR="00932F28">
        <w:t>produced water and hydraulic fracturing fluids will be managed and treated using the existing approved Arcadia water management facility in the adjacent</w:t>
      </w:r>
      <w:r w:rsidR="009607B9">
        <w:t xml:space="preserve"> petroleum lease</w:t>
      </w:r>
      <w:r w:rsidR="00932F28">
        <w:t xml:space="preserve">. The proponent does not propose discharging </w:t>
      </w:r>
      <w:r w:rsidR="00720839">
        <w:t>produced</w:t>
      </w:r>
      <w:r w:rsidR="000B5D76">
        <w:t xml:space="preserve"> </w:t>
      </w:r>
      <w:r w:rsidR="00932F28">
        <w:t>water to watercourses; however, the following should be clarified to ensure that impacts to surface waters are minimised.</w:t>
      </w:r>
    </w:p>
    <w:p w14:paraId="0D33015A" w14:textId="3522177B" w:rsidR="00932F28" w:rsidRDefault="00932F28" w:rsidP="00932F28">
      <w:pPr>
        <w:pStyle w:val="ListNumber2"/>
        <w:rPr>
          <w:rFonts w:eastAsia="Arial"/>
        </w:rPr>
      </w:pPr>
      <w:r>
        <w:t xml:space="preserve">The proponent has not </w:t>
      </w:r>
      <w:r w:rsidR="770A60C0" w:rsidRPr="3C5BAC0E">
        <w:rPr>
          <w:rFonts w:eastAsia="Arial"/>
        </w:rPr>
        <w:t>specified</w:t>
      </w:r>
      <w:r>
        <w:t xml:space="preserve"> the intended volume or quality of </w:t>
      </w:r>
      <w:r w:rsidR="00720839">
        <w:t>produced</w:t>
      </w:r>
      <w:r w:rsidR="000B5D76">
        <w:t xml:space="preserve"> </w:t>
      </w:r>
      <w:r>
        <w:t>water to be held in concrete tanks on-site which will be untreated and used for operational activities such as dust suppression. This should be provided to better understand the risks of</w:t>
      </w:r>
      <w:r w:rsidR="26BE4EC9" w:rsidRPr="3C5BAC0E">
        <w:rPr>
          <w:rFonts w:eastAsia="Arial"/>
        </w:rPr>
        <w:t xml:space="preserve"> potential</w:t>
      </w:r>
      <w:r>
        <w:t xml:space="preserve"> impacts to surface water quality.</w:t>
      </w:r>
    </w:p>
    <w:p w14:paraId="78C7A18C" w14:textId="4EA755EC" w:rsidR="00932F28" w:rsidRDefault="00932F28" w:rsidP="00932F28">
      <w:pPr>
        <w:pStyle w:val="ListNumber2"/>
        <w:rPr>
          <w:rFonts w:eastAsia="Arial"/>
        </w:rPr>
      </w:pPr>
      <w:r>
        <w:t xml:space="preserve">The proponent intends </w:t>
      </w:r>
      <w:r w:rsidR="04E80092">
        <w:t>to</w:t>
      </w:r>
      <w:r>
        <w:t xml:space="preserve"> dispos</w:t>
      </w:r>
      <w:r w:rsidR="431FD5D5">
        <w:t>e of</w:t>
      </w:r>
      <w:r>
        <w:t xml:space="preserve"> waste salts in</w:t>
      </w:r>
      <w:r w:rsidR="000A635D">
        <w:t xml:space="preserve"> off</w:t>
      </w:r>
      <w:r w:rsidR="7510B2B0">
        <w:t>-</w:t>
      </w:r>
      <w:r w:rsidR="000A635D">
        <w:t>site</w:t>
      </w:r>
      <w:r>
        <w:t xml:space="preserve"> licensed facilities </w:t>
      </w:r>
      <w:r w:rsidR="5EFC9D96" w:rsidRPr="3C5BAC0E">
        <w:rPr>
          <w:rFonts w:eastAsia="Arial"/>
        </w:rPr>
        <w:t>(KCB 2021, p. 34)</w:t>
      </w:r>
      <w:r>
        <w:t xml:space="preserve">. It is very likely that this brine </w:t>
      </w:r>
      <w:r w:rsidR="00AD0A80">
        <w:t xml:space="preserve">will </w:t>
      </w:r>
      <w:r>
        <w:t xml:space="preserve">also include other contaminants, including metals, </w:t>
      </w:r>
      <w:proofErr w:type="gramStart"/>
      <w:r>
        <w:t>hydrocarbons</w:t>
      </w:r>
      <w:proofErr w:type="gramEnd"/>
      <w:r>
        <w:t xml:space="preserve"> and radionuclides, particularly if filtration plants</w:t>
      </w:r>
      <w:r w:rsidR="00101182">
        <w:t>’</w:t>
      </w:r>
      <w:r>
        <w:t xml:space="preserve"> solids are disposed of in brine ponds. Noting this, the IESC remains concerned about the legacy issues of brine management and disposal because long-term storage constitutes a residual risk, particularly from leaks and seepages. Whether this occurs on- or off-site is immaterial to these risks and the proponent should provide sufficient information regarding their licensed facilities to be confident that no off-site impacts will occur. </w:t>
      </w:r>
      <w:r w:rsidR="00BD72F5">
        <w:t xml:space="preserve">The IESC recommends that the proponent </w:t>
      </w:r>
      <w:r w:rsidR="00D63028">
        <w:t xml:space="preserve">monitor </w:t>
      </w:r>
      <w:r w:rsidR="00E41F0E">
        <w:t xml:space="preserve">water quality and volume of leaks and </w:t>
      </w:r>
      <w:proofErr w:type="gramStart"/>
      <w:r w:rsidR="00D63028">
        <w:t>seepages</w:t>
      </w:r>
      <w:r w:rsidR="003F1A45">
        <w:t>, and</w:t>
      </w:r>
      <w:proofErr w:type="gramEnd"/>
      <w:r w:rsidR="003F1A45">
        <w:t xml:space="preserve"> </w:t>
      </w:r>
      <w:r w:rsidR="00F47C28">
        <w:t xml:space="preserve">continue to investigate </w:t>
      </w:r>
      <w:r w:rsidR="003F1A45">
        <w:t>beneficial reuse options for the brine</w:t>
      </w:r>
      <w:r>
        <w:t xml:space="preserve">. </w:t>
      </w:r>
    </w:p>
    <w:bookmarkEnd w:id="0"/>
    <w:p w14:paraId="03D1566B" w14:textId="480E67DF" w:rsidR="00932F28" w:rsidRPr="00BF21A7" w:rsidRDefault="00932F28" w:rsidP="00AC0FE0">
      <w:pPr>
        <w:pStyle w:val="ListNumber"/>
        <w:numPr>
          <w:ilvl w:val="0"/>
          <w:numId w:val="0"/>
        </w:numPr>
        <w:ind w:left="369"/>
        <w:rPr>
          <w:rFonts w:eastAsia="Arial"/>
        </w:rPr>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932F28" w:rsidRPr="00BF21A7" w14:paraId="6EB3BDF5" w14:textId="77777777" w:rsidTr="0520A47F">
        <w:trPr>
          <w:trHeight w:val="19"/>
        </w:trPr>
        <w:tc>
          <w:tcPr>
            <w:tcW w:w="1809" w:type="dxa"/>
            <w:tcBorders>
              <w:top w:val="single" w:sz="4" w:space="0" w:color="auto"/>
              <w:bottom w:val="single" w:sz="4" w:space="0" w:color="auto"/>
            </w:tcBorders>
          </w:tcPr>
          <w:p w14:paraId="10ECFE52" w14:textId="77777777" w:rsidR="00932F28" w:rsidRPr="00BF21A7" w:rsidRDefault="00932F28" w:rsidP="001E4EC1">
            <w:pPr>
              <w:pStyle w:val="Heading6"/>
            </w:pPr>
            <w:r w:rsidRPr="00BF21A7">
              <w:lastRenderedPageBreak/>
              <w:t>Date of advice</w:t>
            </w:r>
          </w:p>
        </w:tc>
        <w:tc>
          <w:tcPr>
            <w:tcW w:w="8159" w:type="dxa"/>
            <w:tcBorders>
              <w:top w:val="single" w:sz="4" w:space="0" w:color="auto"/>
              <w:bottom w:val="single" w:sz="4" w:space="0" w:color="auto"/>
            </w:tcBorders>
          </w:tcPr>
          <w:p w14:paraId="6EE55326" w14:textId="7101C722" w:rsidR="00932F28" w:rsidRPr="00BF21A7" w:rsidRDefault="00A56437" w:rsidP="001E4EC1">
            <w:pPr>
              <w:pStyle w:val="Tabletext"/>
            </w:pPr>
            <w:r>
              <w:t>7</w:t>
            </w:r>
            <w:r w:rsidR="00932F28" w:rsidRPr="00AC0FE0">
              <w:t xml:space="preserve"> February </w:t>
            </w:r>
            <w:r w:rsidR="00932F28" w:rsidRPr="00BF21A7">
              <w:t>20</w:t>
            </w:r>
            <w:r w:rsidR="00932F28">
              <w:t>22</w:t>
            </w:r>
            <w:r w:rsidR="00932F28" w:rsidRPr="00BF21A7">
              <w:t xml:space="preserve"> </w:t>
            </w:r>
          </w:p>
        </w:tc>
      </w:tr>
      <w:tr w:rsidR="00932F28" w:rsidRPr="00BF21A7" w14:paraId="6ACFA3C5" w14:textId="77777777" w:rsidTr="0520A47F">
        <w:trPr>
          <w:trHeight w:val="161"/>
        </w:trPr>
        <w:tc>
          <w:tcPr>
            <w:tcW w:w="1809" w:type="dxa"/>
            <w:tcBorders>
              <w:top w:val="single" w:sz="4" w:space="0" w:color="auto"/>
              <w:bottom w:val="single" w:sz="4" w:space="0" w:color="auto"/>
            </w:tcBorders>
          </w:tcPr>
          <w:p w14:paraId="008B423D" w14:textId="77777777" w:rsidR="00932F28" w:rsidRPr="00BF21A7" w:rsidRDefault="00932F28" w:rsidP="001E4EC1">
            <w:pPr>
              <w:pStyle w:val="Heading6"/>
            </w:pPr>
            <w:r w:rsidRPr="00BF21A7">
              <w:t xml:space="preserve">Source documentation </w:t>
            </w:r>
            <w:r>
              <w:t>provided</w:t>
            </w:r>
            <w:r w:rsidRPr="00BF21A7">
              <w:t xml:space="preserve"> to the IESC </w:t>
            </w:r>
            <w:r>
              <w:t>for</w:t>
            </w:r>
            <w:r w:rsidRPr="00BF21A7">
              <w:t xml:space="preserve"> the formulation of this advice</w:t>
            </w:r>
          </w:p>
        </w:tc>
        <w:tc>
          <w:tcPr>
            <w:tcW w:w="8159" w:type="dxa"/>
            <w:tcBorders>
              <w:top w:val="single" w:sz="4" w:space="0" w:color="auto"/>
              <w:bottom w:val="single" w:sz="4" w:space="0" w:color="auto"/>
            </w:tcBorders>
          </w:tcPr>
          <w:p w14:paraId="7978D6BA" w14:textId="77777777" w:rsidR="00932F28" w:rsidRDefault="00932F28" w:rsidP="001E4EC1">
            <w:pPr>
              <w:autoSpaceDE/>
              <w:autoSpaceDN/>
              <w:adjustRightInd/>
              <w:ind w:left="369" w:hanging="369"/>
              <w:rPr>
                <w:rFonts w:eastAsia="Calibri" w:cs="Times New Roman"/>
                <w:bCs/>
              </w:rPr>
            </w:pPr>
            <w:r w:rsidRPr="00105F57">
              <w:rPr>
                <w:rFonts w:eastAsia="Calibri" w:cs="Times New Roman"/>
                <w:bCs/>
              </w:rPr>
              <w:t>AECOM (2021).</w:t>
            </w:r>
            <w:r w:rsidRPr="00105F57">
              <w:rPr>
                <w:rFonts w:eastAsia="Calibri" w:cs="Times New Roman"/>
                <w:b/>
              </w:rPr>
              <w:t xml:space="preserve"> </w:t>
            </w:r>
            <w:r w:rsidRPr="00105F57">
              <w:rPr>
                <w:rFonts w:eastAsia="Calibri" w:cs="Times New Roman"/>
                <w:bCs/>
                <w:i/>
                <w:iCs/>
              </w:rPr>
              <w:t>Matters of National Environmental Significance - Ecology Assessment</w:t>
            </w:r>
            <w:r w:rsidRPr="00105F57">
              <w:rPr>
                <w:rFonts w:eastAsia="Calibri" w:cs="Times New Roman"/>
                <w:bCs/>
              </w:rPr>
              <w:t>. Prepared for Santos Ltd.</w:t>
            </w:r>
          </w:p>
          <w:p w14:paraId="2BD2A318" w14:textId="77777777" w:rsidR="00932F28" w:rsidRPr="00105F57" w:rsidRDefault="00932F28" w:rsidP="001E4EC1">
            <w:pPr>
              <w:autoSpaceDE/>
              <w:autoSpaceDN/>
              <w:adjustRightInd/>
              <w:ind w:left="369" w:hanging="369"/>
              <w:rPr>
                <w:rFonts w:eastAsia="Calibri" w:cs="Times New Roman"/>
                <w:sz w:val="22"/>
                <w:szCs w:val="22"/>
              </w:rPr>
            </w:pPr>
            <w:r w:rsidRPr="00105F57">
              <w:rPr>
                <w:rFonts w:eastAsia="Calibri" w:cs="Times New Roman"/>
                <w:bCs/>
              </w:rPr>
              <w:t>EHS Support (2021).</w:t>
            </w:r>
            <w:r w:rsidRPr="00105F57">
              <w:rPr>
                <w:rFonts w:eastAsia="Calibri" w:cs="Times New Roman"/>
                <w:b/>
              </w:rPr>
              <w:t xml:space="preserve"> </w:t>
            </w:r>
            <w:r w:rsidRPr="00105F57">
              <w:rPr>
                <w:rFonts w:eastAsia="Calibri" w:cs="Times New Roman"/>
                <w:bCs/>
                <w:i/>
                <w:iCs/>
              </w:rPr>
              <w:t xml:space="preserve">Chemical Risk Assessment Santos </w:t>
            </w:r>
            <w:proofErr w:type="spellStart"/>
            <w:r w:rsidRPr="00105F57">
              <w:rPr>
                <w:rFonts w:eastAsia="Calibri" w:cs="Times New Roman"/>
                <w:bCs/>
                <w:i/>
                <w:iCs/>
              </w:rPr>
              <w:t>Towrie</w:t>
            </w:r>
            <w:proofErr w:type="spellEnd"/>
            <w:r w:rsidRPr="00105F57">
              <w:rPr>
                <w:rFonts w:eastAsia="Calibri" w:cs="Times New Roman"/>
                <w:bCs/>
                <w:i/>
                <w:iCs/>
              </w:rPr>
              <w:t xml:space="preserve"> Development Petroleum Lease (PL) 1059</w:t>
            </w:r>
            <w:r w:rsidRPr="00105F57">
              <w:rPr>
                <w:rFonts w:eastAsia="Calibri" w:cs="Times New Roman"/>
              </w:rPr>
              <w:t>. Prepared</w:t>
            </w:r>
            <w:r w:rsidRPr="00105F57">
              <w:rPr>
                <w:rFonts w:eastAsia="Calibri" w:cs="Times New Roman"/>
                <w:sz w:val="22"/>
                <w:szCs w:val="22"/>
              </w:rPr>
              <w:t xml:space="preserve"> </w:t>
            </w:r>
            <w:r w:rsidRPr="00105F57">
              <w:rPr>
                <w:rFonts w:eastAsia="Calibri" w:cs="Times New Roman"/>
              </w:rPr>
              <w:t>for Santos Ltd.</w:t>
            </w:r>
          </w:p>
          <w:p w14:paraId="4AC7A8F5" w14:textId="77777777" w:rsidR="00932F28" w:rsidRPr="00105F57" w:rsidRDefault="00932F28" w:rsidP="001E4EC1">
            <w:pPr>
              <w:autoSpaceDE/>
              <w:autoSpaceDN/>
              <w:adjustRightInd/>
              <w:ind w:left="369" w:hanging="369"/>
              <w:rPr>
                <w:rFonts w:eastAsia="Calibri" w:cs="Times New Roman"/>
              </w:rPr>
            </w:pPr>
            <w:proofErr w:type="spellStart"/>
            <w:r w:rsidRPr="00105F57">
              <w:rPr>
                <w:rFonts w:eastAsia="Calibri" w:cs="Times New Roman"/>
                <w:bCs/>
              </w:rPr>
              <w:t>Klohn</w:t>
            </w:r>
            <w:proofErr w:type="spellEnd"/>
            <w:r w:rsidRPr="00105F57">
              <w:rPr>
                <w:rFonts w:eastAsia="Calibri" w:cs="Times New Roman"/>
                <w:bCs/>
              </w:rPr>
              <w:t xml:space="preserve"> Crippen Berger (KCB) (2021).</w:t>
            </w:r>
            <w:r w:rsidRPr="00105F57">
              <w:rPr>
                <w:rFonts w:eastAsia="Calibri" w:cs="Times New Roman"/>
                <w:b/>
              </w:rPr>
              <w:t xml:space="preserve"> </w:t>
            </w:r>
            <w:r w:rsidRPr="00105F57">
              <w:rPr>
                <w:rFonts w:eastAsia="Calibri" w:cs="Times New Roman"/>
                <w:bCs/>
                <w:i/>
                <w:iCs/>
              </w:rPr>
              <w:t xml:space="preserve">Santos CSG Pty Ltd – </w:t>
            </w:r>
            <w:proofErr w:type="spellStart"/>
            <w:r w:rsidRPr="00105F57">
              <w:rPr>
                <w:rFonts w:eastAsia="Calibri" w:cs="Times New Roman"/>
                <w:bCs/>
                <w:i/>
                <w:iCs/>
              </w:rPr>
              <w:t>Towrie</w:t>
            </w:r>
            <w:proofErr w:type="spellEnd"/>
            <w:r w:rsidRPr="00105F57">
              <w:rPr>
                <w:rFonts w:eastAsia="Calibri" w:cs="Times New Roman"/>
                <w:bCs/>
                <w:i/>
                <w:iCs/>
              </w:rPr>
              <w:t xml:space="preserve"> Development Area, Water Assessment Report</w:t>
            </w:r>
            <w:r w:rsidRPr="00105F57">
              <w:rPr>
                <w:rFonts w:eastAsia="Calibri" w:cs="Times New Roman"/>
                <w:bCs/>
              </w:rPr>
              <w:t>. Prepared for Santos Ltd.</w:t>
            </w:r>
          </w:p>
          <w:p w14:paraId="68A9A5A7" w14:textId="77777777" w:rsidR="00932F28" w:rsidRPr="00105F57" w:rsidRDefault="00932F28" w:rsidP="001E4EC1">
            <w:pPr>
              <w:autoSpaceDE/>
              <w:autoSpaceDN/>
              <w:adjustRightInd/>
              <w:rPr>
                <w:rFonts w:eastAsia="Calibri" w:cs="Times New Roman"/>
                <w:b/>
              </w:rPr>
            </w:pPr>
            <w:r w:rsidRPr="00105F57">
              <w:rPr>
                <w:rFonts w:eastAsia="Calibri" w:cs="Times New Roman"/>
                <w:bCs/>
              </w:rPr>
              <w:t xml:space="preserve">Santos (2021). </w:t>
            </w:r>
            <w:r w:rsidRPr="00105F57">
              <w:rPr>
                <w:rFonts w:eastAsia="Calibri" w:cs="Times New Roman"/>
                <w:bCs/>
                <w:i/>
                <w:iCs/>
              </w:rPr>
              <w:t>Preliminary documentation for EPBC Act assessment</w:t>
            </w:r>
            <w:r w:rsidRPr="00105F57">
              <w:rPr>
                <w:rFonts w:eastAsia="Calibri" w:cs="Times New Roman"/>
                <w:b/>
              </w:rPr>
              <w:t>.</w:t>
            </w:r>
          </w:p>
          <w:p w14:paraId="4F44F206" w14:textId="77777777" w:rsidR="00932F28" w:rsidRPr="00105F57" w:rsidRDefault="00932F28" w:rsidP="000D47F2">
            <w:pPr>
              <w:numPr>
                <w:ilvl w:val="2"/>
                <w:numId w:val="11"/>
              </w:numPr>
              <w:autoSpaceDE/>
              <w:autoSpaceDN/>
              <w:adjustRightInd/>
              <w:spacing w:after="160" w:line="259" w:lineRule="auto"/>
              <w:contextualSpacing/>
              <w:rPr>
                <w:rFonts w:eastAsia="Calibri" w:cs="Times New Roman"/>
              </w:rPr>
            </w:pPr>
            <w:proofErr w:type="spellStart"/>
            <w:r w:rsidRPr="69F368DB">
              <w:rPr>
                <w:rFonts w:eastAsia="Calibri" w:cs="Times New Roman"/>
              </w:rPr>
              <w:t>Att_</w:t>
            </w:r>
            <w:proofErr w:type="gramStart"/>
            <w:r w:rsidRPr="69F368DB">
              <w:rPr>
                <w:rFonts w:eastAsia="Calibri" w:cs="Times New Roman"/>
              </w:rPr>
              <w:t>A</w:t>
            </w:r>
            <w:proofErr w:type="spellEnd"/>
            <w:proofErr w:type="gramEnd"/>
            <w:r w:rsidRPr="69F368DB">
              <w:rPr>
                <w:rFonts w:eastAsia="Calibri" w:cs="Times New Roman"/>
              </w:rPr>
              <w:t xml:space="preserve"> Additional information requirements</w:t>
            </w:r>
          </w:p>
          <w:p w14:paraId="2305C1C6" w14:textId="77777777" w:rsidR="00932F28" w:rsidRPr="00105F57" w:rsidRDefault="00932F28" w:rsidP="000D47F2">
            <w:pPr>
              <w:numPr>
                <w:ilvl w:val="2"/>
                <w:numId w:val="11"/>
              </w:numPr>
              <w:autoSpaceDE/>
              <w:autoSpaceDN/>
              <w:adjustRightInd/>
              <w:spacing w:after="160" w:line="259" w:lineRule="auto"/>
              <w:contextualSpacing/>
              <w:rPr>
                <w:rFonts w:eastAsia="Calibri" w:cs="Times New Roman"/>
              </w:rPr>
            </w:pPr>
            <w:proofErr w:type="spellStart"/>
            <w:r w:rsidRPr="00105F57">
              <w:rPr>
                <w:rFonts w:eastAsia="Calibri" w:cs="Times New Roman"/>
              </w:rPr>
              <w:t>Att_B</w:t>
            </w:r>
            <w:proofErr w:type="spellEnd"/>
            <w:r w:rsidRPr="00105F57">
              <w:rPr>
                <w:rFonts w:eastAsia="Calibri" w:cs="Times New Roman"/>
              </w:rPr>
              <w:t xml:space="preserve"> Environmental Protocol</w:t>
            </w:r>
          </w:p>
          <w:p w14:paraId="2EE78A7E" w14:textId="77777777" w:rsidR="00932F28" w:rsidRPr="00105F57" w:rsidRDefault="00932F28" w:rsidP="000D47F2">
            <w:pPr>
              <w:numPr>
                <w:ilvl w:val="2"/>
                <w:numId w:val="11"/>
              </w:numPr>
              <w:autoSpaceDE/>
              <w:autoSpaceDN/>
              <w:adjustRightInd/>
              <w:spacing w:after="160" w:line="259" w:lineRule="auto"/>
              <w:contextualSpacing/>
              <w:rPr>
                <w:rFonts w:eastAsia="Calibri" w:cs="Times New Roman"/>
              </w:rPr>
            </w:pPr>
            <w:proofErr w:type="spellStart"/>
            <w:r w:rsidRPr="00105F57">
              <w:rPr>
                <w:rFonts w:eastAsia="Calibri" w:cs="Times New Roman"/>
              </w:rPr>
              <w:t>Att_F</w:t>
            </w:r>
            <w:proofErr w:type="spellEnd"/>
            <w:r w:rsidRPr="00105F57">
              <w:rPr>
                <w:rFonts w:eastAsia="Calibri" w:cs="Times New Roman"/>
              </w:rPr>
              <w:t xml:space="preserve"> Environmental Management Plan</w:t>
            </w:r>
          </w:p>
          <w:p w14:paraId="03B8DB25" w14:textId="4AC4BA71" w:rsidR="00932F28" w:rsidRPr="00105F57" w:rsidRDefault="00932F28" w:rsidP="000D47F2">
            <w:pPr>
              <w:numPr>
                <w:ilvl w:val="2"/>
                <w:numId w:val="11"/>
              </w:numPr>
              <w:autoSpaceDE/>
              <w:autoSpaceDN/>
              <w:adjustRightInd/>
              <w:spacing w:after="160" w:line="259" w:lineRule="auto"/>
              <w:contextualSpacing/>
              <w:rPr>
                <w:rFonts w:ascii="Times New Roman" w:hAnsi="Times New Roman" w:cs="Times New Roman"/>
              </w:rPr>
            </w:pPr>
            <w:proofErr w:type="spellStart"/>
            <w:r w:rsidRPr="69F368DB">
              <w:rPr>
                <w:rFonts w:eastAsia="Calibri" w:cs="Times New Roman"/>
              </w:rPr>
              <w:t>Att_G</w:t>
            </w:r>
            <w:proofErr w:type="spellEnd"/>
            <w:r w:rsidRPr="69F368DB">
              <w:rPr>
                <w:rFonts w:eastAsia="Calibri" w:cs="Times New Roman"/>
              </w:rPr>
              <w:t xml:space="preserve"> </w:t>
            </w:r>
            <w:r w:rsidRPr="69F368DB">
              <w:rPr>
                <w:rFonts w:eastAsia="Arial"/>
              </w:rPr>
              <w:t>Significant</w:t>
            </w:r>
            <w:r w:rsidRPr="69F368DB">
              <w:rPr>
                <w:rFonts w:eastAsia="Calibri" w:cs="Times New Roman"/>
              </w:rPr>
              <w:t xml:space="preserve"> Species Management Plan</w:t>
            </w:r>
          </w:p>
          <w:p w14:paraId="65BBC5F9" w14:textId="77777777" w:rsidR="00932F28" w:rsidRPr="00105F57" w:rsidRDefault="00932F28" w:rsidP="000D47F2">
            <w:pPr>
              <w:numPr>
                <w:ilvl w:val="2"/>
                <w:numId w:val="11"/>
              </w:numPr>
              <w:autoSpaceDE/>
              <w:autoSpaceDN/>
              <w:adjustRightInd/>
              <w:spacing w:after="160" w:line="259" w:lineRule="auto"/>
              <w:contextualSpacing/>
              <w:rPr>
                <w:rFonts w:eastAsia="Calibri" w:cs="Times New Roman"/>
              </w:rPr>
            </w:pPr>
            <w:proofErr w:type="spellStart"/>
            <w:r w:rsidRPr="00105F57">
              <w:rPr>
                <w:rFonts w:eastAsia="Calibri" w:cs="Times New Roman"/>
              </w:rPr>
              <w:t>Att_H</w:t>
            </w:r>
            <w:proofErr w:type="spellEnd"/>
            <w:r w:rsidRPr="00105F57">
              <w:rPr>
                <w:rFonts w:eastAsia="Calibri" w:cs="Times New Roman"/>
              </w:rPr>
              <w:t xml:space="preserve"> Rehabilitation Plan</w:t>
            </w:r>
          </w:p>
          <w:p w14:paraId="6D7CE0F9" w14:textId="753CEC80" w:rsidR="00932F28" w:rsidRPr="00D70558" w:rsidRDefault="00932F28" w:rsidP="000D47F2">
            <w:pPr>
              <w:numPr>
                <w:ilvl w:val="2"/>
                <w:numId w:val="11"/>
              </w:numPr>
              <w:autoSpaceDE/>
              <w:autoSpaceDN/>
              <w:adjustRightInd/>
              <w:spacing w:after="160" w:line="259" w:lineRule="auto"/>
              <w:contextualSpacing/>
              <w:rPr>
                <w:rFonts w:eastAsia="Calibri" w:cs="Times New Roman"/>
              </w:rPr>
            </w:pPr>
            <w:proofErr w:type="spellStart"/>
            <w:r w:rsidRPr="00105F57">
              <w:rPr>
                <w:rFonts w:eastAsia="Calibri" w:cs="Times New Roman"/>
              </w:rPr>
              <w:t>Att_I</w:t>
            </w:r>
            <w:proofErr w:type="spellEnd"/>
            <w:r w:rsidRPr="00105F57">
              <w:rPr>
                <w:rFonts w:eastAsia="Calibri" w:cs="Times New Roman"/>
              </w:rPr>
              <w:t xml:space="preserve"> Relevant approvals</w:t>
            </w:r>
          </w:p>
        </w:tc>
      </w:tr>
      <w:tr w:rsidR="00932F28" w:rsidRPr="00BF21A7" w14:paraId="2674D134" w14:textId="77777777" w:rsidTr="0520A47F">
        <w:trPr>
          <w:trHeight w:val="19"/>
        </w:trPr>
        <w:tc>
          <w:tcPr>
            <w:tcW w:w="1809" w:type="dxa"/>
            <w:tcBorders>
              <w:top w:val="single" w:sz="4" w:space="0" w:color="auto"/>
              <w:bottom w:val="single" w:sz="4" w:space="0" w:color="auto"/>
            </w:tcBorders>
          </w:tcPr>
          <w:p w14:paraId="3ACAAB63" w14:textId="77777777" w:rsidR="00932F28" w:rsidRPr="00BF21A7" w:rsidRDefault="00932F28" w:rsidP="001E4EC1">
            <w:pPr>
              <w:pStyle w:val="Heading6"/>
            </w:pPr>
            <w:r w:rsidRPr="00BF21A7">
              <w:t>References cited within the IESC’s advice</w:t>
            </w:r>
          </w:p>
        </w:tc>
        <w:tc>
          <w:tcPr>
            <w:tcW w:w="8159" w:type="dxa"/>
            <w:tcBorders>
              <w:top w:val="single" w:sz="4" w:space="0" w:color="auto"/>
              <w:bottom w:val="single" w:sz="4" w:space="0" w:color="auto"/>
            </w:tcBorders>
          </w:tcPr>
          <w:p w14:paraId="6C8E1DC9" w14:textId="4AD58A75" w:rsidR="00932F28" w:rsidRDefault="00932F28" w:rsidP="00226402">
            <w:pPr>
              <w:autoSpaceDE/>
              <w:autoSpaceDN/>
              <w:adjustRightInd/>
              <w:ind w:left="369" w:hanging="369"/>
            </w:pPr>
            <w:r w:rsidRPr="00A27740">
              <w:rPr>
                <w:rFonts w:eastAsia="Calibri" w:cs="Times New Roman"/>
                <w:bCs/>
              </w:rPr>
              <w:t xml:space="preserve">Coal Seam Gas - Joint industry framework (2021). Managing impacts to groundwater resources in the Surat Cumulative Management Area under EPBC Act approvals. March 17, 2021. Available [online]: </w:t>
            </w:r>
            <w:hyperlink r:id="rId12" w:history="1">
              <w:r w:rsidRPr="00885968">
                <w:rPr>
                  <w:rStyle w:val="Hyperlink"/>
                  <w:rFonts w:eastAsia="Calibri" w:cs="Times New Roman"/>
                  <w:bCs/>
                </w:rPr>
                <w:t>https://www.awe.gov.au/sites/default/files/documents/csg-joint-industry-framework.pdf</w:t>
              </w:r>
            </w:hyperlink>
            <w:r>
              <w:rPr>
                <w:rFonts w:eastAsia="Calibri" w:cs="Times New Roman"/>
                <w:bCs/>
              </w:rPr>
              <w:t xml:space="preserve">. </w:t>
            </w:r>
          </w:p>
          <w:p w14:paraId="6606D586" w14:textId="00BC154C" w:rsidR="00932F28" w:rsidRPr="00105F57" w:rsidRDefault="00932F28" w:rsidP="0520A47F">
            <w:pPr>
              <w:autoSpaceDE/>
              <w:autoSpaceDN/>
              <w:adjustRightInd/>
              <w:ind w:left="369" w:hanging="369"/>
              <w:rPr>
                <w:rFonts w:eastAsia="Calibri" w:cs="Times New Roman"/>
                <w:u w:val="single"/>
              </w:rPr>
            </w:pPr>
            <w:r w:rsidRPr="0520A47F">
              <w:rPr>
                <w:rFonts w:eastAsia="Calibri" w:cs="Times New Roman"/>
              </w:rPr>
              <w:t xml:space="preserve">Doody TM, Hancock </w:t>
            </w:r>
            <w:proofErr w:type="gramStart"/>
            <w:r w:rsidRPr="0520A47F">
              <w:rPr>
                <w:rFonts w:eastAsia="Calibri" w:cs="Times New Roman"/>
              </w:rPr>
              <w:t>PJ</w:t>
            </w:r>
            <w:proofErr w:type="gramEnd"/>
            <w:r w:rsidRPr="0520A47F">
              <w:rPr>
                <w:rFonts w:eastAsia="Calibri" w:cs="Times New Roman"/>
              </w:rPr>
              <w:t xml:space="preserve"> and Pritchard JL (2019). </w:t>
            </w:r>
            <w:r w:rsidRPr="0520A47F">
              <w:rPr>
                <w:rFonts w:eastAsia="Calibri" w:cs="Times New Roman"/>
                <w:i/>
                <w:iCs/>
              </w:rPr>
              <w:t xml:space="preserve">Information Guideline Explanatory Note: Assessing groundwater-dependent ecosystems. </w:t>
            </w:r>
            <w:r w:rsidRPr="0520A47F">
              <w:rPr>
                <w:rFonts w:eastAsia="Calibri" w:cs="Times New Roman"/>
              </w:rPr>
              <w:t>Report prepared for the Independent Expert Scientific Committee on Coal Seam Gas and Large Coal Mining Development through the Department of Environment and Energy, Commonwealth of Australia.</w:t>
            </w:r>
          </w:p>
          <w:p w14:paraId="23198E4C" w14:textId="45934DD8" w:rsidR="00932F28" w:rsidRPr="00AC0FE0" w:rsidRDefault="51766567" w:rsidP="008A13F0">
            <w:pPr>
              <w:autoSpaceDE/>
              <w:autoSpaceDN/>
              <w:adjustRightInd/>
              <w:ind w:left="369" w:hanging="369"/>
              <w:rPr>
                <w:rFonts w:eastAsia="Calibri" w:cs="Times New Roman"/>
              </w:rPr>
            </w:pPr>
            <w:proofErr w:type="spellStart"/>
            <w:r w:rsidRPr="00AC0FE0">
              <w:rPr>
                <w:rFonts w:eastAsia="Arial"/>
              </w:rPr>
              <w:t>Saccò</w:t>
            </w:r>
            <w:proofErr w:type="spellEnd"/>
            <w:r w:rsidRPr="00AC0FE0">
              <w:rPr>
                <w:rFonts w:eastAsia="Arial"/>
              </w:rPr>
              <w:t xml:space="preserve"> M, Blyth AJ, Humphreys WF, Kuhl A, </w:t>
            </w:r>
            <w:proofErr w:type="spellStart"/>
            <w:r w:rsidRPr="00AC0FE0">
              <w:rPr>
                <w:rFonts w:eastAsia="Arial"/>
              </w:rPr>
              <w:t>Mazumder</w:t>
            </w:r>
            <w:proofErr w:type="spellEnd"/>
            <w:r w:rsidRPr="00AC0FE0">
              <w:rPr>
                <w:rFonts w:eastAsia="Arial"/>
              </w:rPr>
              <w:t xml:space="preserve"> D, Smith C and Grice K (2019). Elucidating stygofaunal trophic web interactions via isotopic ecology. </w:t>
            </w:r>
            <w:proofErr w:type="spellStart"/>
            <w:r w:rsidRPr="00AC0FE0">
              <w:rPr>
                <w:rFonts w:eastAsia="Arial"/>
                <w:i/>
                <w:iCs/>
              </w:rPr>
              <w:t>PLoS</w:t>
            </w:r>
            <w:proofErr w:type="spellEnd"/>
            <w:r w:rsidRPr="00AC0FE0">
              <w:rPr>
                <w:rFonts w:eastAsia="Arial"/>
                <w:i/>
                <w:iCs/>
              </w:rPr>
              <w:t xml:space="preserve"> ONE</w:t>
            </w:r>
            <w:r w:rsidRPr="00AC0FE0">
              <w:rPr>
                <w:rFonts w:eastAsia="Arial"/>
              </w:rPr>
              <w:t>, 14, Article e0223982.</w:t>
            </w:r>
          </w:p>
        </w:tc>
      </w:tr>
    </w:tbl>
    <w:p w14:paraId="0E5152B0" w14:textId="63D80ACE" w:rsidR="007203C3" w:rsidRPr="00932F28" w:rsidRDefault="007203C3" w:rsidP="00D70558"/>
    <w:sectPr w:rsidR="007203C3" w:rsidRPr="00932F28" w:rsidSect="00FD7882">
      <w:headerReference w:type="even" r:id="rId13"/>
      <w:headerReference w:type="default" r:id="rId14"/>
      <w:footerReference w:type="default" r:id="rId15"/>
      <w:headerReference w:type="first" r:id="rId16"/>
      <w:footerReference w:type="first" r:id="rId1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4174" w14:textId="77777777" w:rsidR="00DB0FD8" w:rsidRDefault="00DB0FD8" w:rsidP="00D622B9">
      <w:r>
        <w:separator/>
      </w:r>
    </w:p>
  </w:endnote>
  <w:endnote w:type="continuationSeparator" w:id="0">
    <w:p w14:paraId="0B3602CB" w14:textId="77777777" w:rsidR="00DB0FD8" w:rsidRDefault="00DB0FD8" w:rsidP="00D622B9">
      <w:r>
        <w:continuationSeparator/>
      </w:r>
    </w:p>
  </w:endnote>
  <w:endnote w:type="continuationNotice" w:id="1">
    <w:p w14:paraId="0C54E4B5" w14:textId="77777777" w:rsidR="00DB0FD8" w:rsidRDefault="00DB0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5A94" w14:textId="77777777" w:rsidR="00932F28" w:rsidRPr="00637239" w:rsidRDefault="00932F28" w:rsidP="003B5A88">
    <w:pPr>
      <w:pStyle w:val="Footer"/>
      <w:pBdr>
        <w:top w:val="single" w:sz="12" w:space="0" w:color="auto"/>
      </w:pBdr>
    </w:pPr>
  </w:p>
  <w:p w14:paraId="2D05BA18" w14:textId="3E733556" w:rsidR="00932F28" w:rsidRPr="00637239" w:rsidRDefault="00932F28" w:rsidP="003B5A88">
    <w:pPr>
      <w:pStyle w:val="Footer"/>
      <w:pBdr>
        <w:top w:val="single" w:sz="12" w:space="0" w:color="auto"/>
      </w:pBdr>
      <w:rPr>
        <w:sz w:val="20"/>
      </w:rPr>
    </w:pPr>
    <w:r w:rsidRPr="001E0A46">
      <w:rPr>
        <w:sz w:val="20"/>
      </w:rPr>
      <w:t xml:space="preserve">Draft </w:t>
    </w:r>
    <w:proofErr w:type="spellStart"/>
    <w:r w:rsidRPr="001E0A46">
      <w:rPr>
        <w:sz w:val="20"/>
      </w:rPr>
      <w:t>Towrie</w:t>
    </w:r>
    <w:proofErr w:type="spellEnd"/>
    <w:r w:rsidRPr="001E0A46">
      <w:rPr>
        <w:sz w:val="20"/>
      </w:rPr>
      <w:t xml:space="preserve"> Gas Development Project Advice – Version </w:t>
    </w:r>
    <w:r w:rsidR="000530D6">
      <w:rPr>
        <w:sz w:val="20"/>
      </w:rPr>
      <w:t>2</w:t>
    </w:r>
    <w:r w:rsidR="006D2E5C" w:rsidRPr="00637239">
      <w:rPr>
        <w:color w:val="FF0000"/>
        <w:sz w:val="20"/>
      </w:rPr>
      <w:ptab w:relativeTo="margin" w:alignment="right" w:leader="none"/>
    </w:r>
    <w:r w:rsidR="006D2E5C" w:rsidRPr="00637239">
      <w:rPr>
        <w:color w:val="FF0000"/>
        <w:sz w:val="20"/>
      </w:rPr>
      <w:t>XX</w:t>
    </w:r>
    <w:r w:rsidRPr="00637239">
      <w:rPr>
        <w:color w:val="FF0000"/>
        <w:sz w:val="20"/>
      </w:rPr>
      <w:t xml:space="preserve"> </w:t>
    </w:r>
    <w:r>
      <w:rPr>
        <w:color w:val="FF0000"/>
        <w:sz w:val="20"/>
      </w:rPr>
      <w:t>February</w:t>
    </w:r>
    <w:r w:rsidRPr="00637239">
      <w:rPr>
        <w:sz w:val="20"/>
      </w:rPr>
      <w:t xml:space="preserve"> 20</w:t>
    </w:r>
    <w:r>
      <w:rPr>
        <w:sz w:val="20"/>
      </w:rPr>
      <w:t>22</w:t>
    </w:r>
  </w:p>
  <w:p w14:paraId="4FC0F01A" w14:textId="77777777" w:rsidR="00932F28" w:rsidRPr="00637239" w:rsidRDefault="00932F28"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E4B6" w14:textId="77777777" w:rsidR="00932F28" w:rsidRPr="001E0A46" w:rsidRDefault="00932F28" w:rsidP="000F240D">
    <w:pPr>
      <w:pStyle w:val="Footer"/>
      <w:pBdr>
        <w:top w:val="single" w:sz="12" w:space="0" w:color="auto"/>
      </w:pBdr>
      <w:ind w:left="-426"/>
    </w:pPr>
  </w:p>
  <w:p w14:paraId="258AD7EF" w14:textId="334ED40B" w:rsidR="00932F28" w:rsidRDefault="00932F28" w:rsidP="000F240D">
    <w:pPr>
      <w:pStyle w:val="Footer"/>
      <w:pBdr>
        <w:top w:val="single" w:sz="12" w:space="0" w:color="auto"/>
      </w:pBdr>
      <w:ind w:left="-426"/>
      <w:rPr>
        <w:color w:val="FF0000"/>
        <w:sz w:val="20"/>
      </w:rPr>
    </w:pPr>
    <w:proofErr w:type="spellStart"/>
    <w:r w:rsidRPr="001E0A46">
      <w:rPr>
        <w:sz w:val="20"/>
      </w:rPr>
      <w:t>Towrie</w:t>
    </w:r>
    <w:proofErr w:type="spellEnd"/>
    <w:r w:rsidRPr="001E0A46">
      <w:rPr>
        <w:sz w:val="20"/>
      </w:rPr>
      <w:t xml:space="preserve"> Gas Development Project Advice </w:t>
    </w:r>
    <w:r w:rsidR="00A06325" w:rsidRPr="00777DE5">
      <w:rPr>
        <w:sz w:val="20"/>
      </w:rPr>
      <w:ptab w:relativeTo="margin" w:alignment="right" w:leader="none"/>
    </w:r>
    <w:r w:rsidR="00627023">
      <w:rPr>
        <w:sz w:val="20"/>
      </w:rPr>
      <w:t>7</w:t>
    </w:r>
    <w:r w:rsidRPr="00777DE5">
      <w:rPr>
        <w:sz w:val="20"/>
      </w:rPr>
      <w:t xml:space="preserve"> </w:t>
    </w:r>
    <w:r w:rsidR="00777DE5" w:rsidRPr="00777DE5">
      <w:rPr>
        <w:sz w:val="20"/>
      </w:rPr>
      <w:t>February</w:t>
    </w:r>
    <w:r w:rsidRPr="00777DE5">
      <w:rPr>
        <w:sz w:val="20"/>
      </w:rPr>
      <w:t xml:space="preserve"> </w:t>
    </w:r>
    <w:r w:rsidRPr="001E0A46">
      <w:rPr>
        <w:sz w:val="20"/>
      </w:rPr>
      <w:t>2022</w:t>
    </w:r>
  </w:p>
  <w:p w14:paraId="5A8AC00B" w14:textId="77777777" w:rsidR="00932F28" w:rsidRPr="00637239" w:rsidRDefault="00932F28"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905" w14:textId="57B15165" w:rsidR="006D2E5C" w:rsidRPr="00777DE5" w:rsidRDefault="001E0A46" w:rsidP="003B5A88">
    <w:pPr>
      <w:pStyle w:val="Footer"/>
      <w:pBdr>
        <w:top w:val="single" w:sz="12" w:space="0" w:color="auto"/>
      </w:pBdr>
      <w:rPr>
        <w:sz w:val="20"/>
      </w:rPr>
    </w:pPr>
    <w:proofErr w:type="spellStart"/>
    <w:r w:rsidRPr="001E0A46">
      <w:rPr>
        <w:sz w:val="20"/>
      </w:rPr>
      <w:t>Towrie</w:t>
    </w:r>
    <w:proofErr w:type="spellEnd"/>
    <w:r w:rsidRPr="001E0A46">
      <w:rPr>
        <w:sz w:val="20"/>
      </w:rPr>
      <w:t xml:space="preserve"> Gas Development Project Advice</w:t>
    </w:r>
    <w:r w:rsidR="006D2E5C" w:rsidRPr="00777DE5">
      <w:rPr>
        <w:sz w:val="20"/>
      </w:rPr>
      <w:ptab w:relativeTo="margin" w:alignment="right" w:leader="none"/>
    </w:r>
    <w:r w:rsidR="00627023">
      <w:rPr>
        <w:sz w:val="20"/>
      </w:rPr>
      <w:t>7</w:t>
    </w:r>
    <w:r w:rsidR="006D2E5C" w:rsidRPr="00777DE5">
      <w:rPr>
        <w:sz w:val="20"/>
      </w:rPr>
      <w:t xml:space="preserve"> </w:t>
    </w:r>
    <w:r w:rsidR="003E498F" w:rsidRPr="00777DE5">
      <w:rPr>
        <w:sz w:val="20"/>
      </w:rPr>
      <w:t>February</w:t>
    </w:r>
    <w:r w:rsidR="006D2E5C" w:rsidRPr="00777DE5">
      <w:rPr>
        <w:sz w:val="20"/>
      </w:rPr>
      <w:t xml:space="preserve"> 20</w:t>
    </w:r>
    <w:r w:rsidRPr="00777DE5">
      <w:rPr>
        <w:sz w:val="20"/>
      </w:rPr>
      <w:t>22</w:t>
    </w:r>
  </w:p>
  <w:p w14:paraId="243529CB" w14:textId="77777777" w:rsidR="006D2E5C" w:rsidRPr="00777DE5" w:rsidRDefault="00CD275A" w:rsidP="003B5A88">
    <w:pPr>
      <w:pStyle w:val="Footer"/>
      <w:pBdr>
        <w:top w:val="single" w:sz="12" w:space="0" w:color="auto"/>
      </w:pBdr>
      <w:jc w:val="center"/>
      <w:rPr>
        <w:sz w:val="20"/>
      </w:rPr>
    </w:pPr>
    <w:r w:rsidRPr="00777DE5">
      <w:rPr>
        <w:sz w:val="20"/>
      </w:rPr>
      <w:fldChar w:fldCharType="begin"/>
    </w:r>
    <w:r w:rsidR="006D2E5C" w:rsidRPr="00777DE5">
      <w:rPr>
        <w:sz w:val="20"/>
      </w:rPr>
      <w:instrText xml:space="preserve"> PAGE   \* MERGEFORMAT </w:instrText>
    </w:r>
    <w:r w:rsidRPr="00777DE5">
      <w:rPr>
        <w:sz w:val="20"/>
      </w:rPr>
      <w:fldChar w:fldCharType="separate"/>
    </w:r>
    <w:r w:rsidR="00426849" w:rsidRPr="00777DE5">
      <w:rPr>
        <w:noProof/>
        <w:sz w:val="20"/>
      </w:rPr>
      <w:t>3</w:t>
    </w:r>
    <w:r w:rsidRPr="00777DE5">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1E0A46" w:rsidRDefault="007B11FD" w:rsidP="000F240D">
    <w:pPr>
      <w:pStyle w:val="Footer"/>
    </w:pPr>
  </w:p>
  <w:p w14:paraId="5984B83F" w14:textId="51788720" w:rsidR="00A06325" w:rsidRDefault="00A06325" w:rsidP="000F240D">
    <w:pPr>
      <w:pStyle w:val="Footer"/>
      <w:pBdr>
        <w:top w:val="single" w:sz="12" w:space="0" w:color="auto"/>
      </w:pBdr>
      <w:ind w:left="-426"/>
      <w:rPr>
        <w:color w:val="FF0000"/>
        <w:sz w:val="20"/>
      </w:rPr>
    </w:pPr>
    <w:bookmarkStart w:id="1" w:name="_Hlk93316550"/>
    <w:bookmarkStart w:id="2" w:name="_Hlk93316535"/>
    <w:r w:rsidRPr="001E0A46">
      <w:rPr>
        <w:sz w:val="20"/>
      </w:rPr>
      <w:t xml:space="preserve">Draft </w:t>
    </w:r>
    <w:proofErr w:type="spellStart"/>
    <w:r w:rsidR="001E0A46" w:rsidRPr="001E0A46">
      <w:rPr>
        <w:sz w:val="20"/>
      </w:rPr>
      <w:t>Towrie</w:t>
    </w:r>
    <w:proofErr w:type="spellEnd"/>
    <w:r w:rsidR="001E0A46" w:rsidRPr="001E0A46">
      <w:rPr>
        <w:sz w:val="20"/>
      </w:rPr>
      <w:t xml:space="preserve"> Gas Development Project</w:t>
    </w:r>
    <w:r w:rsidRPr="001E0A46">
      <w:rPr>
        <w:sz w:val="20"/>
      </w:rPr>
      <w:t xml:space="preserve"> Advice – Version </w:t>
    </w:r>
    <w:bookmarkEnd w:id="1"/>
    <w:r w:rsidRPr="001E0A46">
      <w:rPr>
        <w:sz w:val="20"/>
      </w:rPr>
      <w:t>1</w:t>
    </w:r>
    <w:r w:rsidRPr="00637239">
      <w:rPr>
        <w:color w:val="FF0000"/>
        <w:sz w:val="20"/>
      </w:rPr>
      <w:ptab w:relativeTo="margin" w:alignment="right" w:leader="none"/>
    </w:r>
    <w:r w:rsidRPr="00637239">
      <w:rPr>
        <w:color w:val="FF0000"/>
        <w:sz w:val="20"/>
      </w:rPr>
      <w:t xml:space="preserve">XX </w:t>
    </w:r>
    <w:r w:rsidR="001E0A46" w:rsidRPr="001E0A46">
      <w:rPr>
        <w:color w:val="FF0000"/>
        <w:sz w:val="20"/>
      </w:rPr>
      <w:t>Month</w:t>
    </w:r>
    <w:r w:rsidRPr="001E0A46">
      <w:rPr>
        <w:color w:val="FF0000"/>
        <w:sz w:val="20"/>
      </w:rPr>
      <w:t xml:space="preserve"> </w:t>
    </w:r>
    <w:r w:rsidRPr="001E0A46">
      <w:rPr>
        <w:sz w:val="20"/>
      </w:rPr>
      <w:t>20</w:t>
    </w:r>
    <w:r w:rsidR="001E0A46" w:rsidRPr="001E0A46">
      <w:rPr>
        <w:sz w:val="20"/>
      </w:rPr>
      <w:t>22</w:t>
    </w:r>
  </w:p>
  <w:bookmarkEnd w:id="2"/>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BC76" w14:textId="77777777" w:rsidR="00DB0FD8" w:rsidRDefault="00DB0FD8" w:rsidP="00D622B9">
      <w:r>
        <w:separator/>
      </w:r>
    </w:p>
  </w:footnote>
  <w:footnote w:type="continuationSeparator" w:id="0">
    <w:p w14:paraId="3266D487" w14:textId="77777777" w:rsidR="00DB0FD8" w:rsidRDefault="00DB0FD8" w:rsidP="00D622B9">
      <w:r>
        <w:continuationSeparator/>
      </w:r>
    </w:p>
  </w:footnote>
  <w:footnote w:type="continuationNotice" w:id="1">
    <w:p w14:paraId="048314C8" w14:textId="77777777" w:rsidR="00DB0FD8" w:rsidRDefault="00DB0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B744" w14:textId="77777777" w:rsidR="00932F28" w:rsidRDefault="00932F28"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54020"/>
      <w:docPartObj>
        <w:docPartGallery w:val="Watermarks"/>
        <w:docPartUnique/>
      </w:docPartObj>
    </w:sdtPr>
    <w:sdtEndPr/>
    <w:sdtContent>
      <w:p w14:paraId="016895C7" w14:textId="77777777" w:rsidR="00932F28" w:rsidRPr="00EF5270" w:rsidRDefault="006307AB" w:rsidP="00D622B9">
        <w:pPr>
          <w:pStyle w:val="Header"/>
        </w:pPr>
        <w:r>
          <w:rPr>
            <w:noProof/>
            <w:lang w:val="en-US" w:eastAsia="zh-TW"/>
          </w:rPr>
          <w:pict w14:anchorId="581E5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772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C801" w14:textId="77777777" w:rsidR="00932F28" w:rsidRDefault="00932F28" w:rsidP="00264083">
    <w:pPr>
      <w:pStyle w:val="Header"/>
      <w:spacing w:after="0" w:line="240" w:lineRule="auto"/>
    </w:pPr>
    <w:r w:rsidRPr="00076FD2">
      <w:rPr>
        <w:noProof/>
        <w:lang w:eastAsia="en-AU"/>
      </w:rPr>
      <w:drawing>
        <wp:anchor distT="0" distB="0" distL="114300" distR="114300" simplePos="0" relativeHeight="251657728" behindDoc="0" locked="0" layoutInCell="1" allowOverlap="1" wp14:anchorId="5DED3B8D" wp14:editId="711268B6">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0515E153" w:rsidR="006D2E5C" w:rsidRPr="00EF5270" w:rsidRDefault="006D2E5C" w:rsidP="00D622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pPr>
      <w:pStyle w:val="Header"/>
    </w:pPr>
    <w:r w:rsidRPr="00076FD2">
      <w:rPr>
        <w:noProof/>
        <w:lang w:eastAsia="en-AU"/>
      </w:rPr>
      <w:drawing>
        <wp:anchor distT="0" distB="0" distL="114300" distR="114300" simplePos="0" relativeHeight="251656704"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63E6FA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6EA00C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DDE9E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2074BA6"/>
    <w:multiLevelType w:val="multilevel"/>
    <w:tmpl w:val="E12C1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7A26DD"/>
    <w:multiLevelType w:val="hybridMultilevel"/>
    <w:tmpl w:val="4BB83420"/>
    <w:lvl w:ilvl="0" w:tplc="1AC8CA3E">
      <w:start w:val="1"/>
      <w:numFmt w:val="decimal"/>
      <w:lvlText w:val="%1."/>
      <w:lvlJc w:val="left"/>
      <w:pPr>
        <w:ind w:left="720" w:hanging="360"/>
      </w:pPr>
    </w:lvl>
    <w:lvl w:ilvl="1" w:tplc="3E5496E0">
      <w:start w:val="1"/>
      <w:numFmt w:val="lowerLetter"/>
      <w:lvlText w:val="%2."/>
      <w:lvlJc w:val="left"/>
      <w:pPr>
        <w:ind w:left="1440" w:hanging="360"/>
      </w:pPr>
    </w:lvl>
    <w:lvl w:ilvl="2" w:tplc="863E8F44">
      <w:start w:val="1"/>
      <w:numFmt w:val="lowerRoman"/>
      <w:lvlText w:val="%3."/>
      <w:lvlJc w:val="right"/>
      <w:pPr>
        <w:ind w:left="2160" w:hanging="180"/>
      </w:pPr>
    </w:lvl>
    <w:lvl w:ilvl="3" w:tplc="B4EAEE52">
      <w:start w:val="1"/>
      <w:numFmt w:val="decimal"/>
      <w:lvlText w:val="%4."/>
      <w:lvlJc w:val="left"/>
      <w:pPr>
        <w:ind w:left="2880" w:hanging="360"/>
      </w:pPr>
    </w:lvl>
    <w:lvl w:ilvl="4" w:tplc="6C4C15E2">
      <w:start w:val="1"/>
      <w:numFmt w:val="lowerLetter"/>
      <w:lvlText w:val="%5."/>
      <w:lvlJc w:val="left"/>
      <w:pPr>
        <w:ind w:left="3600" w:hanging="360"/>
      </w:pPr>
    </w:lvl>
    <w:lvl w:ilvl="5" w:tplc="ED8CAB5E">
      <w:start w:val="1"/>
      <w:numFmt w:val="lowerRoman"/>
      <w:lvlText w:val="%6."/>
      <w:lvlJc w:val="right"/>
      <w:pPr>
        <w:ind w:left="4320" w:hanging="180"/>
      </w:pPr>
    </w:lvl>
    <w:lvl w:ilvl="6" w:tplc="D80E36E0">
      <w:start w:val="1"/>
      <w:numFmt w:val="decimal"/>
      <w:lvlText w:val="%7."/>
      <w:lvlJc w:val="left"/>
      <w:pPr>
        <w:ind w:left="5040" w:hanging="360"/>
      </w:pPr>
    </w:lvl>
    <w:lvl w:ilvl="7" w:tplc="98625854">
      <w:start w:val="1"/>
      <w:numFmt w:val="lowerLetter"/>
      <w:lvlText w:val="%8."/>
      <w:lvlJc w:val="left"/>
      <w:pPr>
        <w:ind w:left="5760" w:hanging="360"/>
      </w:pPr>
    </w:lvl>
    <w:lvl w:ilvl="8" w:tplc="FAF88A22">
      <w:start w:val="1"/>
      <w:numFmt w:val="lowerRoman"/>
      <w:lvlText w:val="%9."/>
      <w:lvlJc w:val="right"/>
      <w:pPr>
        <w:ind w:left="6480" w:hanging="180"/>
      </w:pPr>
    </w:lvl>
  </w:abstractNum>
  <w:abstractNum w:abstractNumId="6"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E2C0D"/>
    <w:multiLevelType w:val="multilevel"/>
    <w:tmpl w:val="77347B4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bullet"/>
      <w:lvlText w:val=""/>
      <w:lvlJc w:val="left"/>
      <w:pPr>
        <w:ind w:left="1106" w:hanging="369"/>
      </w:pPr>
      <w:rPr>
        <w:rFonts w:ascii="Wingdings" w:hAnsi="Wingding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F771860"/>
    <w:multiLevelType w:val="hybridMultilevel"/>
    <w:tmpl w:val="BAE21FD0"/>
    <w:lvl w:ilvl="0" w:tplc="EE327642">
      <w:start w:val="1"/>
      <w:numFmt w:val="bullet"/>
      <w:lvlText w:val="·"/>
      <w:lvlJc w:val="left"/>
      <w:pPr>
        <w:ind w:left="720" w:hanging="360"/>
      </w:pPr>
      <w:rPr>
        <w:rFonts w:ascii="Symbol" w:hAnsi="Symbol" w:hint="default"/>
      </w:rPr>
    </w:lvl>
    <w:lvl w:ilvl="1" w:tplc="382A292A">
      <w:start w:val="1"/>
      <w:numFmt w:val="bullet"/>
      <w:lvlText w:val="o"/>
      <w:lvlJc w:val="left"/>
      <w:pPr>
        <w:ind w:left="1440" w:hanging="360"/>
      </w:pPr>
      <w:rPr>
        <w:rFonts w:ascii="Courier New" w:hAnsi="Courier New" w:hint="default"/>
      </w:rPr>
    </w:lvl>
    <w:lvl w:ilvl="2" w:tplc="B1628006">
      <w:start w:val="1"/>
      <w:numFmt w:val="bullet"/>
      <w:lvlText w:val=""/>
      <w:lvlJc w:val="left"/>
      <w:pPr>
        <w:ind w:left="2160" w:hanging="360"/>
      </w:pPr>
      <w:rPr>
        <w:rFonts w:ascii="Wingdings" w:hAnsi="Wingdings" w:hint="default"/>
      </w:rPr>
    </w:lvl>
    <w:lvl w:ilvl="3" w:tplc="06F2EE08">
      <w:start w:val="1"/>
      <w:numFmt w:val="bullet"/>
      <w:lvlText w:val=""/>
      <w:lvlJc w:val="left"/>
      <w:pPr>
        <w:ind w:left="2880" w:hanging="360"/>
      </w:pPr>
      <w:rPr>
        <w:rFonts w:ascii="Symbol" w:hAnsi="Symbol" w:hint="default"/>
      </w:rPr>
    </w:lvl>
    <w:lvl w:ilvl="4" w:tplc="2D8A91B6">
      <w:start w:val="1"/>
      <w:numFmt w:val="bullet"/>
      <w:lvlText w:val="o"/>
      <w:lvlJc w:val="left"/>
      <w:pPr>
        <w:ind w:left="3600" w:hanging="360"/>
      </w:pPr>
      <w:rPr>
        <w:rFonts w:ascii="Courier New" w:hAnsi="Courier New" w:hint="default"/>
      </w:rPr>
    </w:lvl>
    <w:lvl w:ilvl="5" w:tplc="635A12B8">
      <w:start w:val="1"/>
      <w:numFmt w:val="bullet"/>
      <w:lvlText w:val=""/>
      <w:lvlJc w:val="left"/>
      <w:pPr>
        <w:ind w:left="4320" w:hanging="360"/>
      </w:pPr>
      <w:rPr>
        <w:rFonts w:ascii="Wingdings" w:hAnsi="Wingdings" w:hint="default"/>
      </w:rPr>
    </w:lvl>
    <w:lvl w:ilvl="6" w:tplc="9F62E43E">
      <w:start w:val="1"/>
      <w:numFmt w:val="bullet"/>
      <w:lvlText w:val=""/>
      <w:lvlJc w:val="left"/>
      <w:pPr>
        <w:ind w:left="5040" w:hanging="360"/>
      </w:pPr>
      <w:rPr>
        <w:rFonts w:ascii="Symbol" w:hAnsi="Symbol" w:hint="default"/>
      </w:rPr>
    </w:lvl>
    <w:lvl w:ilvl="7" w:tplc="DBA86658">
      <w:start w:val="1"/>
      <w:numFmt w:val="bullet"/>
      <w:lvlText w:val="o"/>
      <w:lvlJc w:val="left"/>
      <w:pPr>
        <w:ind w:left="5760" w:hanging="360"/>
      </w:pPr>
      <w:rPr>
        <w:rFonts w:ascii="Courier New" w:hAnsi="Courier New" w:hint="default"/>
      </w:rPr>
    </w:lvl>
    <w:lvl w:ilvl="8" w:tplc="D5887E04">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775A7"/>
    <w:multiLevelType w:val="hybridMultilevel"/>
    <w:tmpl w:val="A1A242FA"/>
    <w:lvl w:ilvl="0" w:tplc="E06E6D6C">
      <w:start w:val="1"/>
      <w:numFmt w:val="decimal"/>
      <w:lvlText w:val="%1."/>
      <w:lvlJc w:val="left"/>
      <w:pPr>
        <w:ind w:left="720" w:hanging="360"/>
      </w:pPr>
    </w:lvl>
    <w:lvl w:ilvl="1" w:tplc="41EEBB30">
      <w:start w:val="1"/>
      <w:numFmt w:val="lowerLetter"/>
      <w:lvlText w:val="%2."/>
      <w:lvlJc w:val="left"/>
      <w:pPr>
        <w:ind w:left="1440" w:hanging="360"/>
      </w:pPr>
    </w:lvl>
    <w:lvl w:ilvl="2" w:tplc="9CBC5BB4">
      <w:start w:val="1"/>
      <w:numFmt w:val="lowerRoman"/>
      <w:lvlText w:val="%3."/>
      <w:lvlJc w:val="right"/>
      <w:pPr>
        <w:ind w:left="2160" w:hanging="180"/>
      </w:pPr>
    </w:lvl>
    <w:lvl w:ilvl="3" w:tplc="6922D78E">
      <w:start w:val="1"/>
      <w:numFmt w:val="decimal"/>
      <w:lvlText w:val="%4."/>
      <w:lvlJc w:val="left"/>
      <w:pPr>
        <w:ind w:left="2880" w:hanging="360"/>
      </w:pPr>
    </w:lvl>
    <w:lvl w:ilvl="4" w:tplc="02721362">
      <w:start w:val="1"/>
      <w:numFmt w:val="lowerLetter"/>
      <w:lvlText w:val="%5."/>
      <w:lvlJc w:val="left"/>
      <w:pPr>
        <w:ind w:left="3600" w:hanging="360"/>
      </w:pPr>
    </w:lvl>
    <w:lvl w:ilvl="5" w:tplc="06704D30">
      <w:start w:val="1"/>
      <w:numFmt w:val="lowerRoman"/>
      <w:lvlText w:val="%6."/>
      <w:lvlJc w:val="right"/>
      <w:pPr>
        <w:ind w:left="4320" w:hanging="180"/>
      </w:pPr>
    </w:lvl>
    <w:lvl w:ilvl="6" w:tplc="BC7A495A">
      <w:start w:val="1"/>
      <w:numFmt w:val="decimal"/>
      <w:lvlText w:val="%7."/>
      <w:lvlJc w:val="left"/>
      <w:pPr>
        <w:ind w:left="5040" w:hanging="360"/>
      </w:pPr>
    </w:lvl>
    <w:lvl w:ilvl="7" w:tplc="5FD62356">
      <w:start w:val="1"/>
      <w:numFmt w:val="lowerLetter"/>
      <w:lvlText w:val="%8."/>
      <w:lvlJc w:val="left"/>
      <w:pPr>
        <w:ind w:left="5760" w:hanging="360"/>
      </w:pPr>
    </w:lvl>
    <w:lvl w:ilvl="8" w:tplc="1EAE68FA">
      <w:start w:val="1"/>
      <w:numFmt w:val="lowerRoman"/>
      <w:lvlText w:val="%9."/>
      <w:lvlJc w:val="right"/>
      <w:pPr>
        <w:ind w:left="6480" w:hanging="180"/>
      </w:pPr>
    </w:lvl>
  </w:abstractNum>
  <w:abstractNum w:abstractNumId="12" w15:restartNumberingAfterBreak="0">
    <w:nsid w:val="52D74163"/>
    <w:multiLevelType w:val="hybridMultilevel"/>
    <w:tmpl w:val="4F829238"/>
    <w:lvl w:ilvl="0" w:tplc="0DBAE1B0">
      <w:start w:val="1"/>
      <w:numFmt w:val="decimal"/>
      <w:lvlText w:val="%1."/>
      <w:lvlJc w:val="left"/>
      <w:pPr>
        <w:ind w:left="720" w:hanging="360"/>
      </w:pPr>
    </w:lvl>
    <w:lvl w:ilvl="1" w:tplc="DCE61B3A">
      <w:start w:val="1"/>
      <w:numFmt w:val="lowerLetter"/>
      <w:lvlText w:val="%2."/>
      <w:lvlJc w:val="left"/>
      <w:pPr>
        <w:ind w:left="1440" w:hanging="360"/>
      </w:pPr>
    </w:lvl>
    <w:lvl w:ilvl="2" w:tplc="E8C6B75E">
      <w:start w:val="1"/>
      <w:numFmt w:val="lowerRoman"/>
      <w:lvlText w:val="%3."/>
      <w:lvlJc w:val="right"/>
      <w:pPr>
        <w:ind w:left="2160" w:hanging="180"/>
      </w:pPr>
    </w:lvl>
    <w:lvl w:ilvl="3" w:tplc="46BAC7E8">
      <w:start w:val="1"/>
      <w:numFmt w:val="decimal"/>
      <w:lvlText w:val="%4."/>
      <w:lvlJc w:val="left"/>
      <w:pPr>
        <w:ind w:left="2880" w:hanging="360"/>
      </w:pPr>
    </w:lvl>
    <w:lvl w:ilvl="4" w:tplc="930A4E6E">
      <w:start w:val="1"/>
      <w:numFmt w:val="lowerLetter"/>
      <w:lvlText w:val="%5."/>
      <w:lvlJc w:val="left"/>
      <w:pPr>
        <w:ind w:left="3600" w:hanging="360"/>
      </w:pPr>
    </w:lvl>
    <w:lvl w:ilvl="5" w:tplc="49628E28">
      <w:start w:val="1"/>
      <w:numFmt w:val="lowerRoman"/>
      <w:lvlText w:val="%6."/>
      <w:lvlJc w:val="right"/>
      <w:pPr>
        <w:ind w:left="4320" w:hanging="180"/>
      </w:pPr>
    </w:lvl>
    <w:lvl w:ilvl="6" w:tplc="2BF017A2">
      <w:start w:val="1"/>
      <w:numFmt w:val="decimal"/>
      <w:lvlText w:val="%7."/>
      <w:lvlJc w:val="left"/>
      <w:pPr>
        <w:ind w:left="5040" w:hanging="360"/>
      </w:pPr>
    </w:lvl>
    <w:lvl w:ilvl="7" w:tplc="1CB6CA24">
      <w:start w:val="1"/>
      <w:numFmt w:val="lowerLetter"/>
      <w:lvlText w:val="%8."/>
      <w:lvlJc w:val="left"/>
      <w:pPr>
        <w:ind w:left="5760" w:hanging="360"/>
      </w:pPr>
    </w:lvl>
    <w:lvl w:ilvl="8" w:tplc="65E440C6">
      <w:start w:val="1"/>
      <w:numFmt w:val="lowerRoman"/>
      <w:lvlText w:val="%9."/>
      <w:lvlJc w:val="right"/>
      <w:pPr>
        <w:ind w:left="6480" w:hanging="180"/>
      </w:pPr>
    </w:lvl>
  </w:abstractNum>
  <w:abstractNum w:abstractNumId="13"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11"/>
  </w:num>
  <w:num w:numId="3">
    <w:abstractNumId w:val="12"/>
  </w:num>
  <w:num w:numId="4">
    <w:abstractNumId w:val="8"/>
  </w:num>
  <w:num w:numId="5">
    <w:abstractNumId w:val="14"/>
  </w:num>
  <w:num w:numId="6">
    <w:abstractNumId w:val="3"/>
  </w:num>
  <w:num w:numId="7">
    <w:abstractNumId w:val="10"/>
  </w:num>
  <w:num w:numId="8">
    <w:abstractNumId w:val="9"/>
  </w:num>
  <w:num w:numId="9">
    <w:abstractNumId w:val="13"/>
  </w:num>
  <w:num w:numId="10">
    <w:abstractNumId w:val="6"/>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B1F"/>
    <w:rsid w:val="00004AEE"/>
    <w:rsid w:val="00005CAA"/>
    <w:rsid w:val="00010210"/>
    <w:rsid w:val="000106E9"/>
    <w:rsid w:val="00012BD7"/>
    <w:rsid w:val="00012D66"/>
    <w:rsid w:val="000138CD"/>
    <w:rsid w:val="00015ADA"/>
    <w:rsid w:val="00016388"/>
    <w:rsid w:val="00017C47"/>
    <w:rsid w:val="00020C5E"/>
    <w:rsid w:val="00020C99"/>
    <w:rsid w:val="00021907"/>
    <w:rsid w:val="00022481"/>
    <w:rsid w:val="0002707B"/>
    <w:rsid w:val="000309ED"/>
    <w:rsid w:val="00031B32"/>
    <w:rsid w:val="000350AC"/>
    <w:rsid w:val="00035FC0"/>
    <w:rsid w:val="00042A67"/>
    <w:rsid w:val="000441D1"/>
    <w:rsid w:val="0005019D"/>
    <w:rsid w:val="0005148E"/>
    <w:rsid w:val="000530D6"/>
    <w:rsid w:val="000547F0"/>
    <w:rsid w:val="000564D9"/>
    <w:rsid w:val="00056617"/>
    <w:rsid w:val="00062A46"/>
    <w:rsid w:val="00064D72"/>
    <w:rsid w:val="000759E5"/>
    <w:rsid w:val="0007601C"/>
    <w:rsid w:val="000801B9"/>
    <w:rsid w:val="00083865"/>
    <w:rsid w:val="00084AC6"/>
    <w:rsid w:val="00085816"/>
    <w:rsid w:val="00085F84"/>
    <w:rsid w:val="0008642F"/>
    <w:rsid w:val="00087E1A"/>
    <w:rsid w:val="00091608"/>
    <w:rsid w:val="0009196E"/>
    <w:rsid w:val="00092AB7"/>
    <w:rsid w:val="00092F92"/>
    <w:rsid w:val="000932DD"/>
    <w:rsid w:val="0009333C"/>
    <w:rsid w:val="000938A5"/>
    <w:rsid w:val="00093C10"/>
    <w:rsid w:val="00093E5E"/>
    <w:rsid w:val="00094729"/>
    <w:rsid w:val="0009481E"/>
    <w:rsid w:val="0009704F"/>
    <w:rsid w:val="000A0596"/>
    <w:rsid w:val="000A0F11"/>
    <w:rsid w:val="000A125A"/>
    <w:rsid w:val="000A228F"/>
    <w:rsid w:val="000A57CD"/>
    <w:rsid w:val="000A635D"/>
    <w:rsid w:val="000B16B2"/>
    <w:rsid w:val="000B1C68"/>
    <w:rsid w:val="000B2FF3"/>
    <w:rsid w:val="000B3281"/>
    <w:rsid w:val="000B3758"/>
    <w:rsid w:val="000B5211"/>
    <w:rsid w:val="000B5D76"/>
    <w:rsid w:val="000B7681"/>
    <w:rsid w:val="000B7B42"/>
    <w:rsid w:val="000C02B7"/>
    <w:rsid w:val="000C19AF"/>
    <w:rsid w:val="000C2814"/>
    <w:rsid w:val="000C4031"/>
    <w:rsid w:val="000C451B"/>
    <w:rsid w:val="000C5342"/>
    <w:rsid w:val="000C69AC"/>
    <w:rsid w:val="000C706A"/>
    <w:rsid w:val="000D09A9"/>
    <w:rsid w:val="000D1F0C"/>
    <w:rsid w:val="000D23A1"/>
    <w:rsid w:val="000D2887"/>
    <w:rsid w:val="000D47F2"/>
    <w:rsid w:val="000D4DF0"/>
    <w:rsid w:val="000D6D63"/>
    <w:rsid w:val="000D706B"/>
    <w:rsid w:val="000D7810"/>
    <w:rsid w:val="000E0081"/>
    <w:rsid w:val="000E07CF"/>
    <w:rsid w:val="000E150F"/>
    <w:rsid w:val="000F086D"/>
    <w:rsid w:val="000F240D"/>
    <w:rsid w:val="000F4B58"/>
    <w:rsid w:val="00100BEF"/>
    <w:rsid w:val="00101182"/>
    <w:rsid w:val="00102E17"/>
    <w:rsid w:val="00105F57"/>
    <w:rsid w:val="00111C34"/>
    <w:rsid w:val="00114157"/>
    <w:rsid w:val="0011498E"/>
    <w:rsid w:val="00116F05"/>
    <w:rsid w:val="00116F28"/>
    <w:rsid w:val="00117320"/>
    <w:rsid w:val="00117448"/>
    <w:rsid w:val="0011796F"/>
    <w:rsid w:val="00117A45"/>
    <w:rsid w:val="00120CE7"/>
    <w:rsid w:val="00121F8B"/>
    <w:rsid w:val="001224AE"/>
    <w:rsid w:val="00123035"/>
    <w:rsid w:val="0012388C"/>
    <w:rsid w:val="00127183"/>
    <w:rsid w:val="001300D0"/>
    <w:rsid w:val="00130B30"/>
    <w:rsid w:val="00130E99"/>
    <w:rsid w:val="001337D4"/>
    <w:rsid w:val="001340EA"/>
    <w:rsid w:val="00136324"/>
    <w:rsid w:val="00141E02"/>
    <w:rsid w:val="00143049"/>
    <w:rsid w:val="00145631"/>
    <w:rsid w:val="001456E0"/>
    <w:rsid w:val="00147C12"/>
    <w:rsid w:val="00147EFC"/>
    <w:rsid w:val="001527A1"/>
    <w:rsid w:val="001530DC"/>
    <w:rsid w:val="001539AF"/>
    <w:rsid w:val="00153CB7"/>
    <w:rsid w:val="00154989"/>
    <w:rsid w:val="00154A96"/>
    <w:rsid w:val="00155A9F"/>
    <w:rsid w:val="0015684F"/>
    <w:rsid w:val="00160262"/>
    <w:rsid w:val="001611F9"/>
    <w:rsid w:val="0016186F"/>
    <w:rsid w:val="0016281C"/>
    <w:rsid w:val="0016433A"/>
    <w:rsid w:val="0016780A"/>
    <w:rsid w:val="001713FA"/>
    <w:rsid w:val="00171A68"/>
    <w:rsid w:val="00173EBF"/>
    <w:rsid w:val="001765DA"/>
    <w:rsid w:val="0018361E"/>
    <w:rsid w:val="001842A2"/>
    <w:rsid w:val="00185039"/>
    <w:rsid w:val="00185407"/>
    <w:rsid w:val="001862A4"/>
    <w:rsid w:val="00186465"/>
    <w:rsid w:val="00187D3D"/>
    <w:rsid w:val="00187FA8"/>
    <w:rsid w:val="001922D0"/>
    <w:rsid w:val="00192F5E"/>
    <w:rsid w:val="001947D5"/>
    <w:rsid w:val="00197772"/>
    <w:rsid w:val="001A2D84"/>
    <w:rsid w:val="001A4F63"/>
    <w:rsid w:val="001A51C8"/>
    <w:rsid w:val="001A57C6"/>
    <w:rsid w:val="001A6261"/>
    <w:rsid w:val="001A7200"/>
    <w:rsid w:val="001B472B"/>
    <w:rsid w:val="001B4CA8"/>
    <w:rsid w:val="001C2A92"/>
    <w:rsid w:val="001C4140"/>
    <w:rsid w:val="001C4F3D"/>
    <w:rsid w:val="001C7C23"/>
    <w:rsid w:val="001D0CDC"/>
    <w:rsid w:val="001D1D82"/>
    <w:rsid w:val="001D2208"/>
    <w:rsid w:val="001D30A5"/>
    <w:rsid w:val="001E0A46"/>
    <w:rsid w:val="001E1182"/>
    <w:rsid w:val="001E25C4"/>
    <w:rsid w:val="001E2E34"/>
    <w:rsid w:val="001E320C"/>
    <w:rsid w:val="001E5C64"/>
    <w:rsid w:val="001F0E8B"/>
    <w:rsid w:val="001F1C4D"/>
    <w:rsid w:val="001F7F73"/>
    <w:rsid w:val="00200944"/>
    <w:rsid w:val="00202387"/>
    <w:rsid w:val="00202C90"/>
    <w:rsid w:val="0020604C"/>
    <w:rsid w:val="002126DA"/>
    <w:rsid w:val="00213DE8"/>
    <w:rsid w:val="00214EB7"/>
    <w:rsid w:val="00214FB5"/>
    <w:rsid w:val="00215212"/>
    <w:rsid w:val="00216118"/>
    <w:rsid w:val="002209AB"/>
    <w:rsid w:val="002237C8"/>
    <w:rsid w:val="00223C4B"/>
    <w:rsid w:val="00224308"/>
    <w:rsid w:val="002251E3"/>
    <w:rsid w:val="002262E6"/>
    <w:rsid w:val="00226402"/>
    <w:rsid w:val="00227A95"/>
    <w:rsid w:val="002316BD"/>
    <w:rsid w:val="00232D5F"/>
    <w:rsid w:val="00233687"/>
    <w:rsid w:val="002336F3"/>
    <w:rsid w:val="002377C7"/>
    <w:rsid w:val="002407C8"/>
    <w:rsid w:val="0024166C"/>
    <w:rsid w:val="002454A8"/>
    <w:rsid w:val="002473FC"/>
    <w:rsid w:val="00247433"/>
    <w:rsid w:val="00252E3C"/>
    <w:rsid w:val="002544A6"/>
    <w:rsid w:val="00261C9A"/>
    <w:rsid w:val="00262198"/>
    <w:rsid w:val="00264083"/>
    <w:rsid w:val="00264AF9"/>
    <w:rsid w:val="00264B3B"/>
    <w:rsid w:val="00264F3F"/>
    <w:rsid w:val="0026767C"/>
    <w:rsid w:val="00270FCE"/>
    <w:rsid w:val="00271D07"/>
    <w:rsid w:val="00277426"/>
    <w:rsid w:val="00277A51"/>
    <w:rsid w:val="002823E5"/>
    <w:rsid w:val="00285F1B"/>
    <w:rsid w:val="00290686"/>
    <w:rsid w:val="00291857"/>
    <w:rsid w:val="00292B81"/>
    <w:rsid w:val="0029322E"/>
    <w:rsid w:val="00294A0A"/>
    <w:rsid w:val="00296477"/>
    <w:rsid w:val="002974BC"/>
    <w:rsid w:val="002A270A"/>
    <w:rsid w:val="002A5877"/>
    <w:rsid w:val="002A5EC3"/>
    <w:rsid w:val="002A7504"/>
    <w:rsid w:val="002B18AE"/>
    <w:rsid w:val="002B5CE3"/>
    <w:rsid w:val="002B6472"/>
    <w:rsid w:val="002B67D3"/>
    <w:rsid w:val="002C1C93"/>
    <w:rsid w:val="002C3257"/>
    <w:rsid w:val="002C3738"/>
    <w:rsid w:val="002C4DC5"/>
    <w:rsid w:val="002C5066"/>
    <w:rsid w:val="002D1BF6"/>
    <w:rsid w:val="002D20B4"/>
    <w:rsid w:val="002D4AAC"/>
    <w:rsid w:val="002D5990"/>
    <w:rsid w:val="002D6C33"/>
    <w:rsid w:val="002E1AB0"/>
    <w:rsid w:val="002E43EF"/>
    <w:rsid w:val="002F045A"/>
    <w:rsid w:val="002F137E"/>
    <w:rsid w:val="002F7926"/>
    <w:rsid w:val="0030039D"/>
    <w:rsid w:val="00300715"/>
    <w:rsid w:val="00301CCF"/>
    <w:rsid w:val="00302DA1"/>
    <w:rsid w:val="0030326F"/>
    <w:rsid w:val="00310701"/>
    <w:rsid w:val="00311510"/>
    <w:rsid w:val="0031252A"/>
    <w:rsid w:val="003138AC"/>
    <w:rsid w:val="00313C91"/>
    <w:rsid w:val="0031588A"/>
    <w:rsid w:val="00315980"/>
    <w:rsid w:val="00316F7F"/>
    <w:rsid w:val="00320162"/>
    <w:rsid w:val="0032087E"/>
    <w:rsid w:val="003218E8"/>
    <w:rsid w:val="003301C2"/>
    <w:rsid w:val="00330DCE"/>
    <w:rsid w:val="00331E11"/>
    <w:rsid w:val="003320D8"/>
    <w:rsid w:val="003328B1"/>
    <w:rsid w:val="00334761"/>
    <w:rsid w:val="00335E68"/>
    <w:rsid w:val="00337EBC"/>
    <w:rsid w:val="0034033E"/>
    <w:rsid w:val="00341DCD"/>
    <w:rsid w:val="00343E78"/>
    <w:rsid w:val="0034504D"/>
    <w:rsid w:val="0034563E"/>
    <w:rsid w:val="00345BA2"/>
    <w:rsid w:val="00346C20"/>
    <w:rsid w:val="003504CC"/>
    <w:rsid w:val="003518D6"/>
    <w:rsid w:val="0035192E"/>
    <w:rsid w:val="0035460C"/>
    <w:rsid w:val="003556BD"/>
    <w:rsid w:val="00355F8C"/>
    <w:rsid w:val="00364E6D"/>
    <w:rsid w:val="00365147"/>
    <w:rsid w:val="00366F00"/>
    <w:rsid w:val="0037016E"/>
    <w:rsid w:val="00370E55"/>
    <w:rsid w:val="00372908"/>
    <w:rsid w:val="00372C7B"/>
    <w:rsid w:val="00373D95"/>
    <w:rsid w:val="00376457"/>
    <w:rsid w:val="0037649E"/>
    <w:rsid w:val="0037694D"/>
    <w:rsid w:val="00380A27"/>
    <w:rsid w:val="00381917"/>
    <w:rsid w:val="003829E9"/>
    <w:rsid w:val="00383020"/>
    <w:rsid w:val="00383687"/>
    <w:rsid w:val="00383750"/>
    <w:rsid w:val="00383F59"/>
    <w:rsid w:val="00387E8C"/>
    <w:rsid w:val="003909A2"/>
    <w:rsid w:val="003940F0"/>
    <w:rsid w:val="00397488"/>
    <w:rsid w:val="003975FD"/>
    <w:rsid w:val="003A0593"/>
    <w:rsid w:val="003A380B"/>
    <w:rsid w:val="003B1430"/>
    <w:rsid w:val="003B3134"/>
    <w:rsid w:val="003B3CAA"/>
    <w:rsid w:val="003B3FD9"/>
    <w:rsid w:val="003B5A88"/>
    <w:rsid w:val="003B60CC"/>
    <w:rsid w:val="003C0CC6"/>
    <w:rsid w:val="003C1B25"/>
    <w:rsid w:val="003C1E6B"/>
    <w:rsid w:val="003C2443"/>
    <w:rsid w:val="003C31E0"/>
    <w:rsid w:val="003C5DA3"/>
    <w:rsid w:val="003C5F09"/>
    <w:rsid w:val="003D4BCD"/>
    <w:rsid w:val="003D6992"/>
    <w:rsid w:val="003D7C64"/>
    <w:rsid w:val="003E01D8"/>
    <w:rsid w:val="003E0B87"/>
    <w:rsid w:val="003E18B8"/>
    <w:rsid w:val="003E2100"/>
    <w:rsid w:val="003E2135"/>
    <w:rsid w:val="003E2BDB"/>
    <w:rsid w:val="003E32C1"/>
    <w:rsid w:val="003E45FA"/>
    <w:rsid w:val="003E498F"/>
    <w:rsid w:val="003E4FFE"/>
    <w:rsid w:val="003E53CA"/>
    <w:rsid w:val="003E5ED5"/>
    <w:rsid w:val="003E7445"/>
    <w:rsid w:val="003F0CB7"/>
    <w:rsid w:val="003F1A45"/>
    <w:rsid w:val="003F2702"/>
    <w:rsid w:val="003F2895"/>
    <w:rsid w:val="003F2BF5"/>
    <w:rsid w:val="003F2CC1"/>
    <w:rsid w:val="003F2D24"/>
    <w:rsid w:val="003F41D0"/>
    <w:rsid w:val="003F4C3A"/>
    <w:rsid w:val="003F6F5B"/>
    <w:rsid w:val="00400F8F"/>
    <w:rsid w:val="0040342D"/>
    <w:rsid w:val="00403FB9"/>
    <w:rsid w:val="00405E1C"/>
    <w:rsid w:val="004118D4"/>
    <w:rsid w:val="0041192D"/>
    <w:rsid w:val="00411B09"/>
    <w:rsid w:val="00412263"/>
    <w:rsid w:val="0041275D"/>
    <w:rsid w:val="00412D30"/>
    <w:rsid w:val="00413E90"/>
    <w:rsid w:val="00413EE1"/>
    <w:rsid w:val="004147F2"/>
    <w:rsid w:val="0042128E"/>
    <w:rsid w:val="00423030"/>
    <w:rsid w:val="00423689"/>
    <w:rsid w:val="0042465A"/>
    <w:rsid w:val="00424B18"/>
    <w:rsid w:val="00426849"/>
    <w:rsid w:val="00431745"/>
    <w:rsid w:val="00432B60"/>
    <w:rsid w:val="004333E6"/>
    <w:rsid w:val="00437BD2"/>
    <w:rsid w:val="00440698"/>
    <w:rsid w:val="00450600"/>
    <w:rsid w:val="004540E2"/>
    <w:rsid w:val="00454454"/>
    <w:rsid w:val="0045600C"/>
    <w:rsid w:val="004624E9"/>
    <w:rsid w:val="00462994"/>
    <w:rsid w:val="004642B6"/>
    <w:rsid w:val="00464FC2"/>
    <w:rsid w:val="00467924"/>
    <w:rsid w:val="004712A5"/>
    <w:rsid w:val="0047266F"/>
    <w:rsid w:val="00472836"/>
    <w:rsid w:val="004756EB"/>
    <w:rsid w:val="00476D6B"/>
    <w:rsid w:val="0048018F"/>
    <w:rsid w:val="00480B79"/>
    <w:rsid w:val="004861E6"/>
    <w:rsid w:val="0049013A"/>
    <w:rsid w:val="004913B8"/>
    <w:rsid w:val="00492C16"/>
    <w:rsid w:val="004A0505"/>
    <w:rsid w:val="004A0678"/>
    <w:rsid w:val="004A48A3"/>
    <w:rsid w:val="004A73BE"/>
    <w:rsid w:val="004B032D"/>
    <w:rsid w:val="004B0D92"/>
    <w:rsid w:val="004B0EC0"/>
    <w:rsid w:val="004B32B2"/>
    <w:rsid w:val="004B5A51"/>
    <w:rsid w:val="004B66F1"/>
    <w:rsid w:val="004B7014"/>
    <w:rsid w:val="004C3B7B"/>
    <w:rsid w:val="004C3CED"/>
    <w:rsid w:val="004C3EA0"/>
    <w:rsid w:val="004C7815"/>
    <w:rsid w:val="004D327F"/>
    <w:rsid w:val="004D46F2"/>
    <w:rsid w:val="004D74CD"/>
    <w:rsid w:val="004D7E4B"/>
    <w:rsid w:val="004E26D2"/>
    <w:rsid w:val="004E47D2"/>
    <w:rsid w:val="004F32CC"/>
    <w:rsid w:val="004F3D69"/>
    <w:rsid w:val="004F7169"/>
    <w:rsid w:val="004F7B8B"/>
    <w:rsid w:val="0050075F"/>
    <w:rsid w:val="00500D66"/>
    <w:rsid w:val="005017E7"/>
    <w:rsid w:val="005036A6"/>
    <w:rsid w:val="00503DDB"/>
    <w:rsid w:val="0050608C"/>
    <w:rsid w:val="005070C4"/>
    <w:rsid w:val="00507EE3"/>
    <w:rsid w:val="00511E3E"/>
    <w:rsid w:val="00514C8E"/>
    <w:rsid w:val="00516AE6"/>
    <w:rsid w:val="00517F35"/>
    <w:rsid w:val="0052089D"/>
    <w:rsid w:val="00522D5F"/>
    <w:rsid w:val="00523A57"/>
    <w:rsid w:val="00523ED3"/>
    <w:rsid w:val="00531DBF"/>
    <w:rsid w:val="005337FC"/>
    <w:rsid w:val="005377C3"/>
    <w:rsid w:val="00540BE5"/>
    <w:rsid w:val="00540D0E"/>
    <w:rsid w:val="005436BC"/>
    <w:rsid w:val="00545759"/>
    <w:rsid w:val="00545BE0"/>
    <w:rsid w:val="0054773E"/>
    <w:rsid w:val="00554C6A"/>
    <w:rsid w:val="0056061D"/>
    <w:rsid w:val="00562E85"/>
    <w:rsid w:val="0056332F"/>
    <w:rsid w:val="0057416C"/>
    <w:rsid w:val="00581C39"/>
    <w:rsid w:val="005834A4"/>
    <w:rsid w:val="00584F6B"/>
    <w:rsid w:val="005903B6"/>
    <w:rsid w:val="00591C6A"/>
    <w:rsid w:val="00592B20"/>
    <w:rsid w:val="00592DC2"/>
    <w:rsid w:val="00592F31"/>
    <w:rsid w:val="0059396D"/>
    <w:rsid w:val="00597B51"/>
    <w:rsid w:val="005A0247"/>
    <w:rsid w:val="005A126E"/>
    <w:rsid w:val="005A1586"/>
    <w:rsid w:val="005A452F"/>
    <w:rsid w:val="005A4C19"/>
    <w:rsid w:val="005A4CAC"/>
    <w:rsid w:val="005A703F"/>
    <w:rsid w:val="005B0855"/>
    <w:rsid w:val="005B0ADE"/>
    <w:rsid w:val="005B140D"/>
    <w:rsid w:val="005B3175"/>
    <w:rsid w:val="005C1E0E"/>
    <w:rsid w:val="005C1FEA"/>
    <w:rsid w:val="005C2FEF"/>
    <w:rsid w:val="005C3495"/>
    <w:rsid w:val="005C35DE"/>
    <w:rsid w:val="005C3785"/>
    <w:rsid w:val="005C42C2"/>
    <w:rsid w:val="005D0329"/>
    <w:rsid w:val="005D06CC"/>
    <w:rsid w:val="005D2473"/>
    <w:rsid w:val="005D43EF"/>
    <w:rsid w:val="005D4646"/>
    <w:rsid w:val="005D48F8"/>
    <w:rsid w:val="005E13EA"/>
    <w:rsid w:val="005E15E0"/>
    <w:rsid w:val="005E3889"/>
    <w:rsid w:val="005E3DFC"/>
    <w:rsid w:val="005E60AF"/>
    <w:rsid w:val="005E7B4E"/>
    <w:rsid w:val="005F1DEA"/>
    <w:rsid w:val="005F4932"/>
    <w:rsid w:val="005F6FC3"/>
    <w:rsid w:val="00602FCB"/>
    <w:rsid w:val="00603EF7"/>
    <w:rsid w:val="00607FC9"/>
    <w:rsid w:val="00610955"/>
    <w:rsid w:val="00611DF0"/>
    <w:rsid w:val="0061490C"/>
    <w:rsid w:val="00616861"/>
    <w:rsid w:val="00617BD8"/>
    <w:rsid w:val="00621BF5"/>
    <w:rsid w:val="00622B29"/>
    <w:rsid w:val="00622FE1"/>
    <w:rsid w:val="00624242"/>
    <w:rsid w:val="0062521C"/>
    <w:rsid w:val="00627023"/>
    <w:rsid w:val="006304B8"/>
    <w:rsid w:val="00630686"/>
    <w:rsid w:val="006307AB"/>
    <w:rsid w:val="00630A2B"/>
    <w:rsid w:val="00630BA2"/>
    <w:rsid w:val="006318D7"/>
    <w:rsid w:val="00631E8F"/>
    <w:rsid w:val="0063283F"/>
    <w:rsid w:val="00632DC7"/>
    <w:rsid w:val="00633896"/>
    <w:rsid w:val="006357FB"/>
    <w:rsid w:val="00637239"/>
    <w:rsid w:val="006406FC"/>
    <w:rsid w:val="006418FA"/>
    <w:rsid w:val="0064407B"/>
    <w:rsid w:val="00646122"/>
    <w:rsid w:val="00653E16"/>
    <w:rsid w:val="00657220"/>
    <w:rsid w:val="0066104B"/>
    <w:rsid w:val="00661419"/>
    <w:rsid w:val="00663CF8"/>
    <w:rsid w:val="006642BD"/>
    <w:rsid w:val="006645BF"/>
    <w:rsid w:val="006655EE"/>
    <w:rsid w:val="00667C10"/>
    <w:rsid w:val="00667EF4"/>
    <w:rsid w:val="00672B85"/>
    <w:rsid w:val="00673B97"/>
    <w:rsid w:val="006743CE"/>
    <w:rsid w:val="00674E59"/>
    <w:rsid w:val="00675A8B"/>
    <w:rsid w:val="00676FCA"/>
    <w:rsid w:val="00677177"/>
    <w:rsid w:val="0068050B"/>
    <w:rsid w:val="0068056B"/>
    <w:rsid w:val="00683965"/>
    <w:rsid w:val="0068612E"/>
    <w:rsid w:val="00687858"/>
    <w:rsid w:val="00687C92"/>
    <w:rsid w:val="006903B7"/>
    <w:rsid w:val="0069041E"/>
    <w:rsid w:val="00692CF9"/>
    <w:rsid w:val="006945C5"/>
    <w:rsid w:val="0069534E"/>
    <w:rsid w:val="00696365"/>
    <w:rsid w:val="0069669C"/>
    <w:rsid w:val="00697D38"/>
    <w:rsid w:val="006A1200"/>
    <w:rsid w:val="006A2C5A"/>
    <w:rsid w:val="006A2EBA"/>
    <w:rsid w:val="006A4B9E"/>
    <w:rsid w:val="006A4EDF"/>
    <w:rsid w:val="006A4F4E"/>
    <w:rsid w:val="006A53CF"/>
    <w:rsid w:val="006A6410"/>
    <w:rsid w:val="006B0E2F"/>
    <w:rsid w:val="006B14DB"/>
    <w:rsid w:val="006B21C4"/>
    <w:rsid w:val="006B3820"/>
    <w:rsid w:val="006C4406"/>
    <w:rsid w:val="006C458F"/>
    <w:rsid w:val="006C48D3"/>
    <w:rsid w:val="006C4A1A"/>
    <w:rsid w:val="006C4DA7"/>
    <w:rsid w:val="006C7DAD"/>
    <w:rsid w:val="006D0393"/>
    <w:rsid w:val="006D1A4A"/>
    <w:rsid w:val="006D1A83"/>
    <w:rsid w:val="006D2E5C"/>
    <w:rsid w:val="006D5D1E"/>
    <w:rsid w:val="006E1CFE"/>
    <w:rsid w:val="006E31A2"/>
    <w:rsid w:val="006E66F1"/>
    <w:rsid w:val="006E6D10"/>
    <w:rsid w:val="006F00E5"/>
    <w:rsid w:val="006F01F5"/>
    <w:rsid w:val="006F0273"/>
    <w:rsid w:val="006F10C4"/>
    <w:rsid w:val="006F20D7"/>
    <w:rsid w:val="006F40E9"/>
    <w:rsid w:val="006F5603"/>
    <w:rsid w:val="007001F9"/>
    <w:rsid w:val="00701400"/>
    <w:rsid w:val="007037CF"/>
    <w:rsid w:val="00703BB8"/>
    <w:rsid w:val="00704188"/>
    <w:rsid w:val="00704741"/>
    <w:rsid w:val="00704B37"/>
    <w:rsid w:val="00707774"/>
    <w:rsid w:val="00712905"/>
    <w:rsid w:val="00712A8B"/>
    <w:rsid w:val="00714B40"/>
    <w:rsid w:val="00716583"/>
    <w:rsid w:val="007167C0"/>
    <w:rsid w:val="00716B34"/>
    <w:rsid w:val="007203C3"/>
    <w:rsid w:val="00720481"/>
    <w:rsid w:val="00720839"/>
    <w:rsid w:val="00721642"/>
    <w:rsid w:val="00721BC7"/>
    <w:rsid w:val="0072510B"/>
    <w:rsid w:val="00727C18"/>
    <w:rsid w:val="00727E2F"/>
    <w:rsid w:val="00731788"/>
    <w:rsid w:val="00733193"/>
    <w:rsid w:val="00734643"/>
    <w:rsid w:val="00737CBA"/>
    <w:rsid w:val="007400B0"/>
    <w:rsid w:val="00743723"/>
    <w:rsid w:val="00745088"/>
    <w:rsid w:val="00746AC0"/>
    <w:rsid w:val="0074783E"/>
    <w:rsid w:val="00752FF8"/>
    <w:rsid w:val="00753A88"/>
    <w:rsid w:val="00754C17"/>
    <w:rsid w:val="0075732A"/>
    <w:rsid w:val="00760262"/>
    <w:rsid w:val="0076292D"/>
    <w:rsid w:val="0076310C"/>
    <w:rsid w:val="00766009"/>
    <w:rsid w:val="00766688"/>
    <w:rsid w:val="0076744F"/>
    <w:rsid w:val="00767BCE"/>
    <w:rsid w:val="00767EFC"/>
    <w:rsid w:val="007707DE"/>
    <w:rsid w:val="00770B5D"/>
    <w:rsid w:val="00773CB3"/>
    <w:rsid w:val="007752F1"/>
    <w:rsid w:val="007756DE"/>
    <w:rsid w:val="0077604F"/>
    <w:rsid w:val="00776768"/>
    <w:rsid w:val="00777DE5"/>
    <w:rsid w:val="00780B6C"/>
    <w:rsid w:val="007818FD"/>
    <w:rsid w:val="00782D61"/>
    <w:rsid w:val="00784636"/>
    <w:rsid w:val="00784E40"/>
    <w:rsid w:val="00786FF7"/>
    <w:rsid w:val="00787393"/>
    <w:rsid w:val="0078786C"/>
    <w:rsid w:val="00787D99"/>
    <w:rsid w:val="00791024"/>
    <w:rsid w:val="007921C6"/>
    <w:rsid w:val="00794818"/>
    <w:rsid w:val="00795654"/>
    <w:rsid w:val="00795D53"/>
    <w:rsid w:val="00795FBC"/>
    <w:rsid w:val="00795FFA"/>
    <w:rsid w:val="007961C1"/>
    <w:rsid w:val="007A2573"/>
    <w:rsid w:val="007A3B9C"/>
    <w:rsid w:val="007B047A"/>
    <w:rsid w:val="007B106C"/>
    <w:rsid w:val="007B11FD"/>
    <w:rsid w:val="007B1A4E"/>
    <w:rsid w:val="007B2469"/>
    <w:rsid w:val="007B3971"/>
    <w:rsid w:val="007B3D05"/>
    <w:rsid w:val="007B5503"/>
    <w:rsid w:val="007B6185"/>
    <w:rsid w:val="007C44D3"/>
    <w:rsid w:val="007C4DD8"/>
    <w:rsid w:val="007C6BB3"/>
    <w:rsid w:val="007D02E0"/>
    <w:rsid w:val="007D14B4"/>
    <w:rsid w:val="007D360A"/>
    <w:rsid w:val="007D3AD7"/>
    <w:rsid w:val="007D54E7"/>
    <w:rsid w:val="007D6874"/>
    <w:rsid w:val="007D68CA"/>
    <w:rsid w:val="007E07A2"/>
    <w:rsid w:val="007E24F6"/>
    <w:rsid w:val="007E4DF4"/>
    <w:rsid w:val="007E5AE9"/>
    <w:rsid w:val="007E68D4"/>
    <w:rsid w:val="007E7F8C"/>
    <w:rsid w:val="007F1E0F"/>
    <w:rsid w:val="007F3B05"/>
    <w:rsid w:val="007F519D"/>
    <w:rsid w:val="00800338"/>
    <w:rsid w:val="00800F64"/>
    <w:rsid w:val="00801FB7"/>
    <w:rsid w:val="00802F0B"/>
    <w:rsid w:val="00803832"/>
    <w:rsid w:val="00804922"/>
    <w:rsid w:val="00810A67"/>
    <w:rsid w:val="0081315B"/>
    <w:rsid w:val="00814A01"/>
    <w:rsid w:val="00815C9D"/>
    <w:rsid w:val="00820510"/>
    <w:rsid w:val="0082190B"/>
    <w:rsid w:val="00825B17"/>
    <w:rsid w:val="00826855"/>
    <w:rsid w:val="008334FA"/>
    <w:rsid w:val="00833ADF"/>
    <w:rsid w:val="00833CF7"/>
    <w:rsid w:val="008346B5"/>
    <w:rsid w:val="008352C8"/>
    <w:rsid w:val="00837CAA"/>
    <w:rsid w:val="00837D95"/>
    <w:rsid w:val="00843160"/>
    <w:rsid w:val="0084343E"/>
    <w:rsid w:val="00845601"/>
    <w:rsid w:val="008524B9"/>
    <w:rsid w:val="00855C5C"/>
    <w:rsid w:val="00861205"/>
    <w:rsid w:val="0086233C"/>
    <w:rsid w:val="008630D3"/>
    <w:rsid w:val="00865CFA"/>
    <w:rsid w:val="008667F8"/>
    <w:rsid w:val="008715B3"/>
    <w:rsid w:val="00873503"/>
    <w:rsid w:val="00875D7A"/>
    <w:rsid w:val="00881FD8"/>
    <w:rsid w:val="00882B58"/>
    <w:rsid w:val="00883CE7"/>
    <w:rsid w:val="00886A90"/>
    <w:rsid w:val="00893819"/>
    <w:rsid w:val="008938F7"/>
    <w:rsid w:val="008A0982"/>
    <w:rsid w:val="008A13F0"/>
    <w:rsid w:val="008A187F"/>
    <w:rsid w:val="008A3BDD"/>
    <w:rsid w:val="008A3C96"/>
    <w:rsid w:val="008A6150"/>
    <w:rsid w:val="008A6E23"/>
    <w:rsid w:val="008B0BBA"/>
    <w:rsid w:val="008B0F82"/>
    <w:rsid w:val="008B1627"/>
    <w:rsid w:val="008B4019"/>
    <w:rsid w:val="008B4A82"/>
    <w:rsid w:val="008B4BD1"/>
    <w:rsid w:val="008B505F"/>
    <w:rsid w:val="008B65C9"/>
    <w:rsid w:val="008B742C"/>
    <w:rsid w:val="008C00AD"/>
    <w:rsid w:val="008C2D4A"/>
    <w:rsid w:val="008C5403"/>
    <w:rsid w:val="008C6A05"/>
    <w:rsid w:val="008C7DBB"/>
    <w:rsid w:val="008C7E50"/>
    <w:rsid w:val="008D3900"/>
    <w:rsid w:val="008D3BFD"/>
    <w:rsid w:val="008D4EA4"/>
    <w:rsid w:val="008D53A7"/>
    <w:rsid w:val="008D6E1D"/>
    <w:rsid w:val="008D6EDB"/>
    <w:rsid w:val="008E36FE"/>
    <w:rsid w:val="008E5AA4"/>
    <w:rsid w:val="008F39B4"/>
    <w:rsid w:val="008F4162"/>
    <w:rsid w:val="00901FE8"/>
    <w:rsid w:val="009026F8"/>
    <w:rsid w:val="009038D2"/>
    <w:rsid w:val="00903DB2"/>
    <w:rsid w:val="00903E02"/>
    <w:rsid w:val="0090628C"/>
    <w:rsid w:val="00907F21"/>
    <w:rsid w:val="009110D5"/>
    <w:rsid w:val="00913175"/>
    <w:rsid w:val="009139BE"/>
    <w:rsid w:val="00913D27"/>
    <w:rsid w:val="00914B6A"/>
    <w:rsid w:val="00916EDB"/>
    <w:rsid w:val="00917D72"/>
    <w:rsid w:val="00920861"/>
    <w:rsid w:val="00922B13"/>
    <w:rsid w:val="00922BD7"/>
    <w:rsid w:val="00923F44"/>
    <w:rsid w:val="009242EF"/>
    <w:rsid w:val="00924AB9"/>
    <w:rsid w:val="00925ED7"/>
    <w:rsid w:val="0092615F"/>
    <w:rsid w:val="00932291"/>
    <w:rsid w:val="00932F28"/>
    <w:rsid w:val="00933B1B"/>
    <w:rsid w:val="0093408E"/>
    <w:rsid w:val="0094014D"/>
    <w:rsid w:val="00940467"/>
    <w:rsid w:val="00942973"/>
    <w:rsid w:val="00947507"/>
    <w:rsid w:val="00947684"/>
    <w:rsid w:val="00950AD4"/>
    <w:rsid w:val="00952DDF"/>
    <w:rsid w:val="00952EC4"/>
    <w:rsid w:val="009607B9"/>
    <w:rsid w:val="00964B76"/>
    <w:rsid w:val="00965F05"/>
    <w:rsid w:val="00970476"/>
    <w:rsid w:val="00972423"/>
    <w:rsid w:val="009812D4"/>
    <w:rsid w:val="00982653"/>
    <w:rsid w:val="00984C7F"/>
    <w:rsid w:val="009873F4"/>
    <w:rsid w:val="00987443"/>
    <w:rsid w:val="00991997"/>
    <w:rsid w:val="009920D8"/>
    <w:rsid w:val="009924C7"/>
    <w:rsid w:val="00992CBC"/>
    <w:rsid w:val="009A371F"/>
    <w:rsid w:val="009A4869"/>
    <w:rsid w:val="009B38BE"/>
    <w:rsid w:val="009B4556"/>
    <w:rsid w:val="009B682F"/>
    <w:rsid w:val="009B68BE"/>
    <w:rsid w:val="009B79D9"/>
    <w:rsid w:val="009C0F43"/>
    <w:rsid w:val="009C3D0F"/>
    <w:rsid w:val="009D2C06"/>
    <w:rsid w:val="009D6232"/>
    <w:rsid w:val="009D6D58"/>
    <w:rsid w:val="009D785A"/>
    <w:rsid w:val="009E1B19"/>
    <w:rsid w:val="009E1D6D"/>
    <w:rsid w:val="009E3F51"/>
    <w:rsid w:val="009E67BE"/>
    <w:rsid w:val="009E79B6"/>
    <w:rsid w:val="009E7F55"/>
    <w:rsid w:val="009F35E2"/>
    <w:rsid w:val="009F438B"/>
    <w:rsid w:val="009F65F9"/>
    <w:rsid w:val="009F68BA"/>
    <w:rsid w:val="009F7F1F"/>
    <w:rsid w:val="00A04FFE"/>
    <w:rsid w:val="00A06277"/>
    <w:rsid w:val="00A06325"/>
    <w:rsid w:val="00A07207"/>
    <w:rsid w:val="00A079DC"/>
    <w:rsid w:val="00A1037A"/>
    <w:rsid w:val="00A10BAB"/>
    <w:rsid w:val="00A111C2"/>
    <w:rsid w:val="00A11A06"/>
    <w:rsid w:val="00A12631"/>
    <w:rsid w:val="00A15043"/>
    <w:rsid w:val="00A16B4A"/>
    <w:rsid w:val="00A17C39"/>
    <w:rsid w:val="00A21440"/>
    <w:rsid w:val="00A238AA"/>
    <w:rsid w:val="00A27740"/>
    <w:rsid w:val="00A3012F"/>
    <w:rsid w:val="00A313FF"/>
    <w:rsid w:val="00A338E7"/>
    <w:rsid w:val="00A33FA5"/>
    <w:rsid w:val="00A35CAA"/>
    <w:rsid w:val="00A36E7F"/>
    <w:rsid w:val="00A37DC9"/>
    <w:rsid w:val="00A400E1"/>
    <w:rsid w:val="00A41E65"/>
    <w:rsid w:val="00A426F9"/>
    <w:rsid w:val="00A43517"/>
    <w:rsid w:val="00A43E0A"/>
    <w:rsid w:val="00A46247"/>
    <w:rsid w:val="00A47F07"/>
    <w:rsid w:val="00A47FF5"/>
    <w:rsid w:val="00A530C7"/>
    <w:rsid w:val="00A55F5B"/>
    <w:rsid w:val="00A56437"/>
    <w:rsid w:val="00A60185"/>
    <w:rsid w:val="00A611EE"/>
    <w:rsid w:val="00A622EC"/>
    <w:rsid w:val="00A661EA"/>
    <w:rsid w:val="00A66263"/>
    <w:rsid w:val="00A6775C"/>
    <w:rsid w:val="00A7074C"/>
    <w:rsid w:val="00A70A6C"/>
    <w:rsid w:val="00A71ED4"/>
    <w:rsid w:val="00A82F70"/>
    <w:rsid w:val="00A830E5"/>
    <w:rsid w:val="00A83DF5"/>
    <w:rsid w:val="00A84BF3"/>
    <w:rsid w:val="00A87135"/>
    <w:rsid w:val="00A903C7"/>
    <w:rsid w:val="00A93280"/>
    <w:rsid w:val="00A93C73"/>
    <w:rsid w:val="00A951EA"/>
    <w:rsid w:val="00A961A6"/>
    <w:rsid w:val="00A973E1"/>
    <w:rsid w:val="00A97F71"/>
    <w:rsid w:val="00AA0E32"/>
    <w:rsid w:val="00AA1C65"/>
    <w:rsid w:val="00AA2548"/>
    <w:rsid w:val="00AA3B6E"/>
    <w:rsid w:val="00AA58C4"/>
    <w:rsid w:val="00AB11C8"/>
    <w:rsid w:val="00AB2248"/>
    <w:rsid w:val="00AB2ADD"/>
    <w:rsid w:val="00AB388D"/>
    <w:rsid w:val="00AB3BBA"/>
    <w:rsid w:val="00AB4BCB"/>
    <w:rsid w:val="00AB61B6"/>
    <w:rsid w:val="00AB6916"/>
    <w:rsid w:val="00AC08A8"/>
    <w:rsid w:val="00AC0FE0"/>
    <w:rsid w:val="00AC36B8"/>
    <w:rsid w:val="00AC3B41"/>
    <w:rsid w:val="00AC618C"/>
    <w:rsid w:val="00AC6D46"/>
    <w:rsid w:val="00AD0A80"/>
    <w:rsid w:val="00AD20F6"/>
    <w:rsid w:val="00AD56C8"/>
    <w:rsid w:val="00AD58F2"/>
    <w:rsid w:val="00AD70CE"/>
    <w:rsid w:val="00AE260A"/>
    <w:rsid w:val="00AE2769"/>
    <w:rsid w:val="00AE5712"/>
    <w:rsid w:val="00AE68D6"/>
    <w:rsid w:val="00AF256B"/>
    <w:rsid w:val="00AF4800"/>
    <w:rsid w:val="00AF5EA3"/>
    <w:rsid w:val="00AF6573"/>
    <w:rsid w:val="00AF65FE"/>
    <w:rsid w:val="00AF7690"/>
    <w:rsid w:val="00B01761"/>
    <w:rsid w:val="00B017E8"/>
    <w:rsid w:val="00B0188F"/>
    <w:rsid w:val="00B0512A"/>
    <w:rsid w:val="00B0529F"/>
    <w:rsid w:val="00B05D52"/>
    <w:rsid w:val="00B13B5F"/>
    <w:rsid w:val="00B1418B"/>
    <w:rsid w:val="00B14D86"/>
    <w:rsid w:val="00B151A0"/>
    <w:rsid w:val="00B1520C"/>
    <w:rsid w:val="00B1560E"/>
    <w:rsid w:val="00B203C8"/>
    <w:rsid w:val="00B20AE3"/>
    <w:rsid w:val="00B20F84"/>
    <w:rsid w:val="00B21195"/>
    <w:rsid w:val="00B22B3D"/>
    <w:rsid w:val="00B22B57"/>
    <w:rsid w:val="00B24B22"/>
    <w:rsid w:val="00B25310"/>
    <w:rsid w:val="00B3091F"/>
    <w:rsid w:val="00B32F8F"/>
    <w:rsid w:val="00B36F24"/>
    <w:rsid w:val="00B41E1E"/>
    <w:rsid w:val="00B42C1C"/>
    <w:rsid w:val="00B451C5"/>
    <w:rsid w:val="00B4690F"/>
    <w:rsid w:val="00B47C42"/>
    <w:rsid w:val="00B510B1"/>
    <w:rsid w:val="00B54DE9"/>
    <w:rsid w:val="00B553EC"/>
    <w:rsid w:val="00B55870"/>
    <w:rsid w:val="00B60059"/>
    <w:rsid w:val="00B603F3"/>
    <w:rsid w:val="00B706E4"/>
    <w:rsid w:val="00B77732"/>
    <w:rsid w:val="00B80D6D"/>
    <w:rsid w:val="00B877FF"/>
    <w:rsid w:val="00B9154F"/>
    <w:rsid w:val="00B93DD0"/>
    <w:rsid w:val="00B94436"/>
    <w:rsid w:val="00B97732"/>
    <w:rsid w:val="00BA0849"/>
    <w:rsid w:val="00BA0C3E"/>
    <w:rsid w:val="00BA56D7"/>
    <w:rsid w:val="00BA65A8"/>
    <w:rsid w:val="00BA6A97"/>
    <w:rsid w:val="00BA6D19"/>
    <w:rsid w:val="00BA7461"/>
    <w:rsid w:val="00BA7DA9"/>
    <w:rsid w:val="00BB1C03"/>
    <w:rsid w:val="00BC0880"/>
    <w:rsid w:val="00BC1F26"/>
    <w:rsid w:val="00BC3C36"/>
    <w:rsid w:val="00BC4215"/>
    <w:rsid w:val="00BC43B3"/>
    <w:rsid w:val="00BD0396"/>
    <w:rsid w:val="00BD1A6F"/>
    <w:rsid w:val="00BD5B71"/>
    <w:rsid w:val="00BD72F5"/>
    <w:rsid w:val="00BD7458"/>
    <w:rsid w:val="00BE34EE"/>
    <w:rsid w:val="00BE6D3C"/>
    <w:rsid w:val="00BE75E7"/>
    <w:rsid w:val="00BE7852"/>
    <w:rsid w:val="00BE7B3B"/>
    <w:rsid w:val="00BF21A7"/>
    <w:rsid w:val="00BF3EFB"/>
    <w:rsid w:val="00BF6D87"/>
    <w:rsid w:val="00BF7995"/>
    <w:rsid w:val="00BF7CEE"/>
    <w:rsid w:val="00C00E51"/>
    <w:rsid w:val="00C01149"/>
    <w:rsid w:val="00C0142D"/>
    <w:rsid w:val="00C01F61"/>
    <w:rsid w:val="00C03880"/>
    <w:rsid w:val="00C03B25"/>
    <w:rsid w:val="00C07E42"/>
    <w:rsid w:val="00C119AD"/>
    <w:rsid w:val="00C135CF"/>
    <w:rsid w:val="00C17A25"/>
    <w:rsid w:val="00C2155B"/>
    <w:rsid w:val="00C23771"/>
    <w:rsid w:val="00C23B0D"/>
    <w:rsid w:val="00C2683F"/>
    <w:rsid w:val="00C30856"/>
    <w:rsid w:val="00C3184D"/>
    <w:rsid w:val="00C32F49"/>
    <w:rsid w:val="00C33949"/>
    <w:rsid w:val="00C37525"/>
    <w:rsid w:val="00C41EEB"/>
    <w:rsid w:val="00C422D8"/>
    <w:rsid w:val="00C43084"/>
    <w:rsid w:val="00C45141"/>
    <w:rsid w:val="00C4714E"/>
    <w:rsid w:val="00C50941"/>
    <w:rsid w:val="00C5473F"/>
    <w:rsid w:val="00C5504F"/>
    <w:rsid w:val="00C55991"/>
    <w:rsid w:val="00C60A1A"/>
    <w:rsid w:val="00C611EE"/>
    <w:rsid w:val="00C6148B"/>
    <w:rsid w:val="00C61AE0"/>
    <w:rsid w:val="00C6288A"/>
    <w:rsid w:val="00C629B1"/>
    <w:rsid w:val="00C63376"/>
    <w:rsid w:val="00C65A12"/>
    <w:rsid w:val="00C65C52"/>
    <w:rsid w:val="00C66CB4"/>
    <w:rsid w:val="00C70146"/>
    <w:rsid w:val="00C7022E"/>
    <w:rsid w:val="00C70E15"/>
    <w:rsid w:val="00C7146E"/>
    <w:rsid w:val="00C74F97"/>
    <w:rsid w:val="00C7664E"/>
    <w:rsid w:val="00C766F4"/>
    <w:rsid w:val="00C76A08"/>
    <w:rsid w:val="00C803D7"/>
    <w:rsid w:val="00C8276E"/>
    <w:rsid w:val="00C83A0B"/>
    <w:rsid w:val="00C83AD1"/>
    <w:rsid w:val="00C842AC"/>
    <w:rsid w:val="00C842F5"/>
    <w:rsid w:val="00C85B7B"/>
    <w:rsid w:val="00C85BC0"/>
    <w:rsid w:val="00C90FFD"/>
    <w:rsid w:val="00C92AD5"/>
    <w:rsid w:val="00C93152"/>
    <w:rsid w:val="00C939D8"/>
    <w:rsid w:val="00C93FD9"/>
    <w:rsid w:val="00C95B73"/>
    <w:rsid w:val="00C96688"/>
    <w:rsid w:val="00CA0723"/>
    <w:rsid w:val="00CA4542"/>
    <w:rsid w:val="00CA5C6D"/>
    <w:rsid w:val="00CB1690"/>
    <w:rsid w:val="00CB41FE"/>
    <w:rsid w:val="00CB6D76"/>
    <w:rsid w:val="00CC01A8"/>
    <w:rsid w:val="00CC23BB"/>
    <w:rsid w:val="00CC27E7"/>
    <w:rsid w:val="00CC2B33"/>
    <w:rsid w:val="00CC4365"/>
    <w:rsid w:val="00CC536B"/>
    <w:rsid w:val="00CC6674"/>
    <w:rsid w:val="00CC7C6E"/>
    <w:rsid w:val="00CD11B0"/>
    <w:rsid w:val="00CD19D0"/>
    <w:rsid w:val="00CD275A"/>
    <w:rsid w:val="00CD5E0E"/>
    <w:rsid w:val="00CD7E84"/>
    <w:rsid w:val="00CE074F"/>
    <w:rsid w:val="00CE084B"/>
    <w:rsid w:val="00CE20DC"/>
    <w:rsid w:val="00CE71C2"/>
    <w:rsid w:val="00CF0F05"/>
    <w:rsid w:val="00CF2242"/>
    <w:rsid w:val="00CF2E7E"/>
    <w:rsid w:val="00CF4197"/>
    <w:rsid w:val="00CF42D5"/>
    <w:rsid w:val="00CF4D7E"/>
    <w:rsid w:val="00CF4EDA"/>
    <w:rsid w:val="00CF562A"/>
    <w:rsid w:val="00CF5929"/>
    <w:rsid w:val="00D00281"/>
    <w:rsid w:val="00D0165D"/>
    <w:rsid w:val="00D01E11"/>
    <w:rsid w:val="00D021CB"/>
    <w:rsid w:val="00D02C79"/>
    <w:rsid w:val="00D03CEE"/>
    <w:rsid w:val="00D05065"/>
    <w:rsid w:val="00D05485"/>
    <w:rsid w:val="00D05A30"/>
    <w:rsid w:val="00D0625A"/>
    <w:rsid w:val="00D0715D"/>
    <w:rsid w:val="00D10C4C"/>
    <w:rsid w:val="00D10F1A"/>
    <w:rsid w:val="00D116F8"/>
    <w:rsid w:val="00D15280"/>
    <w:rsid w:val="00D17596"/>
    <w:rsid w:val="00D2018C"/>
    <w:rsid w:val="00D20807"/>
    <w:rsid w:val="00D225FB"/>
    <w:rsid w:val="00D22640"/>
    <w:rsid w:val="00D22D52"/>
    <w:rsid w:val="00D26D3A"/>
    <w:rsid w:val="00D27925"/>
    <w:rsid w:val="00D33BB1"/>
    <w:rsid w:val="00D3400C"/>
    <w:rsid w:val="00D42E6B"/>
    <w:rsid w:val="00D441B2"/>
    <w:rsid w:val="00D45C91"/>
    <w:rsid w:val="00D45EE3"/>
    <w:rsid w:val="00D47B19"/>
    <w:rsid w:val="00D50618"/>
    <w:rsid w:val="00D509E9"/>
    <w:rsid w:val="00D50DD3"/>
    <w:rsid w:val="00D53B1C"/>
    <w:rsid w:val="00D60C99"/>
    <w:rsid w:val="00D61714"/>
    <w:rsid w:val="00D620BE"/>
    <w:rsid w:val="00D622B9"/>
    <w:rsid w:val="00D62561"/>
    <w:rsid w:val="00D63028"/>
    <w:rsid w:val="00D652C8"/>
    <w:rsid w:val="00D656FF"/>
    <w:rsid w:val="00D659B4"/>
    <w:rsid w:val="00D704CE"/>
    <w:rsid w:val="00D70558"/>
    <w:rsid w:val="00D73238"/>
    <w:rsid w:val="00D74FCA"/>
    <w:rsid w:val="00D77AF7"/>
    <w:rsid w:val="00D82448"/>
    <w:rsid w:val="00D83615"/>
    <w:rsid w:val="00D83AAD"/>
    <w:rsid w:val="00D84735"/>
    <w:rsid w:val="00D857E7"/>
    <w:rsid w:val="00D9451D"/>
    <w:rsid w:val="00D97037"/>
    <w:rsid w:val="00DA1B12"/>
    <w:rsid w:val="00DA2E13"/>
    <w:rsid w:val="00DA4F90"/>
    <w:rsid w:val="00DA54C9"/>
    <w:rsid w:val="00DA6739"/>
    <w:rsid w:val="00DA6CAE"/>
    <w:rsid w:val="00DB0FD8"/>
    <w:rsid w:val="00DB13DB"/>
    <w:rsid w:val="00DB1A9E"/>
    <w:rsid w:val="00DB31D6"/>
    <w:rsid w:val="00DB3296"/>
    <w:rsid w:val="00DB4005"/>
    <w:rsid w:val="00DB44AD"/>
    <w:rsid w:val="00DB44E2"/>
    <w:rsid w:val="00DB61F1"/>
    <w:rsid w:val="00DC0D87"/>
    <w:rsid w:val="00DC1567"/>
    <w:rsid w:val="00DC325B"/>
    <w:rsid w:val="00DC34EB"/>
    <w:rsid w:val="00DC4E2E"/>
    <w:rsid w:val="00DC6E4C"/>
    <w:rsid w:val="00DC78C0"/>
    <w:rsid w:val="00DD5C5C"/>
    <w:rsid w:val="00DE2C10"/>
    <w:rsid w:val="00DE4720"/>
    <w:rsid w:val="00DE6233"/>
    <w:rsid w:val="00DE739E"/>
    <w:rsid w:val="00DF14C9"/>
    <w:rsid w:val="00DF1E5B"/>
    <w:rsid w:val="00DF2275"/>
    <w:rsid w:val="00DF3F5E"/>
    <w:rsid w:val="00DF5461"/>
    <w:rsid w:val="00DF5653"/>
    <w:rsid w:val="00E0158C"/>
    <w:rsid w:val="00E0596E"/>
    <w:rsid w:val="00E06CFE"/>
    <w:rsid w:val="00E06F66"/>
    <w:rsid w:val="00E13D72"/>
    <w:rsid w:val="00E16630"/>
    <w:rsid w:val="00E167A0"/>
    <w:rsid w:val="00E2111A"/>
    <w:rsid w:val="00E21678"/>
    <w:rsid w:val="00E26177"/>
    <w:rsid w:val="00E26551"/>
    <w:rsid w:val="00E270CE"/>
    <w:rsid w:val="00E302F6"/>
    <w:rsid w:val="00E31156"/>
    <w:rsid w:val="00E344AA"/>
    <w:rsid w:val="00E356E5"/>
    <w:rsid w:val="00E36F81"/>
    <w:rsid w:val="00E378A8"/>
    <w:rsid w:val="00E40B9B"/>
    <w:rsid w:val="00E41F0E"/>
    <w:rsid w:val="00E4352F"/>
    <w:rsid w:val="00E45765"/>
    <w:rsid w:val="00E4658E"/>
    <w:rsid w:val="00E467CA"/>
    <w:rsid w:val="00E5098C"/>
    <w:rsid w:val="00E518C7"/>
    <w:rsid w:val="00E54ECD"/>
    <w:rsid w:val="00E55BF5"/>
    <w:rsid w:val="00E574EF"/>
    <w:rsid w:val="00E57CD8"/>
    <w:rsid w:val="00E57E07"/>
    <w:rsid w:val="00E60213"/>
    <w:rsid w:val="00E64977"/>
    <w:rsid w:val="00E661B2"/>
    <w:rsid w:val="00E66533"/>
    <w:rsid w:val="00E74D29"/>
    <w:rsid w:val="00E806FF"/>
    <w:rsid w:val="00E81287"/>
    <w:rsid w:val="00E83C74"/>
    <w:rsid w:val="00E83CEE"/>
    <w:rsid w:val="00E9095F"/>
    <w:rsid w:val="00E91F18"/>
    <w:rsid w:val="00E9226D"/>
    <w:rsid w:val="00E928C7"/>
    <w:rsid w:val="00E95EFE"/>
    <w:rsid w:val="00E96424"/>
    <w:rsid w:val="00EA1CD7"/>
    <w:rsid w:val="00EA2A91"/>
    <w:rsid w:val="00EA416C"/>
    <w:rsid w:val="00EA5941"/>
    <w:rsid w:val="00EB0865"/>
    <w:rsid w:val="00EB3D42"/>
    <w:rsid w:val="00EB4DD7"/>
    <w:rsid w:val="00EB60CE"/>
    <w:rsid w:val="00EB6E08"/>
    <w:rsid w:val="00EB7D53"/>
    <w:rsid w:val="00EC37F0"/>
    <w:rsid w:val="00EC52D3"/>
    <w:rsid w:val="00EC596B"/>
    <w:rsid w:val="00ED40D6"/>
    <w:rsid w:val="00ED5EEB"/>
    <w:rsid w:val="00EE13C5"/>
    <w:rsid w:val="00EE14EA"/>
    <w:rsid w:val="00EE17DF"/>
    <w:rsid w:val="00EE2550"/>
    <w:rsid w:val="00EE3146"/>
    <w:rsid w:val="00EE5BCE"/>
    <w:rsid w:val="00EE6610"/>
    <w:rsid w:val="00EF3764"/>
    <w:rsid w:val="00EF4654"/>
    <w:rsid w:val="00EF501A"/>
    <w:rsid w:val="00EF50BB"/>
    <w:rsid w:val="00EF5270"/>
    <w:rsid w:val="00EF71E4"/>
    <w:rsid w:val="00F00192"/>
    <w:rsid w:val="00F0028B"/>
    <w:rsid w:val="00F01DF6"/>
    <w:rsid w:val="00F027B8"/>
    <w:rsid w:val="00F0340D"/>
    <w:rsid w:val="00F035F2"/>
    <w:rsid w:val="00F059A6"/>
    <w:rsid w:val="00F06A98"/>
    <w:rsid w:val="00F108C9"/>
    <w:rsid w:val="00F111BC"/>
    <w:rsid w:val="00F14A04"/>
    <w:rsid w:val="00F2169A"/>
    <w:rsid w:val="00F23756"/>
    <w:rsid w:val="00F2464C"/>
    <w:rsid w:val="00F2523A"/>
    <w:rsid w:val="00F25FFA"/>
    <w:rsid w:val="00F2727A"/>
    <w:rsid w:val="00F310D2"/>
    <w:rsid w:val="00F31E11"/>
    <w:rsid w:val="00F352D5"/>
    <w:rsid w:val="00F36F3D"/>
    <w:rsid w:val="00F37C48"/>
    <w:rsid w:val="00F424D7"/>
    <w:rsid w:val="00F477BD"/>
    <w:rsid w:val="00F47C28"/>
    <w:rsid w:val="00F50333"/>
    <w:rsid w:val="00F50AD4"/>
    <w:rsid w:val="00F51C4B"/>
    <w:rsid w:val="00F53491"/>
    <w:rsid w:val="00F54656"/>
    <w:rsid w:val="00F552F5"/>
    <w:rsid w:val="00F55386"/>
    <w:rsid w:val="00F5544F"/>
    <w:rsid w:val="00F56411"/>
    <w:rsid w:val="00F56F40"/>
    <w:rsid w:val="00F57D8A"/>
    <w:rsid w:val="00F60181"/>
    <w:rsid w:val="00F60E39"/>
    <w:rsid w:val="00F61D89"/>
    <w:rsid w:val="00F657D7"/>
    <w:rsid w:val="00F65A1C"/>
    <w:rsid w:val="00F66F50"/>
    <w:rsid w:val="00F74634"/>
    <w:rsid w:val="00F7628B"/>
    <w:rsid w:val="00F77432"/>
    <w:rsid w:val="00F81162"/>
    <w:rsid w:val="00F827C8"/>
    <w:rsid w:val="00F82FF8"/>
    <w:rsid w:val="00F8330D"/>
    <w:rsid w:val="00F83A44"/>
    <w:rsid w:val="00F84305"/>
    <w:rsid w:val="00F8485C"/>
    <w:rsid w:val="00F87149"/>
    <w:rsid w:val="00F87FFE"/>
    <w:rsid w:val="00F9071C"/>
    <w:rsid w:val="00F9138D"/>
    <w:rsid w:val="00F954C9"/>
    <w:rsid w:val="00F965A1"/>
    <w:rsid w:val="00F97973"/>
    <w:rsid w:val="00FA4CF0"/>
    <w:rsid w:val="00FA61AA"/>
    <w:rsid w:val="00FA69A4"/>
    <w:rsid w:val="00FB0E9C"/>
    <w:rsid w:val="00FB1279"/>
    <w:rsid w:val="00FB1495"/>
    <w:rsid w:val="00FB4D0C"/>
    <w:rsid w:val="00FC20F8"/>
    <w:rsid w:val="00FC28BD"/>
    <w:rsid w:val="00FD1694"/>
    <w:rsid w:val="00FD2134"/>
    <w:rsid w:val="00FD23D9"/>
    <w:rsid w:val="00FD3D64"/>
    <w:rsid w:val="00FD4E84"/>
    <w:rsid w:val="00FD7636"/>
    <w:rsid w:val="00FD7882"/>
    <w:rsid w:val="00FE0146"/>
    <w:rsid w:val="00FE31B1"/>
    <w:rsid w:val="00FE3229"/>
    <w:rsid w:val="00FE43D0"/>
    <w:rsid w:val="00FE4485"/>
    <w:rsid w:val="00FE74C3"/>
    <w:rsid w:val="00FE75A6"/>
    <w:rsid w:val="00FF215C"/>
    <w:rsid w:val="00FF49E8"/>
    <w:rsid w:val="00FF505A"/>
    <w:rsid w:val="00FF672F"/>
    <w:rsid w:val="00FF709D"/>
    <w:rsid w:val="0137845C"/>
    <w:rsid w:val="020AB6F3"/>
    <w:rsid w:val="031CE828"/>
    <w:rsid w:val="035A8BC5"/>
    <w:rsid w:val="03BF4DD1"/>
    <w:rsid w:val="04E80092"/>
    <w:rsid w:val="0520A47F"/>
    <w:rsid w:val="05299C53"/>
    <w:rsid w:val="05D0622B"/>
    <w:rsid w:val="06797B71"/>
    <w:rsid w:val="06C56CB4"/>
    <w:rsid w:val="072C6AC2"/>
    <w:rsid w:val="08070558"/>
    <w:rsid w:val="0826EBAA"/>
    <w:rsid w:val="0882F40D"/>
    <w:rsid w:val="098D1ACE"/>
    <w:rsid w:val="09B11C33"/>
    <w:rsid w:val="0A2B5B0D"/>
    <w:rsid w:val="0A4AE327"/>
    <w:rsid w:val="0B388043"/>
    <w:rsid w:val="0BBCB265"/>
    <w:rsid w:val="0C7B65F3"/>
    <w:rsid w:val="0C96AE7C"/>
    <w:rsid w:val="0CEB015B"/>
    <w:rsid w:val="0D4D2397"/>
    <w:rsid w:val="0D62232C"/>
    <w:rsid w:val="0D6DF9F6"/>
    <w:rsid w:val="0DD6B3F0"/>
    <w:rsid w:val="0EE1B0AC"/>
    <w:rsid w:val="0FEF6CAC"/>
    <w:rsid w:val="102ABA34"/>
    <w:rsid w:val="10A4EB7D"/>
    <w:rsid w:val="1146E990"/>
    <w:rsid w:val="122FA941"/>
    <w:rsid w:val="12D45265"/>
    <w:rsid w:val="13A3EFBC"/>
    <w:rsid w:val="13F1C56D"/>
    <w:rsid w:val="144E1BE6"/>
    <w:rsid w:val="148677D8"/>
    <w:rsid w:val="14A1C061"/>
    <w:rsid w:val="14E58860"/>
    <w:rsid w:val="14E5DEDE"/>
    <w:rsid w:val="155924E8"/>
    <w:rsid w:val="155BD7E6"/>
    <w:rsid w:val="16224839"/>
    <w:rsid w:val="16DB907E"/>
    <w:rsid w:val="16F4F549"/>
    <w:rsid w:val="1A0663D7"/>
    <w:rsid w:val="1A133140"/>
    <w:rsid w:val="1C9189BD"/>
    <w:rsid w:val="1D343017"/>
    <w:rsid w:val="1DD9D833"/>
    <w:rsid w:val="1EE6A263"/>
    <w:rsid w:val="1F07F4B4"/>
    <w:rsid w:val="1F757277"/>
    <w:rsid w:val="1FE197BB"/>
    <w:rsid w:val="21111C17"/>
    <w:rsid w:val="2164FAE0"/>
    <w:rsid w:val="221E4325"/>
    <w:rsid w:val="22497BB0"/>
    <w:rsid w:val="24A8106B"/>
    <w:rsid w:val="24F8B7CD"/>
    <w:rsid w:val="26307E7D"/>
    <w:rsid w:val="26BE4EC9"/>
    <w:rsid w:val="29681F3F"/>
    <w:rsid w:val="29700CC5"/>
    <w:rsid w:val="29748466"/>
    <w:rsid w:val="2A96B25D"/>
    <w:rsid w:val="2EE0EFA0"/>
    <w:rsid w:val="2F396107"/>
    <w:rsid w:val="2F4FB84A"/>
    <w:rsid w:val="2F966E71"/>
    <w:rsid w:val="2FDF4E49"/>
    <w:rsid w:val="30D8479B"/>
    <w:rsid w:val="317B1EAA"/>
    <w:rsid w:val="324DCBBA"/>
    <w:rsid w:val="327EDB41"/>
    <w:rsid w:val="32DD36A8"/>
    <w:rsid w:val="33505C6D"/>
    <w:rsid w:val="3667F498"/>
    <w:rsid w:val="37292A63"/>
    <w:rsid w:val="38BF9AEA"/>
    <w:rsid w:val="38E830D3"/>
    <w:rsid w:val="397CCBED"/>
    <w:rsid w:val="3986308F"/>
    <w:rsid w:val="3ACA7FAA"/>
    <w:rsid w:val="3BFC9B86"/>
    <w:rsid w:val="3C5BAC0E"/>
    <w:rsid w:val="3C9A0E78"/>
    <w:rsid w:val="3CBDD151"/>
    <w:rsid w:val="3D019950"/>
    <w:rsid w:val="3F0B97BC"/>
    <w:rsid w:val="407C2DE0"/>
    <w:rsid w:val="41891930"/>
    <w:rsid w:val="425AA233"/>
    <w:rsid w:val="42946F4A"/>
    <w:rsid w:val="431FD5D5"/>
    <w:rsid w:val="436D021F"/>
    <w:rsid w:val="43FB0132"/>
    <w:rsid w:val="43FFBFE5"/>
    <w:rsid w:val="44AFE28C"/>
    <w:rsid w:val="44B5A693"/>
    <w:rsid w:val="44E90697"/>
    <w:rsid w:val="4500F0DA"/>
    <w:rsid w:val="45C6B3DB"/>
    <w:rsid w:val="45CBBBC7"/>
    <w:rsid w:val="46A769DE"/>
    <w:rsid w:val="472E1356"/>
    <w:rsid w:val="47BECB2D"/>
    <w:rsid w:val="48B1C5F9"/>
    <w:rsid w:val="48C9E3B7"/>
    <w:rsid w:val="48E33A4A"/>
    <w:rsid w:val="4927E6A3"/>
    <w:rsid w:val="499C5459"/>
    <w:rsid w:val="49D8EF33"/>
    <w:rsid w:val="4A291A89"/>
    <w:rsid w:val="4B0E949F"/>
    <w:rsid w:val="4BEC83CF"/>
    <w:rsid w:val="4C12E5A2"/>
    <w:rsid w:val="4E256191"/>
    <w:rsid w:val="4F18DDE2"/>
    <w:rsid w:val="4F3137B5"/>
    <w:rsid w:val="4F4003BD"/>
    <w:rsid w:val="4F8E7D07"/>
    <w:rsid w:val="500B7ECB"/>
    <w:rsid w:val="50E63073"/>
    <w:rsid w:val="51766567"/>
    <w:rsid w:val="527A134E"/>
    <w:rsid w:val="52BAABAC"/>
    <w:rsid w:val="553F5110"/>
    <w:rsid w:val="55DF8555"/>
    <w:rsid w:val="56B7723B"/>
    <w:rsid w:val="58A55115"/>
    <w:rsid w:val="58E7D29E"/>
    <w:rsid w:val="59447EC6"/>
    <w:rsid w:val="59DB886C"/>
    <w:rsid w:val="5A412176"/>
    <w:rsid w:val="5A67537B"/>
    <w:rsid w:val="5B289797"/>
    <w:rsid w:val="5B8BC298"/>
    <w:rsid w:val="5B92CB54"/>
    <w:rsid w:val="5BDBB063"/>
    <w:rsid w:val="5C28E31A"/>
    <w:rsid w:val="5D938220"/>
    <w:rsid w:val="5EFC9D96"/>
    <w:rsid w:val="60F82DD2"/>
    <w:rsid w:val="6143E2E7"/>
    <w:rsid w:val="62330AFE"/>
    <w:rsid w:val="62B40719"/>
    <w:rsid w:val="6384CB2F"/>
    <w:rsid w:val="63A54C5C"/>
    <w:rsid w:val="63BCDBFC"/>
    <w:rsid w:val="646908D0"/>
    <w:rsid w:val="65189D47"/>
    <w:rsid w:val="65C123FA"/>
    <w:rsid w:val="660C603A"/>
    <w:rsid w:val="66DA9214"/>
    <w:rsid w:val="66F932C1"/>
    <w:rsid w:val="675EC436"/>
    <w:rsid w:val="68196997"/>
    <w:rsid w:val="68950322"/>
    <w:rsid w:val="69D0C5E1"/>
    <w:rsid w:val="69D5740A"/>
    <w:rsid w:val="6B3FD435"/>
    <w:rsid w:val="6B6C9642"/>
    <w:rsid w:val="6D0866A3"/>
    <w:rsid w:val="6D32C9D7"/>
    <w:rsid w:val="6F5D7F49"/>
    <w:rsid w:val="71F40120"/>
    <w:rsid w:val="71F814E1"/>
    <w:rsid w:val="72511C4E"/>
    <w:rsid w:val="72B6725C"/>
    <w:rsid w:val="72B939C9"/>
    <w:rsid w:val="72C7AD33"/>
    <w:rsid w:val="74550A2A"/>
    <w:rsid w:val="74AE4A7E"/>
    <w:rsid w:val="74E0D6DD"/>
    <w:rsid w:val="7510B2B0"/>
    <w:rsid w:val="7552F3A2"/>
    <w:rsid w:val="75A875A8"/>
    <w:rsid w:val="75AF7E64"/>
    <w:rsid w:val="760A719B"/>
    <w:rsid w:val="76684E56"/>
    <w:rsid w:val="76AF48E9"/>
    <w:rsid w:val="770A60C0"/>
    <w:rsid w:val="771899DA"/>
    <w:rsid w:val="779B1E56"/>
    <w:rsid w:val="77FA4459"/>
    <w:rsid w:val="78426606"/>
    <w:rsid w:val="788EE149"/>
    <w:rsid w:val="78A10AE8"/>
    <w:rsid w:val="7962124C"/>
    <w:rsid w:val="7B8AD9EA"/>
    <w:rsid w:val="7E35836F"/>
    <w:rsid w:val="7F6F8137"/>
    <w:rsid w:val="7FD1A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6BC8BCF5-1249-47FE-BACB-2222F10F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F4"/>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5"/>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6"/>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7"/>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8"/>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9"/>
      </w:numPr>
    </w:pPr>
  </w:style>
  <w:style w:type="paragraph" w:styleId="ListNumber2">
    <w:name w:val="List Number 2"/>
    <w:basedOn w:val="Normal"/>
    <w:uiPriority w:val="99"/>
    <w:qFormat/>
    <w:rsid w:val="00186465"/>
    <w:pPr>
      <w:numPr>
        <w:ilvl w:val="1"/>
        <w:numId w:val="9"/>
      </w:numPr>
    </w:pPr>
  </w:style>
  <w:style w:type="paragraph" w:styleId="ListNumber3">
    <w:name w:val="List Number 3"/>
    <w:basedOn w:val="Normal"/>
    <w:uiPriority w:val="99"/>
    <w:qFormat/>
    <w:rsid w:val="009E79B6"/>
    <w:pPr>
      <w:numPr>
        <w:ilvl w:val="2"/>
        <w:numId w:val="9"/>
      </w:numPr>
      <w:ind w:left="993" w:hanging="284"/>
    </w:pPr>
  </w:style>
  <w:style w:type="paragraph" w:styleId="ListNumber4">
    <w:name w:val="List Number 4"/>
    <w:basedOn w:val="Normal"/>
    <w:uiPriority w:val="99"/>
    <w:rsid w:val="00005CAA"/>
    <w:pPr>
      <w:numPr>
        <w:ilvl w:val="3"/>
        <w:numId w:val="9"/>
      </w:numPr>
    </w:pPr>
  </w:style>
  <w:style w:type="paragraph" w:styleId="ListNumber5">
    <w:name w:val="List Number 5"/>
    <w:basedOn w:val="Normal"/>
    <w:uiPriority w:val="99"/>
    <w:rsid w:val="00005CAA"/>
    <w:pPr>
      <w:numPr>
        <w:ilvl w:val="4"/>
        <w:numId w:val="9"/>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A27740"/>
    <w:rPr>
      <w:color w:val="605E5C"/>
      <w:shd w:val="clear" w:color="auto" w:fill="E1DFDD"/>
    </w:rPr>
  </w:style>
  <w:style w:type="character" w:customStyle="1" w:styleId="normaltextrun">
    <w:name w:val="normaltextrun"/>
    <w:basedOn w:val="DefaultParagraphFont"/>
    <w:rsid w:val="0083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235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s://www.awe.gov.au/sites/default/files/documents/csg-joint-industry-framework.pdf"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D207657-EB9C-4E1F-B1E6-1DF3C1DF25BA}"/>
</file>

<file path=customXml/itemProps2.xml><?xml version="1.0" encoding="utf-8"?>
<ds:datastoreItem xmlns:ds="http://schemas.openxmlformats.org/officeDocument/2006/customXml" ds:itemID="{184968C1-3215-4FF2-8509-D2692FD8E27F}"/>
</file>

<file path=customXml/itemProps3.xml><?xml version="1.0" encoding="utf-8"?>
<ds:datastoreItem xmlns:ds="http://schemas.openxmlformats.org/officeDocument/2006/customXml" ds:itemID="{FEF1FCB1-4141-450E-8B29-38987EF37801}"/>
</file>

<file path=docProps/app.xml><?xml version="1.0" encoding="utf-8"?>
<Properties xmlns="http://schemas.openxmlformats.org/officeDocument/2006/extended-properties" xmlns:vt="http://schemas.openxmlformats.org/officeDocument/2006/docPropsVTypes">
  <Template>Normal.dotm</Template>
  <TotalTime>1</TotalTime>
  <Pages>7</Pages>
  <Words>3649</Words>
  <Characters>20803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IESC 2021-130: Towrie Gas Development (Queensland) (EPBC 2021/8979) – New Development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2021-130: Towrie Gas Development (Queensland) (EPBC 2021/8979) – New Development</dc:title>
  <dc:creator>IESC</dc:creator>
  <cp:lastModifiedBy>Bec Durack</cp:lastModifiedBy>
  <cp:revision>2</cp:revision>
  <cp:lastPrinted>2022-02-07T00:49:00Z</cp:lastPrinted>
  <dcterms:created xsi:type="dcterms:W3CDTF">2022-02-16T05:48:00Z</dcterms:created>
  <dcterms:modified xsi:type="dcterms:W3CDTF">2022-02-16T05:48:00Z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{18f969d7-b18d-4859-86b7-a952e2dc938f}</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