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5DF22" w14:textId="77777777" w:rsidR="00714B40" w:rsidRPr="00BF21A7" w:rsidRDefault="00714B40" w:rsidP="00BD3A5F">
      <w:pPr>
        <w:pStyle w:val="Header"/>
        <w:suppressLineNumbers/>
        <w:ind w:hanging="1418"/>
        <w:sectPr w:rsidR="00714B40" w:rsidRPr="00BF21A7" w:rsidSect="00264083">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425" w:footer="425" w:gutter="0"/>
          <w:lnNumType w:countBy="1" w:restart="continuous"/>
          <w:pgNumType w:start="1"/>
          <w:cols w:space="708"/>
          <w:titlePg/>
          <w:docGrid w:linePitch="360"/>
        </w:sectPr>
      </w:pPr>
    </w:p>
    <w:p w14:paraId="59BDEEAC" w14:textId="77777777" w:rsidR="001765DA" w:rsidRPr="00BB19E5" w:rsidRDefault="00F027B8" w:rsidP="00BD3A5F">
      <w:pPr>
        <w:pStyle w:val="Heading1"/>
        <w:suppressLineNumbers/>
      </w:pPr>
      <w:r w:rsidRPr="00BF21A7">
        <w:t>Advi</w:t>
      </w:r>
      <w:r w:rsidR="001765DA" w:rsidRPr="00BF21A7">
        <w:t xml:space="preserve">ce to decision maker </w:t>
      </w:r>
      <w:r w:rsidR="001765DA" w:rsidRPr="00BB19E5">
        <w:t xml:space="preserve">on </w:t>
      </w:r>
      <w:r w:rsidR="00BB19E5" w:rsidRPr="00BB19E5">
        <w:t>Tahmoor South</w:t>
      </w:r>
      <w:r w:rsidR="00E21678" w:rsidRPr="00BB19E5">
        <w:t xml:space="preserve"> </w:t>
      </w:r>
      <w:r w:rsidR="001765DA" w:rsidRPr="00BB19E5">
        <w:t>coal mining</w:t>
      </w:r>
      <w:r w:rsidR="00E21678" w:rsidRPr="00BB19E5">
        <w:t xml:space="preserve"> project </w:t>
      </w:r>
    </w:p>
    <w:p w14:paraId="667A15B9" w14:textId="77777777" w:rsidR="004861E6" w:rsidRPr="00BB19E5" w:rsidRDefault="00D10C4C" w:rsidP="00BD3A5F">
      <w:pPr>
        <w:pStyle w:val="Heading2"/>
        <w:suppressLineNumbers/>
      </w:pPr>
      <w:bookmarkStart w:id="0" w:name="_GoBack"/>
      <w:r w:rsidRPr="00BB19E5">
        <w:t xml:space="preserve">IESC </w:t>
      </w:r>
      <w:r w:rsidR="00C43084" w:rsidRPr="00BB19E5">
        <w:t>201</w:t>
      </w:r>
      <w:r w:rsidR="00BB19E5" w:rsidRPr="00BB19E5">
        <w:t>9</w:t>
      </w:r>
      <w:r w:rsidR="00CC27E7" w:rsidRPr="00BB19E5">
        <w:t>-</w:t>
      </w:r>
      <w:r w:rsidR="00BB19E5" w:rsidRPr="00BB19E5">
        <w:t>101</w:t>
      </w:r>
      <w:r w:rsidR="001765DA" w:rsidRPr="00BB19E5">
        <w:t>:</w:t>
      </w:r>
      <w:r w:rsidR="002974BC" w:rsidRPr="00BB19E5">
        <w:t xml:space="preserve"> </w:t>
      </w:r>
      <w:r w:rsidR="00BB19E5" w:rsidRPr="00BB19E5">
        <w:rPr>
          <w:rFonts w:ascii="Arial Bold" w:hAnsi="Arial Bold"/>
        </w:rPr>
        <w:t>Tahmoor South Coal Project</w:t>
      </w:r>
      <w:r w:rsidR="00C803D7" w:rsidRPr="00BB19E5">
        <w:t xml:space="preserve"> </w:t>
      </w:r>
      <w:r w:rsidR="00D83AAD" w:rsidRPr="00BB19E5">
        <w:t>(EPBC</w:t>
      </w:r>
      <w:r w:rsidR="007B047A" w:rsidRPr="00BB19E5">
        <w:t xml:space="preserve"> </w:t>
      </w:r>
      <w:r w:rsidR="00BB19E5" w:rsidRPr="00BB19E5">
        <w:t>2017/8084; SSD 8445</w:t>
      </w:r>
      <w:r w:rsidR="00D83AAD" w:rsidRPr="00BB19E5">
        <w:t xml:space="preserve">) </w:t>
      </w:r>
      <w:r w:rsidR="00C803D7" w:rsidRPr="00BB19E5">
        <w:t>–</w:t>
      </w:r>
      <w:r w:rsidR="009C2920">
        <w:t xml:space="preserve"> </w:t>
      </w:r>
      <w:r w:rsidR="00C803D7" w:rsidRPr="00BB19E5">
        <w:t>Expansion</w:t>
      </w:r>
      <w:r w:rsidR="003E2135" w:rsidRPr="00BB19E5">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4F45E67C" w14:textId="77777777" w:rsidTr="00845B05">
        <w:trPr>
          <w:trHeight w:val="563"/>
        </w:trPr>
        <w:tc>
          <w:tcPr>
            <w:tcW w:w="1810" w:type="dxa"/>
            <w:tcBorders>
              <w:top w:val="single" w:sz="4" w:space="0" w:color="auto"/>
              <w:bottom w:val="single" w:sz="4" w:space="0" w:color="auto"/>
            </w:tcBorders>
          </w:tcPr>
          <w:bookmarkEnd w:id="0"/>
          <w:p w14:paraId="74A040DB" w14:textId="77777777" w:rsidR="001765DA" w:rsidRPr="00BF21A7" w:rsidRDefault="001765DA" w:rsidP="00BD3A5F">
            <w:pPr>
              <w:pStyle w:val="Heading6"/>
              <w:suppressLineNumbers/>
            </w:pPr>
            <w:r w:rsidRPr="00BF21A7">
              <w:t>Requesting agency</w:t>
            </w:r>
          </w:p>
        </w:tc>
        <w:tc>
          <w:tcPr>
            <w:tcW w:w="7830" w:type="dxa"/>
            <w:tcBorders>
              <w:top w:val="single" w:sz="4" w:space="0" w:color="auto"/>
              <w:bottom w:val="single" w:sz="4" w:space="0" w:color="auto"/>
            </w:tcBorders>
          </w:tcPr>
          <w:p w14:paraId="42E50BEB" w14:textId="77777777" w:rsidR="00B1520C" w:rsidRPr="00BF21A7" w:rsidRDefault="00B1520C" w:rsidP="00BD3A5F">
            <w:pPr>
              <w:pStyle w:val="Tabletext"/>
              <w:suppressLineNumbers/>
            </w:pPr>
            <w:r w:rsidRPr="00BF21A7">
              <w:t xml:space="preserve">The </w:t>
            </w:r>
            <w:r w:rsidR="00C43084" w:rsidRPr="00BF21A7">
              <w:t xml:space="preserve">Australian Government </w:t>
            </w:r>
            <w:r w:rsidR="001765DA" w:rsidRPr="00BF21A7">
              <w:t xml:space="preserve">Department of </w:t>
            </w:r>
            <w:r w:rsidR="00616861" w:rsidRPr="00BF21A7">
              <w:t>the</w:t>
            </w:r>
            <w:r w:rsidR="001765DA" w:rsidRPr="00BF21A7">
              <w:t xml:space="preserve"> Environment</w:t>
            </w:r>
            <w:r w:rsidRPr="70BDA5F8">
              <w:t xml:space="preserve"> </w:t>
            </w:r>
            <w:r w:rsidR="00F7628B" w:rsidRPr="00BF21A7">
              <w:t>and Energy</w:t>
            </w:r>
            <w:r w:rsidR="00BB19E5">
              <w:t xml:space="preserve"> and</w:t>
            </w:r>
            <w:r w:rsidR="00F7628B" w:rsidRPr="00BF21A7">
              <w:t xml:space="preserve"> </w:t>
            </w:r>
          </w:p>
          <w:p w14:paraId="680701AC" w14:textId="77777777" w:rsidR="00BB19E5" w:rsidRPr="00BF21A7" w:rsidRDefault="00B1520C" w:rsidP="00BD3A5F">
            <w:pPr>
              <w:pStyle w:val="Tabletext"/>
              <w:suppressLineNumbers/>
            </w:pPr>
            <w:r w:rsidRPr="00BF21A7">
              <w:t xml:space="preserve">The </w:t>
            </w:r>
            <w:r w:rsidR="00C43084" w:rsidRPr="00BF21A7">
              <w:t xml:space="preserve">New South Wales </w:t>
            </w:r>
            <w:r w:rsidRPr="00BF21A7">
              <w:t xml:space="preserve">Department of Planning and </w:t>
            </w:r>
            <w:r w:rsidR="004B5A51" w:rsidRPr="00BF21A7">
              <w:t>Environment</w:t>
            </w:r>
            <w:r w:rsidR="00F50C71">
              <w:t xml:space="preserve"> </w:t>
            </w:r>
          </w:p>
          <w:p w14:paraId="6FD81260" w14:textId="77777777" w:rsidR="003E2BDB" w:rsidRPr="00BF21A7" w:rsidRDefault="003E2BDB" w:rsidP="00BD3A5F">
            <w:pPr>
              <w:pStyle w:val="Tabletext"/>
              <w:suppressLineNumbers/>
            </w:pPr>
          </w:p>
        </w:tc>
      </w:tr>
      <w:tr w:rsidR="001765DA" w:rsidRPr="00BF21A7" w14:paraId="2749550A" w14:textId="77777777" w:rsidTr="00845B05">
        <w:trPr>
          <w:trHeight w:val="19"/>
        </w:trPr>
        <w:tc>
          <w:tcPr>
            <w:tcW w:w="1810" w:type="dxa"/>
            <w:tcBorders>
              <w:top w:val="single" w:sz="4" w:space="0" w:color="auto"/>
              <w:bottom w:val="single" w:sz="4" w:space="0" w:color="auto"/>
            </w:tcBorders>
          </w:tcPr>
          <w:p w14:paraId="47A7F565" w14:textId="77777777" w:rsidR="001765DA" w:rsidRPr="00B23AEE" w:rsidRDefault="001765DA" w:rsidP="00BD3A5F">
            <w:pPr>
              <w:pStyle w:val="Heading6"/>
              <w:suppressLineNumbers/>
            </w:pPr>
            <w:r w:rsidRPr="00B23AEE">
              <w:t>Date of request</w:t>
            </w:r>
          </w:p>
        </w:tc>
        <w:tc>
          <w:tcPr>
            <w:tcW w:w="7830" w:type="dxa"/>
            <w:tcBorders>
              <w:top w:val="single" w:sz="4" w:space="0" w:color="auto"/>
              <w:bottom w:val="single" w:sz="4" w:space="0" w:color="auto"/>
            </w:tcBorders>
          </w:tcPr>
          <w:p w14:paraId="117DEF13" w14:textId="77777777" w:rsidR="001765DA" w:rsidRPr="00B23AEE" w:rsidRDefault="00BB19E5" w:rsidP="00BD3A5F">
            <w:pPr>
              <w:pStyle w:val="Tabletext"/>
              <w:suppressLineNumbers/>
            </w:pPr>
            <w:r w:rsidRPr="00B23AEE">
              <w:t>21</w:t>
            </w:r>
            <w:r w:rsidR="00A10BAB" w:rsidRPr="00B23AEE">
              <w:t xml:space="preserve"> </w:t>
            </w:r>
            <w:r w:rsidRPr="00B23AEE">
              <w:t>January</w:t>
            </w:r>
            <w:r w:rsidR="00A10BAB" w:rsidRPr="00B23AEE">
              <w:t xml:space="preserve"> </w:t>
            </w:r>
            <w:r w:rsidR="00716583" w:rsidRPr="00B23AEE">
              <w:t>201</w:t>
            </w:r>
            <w:r w:rsidRPr="00B23AEE">
              <w:t>9</w:t>
            </w:r>
            <w:r w:rsidR="00E21678" w:rsidRPr="00B23AEE">
              <w:rPr>
                <w:b/>
              </w:rPr>
              <w:t xml:space="preserve"> </w:t>
            </w:r>
          </w:p>
        </w:tc>
      </w:tr>
      <w:tr w:rsidR="00185039" w:rsidRPr="00BF21A7" w14:paraId="4EEFA483" w14:textId="77777777" w:rsidTr="00845B05">
        <w:trPr>
          <w:trHeight w:val="19"/>
        </w:trPr>
        <w:tc>
          <w:tcPr>
            <w:tcW w:w="1810" w:type="dxa"/>
            <w:tcBorders>
              <w:top w:val="single" w:sz="4" w:space="0" w:color="auto"/>
              <w:bottom w:val="single" w:sz="4" w:space="0" w:color="auto"/>
            </w:tcBorders>
          </w:tcPr>
          <w:p w14:paraId="43502FC2" w14:textId="77777777" w:rsidR="00185039" w:rsidRPr="00BF21A7" w:rsidRDefault="00185039" w:rsidP="00BD3A5F">
            <w:pPr>
              <w:pStyle w:val="Heading6"/>
              <w:suppressLineNumbers/>
            </w:pPr>
            <w:r w:rsidRPr="00BF21A7">
              <w:t>Date request accepted</w:t>
            </w:r>
          </w:p>
        </w:tc>
        <w:tc>
          <w:tcPr>
            <w:tcW w:w="7830" w:type="dxa"/>
            <w:tcBorders>
              <w:top w:val="single" w:sz="4" w:space="0" w:color="auto"/>
              <w:bottom w:val="single" w:sz="4" w:space="0" w:color="auto"/>
            </w:tcBorders>
          </w:tcPr>
          <w:p w14:paraId="7644F81F" w14:textId="77777777" w:rsidR="00185039" w:rsidRPr="00BF21A7" w:rsidRDefault="00A77EFF" w:rsidP="00BD3A5F">
            <w:pPr>
              <w:pStyle w:val="Tabletext"/>
              <w:suppressLineNumbers/>
            </w:pPr>
            <w:r w:rsidRPr="00B23AEE">
              <w:t>2</w:t>
            </w:r>
            <w:r>
              <w:t>4</w:t>
            </w:r>
            <w:r w:rsidRPr="00B23AEE">
              <w:t xml:space="preserve"> January 2019</w:t>
            </w:r>
          </w:p>
        </w:tc>
      </w:tr>
      <w:tr w:rsidR="00062A46" w:rsidRPr="00BF21A7" w14:paraId="01095862" w14:textId="77777777" w:rsidTr="00845B05">
        <w:trPr>
          <w:trHeight w:val="19"/>
        </w:trPr>
        <w:tc>
          <w:tcPr>
            <w:tcW w:w="1810" w:type="dxa"/>
            <w:tcBorders>
              <w:top w:val="single" w:sz="4" w:space="0" w:color="auto"/>
              <w:bottom w:val="single" w:sz="4" w:space="0" w:color="auto"/>
            </w:tcBorders>
          </w:tcPr>
          <w:p w14:paraId="5A871B1E" w14:textId="77777777" w:rsidR="00062A46" w:rsidRPr="00BF21A7" w:rsidRDefault="00062A46" w:rsidP="00BD3A5F">
            <w:pPr>
              <w:pStyle w:val="Heading6"/>
              <w:suppressLineNumbers/>
            </w:pPr>
            <w:r w:rsidRPr="00BF21A7">
              <w:t xml:space="preserve">Advice stage </w:t>
            </w:r>
          </w:p>
        </w:tc>
        <w:tc>
          <w:tcPr>
            <w:tcW w:w="7830" w:type="dxa"/>
            <w:tcBorders>
              <w:top w:val="single" w:sz="4" w:space="0" w:color="auto"/>
              <w:bottom w:val="single" w:sz="4" w:space="0" w:color="auto"/>
            </w:tcBorders>
          </w:tcPr>
          <w:p w14:paraId="0C282C76" w14:textId="77777777" w:rsidR="00BB19E5" w:rsidRPr="00BF21A7" w:rsidRDefault="00062A46" w:rsidP="00BD3A5F">
            <w:pPr>
              <w:pStyle w:val="Tabletext"/>
              <w:suppressLineNumbers/>
              <w:rPr>
                <w:lang w:eastAsia="en-AU"/>
              </w:rPr>
            </w:pPr>
            <w:r w:rsidRPr="00BF21A7">
              <w:rPr>
                <w:lang w:eastAsia="en-AU"/>
              </w:rPr>
              <w:t xml:space="preserve">Assessment </w:t>
            </w:r>
          </w:p>
          <w:p w14:paraId="7C3E672E" w14:textId="77777777" w:rsidR="00062A46" w:rsidRPr="00BF21A7" w:rsidRDefault="00062A46" w:rsidP="00BD3A5F">
            <w:pPr>
              <w:pStyle w:val="Tabletext"/>
              <w:suppressLineNumbers/>
              <w:rPr>
                <w:lang w:eastAsia="en-AU"/>
              </w:rPr>
            </w:pPr>
          </w:p>
        </w:tc>
      </w:tr>
    </w:tbl>
    <w:p w14:paraId="5E906710" w14:textId="77777777" w:rsidR="00C60A1A" w:rsidRPr="00BF21A7" w:rsidRDefault="00C60A1A" w:rsidP="00BD3A5F">
      <w:pPr>
        <w:pStyle w:val="Heading3"/>
        <w:suppressLineNumbers/>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090C8FA6" w14:textId="77777777" w:rsidTr="00BC4ACD">
        <w:trPr>
          <w:trHeight w:val="2955"/>
        </w:trPr>
        <w:tc>
          <w:tcPr>
            <w:tcW w:w="9640" w:type="dxa"/>
            <w:shd w:val="clear" w:color="auto" w:fill="E7E6E6"/>
          </w:tcPr>
          <w:p w14:paraId="64CECB3F" w14:textId="77777777" w:rsidR="00C60A1A" w:rsidRPr="00BB19E5" w:rsidRDefault="00C60A1A" w:rsidP="00BD3A5F">
            <w:pPr>
              <w:pStyle w:val="NEWNormalTNR12"/>
              <w:suppressLineNumbers/>
              <w:spacing w:before="120" w:after="120" w:line="276" w:lineRule="auto"/>
              <w:ind w:left="34"/>
              <w:rPr>
                <w:rFonts w:ascii="Arial" w:hAnsi="Arial" w:cs="Arial"/>
                <w:sz w:val="20"/>
                <w:szCs w:val="20"/>
              </w:rPr>
            </w:pPr>
            <w:r w:rsidRPr="00BF21A7">
              <w:rPr>
                <w:rFonts w:ascii="Arial" w:hAnsi="Arial" w:cs="Arial"/>
                <w:sz w:val="20"/>
                <w:szCs w:val="20"/>
              </w:rPr>
              <w:t xml:space="preserve">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w:t>
            </w:r>
            <w:r w:rsidRPr="00BB19E5">
              <w:rPr>
                <w:rFonts w:ascii="Arial" w:hAnsi="Arial" w:cs="Arial"/>
                <w:sz w:val="20"/>
                <w:szCs w:val="20"/>
              </w:rPr>
              <w:t>available science.</w:t>
            </w:r>
          </w:p>
          <w:p w14:paraId="6C580D8B" w14:textId="3111EB7C" w:rsidR="00C60A1A" w:rsidRPr="00BF21A7" w:rsidRDefault="00C60A1A" w:rsidP="00BD3A5F">
            <w:pPr>
              <w:pStyle w:val="NEWNormalTNR12"/>
              <w:suppressLineNumbers/>
              <w:spacing w:before="120" w:after="120" w:line="276" w:lineRule="auto"/>
              <w:ind w:left="34"/>
              <w:rPr>
                <w:rFonts w:asciiTheme="minorHAnsi" w:hAnsiTheme="minorHAnsi"/>
                <w:sz w:val="20"/>
                <w:szCs w:val="20"/>
              </w:rPr>
            </w:pPr>
            <w:r w:rsidRPr="00BB19E5">
              <w:rPr>
                <w:rFonts w:ascii="Arial" w:hAnsi="Arial" w:cs="Arial"/>
                <w:sz w:val="20"/>
                <w:szCs w:val="20"/>
              </w:rPr>
              <w:t xml:space="preserve">The IESC was requested by the Australian Government Department of the Environment </w:t>
            </w:r>
            <w:r w:rsidR="00815C9D" w:rsidRPr="00BB19E5">
              <w:rPr>
                <w:rFonts w:ascii="Arial" w:hAnsi="Arial" w:cs="Arial"/>
                <w:sz w:val="20"/>
                <w:szCs w:val="20"/>
              </w:rPr>
              <w:t xml:space="preserve">and Energy </w:t>
            </w:r>
            <w:r w:rsidR="00BB19E5" w:rsidRPr="00BB19E5">
              <w:rPr>
                <w:rFonts w:ascii="Arial" w:hAnsi="Arial" w:cs="Arial"/>
                <w:sz w:val="20"/>
                <w:szCs w:val="20"/>
              </w:rPr>
              <w:t>and</w:t>
            </w:r>
            <w:r w:rsidRPr="00BB19E5">
              <w:rPr>
                <w:rFonts w:ascii="Arial" w:hAnsi="Arial" w:cs="Arial"/>
                <w:sz w:val="20"/>
                <w:szCs w:val="20"/>
              </w:rPr>
              <w:t xml:space="preserve"> the New South Wales Department of Planning and Environment </w:t>
            </w:r>
            <w:r w:rsidR="00BB19E5" w:rsidRPr="00BB19E5">
              <w:rPr>
                <w:rFonts w:ascii="Arial" w:hAnsi="Arial" w:cs="Arial"/>
                <w:sz w:val="20"/>
                <w:szCs w:val="20"/>
              </w:rPr>
              <w:t>to provide advice on Tahmoor Coal Pty Ltd</w:t>
            </w:r>
            <w:r w:rsidR="00105F63">
              <w:rPr>
                <w:rFonts w:ascii="Arial" w:hAnsi="Arial" w:cs="Arial"/>
                <w:sz w:val="20"/>
                <w:szCs w:val="20"/>
              </w:rPr>
              <w:t>.</w:t>
            </w:r>
            <w:r w:rsidR="00BB19E5" w:rsidRPr="00BB19E5">
              <w:rPr>
                <w:rFonts w:ascii="Arial" w:hAnsi="Arial" w:cs="Arial"/>
                <w:sz w:val="20"/>
                <w:szCs w:val="20"/>
              </w:rPr>
              <w:t xml:space="preserve">’s Tahmoor South </w:t>
            </w:r>
            <w:r w:rsidR="000D39B0">
              <w:rPr>
                <w:rFonts w:ascii="Arial" w:hAnsi="Arial" w:cs="Arial"/>
                <w:sz w:val="20"/>
                <w:szCs w:val="20"/>
              </w:rPr>
              <w:t>coal mining p</w:t>
            </w:r>
            <w:r w:rsidR="00BB19E5" w:rsidRPr="00BB19E5">
              <w:rPr>
                <w:rFonts w:ascii="Arial" w:hAnsi="Arial" w:cs="Arial"/>
                <w:sz w:val="20"/>
                <w:szCs w:val="20"/>
              </w:rPr>
              <w:t>roject</w:t>
            </w:r>
            <w:r w:rsidRPr="00BB19E5">
              <w:rPr>
                <w:rFonts w:ascii="Arial" w:hAnsi="Arial" w:cs="Arial"/>
                <w:sz w:val="20"/>
                <w:szCs w:val="20"/>
              </w:rPr>
              <w:t xml:space="preserve"> in </w:t>
            </w:r>
            <w:r w:rsidR="00BB19E5" w:rsidRPr="00BB19E5">
              <w:rPr>
                <w:rFonts w:ascii="Arial" w:hAnsi="Arial" w:cs="Arial"/>
                <w:sz w:val="20"/>
                <w:szCs w:val="20"/>
              </w:rPr>
              <w:t>NSW</w:t>
            </w:r>
            <w:r w:rsidRPr="00BB19E5">
              <w:rPr>
                <w:rFonts w:ascii="Arial" w:hAnsi="Arial" w:cs="Arial"/>
                <w:sz w:val="20"/>
                <w:szCs w:val="20"/>
              </w:rPr>
              <w:t>. This document provides the IESC’s advice in response to the requesting agencies’ questions. These questions are directed at matters specific to the project to be considered during the requesting agencies’ assessment process. This advice draws upon the available assessment docume</w:t>
            </w:r>
            <w:r w:rsidR="00F424D7" w:rsidRPr="00BB19E5">
              <w:rPr>
                <w:rFonts w:ascii="Arial" w:hAnsi="Arial" w:cs="Arial"/>
                <w:sz w:val="20"/>
                <w:szCs w:val="20"/>
              </w:rPr>
              <w:t xml:space="preserve">ntation, data and methodologies, </w:t>
            </w:r>
            <w:r w:rsidRPr="00BB19E5">
              <w:rPr>
                <w:rFonts w:ascii="Arial" w:hAnsi="Arial" w:cs="Arial"/>
                <w:sz w:val="20"/>
                <w:szCs w:val="20"/>
              </w:rPr>
              <w:t>together with the expert deliberations of the IESC</w:t>
            </w:r>
            <w:r w:rsidR="001E2E34" w:rsidRPr="00BB19E5">
              <w:rPr>
                <w:rFonts w:ascii="Arial" w:hAnsi="Arial" w:cs="Arial"/>
                <w:sz w:val="20"/>
                <w:szCs w:val="20"/>
              </w:rPr>
              <w:t>,</w:t>
            </w:r>
            <w:r w:rsidRPr="00BB19E5">
              <w:rPr>
                <w:rFonts w:ascii="Arial" w:hAnsi="Arial" w:cs="Arial"/>
                <w:sz w:val="20"/>
                <w:szCs w:val="20"/>
              </w:rPr>
              <w:t xml:space="preserve"> and is assessed against the IESC Information Guidelines (</w:t>
            </w:r>
            <w:r w:rsidR="001E2E34" w:rsidRPr="00BB19E5">
              <w:rPr>
                <w:rFonts w:ascii="Arial" w:hAnsi="Arial" w:cs="Arial"/>
                <w:sz w:val="20"/>
                <w:szCs w:val="20"/>
              </w:rPr>
              <w:t>IESC, 2018</w:t>
            </w:r>
            <w:r w:rsidRPr="00BB19E5">
              <w:rPr>
                <w:rFonts w:ascii="Arial" w:hAnsi="Arial" w:cs="Arial"/>
                <w:sz w:val="20"/>
                <w:szCs w:val="20"/>
              </w:rPr>
              <w:t>).</w:t>
            </w:r>
          </w:p>
        </w:tc>
      </w:tr>
    </w:tbl>
    <w:p w14:paraId="41EF9A69" w14:textId="77777777" w:rsidR="00C60A1A" w:rsidRPr="00BF21A7" w:rsidRDefault="00C60A1A" w:rsidP="00BD3A5F">
      <w:pPr>
        <w:suppressLineNumbers/>
      </w:pPr>
    </w:p>
    <w:p w14:paraId="20039672" w14:textId="77777777" w:rsidR="00787D99" w:rsidRPr="00BF21A7" w:rsidRDefault="00787D99" w:rsidP="00BD3A5F">
      <w:pPr>
        <w:pStyle w:val="Heading3"/>
        <w:suppressLineNumbers/>
        <w:rPr>
          <w:color w:val="365F91" w:themeColor="accent1" w:themeShade="BF"/>
        </w:rPr>
      </w:pPr>
      <w:r w:rsidRPr="00BF21A7">
        <w:t>Summary</w:t>
      </w:r>
      <w:r w:rsidRPr="00BF21A7">
        <w:rPr>
          <w:color w:val="365F91" w:themeColor="accent1" w:themeShade="BF"/>
        </w:rPr>
        <w:t xml:space="preserve"> </w:t>
      </w:r>
    </w:p>
    <w:p w14:paraId="44AF6742" w14:textId="3948E337" w:rsidR="005F2AD8" w:rsidRPr="005F2AD8" w:rsidRDefault="00B006A5" w:rsidP="00BD3A5F">
      <w:pPr>
        <w:suppressLineNumbers/>
      </w:pPr>
      <w:r w:rsidRPr="005F2AD8">
        <w:t xml:space="preserve">The </w:t>
      </w:r>
      <w:r w:rsidR="2EBF26DE" w:rsidRPr="005F2AD8">
        <w:t xml:space="preserve">proposed </w:t>
      </w:r>
      <w:r w:rsidRPr="005F2AD8">
        <w:t xml:space="preserve">Tahmoor South </w:t>
      </w:r>
      <w:r w:rsidR="000D39B0">
        <w:t xml:space="preserve">coal mining </w:t>
      </w:r>
      <w:r w:rsidRPr="005F2AD8">
        <w:t>project is a</w:t>
      </w:r>
      <w:r w:rsidR="00492025">
        <w:t xml:space="preserve"> longwall-mining</w:t>
      </w:r>
      <w:r w:rsidRPr="005F2AD8">
        <w:t xml:space="preserve"> extension to the existing underground </w:t>
      </w:r>
      <w:r w:rsidRPr="005D73E2">
        <w:t xml:space="preserve">Tahmoor </w:t>
      </w:r>
      <w:r w:rsidR="00EC68E3" w:rsidRPr="005D73E2">
        <w:t>C</w:t>
      </w:r>
      <w:r w:rsidRPr="005D73E2">
        <w:t xml:space="preserve">oal </w:t>
      </w:r>
      <w:r w:rsidR="00EC68E3" w:rsidRPr="005D73E2">
        <w:t>M</w:t>
      </w:r>
      <w:r w:rsidRPr="005D73E2">
        <w:t>ine</w:t>
      </w:r>
      <w:r w:rsidR="005F2AD8" w:rsidRPr="005D73E2">
        <w:t xml:space="preserve">, </w:t>
      </w:r>
      <w:r w:rsidR="00C45677" w:rsidRPr="005D73E2">
        <w:t>approximately</w:t>
      </w:r>
      <w:r w:rsidR="00C45677">
        <w:t xml:space="preserve"> </w:t>
      </w:r>
      <w:r w:rsidR="00F16889">
        <w:t>80</w:t>
      </w:r>
      <w:r w:rsidRPr="005F2AD8">
        <w:t xml:space="preserve"> km southwest of Sydney in the Southern Coalfields of NSW.</w:t>
      </w:r>
      <w:r w:rsidR="00001ABB">
        <w:t xml:space="preserve"> </w:t>
      </w:r>
      <w:r w:rsidRPr="005F2AD8">
        <w:t xml:space="preserve">It is proposed </w:t>
      </w:r>
      <w:r w:rsidR="00492025">
        <w:t xml:space="preserve">that </w:t>
      </w:r>
      <w:r w:rsidRPr="005F2AD8">
        <w:t>up to four million tonnes per annum</w:t>
      </w:r>
      <w:r w:rsidRPr="7C0314EE" w:rsidDel="51AAFDFA">
        <w:t xml:space="preserve"> </w:t>
      </w:r>
      <w:r w:rsidRPr="005F2AD8">
        <w:t>of run</w:t>
      </w:r>
      <w:r w:rsidR="00492025">
        <w:t>-</w:t>
      </w:r>
      <w:r w:rsidRPr="005F2AD8">
        <w:t>of</w:t>
      </w:r>
      <w:r w:rsidR="00492025">
        <w:t>-</w:t>
      </w:r>
      <w:r w:rsidRPr="005F2AD8">
        <w:t xml:space="preserve">mine </w:t>
      </w:r>
      <w:r w:rsidR="005F2AD8">
        <w:t xml:space="preserve">coal </w:t>
      </w:r>
      <w:r w:rsidR="00C41DA7" w:rsidRPr="7C0314EE">
        <w:t>(</w:t>
      </w:r>
      <w:r w:rsidR="5CA99785">
        <w:t>coking</w:t>
      </w:r>
      <w:r w:rsidR="5CA99785" w:rsidRPr="7C0314EE">
        <w:t xml:space="preserve"> </w:t>
      </w:r>
      <w:r w:rsidR="00C41DA7">
        <w:t xml:space="preserve">and thermal) </w:t>
      </w:r>
      <w:r w:rsidR="005F2AD8">
        <w:t>will be extracted</w:t>
      </w:r>
      <w:r w:rsidRPr="005F2AD8">
        <w:t xml:space="preserve"> from 2023 to 2035. </w:t>
      </w:r>
      <w:r w:rsidR="00F16889" w:rsidRPr="00F16889">
        <w:t>The proposal also includes expansion and upgrade</w:t>
      </w:r>
      <w:r w:rsidR="1E9C09EF" w:rsidRPr="00F16889">
        <w:t>s</w:t>
      </w:r>
      <w:r w:rsidR="00F16889" w:rsidRPr="00F16889">
        <w:t xml:space="preserve"> of </w:t>
      </w:r>
      <w:r w:rsidR="00F16889">
        <w:t xml:space="preserve">existing </w:t>
      </w:r>
      <w:r w:rsidR="293279CD" w:rsidRPr="7C0314EE">
        <w:t>surface infrastructure</w:t>
      </w:r>
      <w:r w:rsidR="00F25569" w:rsidRPr="7C0314EE">
        <w:t>.</w:t>
      </w:r>
    </w:p>
    <w:p w14:paraId="181932A2" w14:textId="24E59FBE" w:rsidR="00A828B6" w:rsidRPr="00153960" w:rsidRDefault="009C2920" w:rsidP="00BD3A5F">
      <w:pPr>
        <w:suppressLineNumbers/>
      </w:pPr>
      <w:r>
        <w:t xml:space="preserve">The proponent, </w:t>
      </w:r>
      <w:r w:rsidR="00D60BDA" w:rsidRPr="00001ABB">
        <w:t>the NSW Department of Planning and Environment</w:t>
      </w:r>
      <w:r w:rsidR="00A4217B">
        <w:t>,</w:t>
      </w:r>
      <w:r w:rsidR="00D60BDA" w:rsidRPr="00001ABB">
        <w:t xml:space="preserve"> and the </w:t>
      </w:r>
      <w:r w:rsidR="00997616">
        <w:t xml:space="preserve">Australian </w:t>
      </w:r>
      <w:r w:rsidR="00C41DA7">
        <w:t>G</w:t>
      </w:r>
      <w:r w:rsidR="00D60BDA" w:rsidRPr="00001ABB">
        <w:t>overnment</w:t>
      </w:r>
      <w:r w:rsidR="00C41DA7">
        <w:t>’s</w:t>
      </w:r>
      <w:r w:rsidR="00D60BDA" w:rsidRPr="00001ABB">
        <w:t xml:space="preserve"> Department of </w:t>
      </w:r>
      <w:r>
        <w:t xml:space="preserve">the </w:t>
      </w:r>
      <w:r w:rsidR="00D60BDA" w:rsidRPr="00001ABB">
        <w:t xml:space="preserve">Environment and Energy have identified a range of </w:t>
      </w:r>
      <w:r w:rsidR="00492025">
        <w:t xml:space="preserve">potential </w:t>
      </w:r>
      <w:r w:rsidR="00D60BDA" w:rsidRPr="00001ABB">
        <w:t xml:space="preserve">impacts to water </w:t>
      </w:r>
      <w:r w:rsidR="00D60BDA" w:rsidRPr="00001ABB">
        <w:lastRenderedPageBreak/>
        <w:t>resources.</w:t>
      </w:r>
      <w:r w:rsidR="00A828B6">
        <w:t xml:space="preserve"> </w:t>
      </w:r>
      <w:r w:rsidR="005F2AD8" w:rsidRPr="005F2AD8">
        <w:t>The</w:t>
      </w:r>
      <w:r w:rsidR="00492025">
        <w:t>se</w:t>
      </w:r>
      <w:r w:rsidR="005F2AD8" w:rsidRPr="005F2AD8">
        <w:t xml:space="preserve"> potential impacts would be primarily concentrated in the catchment of the Bargo River</w:t>
      </w:r>
      <w:r w:rsidR="007B32ED">
        <w:t>.</w:t>
      </w:r>
      <w:r w:rsidR="00492025">
        <w:t xml:space="preserve"> The Bargo River flows into the Nepean River, adjacent to the Metropolitan Special Area</w:t>
      </w:r>
      <w:r w:rsidR="00C072DC">
        <w:t>,</w:t>
      </w:r>
      <w:r w:rsidR="00492025" w:rsidRPr="3EFFCBA2">
        <w:t xml:space="preserve"> </w:t>
      </w:r>
      <w:r w:rsidR="00492025">
        <w:t>which provides drinking water to Sydney. Conservation areas to the west of the mine include Thirlmere Lakes National Park</w:t>
      </w:r>
      <w:r w:rsidR="00492025" w:rsidRPr="3EFFCBA2">
        <w:t xml:space="preserve">, </w:t>
      </w:r>
      <w:r w:rsidR="00492025">
        <w:t>which</w:t>
      </w:r>
      <w:r w:rsidR="00492025" w:rsidRPr="3EFFCBA2">
        <w:t xml:space="preserve"> </w:t>
      </w:r>
      <w:r w:rsidR="00492025" w:rsidRPr="00EF573B">
        <w:t xml:space="preserve">has been subject to a number </w:t>
      </w:r>
      <w:r w:rsidR="00492025" w:rsidRPr="005D73E2">
        <w:t xml:space="preserve">of studies and an Inquiry relating to water level variations in </w:t>
      </w:r>
      <w:r w:rsidR="00492025" w:rsidRPr="00153960">
        <w:t>the lakes and the potential cumulative impacts of multiple land-use activities</w:t>
      </w:r>
      <w:r w:rsidR="00A4217B">
        <w:t>,</w:t>
      </w:r>
      <w:r w:rsidR="00492025" w:rsidRPr="00153960">
        <w:t xml:space="preserve"> including mining.</w:t>
      </w:r>
      <w:r w:rsidR="007B32ED" w:rsidRPr="00153960">
        <w:t xml:space="preserve"> </w:t>
      </w:r>
    </w:p>
    <w:p w14:paraId="4BAF15A6" w14:textId="354CB3F0" w:rsidR="00DA7D1E" w:rsidRDefault="00BF1A87" w:rsidP="00BD3A5F">
      <w:pPr>
        <w:pStyle w:val="ListNumber"/>
        <w:suppressLineNumbers/>
        <w:ind w:left="0" w:firstLine="0"/>
      </w:pPr>
      <w:r w:rsidRPr="00153960">
        <w:rPr>
          <w:lang w:eastAsia="en-AU"/>
        </w:rPr>
        <w:t xml:space="preserve">The proponent acknowledges that </w:t>
      </w:r>
      <w:r w:rsidR="00CC23EB" w:rsidRPr="00153960">
        <w:rPr>
          <w:lang w:eastAsia="en-AU"/>
        </w:rPr>
        <w:t xml:space="preserve">streambed cracking </w:t>
      </w:r>
      <w:r w:rsidRPr="00153960">
        <w:rPr>
          <w:lang w:eastAsia="en-AU"/>
        </w:rPr>
        <w:t xml:space="preserve">and surface flow diversions </w:t>
      </w:r>
      <w:r w:rsidR="00CC23EB" w:rsidRPr="00153960">
        <w:rPr>
          <w:lang w:eastAsia="en-AU"/>
        </w:rPr>
        <w:t>are likely</w:t>
      </w:r>
      <w:r w:rsidRPr="00153960">
        <w:rPr>
          <w:lang w:eastAsia="en-AU"/>
        </w:rPr>
        <w:t xml:space="preserve"> for streams directly above the proposed longwalls</w:t>
      </w:r>
      <w:r w:rsidR="00CC23EB" w:rsidRPr="00153960">
        <w:rPr>
          <w:lang w:eastAsia="en-AU"/>
        </w:rPr>
        <w:t xml:space="preserve">, altering the flow regime (especially </w:t>
      </w:r>
      <w:r w:rsidRPr="00153960">
        <w:rPr>
          <w:lang w:eastAsia="en-AU"/>
        </w:rPr>
        <w:t>during periods of low flow</w:t>
      </w:r>
      <w:r w:rsidR="00CC23EB" w:rsidRPr="00153960">
        <w:rPr>
          <w:lang w:eastAsia="en-AU"/>
        </w:rPr>
        <w:t>) and reducing pool persistence</w:t>
      </w:r>
      <w:r w:rsidRPr="00153960">
        <w:rPr>
          <w:lang w:eastAsia="en-AU"/>
        </w:rPr>
        <w:t xml:space="preserve">. </w:t>
      </w:r>
      <w:r w:rsidR="00DA7D1E" w:rsidRPr="00153960">
        <w:t xml:space="preserve">This will </w:t>
      </w:r>
      <w:r w:rsidR="00CC23EB" w:rsidRPr="00153960">
        <w:t xml:space="preserve">remove aquatic habitat and </w:t>
      </w:r>
      <w:r w:rsidR="00C45677" w:rsidRPr="00153960">
        <w:t xml:space="preserve">potentially reduce </w:t>
      </w:r>
      <w:r w:rsidR="00DA7D1E" w:rsidRPr="00153960">
        <w:t xml:space="preserve">downstream water </w:t>
      </w:r>
      <w:r w:rsidR="00C45677" w:rsidRPr="00153960">
        <w:t xml:space="preserve">quantity and </w:t>
      </w:r>
      <w:r w:rsidR="00DA7D1E" w:rsidRPr="00153960">
        <w:t xml:space="preserve">quality. Convincing evidence for self-remediation </w:t>
      </w:r>
      <w:r w:rsidR="00C45677" w:rsidRPr="00153960">
        <w:t xml:space="preserve">of streambed cracking </w:t>
      </w:r>
      <w:r w:rsidR="00DA7D1E" w:rsidRPr="00153960">
        <w:t xml:space="preserve">or the potential success of active remediation </w:t>
      </w:r>
      <w:r w:rsidR="0030066F" w:rsidRPr="00153960">
        <w:t>(e.g. grouting)</w:t>
      </w:r>
      <w:r w:rsidR="00DA7D1E" w:rsidRPr="00153960">
        <w:t xml:space="preserve"> has</w:t>
      </w:r>
      <w:r w:rsidR="00DA7D1E">
        <w:t xml:space="preserve"> not been provided.</w:t>
      </w:r>
    </w:p>
    <w:p w14:paraId="16DE5A3F" w14:textId="3F509214" w:rsidR="00DA7D1E" w:rsidRPr="00153960" w:rsidRDefault="00DA7D1E" w:rsidP="00BD3A5F">
      <w:pPr>
        <w:suppressLineNumbers/>
      </w:pPr>
      <w:r>
        <w:t xml:space="preserve">The </w:t>
      </w:r>
      <w:r w:rsidRPr="00153960">
        <w:t xml:space="preserve">IESC considers </w:t>
      </w:r>
      <w:r w:rsidR="008F7010" w:rsidRPr="00153960">
        <w:t xml:space="preserve">that </w:t>
      </w:r>
      <w:r w:rsidRPr="00153960">
        <w:t xml:space="preserve">the </w:t>
      </w:r>
      <w:r w:rsidR="008F7010" w:rsidRPr="00153960">
        <w:t xml:space="preserve">base case of the </w:t>
      </w:r>
      <w:r w:rsidRPr="00153960">
        <w:t xml:space="preserve">numerical groundwater model understates the likely height of fracturing above longwall panels. </w:t>
      </w:r>
      <w:r w:rsidR="00227F6C" w:rsidRPr="00153960">
        <w:t>The modelled groundwater drawdown</w:t>
      </w:r>
      <w:r w:rsidRPr="00153960">
        <w:t xml:space="preserve"> should therefore not be relied upon until </w:t>
      </w:r>
      <w:r w:rsidR="008F7010" w:rsidRPr="00153960">
        <w:t xml:space="preserve">alternative </w:t>
      </w:r>
      <w:r w:rsidR="00227F6C" w:rsidRPr="00153960">
        <w:t>cases</w:t>
      </w:r>
      <w:r w:rsidR="008F7010" w:rsidRPr="00153960">
        <w:t xml:space="preserve"> in the </w:t>
      </w:r>
      <w:r w:rsidR="00C41DA7" w:rsidRPr="00153960">
        <w:t>groundwater model</w:t>
      </w:r>
      <w:r w:rsidRPr="00153960">
        <w:t xml:space="preserve"> </w:t>
      </w:r>
      <w:r w:rsidR="008F7010" w:rsidRPr="00153960">
        <w:t>are revised to i</w:t>
      </w:r>
      <w:r w:rsidR="00227F6C" w:rsidRPr="00153960">
        <w:t>ncorporate</w:t>
      </w:r>
      <w:r w:rsidR="008F7010" w:rsidRPr="00153960">
        <w:t xml:space="preserve"> both measured mine water inflow and the height of vertical fracturing above the longwall as observed in the geotechnical report</w:t>
      </w:r>
      <w:r w:rsidR="0098378D">
        <w:t xml:space="preserve"> (EIS, Appendix G)</w:t>
      </w:r>
      <w:r w:rsidRPr="00153960">
        <w:t xml:space="preserve">. It is also of limited use in predicting impacts to creeks </w:t>
      </w:r>
      <w:r w:rsidR="00C45677" w:rsidRPr="00153960">
        <w:t>because</w:t>
      </w:r>
      <w:r w:rsidRPr="00153960">
        <w:t xml:space="preserve"> it does not incorporate the</w:t>
      </w:r>
      <w:r w:rsidR="0030066F" w:rsidRPr="00153960">
        <w:t xml:space="preserve"> potential</w:t>
      </w:r>
      <w:r w:rsidRPr="00153960">
        <w:t xml:space="preserve"> effects of</w:t>
      </w:r>
      <w:r w:rsidR="00934E5B" w:rsidRPr="00153960">
        <w:t xml:space="preserve"> </w:t>
      </w:r>
      <w:r w:rsidR="000935AB" w:rsidRPr="00153960">
        <w:t>surface cracking and near-surface fracturing</w:t>
      </w:r>
      <w:r w:rsidR="00CC23EB" w:rsidRPr="00153960">
        <w:t xml:space="preserve"> on </w:t>
      </w:r>
      <w:proofErr w:type="spellStart"/>
      <w:r w:rsidR="00CC23EB" w:rsidRPr="00153960">
        <w:t>baseflow</w:t>
      </w:r>
      <w:proofErr w:type="spellEnd"/>
      <w:r w:rsidR="00CC23EB" w:rsidRPr="00153960">
        <w:t xml:space="preserve"> capture</w:t>
      </w:r>
      <w:r w:rsidR="00934E5B" w:rsidRPr="00153960">
        <w:t>.</w:t>
      </w:r>
      <w:r w:rsidRPr="00153960">
        <w:t xml:space="preserve"> </w:t>
      </w:r>
      <w:r w:rsidR="00C00394" w:rsidRPr="00153960">
        <w:t>Although t</w:t>
      </w:r>
      <w:r w:rsidRPr="00153960">
        <w:t xml:space="preserve">he </w:t>
      </w:r>
      <w:r w:rsidR="00227F6C" w:rsidRPr="00153960">
        <w:t xml:space="preserve">groundwater </w:t>
      </w:r>
      <w:r w:rsidRPr="00153960">
        <w:t xml:space="preserve">model </w:t>
      </w:r>
      <w:r w:rsidR="001A7CE0" w:rsidRPr="00153960">
        <w:t>has strengths in its inclusion of cumulative impacts</w:t>
      </w:r>
      <w:r w:rsidR="003B38CD" w:rsidRPr="00153960">
        <w:t xml:space="preserve"> </w:t>
      </w:r>
      <w:r w:rsidR="008F7010" w:rsidRPr="00153960">
        <w:t xml:space="preserve">of mining </w:t>
      </w:r>
      <w:r w:rsidR="003B38CD" w:rsidRPr="00153960">
        <w:t>and generally good use of available data</w:t>
      </w:r>
      <w:r w:rsidR="00C00394" w:rsidRPr="00153960">
        <w:t xml:space="preserve">, </w:t>
      </w:r>
      <w:r w:rsidR="003B38CD" w:rsidRPr="00153960">
        <w:t>the</w:t>
      </w:r>
      <w:r w:rsidR="001A7CE0" w:rsidRPr="00153960">
        <w:t xml:space="preserve"> fundamental problems with the way fracturing is </w:t>
      </w:r>
      <w:r w:rsidR="005B0F30" w:rsidRPr="00153960">
        <w:t>treated severely</w:t>
      </w:r>
      <w:r w:rsidR="001A7CE0" w:rsidRPr="00153960">
        <w:t xml:space="preserve"> </w:t>
      </w:r>
      <w:r w:rsidR="00C00394" w:rsidRPr="00153960">
        <w:t xml:space="preserve">reduce </w:t>
      </w:r>
      <w:r w:rsidR="001A7CE0" w:rsidRPr="00153960">
        <w:t>confidence in its predictions</w:t>
      </w:r>
      <w:r w:rsidRPr="00153960">
        <w:t>.</w:t>
      </w:r>
    </w:p>
    <w:p w14:paraId="50EB94F0" w14:textId="755086CF" w:rsidR="00960BCD" w:rsidRPr="00491349" w:rsidRDefault="007B32ED" w:rsidP="00BD3A5F">
      <w:pPr>
        <w:suppressLineNumbers/>
      </w:pPr>
      <w:r w:rsidRPr="00153960">
        <w:t>Water quality monitoring downstream of the mine show</w:t>
      </w:r>
      <w:r w:rsidR="00C45677" w:rsidRPr="00153960">
        <w:t>s</w:t>
      </w:r>
      <w:r w:rsidRPr="00153960">
        <w:t xml:space="preserve"> variable chemical properties</w:t>
      </w:r>
      <w:r w:rsidR="00C45677" w:rsidRPr="00153960">
        <w:t>,</w:t>
      </w:r>
      <w:r w:rsidRPr="00153960">
        <w:t xml:space="preserve"> including elevated </w:t>
      </w:r>
      <w:r w:rsidR="000713D2" w:rsidRPr="00153960">
        <w:t>levels</w:t>
      </w:r>
      <w:r w:rsidRPr="00153960">
        <w:t xml:space="preserve"> of metals and</w:t>
      </w:r>
      <w:r>
        <w:t xml:space="preserve"> salinity. However</w:t>
      </w:r>
      <w:r w:rsidR="00C45677">
        <w:t>,</w:t>
      </w:r>
      <w:r>
        <w:t xml:space="preserve"> it is not clear what proportion of </w:t>
      </w:r>
      <w:r w:rsidR="00F906CE">
        <w:t>contaminants</w:t>
      </w:r>
      <w:r w:rsidR="00C072DC">
        <w:t xml:space="preserve"> is</w:t>
      </w:r>
      <w:r w:rsidR="00F906CE">
        <w:t xml:space="preserve"> from </w:t>
      </w:r>
      <w:r>
        <w:t xml:space="preserve">mine </w:t>
      </w:r>
      <w:r w:rsidR="00934E5B">
        <w:t>wastewater</w:t>
      </w:r>
      <w:r w:rsidR="00302C29">
        <w:t>.</w:t>
      </w:r>
      <w:r w:rsidR="00774F7A">
        <w:t xml:space="preserve"> </w:t>
      </w:r>
      <w:r w:rsidR="00302C29">
        <w:t xml:space="preserve">The project area supports a range of surface water and groundwater-dependent ecosystems (GDEs). </w:t>
      </w:r>
      <w:r w:rsidR="00C00394">
        <w:t>The proposed project</w:t>
      </w:r>
      <w:r w:rsidR="00302C29">
        <w:t xml:space="preserve"> will potentially impact </w:t>
      </w:r>
      <w:r w:rsidR="0030066F" w:rsidRPr="00153960">
        <w:t>these</w:t>
      </w:r>
      <w:r w:rsidR="00302C29" w:rsidRPr="00153960">
        <w:t xml:space="preserve"> ecosystems and species reliant on them, especially those in </w:t>
      </w:r>
      <w:r w:rsidR="00C00394" w:rsidRPr="00153960">
        <w:t xml:space="preserve">undermined </w:t>
      </w:r>
      <w:r w:rsidR="00302C29" w:rsidRPr="00153960">
        <w:t>sections of Tea Tree Hollow</w:t>
      </w:r>
      <w:r w:rsidR="00C00394" w:rsidRPr="00153960">
        <w:t>,</w:t>
      </w:r>
      <w:r w:rsidR="00302C29" w:rsidRPr="00153960">
        <w:t xml:space="preserve"> Dog Trap Creek</w:t>
      </w:r>
      <w:r w:rsidR="0030066F" w:rsidRPr="00153960">
        <w:t xml:space="preserve"> and their tributaries</w:t>
      </w:r>
      <w:r w:rsidR="00302C29" w:rsidRPr="00153960">
        <w:t>.</w:t>
      </w:r>
      <w:r w:rsidR="00302C29">
        <w:t xml:space="preserve"> Although the proponent has identified all likely impacts, the IESC considers their potential magnitude</w:t>
      </w:r>
      <w:r w:rsidR="00C45677">
        <w:t xml:space="preserve"> may be underestimated</w:t>
      </w:r>
      <w:r w:rsidR="00D35B00">
        <w:t xml:space="preserve"> and possibl</w:t>
      </w:r>
      <w:r w:rsidR="00127D30">
        <w:t>y</w:t>
      </w:r>
      <w:r w:rsidR="00D35B00">
        <w:t xml:space="preserve"> irreversible</w:t>
      </w:r>
      <w:r w:rsidR="00302C29">
        <w:t>.</w:t>
      </w:r>
    </w:p>
    <w:p w14:paraId="33A528F7" w14:textId="77777777" w:rsidR="00BF21A7" w:rsidRPr="00BF21A7" w:rsidRDefault="00BF21A7" w:rsidP="00BD3A5F">
      <w:pPr>
        <w:keepNext/>
        <w:suppressLineNumbers/>
      </w:pPr>
      <w:r w:rsidRPr="00BF21A7">
        <w:rPr>
          <w:u w:val="single"/>
        </w:rPr>
        <w:t>Key potential impacts</w:t>
      </w:r>
      <w:r w:rsidRPr="00BF21A7">
        <w:t xml:space="preserve"> from this project are:</w:t>
      </w:r>
    </w:p>
    <w:p w14:paraId="62216259" w14:textId="30719725" w:rsidR="00E02BB7" w:rsidRPr="00153960" w:rsidRDefault="00E02BB7" w:rsidP="00BD3A5F">
      <w:pPr>
        <w:pStyle w:val="ListParagraph"/>
        <w:numPr>
          <w:ilvl w:val="0"/>
          <w:numId w:val="13"/>
        </w:numPr>
        <w:suppressLineNumbers/>
      </w:pPr>
      <w:r w:rsidRPr="00153960">
        <w:t>changes to groundwater and surface water hydrology and water quality d</w:t>
      </w:r>
      <w:r w:rsidR="00E00FD2" w:rsidRPr="00153960">
        <w:t xml:space="preserve">ue to ground movement </w:t>
      </w:r>
      <w:r w:rsidR="00774F7A" w:rsidRPr="00153960">
        <w:t>comprising</w:t>
      </w:r>
      <w:r w:rsidR="00E00FD2" w:rsidRPr="00153960">
        <w:t xml:space="preserve"> </w:t>
      </w:r>
      <w:r w:rsidR="00154C2A" w:rsidRPr="00153960">
        <w:t xml:space="preserve">subsidence and </w:t>
      </w:r>
      <w:r w:rsidR="00227F6C" w:rsidRPr="00153960">
        <w:t>other mining induced ground movements including: strata deformation, surface fracturing and near-surface fracture networks,</w:t>
      </w:r>
      <w:r w:rsidR="00154C2A" w:rsidRPr="00153960">
        <w:t xml:space="preserve"> </w:t>
      </w:r>
      <w:proofErr w:type="spellStart"/>
      <w:r w:rsidR="00E00FD2" w:rsidRPr="00153960">
        <w:t>upsidence</w:t>
      </w:r>
      <w:proofErr w:type="spellEnd"/>
      <w:r w:rsidR="00E00FD2" w:rsidRPr="00153960">
        <w:t xml:space="preserve">, valley </w:t>
      </w:r>
      <w:r w:rsidR="005B0F30" w:rsidRPr="00153960">
        <w:t>closure</w:t>
      </w:r>
      <w:r w:rsidR="00E00FD2" w:rsidRPr="00153960">
        <w:t>, shear and bed plane movements</w:t>
      </w:r>
      <w:r w:rsidR="00A4217B">
        <w:t>;</w:t>
      </w:r>
      <w:r w:rsidR="00227F6C" w:rsidRPr="00153960">
        <w:t xml:space="preserve"> </w:t>
      </w:r>
    </w:p>
    <w:p w14:paraId="35C6E047" w14:textId="7AC51C8F" w:rsidR="00C03033" w:rsidRPr="00153960" w:rsidRDefault="00C00394" w:rsidP="00BD3A5F">
      <w:pPr>
        <w:pStyle w:val="ListParagraph"/>
        <w:numPr>
          <w:ilvl w:val="0"/>
          <w:numId w:val="13"/>
        </w:numPr>
        <w:suppressLineNumbers/>
      </w:pPr>
      <w:r w:rsidRPr="00153960">
        <w:t xml:space="preserve">reduced </w:t>
      </w:r>
      <w:r w:rsidR="00C03033" w:rsidRPr="00153960">
        <w:t>flow and pool</w:t>
      </w:r>
      <w:r w:rsidRPr="00153960">
        <w:t xml:space="preserve"> persistence</w:t>
      </w:r>
      <w:r w:rsidR="00C03033" w:rsidRPr="00153960">
        <w:t xml:space="preserve"> in watercourses in the </w:t>
      </w:r>
      <w:r w:rsidRPr="00153960">
        <w:t xml:space="preserve">project </w:t>
      </w:r>
      <w:r w:rsidR="00C03033" w:rsidRPr="00153960">
        <w:t>area, particularly in</w:t>
      </w:r>
      <w:r w:rsidR="009C2920" w:rsidRPr="00153960">
        <w:t xml:space="preserve"> </w:t>
      </w:r>
      <w:r w:rsidR="00C03033" w:rsidRPr="00153960">
        <w:t>Tea Tree Hollow</w:t>
      </w:r>
      <w:r w:rsidR="00491121" w:rsidRPr="00153960">
        <w:t>,</w:t>
      </w:r>
      <w:r w:rsidR="00C03033" w:rsidRPr="00153960">
        <w:t xml:space="preserve"> Dog Trap Creek and </w:t>
      </w:r>
      <w:r w:rsidR="0030066F" w:rsidRPr="00153960">
        <w:t>their</w:t>
      </w:r>
      <w:r w:rsidR="00C03033" w:rsidRPr="00153960">
        <w:t xml:space="preserve"> tributaries</w:t>
      </w:r>
      <w:r w:rsidRPr="00153960">
        <w:t xml:space="preserve"> due to surface cracking and near-surface fracture networks</w:t>
      </w:r>
      <w:r w:rsidR="00CA6F53" w:rsidRPr="00153960">
        <w:t>;</w:t>
      </w:r>
    </w:p>
    <w:p w14:paraId="2996C582" w14:textId="00E8E3A9" w:rsidR="00E02BB7" w:rsidRPr="00153960" w:rsidRDefault="002635D8" w:rsidP="00BD3A5F">
      <w:pPr>
        <w:pStyle w:val="ListParagraph"/>
        <w:numPr>
          <w:ilvl w:val="0"/>
          <w:numId w:val="13"/>
        </w:numPr>
        <w:suppressLineNumbers/>
      </w:pPr>
      <w:r w:rsidRPr="00153960">
        <w:t>possibly irreversible changes to surface water ecosystems</w:t>
      </w:r>
      <w:r w:rsidR="00C00394" w:rsidRPr="00153960">
        <w:t xml:space="preserve">, </w:t>
      </w:r>
      <w:r w:rsidRPr="00153960">
        <w:t xml:space="preserve">GDEs and water-dependent species (including several </w:t>
      </w:r>
      <w:r w:rsidRPr="00153960">
        <w:rPr>
          <w:i/>
        </w:rPr>
        <w:t>E</w:t>
      </w:r>
      <w:r w:rsidR="00997616" w:rsidRPr="00153960">
        <w:rPr>
          <w:i/>
        </w:rPr>
        <w:t>nvironment Protection and Biodiver</w:t>
      </w:r>
      <w:r w:rsidR="7CFBD3E9" w:rsidRPr="00153960">
        <w:rPr>
          <w:i/>
        </w:rPr>
        <w:t>si</w:t>
      </w:r>
      <w:r w:rsidR="00997616" w:rsidRPr="00153960">
        <w:rPr>
          <w:i/>
        </w:rPr>
        <w:t xml:space="preserve">ty </w:t>
      </w:r>
      <w:r w:rsidR="0030066F" w:rsidRPr="00153960">
        <w:rPr>
          <w:i/>
        </w:rPr>
        <w:t xml:space="preserve">Conservation </w:t>
      </w:r>
      <w:r w:rsidR="00997616" w:rsidRPr="00153960">
        <w:rPr>
          <w:i/>
        </w:rPr>
        <w:t xml:space="preserve">Act </w:t>
      </w:r>
      <w:r w:rsidR="0030066F" w:rsidRPr="00153960">
        <w:rPr>
          <w:i/>
        </w:rPr>
        <w:t>1999</w:t>
      </w:r>
      <w:r w:rsidR="0030066F" w:rsidRPr="00153960">
        <w:t xml:space="preserve"> </w:t>
      </w:r>
      <w:r w:rsidR="00997616" w:rsidRPr="00153960">
        <w:t>(EPBC Act)</w:t>
      </w:r>
      <w:r w:rsidR="00253320">
        <w:t xml:space="preserve"> </w:t>
      </w:r>
      <w:r w:rsidRPr="00153960">
        <w:t>-listed species)</w:t>
      </w:r>
      <w:r w:rsidR="00E41ABD" w:rsidRPr="00153960">
        <w:t>;</w:t>
      </w:r>
    </w:p>
    <w:p w14:paraId="1823CB2B" w14:textId="6CED33F7" w:rsidR="00E41ABD" w:rsidRPr="00153960" w:rsidRDefault="58E95B39" w:rsidP="00BD3A5F">
      <w:pPr>
        <w:pStyle w:val="ListParagraph"/>
        <w:numPr>
          <w:ilvl w:val="0"/>
          <w:numId w:val="13"/>
        </w:numPr>
        <w:suppressLineNumbers/>
      </w:pPr>
      <w:r w:rsidRPr="00153960">
        <w:t>g</w:t>
      </w:r>
      <w:r w:rsidR="4A98258D" w:rsidRPr="00153960">
        <w:t xml:space="preserve">roundwater </w:t>
      </w:r>
      <w:r w:rsidR="00491121" w:rsidRPr="00153960">
        <w:t xml:space="preserve">drawdown that will potentially affect </w:t>
      </w:r>
      <w:r w:rsidR="0030066F" w:rsidRPr="00153960">
        <w:t>numerous private bore users (existing modelling indicates</w:t>
      </w:r>
      <w:r w:rsidR="110102C5" w:rsidRPr="00153960">
        <w:t xml:space="preserve"> </w:t>
      </w:r>
      <w:r w:rsidR="00227F6C" w:rsidRPr="00153960">
        <w:t xml:space="preserve">that more than 2 m of drawdown could occur in approximately </w:t>
      </w:r>
      <w:r w:rsidR="0030066F" w:rsidRPr="00153960">
        <w:t>120 bores)</w:t>
      </w:r>
      <w:r w:rsidR="00E41ABD" w:rsidRPr="00153960">
        <w:t>; and</w:t>
      </w:r>
    </w:p>
    <w:p w14:paraId="3035FA47" w14:textId="724D29F8" w:rsidR="007B32ED" w:rsidRDefault="00E41ABD" w:rsidP="00BD3A5F">
      <w:pPr>
        <w:pStyle w:val="ListParagraph"/>
        <w:numPr>
          <w:ilvl w:val="0"/>
          <w:numId w:val="13"/>
        </w:numPr>
        <w:suppressLineNumbers/>
      </w:pPr>
      <w:proofErr w:type="gramStart"/>
      <w:r w:rsidRPr="00153960">
        <w:t>cumulative</w:t>
      </w:r>
      <w:proofErr w:type="gramEnd"/>
      <w:r w:rsidRPr="00153960">
        <w:t xml:space="preserve"> impacts associated with past</w:t>
      </w:r>
      <w:r w:rsidR="00A4217B">
        <w:t xml:space="preserve">, current and future </w:t>
      </w:r>
      <w:r w:rsidRPr="00153960">
        <w:t>mining in</w:t>
      </w:r>
      <w:r w:rsidR="000713D2" w:rsidRPr="00153960">
        <w:t xml:space="preserve"> the</w:t>
      </w:r>
      <w:r w:rsidRPr="00153960">
        <w:t xml:space="preserve"> context of all land and water use</w:t>
      </w:r>
      <w:r w:rsidR="00A31779" w:rsidRPr="00153960">
        <w:t>s</w:t>
      </w:r>
      <w:r w:rsidRPr="00153960">
        <w:t xml:space="preserve"> in the region.</w:t>
      </w:r>
    </w:p>
    <w:p w14:paraId="06796130" w14:textId="77777777" w:rsidR="00BC0AAB" w:rsidRDefault="00BC0AAB" w:rsidP="00BD3A5F">
      <w:pPr>
        <w:suppressLineNumbers/>
        <w:autoSpaceDE/>
        <w:autoSpaceDN/>
        <w:adjustRightInd/>
        <w:spacing w:after="0" w:line="240" w:lineRule="auto"/>
      </w:pPr>
      <w:r>
        <w:br w:type="page"/>
      </w:r>
    </w:p>
    <w:p w14:paraId="21CF3E7A" w14:textId="32EB4316" w:rsidR="004E26D2" w:rsidRPr="00153960" w:rsidRDefault="004E26D2" w:rsidP="00BD3A5F">
      <w:pPr>
        <w:pStyle w:val="ListBullet"/>
        <w:suppressLineNumbers/>
        <w:ind w:left="0" w:firstLine="0"/>
        <w:rPr>
          <w:lang w:val="en-AU"/>
        </w:rPr>
      </w:pPr>
      <w:r w:rsidRPr="00153960">
        <w:rPr>
          <w:lang w:val="en-AU"/>
        </w:rPr>
        <w:lastRenderedPageBreak/>
        <w:t>The IESC has identified areas in which additional work is required to address the key potential impacts, as detailed in this advice. These are summarised below.</w:t>
      </w:r>
    </w:p>
    <w:p w14:paraId="269C8924" w14:textId="31394F44" w:rsidR="005A5286" w:rsidRPr="00153960" w:rsidRDefault="00A31779" w:rsidP="00BD3A5F">
      <w:pPr>
        <w:pStyle w:val="ListParagraph"/>
        <w:numPr>
          <w:ilvl w:val="0"/>
          <w:numId w:val="14"/>
        </w:numPr>
        <w:suppressLineNumbers/>
      </w:pPr>
      <w:r w:rsidRPr="00153960">
        <w:t>M</w:t>
      </w:r>
      <w:r w:rsidR="00DC30C9" w:rsidRPr="00153960">
        <w:t xml:space="preserve">ining-induced ground movement </w:t>
      </w:r>
      <w:r w:rsidR="005A5286" w:rsidRPr="00153960">
        <w:t xml:space="preserve">from previous mining in the local region </w:t>
      </w:r>
      <w:r w:rsidR="00774F7A">
        <w:t>outlined</w:t>
      </w:r>
      <w:r w:rsidR="005A5286" w:rsidRPr="00153960">
        <w:t xml:space="preserve"> in the </w:t>
      </w:r>
      <w:r w:rsidRPr="00153960">
        <w:t xml:space="preserve">geotechnical report </w:t>
      </w:r>
      <w:r w:rsidR="00997616" w:rsidRPr="00153960">
        <w:t>(EIS</w:t>
      </w:r>
      <w:r w:rsidR="00E41ABD" w:rsidRPr="00153960">
        <w:t>, Appendix G</w:t>
      </w:r>
      <w:r w:rsidR="00997616" w:rsidRPr="00153960">
        <w:t xml:space="preserve">) </w:t>
      </w:r>
      <w:r w:rsidR="005A5286" w:rsidRPr="00153960">
        <w:t>suggests that fracturing will be more extensive</w:t>
      </w:r>
      <w:r w:rsidR="00E41ABD" w:rsidRPr="00153960">
        <w:t xml:space="preserve"> than is presented in the groundwater report</w:t>
      </w:r>
      <w:r w:rsidR="4CACB459" w:rsidRPr="00153960">
        <w:t xml:space="preserve"> (</w:t>
      </w:r>
      <w:r w:rsidR="00E41ABD" w:rsidRPr="00153960">
        <w:t>EIS, Appendix I</w:t>
      </w:r>
      <w:r w:rsidR="4CACB459" w:rsidRPr="00153960">
        <w:t>)</w:t>
      </w:r>
      <w:r w:rsidR="005A5286" w:rsidRPr="00153960">
        <w:t>. The groundwater modelling shoul</w:t>
      </w:r>
      <w:r w:rsidR="35753CC1" w:rsidRPr="00153960">
        <w:t>d</w:t>
      </w:r>
      <w:r w:rsidR="005A5286" w:rsidRPr="00153960">
        <w:t xml:space="preserve"> reflect </w:t>
      </w:r>
      <w:r w:rsidR="00484DBF" w:rsidRPr="00153960">
        <w:t xml:space="preserve">the observations of vertical flow losses that occur above the </w:t>
      </w:r>
      <w:r w:rsidR="00AE5E21" w:rsidRPr="00153960">
        <w:t>height</w:t>
      </w:r>
      <w:r w:rsidR="00484DBF" w:rsidRPr="00153960">
        <w:t xml:space="preserve"> of complete groundwater drainage above the longwall (observations in EIS, Appendix G). </w:t>
      </w:r>
    </w:p>
    <w:p w14:paraId="5E45F41B" w14:textId="3F875D0B" w:rsidR="00E41ABD" w:rsidRPr="00153960" w:rsidRDefault="00E41ABD" w:rsidP="00BD3A5F">
      <w:pPr>
        <w:pStyle w:val="ListParagraph"/>
        <w:numPr>
          <w:ilvl w:val="0"/>
          <w:numId w:val="14"/>
        </w:numPr>
        <w:suppressLineNumbers/>
        <w:jc w:val="both"/>
      </w:pPr>
      <w:r w:rsidRPr="00153960">
        <w:t xml:space="preserve">Further analysis and modelling of existing baseline data </w:t>
      </w:r>
      <w:r w:rsidR="00A31779" w:rsidRPr="00153960">
        <w:t xml:space="preserve">are needed </w:t>
      </w:r>
      <w:r w:rsidRPr="00153960">
        <w:t xml:space="preserve">to better inform estimates of </w:t>
      </w:r>
      <w:r w:rsidR="00A31779" w:rsidRPr="00153960">
        <w:t xml:space="preserve">the </w:t>
      </w:r>
      <w:r w:rsidRPr="00153960">
        <w:t xml:space="preserve">upper and lower bounds of potential impacts on surface water losses </w:t>
      </w:r>
      <w:r w:rsidR="00AE5E21" w:rsidRPr="00153960">
        <w:t xml:space="preserve">(EIS, Appendix </w:t>
      </w:r>
      <w:r w:rsidR="00B60423">
        <w:t>J</w:t>
      </w:r>
      <w:r w:rsidR="00AE5E21" w:rsidRPr="00153960">
        <w:t xml:space="preserve">) </w:t>
      </w:r>
      <w:r w:rsidRPr="00153960">
        <w:t>to near-surface fracture zones</w:t>
      </w:r>
      <w:r w:rsidR="00AE5E21" w:rsidRPr="00153960">
        <w:t xml:space="preserve"> (EIS, Appendix F)</w:t>
      </w:r>
      <w:r w:rsidRPr="00153960">
        <w:t>.</w:t>
      </w:r>
      <w:r w:rsidR="00484DBF" w:rsidRPr="00153960">
        <w:t xml:space="preserve"> </w:t>
      </w:r>
      <w:r w:rsidR="00AE5E21" w:rsidRPr="00153960">
        <w:t>These effects are not currently incorp</w:t>
      </w:r>
      <w:r w:rsidR="00091AD0">
        <w:t>or</w:t>
      </w:r>
      <w:r w:rsidR="00AE5E21" w:rsidRPr="00153960">
        <w:t>ated in groundwater modelling (EIS, Appendix I). New m</w:t>
      </w:r>
      <w:r w:rsidR="00484DBF" w:rsidRPr="00153960">
        <w:t>odel</w:t>
      </w:r>
      <w:r w:rsidR="007920EE" w:rsidRPr="00153960">
        <w:t>-</w:t>
      </w:r>
      <w:r w:rsidR="00484DBF" w:rsidRPr="00153960">
        <w:t xml:space="preserve">independent </w:t>
      </w:r>
      <w:r w:rsidR="00AE5E21" w:rsidRPr="00153960">
        <w:t>data on the extent of near-surface fracturing</w:t>
      </w:r>
      <w:r w:rsidR="00484DBF" w:rsidRPr="00153960">
        <w:t xml:space="preserve"> should be </w:t>
      </w:r>
      <w:r w:rsidR="00AE5E21" w:rsidRPr="00153960">
        <w:t xml:space="preserve">obtained and </w:t>
      </w:r>
      <w:r w:rsidR="00484DBF" w:rsidRPr="00153960">
        <w:t>used to develop a</w:t>
      </w:r>
      <w:r w:rsidR="00AE5E21" w:rsidRPr="00153960">
        <w:t xml:space="preserve"> </w:t>
      </w:r>
      <w:r w:rsidR="00484DBF" w:rsidRPr="00153960">
        <w:t>modelling approach that is capable of incorporating the hydrological effects of near-surface fracturing</w:t>
      </w:r>
      <w:r w:rsidR="00AE5E21" w:rsidRPr="00153960">
        <w:t xml:space="preserve">. </w:t>
      </w:r>
    </w:p>
    <w:p w14:paraId="3CB29B55" w14:textId="2D776D3E" w:rsidR="007B32ED" w:rsidRPr="00153960" w:rsidRDefault="00C03033" w:rsidP="00BD3A5F">
      <w:pPr>
        <w:pStyle w:val="ListParagraph"/>
        <w:numPr>
          <w:ilvl w:val="0"/>
          <w:numId w:val="14"/>
        </w:numPr>
        <w:suppressLineNumbers/>
      </w:pPr>
      <w:r w:rsidRPr="00153960">
        <w:t>Consideration should be given to</w:t>
      </w:r>
      <w:r w:rsidR="00154C2A" w:rsidRPr="00153960">
        <w:t xml:space="preserve"> reducing</w:t>
      </w:r>
      <w:r w:rsidRPr="00153960">
        <w:t xml:space="preserve"> impacts </w:t>
      </w:r>
      <w:r w:rsidR="0015643B" w:rsidRPr="00153960">
        <w:t xml:space="preserve">of </w:t>
      </w:r>
      <w:r w:rsidR="00D70963" w:rsidRPr="00153960">
        <w:t xml:space="preserve">connective </w:t>
      </w:r>
      <w:r w:rsidR="0015643B" w:rsidRPr="00153960">
        <w:t xml:space="preserve">fracturing </w:t>
      </w:r>
      <w:r w:rsidR="00D70963" w:rsidRPr="00153960">
        <w:t xml:space="preserve">above the longwall and reducing </w:t>
      </w:r>
      <w:r w:rsidR="0015643B" w:rsidRPr="00153960">
        <w:t xml:space="preserve">surface cracking and near-surface fracturing </w:t>
      </w:r>
      <w:r w:rsidRPr="00153960">
        <w:t xml:space="preserve">on creeks </w:t>
      </w:r>
      <w:r w:rsidR="00BC35AE" w:rsidRPr="00153960">
        <w:t xml:space="preserve">and associated GDEs </w:t>
      </w:r>
      <w:r w:rsidRPr="00153960">
        <w:t xml:space="preserve">by </w:t>
      </w:r>
      <w:r w:rsidR="00484DBF" w:rsidRPr="00153960">
        <w:t xml:space="preserve">additional alterations to </w:t>
      </w:r>
      <w:r w:rsidRPr="00153960">
        <w:t>the min</w:t>
      </w:r>
      <w:r w:rsidR="00484DBF" w:rsidRPr="00153960">
        <w:t xml:space="preserve">e </w:t>
      </w:r>
      <w:r w:rsidR="00D70963" w:rsidRPr="00153960">
        <w:t>plan</w:t>
      </w:r>
      <w:r w:rsidR="00484DBF" w:rsidRPr="00153960">
        <w:t xml:space="preserve">. </w:t>
      </w:r>
      <w:r w:rsidR="0015643B" w:rsidRPr="00153960">
        <w:t>This could be accomplished, for example, by</w:t>
      </w:r>
      <w:r w:rsidRPr="00153960">
        <w:t xml:space="preserve"> alter</w:t>
      </w:r>
      <w:r w:rsidR="0015643B" w:rsidRPr="00153960">
        <w:t>ing</w:t>
      </w:r>
      <w:r w:rsidRPr="00153960">
        <w:t xml:space="preserve"> the longwall placement </w:t>
      </w:r>
      <w:r w:rsidR="00D70963" w:rsidRPr="00153960">
        <w:t xml:space="preserve">or orientation </w:t>
      </w:r>
      <w:r w:rsidRPr="00153960">
        <w:t xml:space="preserve">so that creeks are not undermined or by </w:t>
      </w:r>
      <w:r w:rsidR="00D70963" w:rsidRPr="00153960">
        <w:t xml:space="preserve">other alterations to the mine design and geometry of panels and pillars. </w:t>
      </w:r>
    </w:p>
    <w:p w14:paraId="2AFDD875" w14:textId="375C4E6B" w:rsidR="00DE4B51" w:rsidRPr="00DE4B51" w:rsidRDefault="00997616" w:rsidP="00BD3A5F">
      <w:pPr>
        <w:pStyle w:val="ListParagraph"/>
        <w:numPr>
          <w:ilvl w:val="0"/>
          <w:numId w:val="14"/>
        </w:numPr>
        <w:suppressLineNumbers/>
      </w:pPr>
      <w:r>
        <w:t xml:space="preserve">Development </w:t>
      </w:r>
      <w:r w:rsidR="00C4264C">
        <w:t>of a</w:t>
      </w:r>
      <w:r w:rsidR="00C41DA7">
        <w:t xml:space="preserve"> Receiving Environment Management Plan</w:t>
      </w:r>
      <w:r>
        <w:t xml:space="preserve">. This should </w:t>
      </w:r>
      <w:r w:rsidR="00C4264C">
        <w:t>includ</w:t>
      </w:r>
      <w:r>
        <w:t>e</w:t>
      </w:r>
      <w:r w:rsidR="00C4264C">
        <w:t xml:space="preserve"> management </w:t>
      </w:r>
      <w:r w:rsidR="00206980">
        <w:t xml:space="preserve">and monitoring </w:t>
      </w:r>
      <w:r w:rsidR="00C4264C">
        <w:t>measures to effectively protect the environment from discharges</w:t>
      </w:r>
      <w:r w:rsidR="009C2920">
        <w:t>.</w:t>
      </w:r>
    </w:p>
    <w:p w14:paraId="6765CC67" w14:textId="77777777" w:rsidR="00291857" w:rsidRPr="00BF21A7" w:rsidRDefault="00291857" w:rsidP="00BD3A5F">
      <w:pPr>
        <w:suppressLineNumbers/>
        <w:rPr>
          <w:b/>
        </w:rPr>
      </w:pPr>
      <w:r w:rsidRPr="00BF21A7">
        <w:rPr>
          <w:b/>
        </w:rPr>
        <w:t>Context</w:t>
      </w:r>
    </w:p>
    <w:p w14:paraId="475F8BB2" w14:textId="67A2A387" w:rsidR="006C7902" w:rsidRDefault="006C7902" w:rsidP="00BD3A5F">
      <w:pPr>
        <w:suppressLineNumbers/>
      </w:pPr>
      <w:r>
        <w:t xml:space="preserve">Tahmoor Mine </w:t>
      </w:r>
      <w:r w:rsidR="00AB4AD1">
        <w:t>lies</w:t>
      </w:r>
      <w:r>
        <w:t xml:space="preserve"> within the Southern Coalfields of NSW where considerable mining has occurred for about 200 years. The proposed project, Tahmoor South, is an extension of the existing Tahmoor North project, which has been mined since the late 1970s. The proposed project would use longwall mining to extract coal from the Bulli seam. Coal extraction of up to four million tonnes of run</w:t>
      </w:r>
      <w:r w:rsidR="00A31779">
        <w:t>-</w:t>
      </w:r>
      <w:r>
        <w:t>of</w:t>
      </w:r>
      <w:r w:rsidR="00A31779">
        <w:t>-</w:t>
      </w:r>
      <w:r>
        <w:t>mine coal per annum is proposed, with processing at the existing Coal Hand</w:t>
      </w:r>
      <w:r w:rsidR="00A31779">
        <w:t>l</w:t>
      </w:r>
      <w:r>
        <w:t xml:space="preserve">ing and Processing Plant, and transport via the existing rail network. In addition to the Tahmoor Mine, there are eight </w:t>
      </w:r>
      <w:r w:rsidR="00AB4AD1">
        <w:t xml:space="preserve">nearby </w:t>
      </w:r>
      <w:r>
        <w:t xml:space="preserve">mining operations: six mines to the east and two to the southwest, which are in various phases of operation or maintenance.  </w:t>
      </w:r>
    </w:p>
    <w:p w14:paraId="377F044E" w14:textId="5810481B" w:rsidR="006C7902" w:rsidRPr="00FF38FD" w:rsidRDefault="006C7902" w:rsidP="00BD3A5F">
      <w:pPr>
        <w:suppressLineNumbers/>
      </w:pPr>
      <w:r>
        <w:t>The project is located in a region containing large areas dedicated to conservation. This includes the Metropolitan Special Area (MSA),</w:t>
      </w:r>
      <w:r w:rsidRPr="00E74CAB">
        <w:t xml:space="preserve"> </w:t>
      </w:r>
      <w:r>
        <w:t xml:space="preserve">part of Sydney’s </w:t>
      </w:r>
      <w:r w:rsidRPr="00FF38FD">
        <w:t>drinking water catchments, located to the east of the project. Waters from the MSA flow via the Nepean River northward into the Hawkesbury-Nepean River catchment system. The proposal itself is mostly within the Bargo River catchment whose waters contribute to the Nepean River downstream of the MSA. To the west of the project are located Thirlmere Lakes National Park and Nattai Wilderness Area. The Thirlmere Lakes have been the subject of several studies</w:t>
      </w:r>
      <w:r w:rsidR="002D0512" w:rsidRPr="00FF38FD">
        <w:t xml:space="preserve"> (some still ongoing)</w:t>
      </w:r>
      <w:r w:rsidRPr="00FF38FD">
        <w:t xml:space="preserve"> and an </w:t>
      </w:r>
      <w:r w:rsidR="002D0512" w:rsidRPr="00FF38FD">
        <w:t>I</w:t>
      </w:r>
      <w:r w:rsidRPr="00FF38FD">
        <w:t xml:space="preserve">nquiry as to the causes of </w:t>
      </w:r>
      <w:r w:rsidR="002D0512" w:rsidRPr="00FF38FD">
        <w:t>long-</w:t>
      </w:r>
      <w:r w:rsidR="002D0512" w:rsidRPr="00AA043A">
        <w:t xml:space="preserve">term </w:t>
      </w:r>
      <w:r w:rsidRPr="00AA043A">
        <w:t>water-level changes</w:t>
      </w:r>
      <w:r w:rsidR="002D0512" w:rsidRPr="00AA043A">
        <w:t xml:space="preserve">, especially </w:t>
      </w:r>
      <w:r w:rsidRPr="00AA043A">
        <w:t xml:space="preserve">since </w:t>
      </w:r>
      <w:r w:rsidR="00D70963" w:rsidRPr="00AA043A">
        <w:t>longwall mining occurred in the vicinity</w:t>
      </w:r>
      <w:r w:rsidRPr="00AA043A">
        <w:t xml:space="preserve">. </w:t>
      </w:r>
      <w:r w:rsidR="002D0512" w:rsidRPr="00AA043A">
        <w:t>Guided by feedback at workshops about social values of</w:t>
      </w:r>
      <w:r w:rsidR="002D0512">
        <w:t xml:space="preserve"> the region (EIS, Appendix D), t</w:t>
      </w:r>
      <w:r>
        <w:t xml:space="preserve">he project </w:t>
      </w:r>
      <w:r w:rsidR="002D0512">
        <w:t xml:space="preserve">has </w:t>
      </w:r>
      <w:r>
        <w:t xml:space="preserve">been revised to avoid longwall mining directly under the </w:t>
      </w:r>
      <w:r w:rsidRPr="00FF38FD">
        <w:t xml:space="preserve">MSA and various </w:t>
      </w:r>
      <w:r w:rsidR="002D0512" w:rsidRPr="00FF38FD">
        <w:t xml:space="preserve">other </w:t>
      </w:r>
      <w:r w:rsidRPr="00FF38FD">
        <w:t>sensitive environmental and cultural features.</w:t>
      </w:r>
    </w:p>
    <w:p w14:paraId="24FE9009" w14:textId="29DD25DA" w:rsidR="00960BCD" w:rsidRDefault="00960BCD" w:rsidP="00BD3A5F">
      <w:pPr>
        <w:suppressLineNumbers/>
      </w:pPr>
      <w:r w:rsidRPr="00FF38FD">
        <w:t xml:space="preserve">It is understood that the proponent has already made significant changes to their proposal to avoid directly undermining the Metropolitan Special Area and it is considered that these changes have greatly ameliorated </w:t>
      </w:r>
      <w:r w:rsidR="007073C9">
        <w:t>some of</w:t>
      </w:r>
      <w:r w:rsidR="0098378D">
        <w:t xml:space="preserve"> </w:t>
      </w:r>
      <w:r w:rsidRPr="00FF38FD">
        <w:t>the potential risks</w:t>
      </w:r>
      <w:r w:rsidR="00585645">
        <w:t xml:space="preserve"> to the MSA</w:t>
      </w:r>
      <w:r w:rsidRPr="00FF38FD">
        <w:t>. However, there remain a number of significant uncertainties around the potential impacts, as discussed below.</w:t>
      </w:r>
    </w:p>
    <w:p w14:paraId="74E042D0" w14:textId="79FBE900" w:rsidR="00BC0AAB" w:rsidRDefault="00BC0AAB" w:rsidP="00BD3A5F">
      <w:pPr>
        <w:suppressLineNumbers/>
        <w:autoSpaceDE/>
        <w:autoSpaceDN/>
        <w:adjustRightInd/>
        <w:spacing w:after="0" w:line="240" w:lineRule="auto"/>
      </w:pPr>
      <w:r>
        <w:br w:type="page"/>
      </w:r>
    </w:p>
    <w:p w14:paraId="1ED4F99B" w14:textId="77777777" w:rsidR="00DD22BB" w:rsidRPr="00544955" w:rsidRDefault="4A614937" w:rsidP="00BD3A5F">
      <w:pPr>
        <w:pStyle w:val="Question"/>
        <w:suppressLineNumbers/>
        <w:shd w:val="clear" w:color="auto" w:fill="E7E6E6"/>
        <w:rPr>
          <w:b/>
          <w:bCs/>
        </w:rPr>
      </w:pPr>
      <w:r w:rsidRPr="00544955">
        <w:rPr>
          <w:b/>
          <w:bCs/>
        </w:rPr>
        <w:lastRenderedPageBreak/>
        <w:t>General issues</w:t>
      </w:r>
    </w:p>
    <w:p w14:paraId="6B787DE8" w14:textId="66D56840" w:rsidR="003033AF" w:rsidRPr="006F4660" w:rsidRDefault="003033AF" w:rsidP="00BD3A5F">
      <w:pPr>
        <w:pStyle w:val="ListNumber"/>
        <w:numPr>
          <w:ilvl w:val="0"/>
          <w:numId w:val="6"/>
        </w:numPr>
        <w:suppressLineNumbers/>
      </w:pPr>
      <w:r w:rsidRPr="00544955">
        <w:t xml:space="preserve">In some of the questions below, the IESC has been asked to provide advice on model accuracy. Models are necessarily based on imperfect information and are simplified representations of reality. In this sense, models cannot be perfectly accurate, and the IESC considers that questions of accuracy should be framed in terms of confidence in model predictions. Evidence to support the degree of confidence in model estimates must be supported by analyses of uncertainty. </w:t>
      </w:r>
      <w:r w:rsidR="00C072DC">
        <w:t xml:space="preserve">In a high risk environment, this should include </w:t>
      </w:r>
      <w:r w:rsidRPr="00544955">
        <w:t xml:space="preserve">many simulations to explore how model </w:t>
      </w:r>
      <w:r w:rsidR="00D12D29" w:rsidRPr="006F4660">
        <w:t xml:space="preserve">parameters and </w:t>
      </w:r>
      <w:r w:rsidRPr="006F4660">
        <w:t>assumptions influence the likely upper and lower bounds of model predictions.</w:t>
      </w:r>
    </w:p>
    <w:p w14:paraId="08831BE1" w14:textId="12EFE9CF" w:rsidR="3AF145D4" w:rsidRPr="006F4660" w:rsidRDefault="28921304" w:rsidP="00BD3A5F">
      <w:pPr>
        <w:pStyle w:val="ListNumber"/>
        <w:numPr>
          <w:ilvl w:val="0"/>
          <w:numId w:val="6"/>
        </w:numPr>
        <w:suppressLineNumbers/>
      </w:pPr>
      <w:r w:rsidRPr="006F4660">
        <w:t xml:space="preserve">There are two main drivers that </w:t>
      </w:r>
      <w:r w:rsidR="00EC68E3" w:rsidRPr="006F4660">
        <w:t>need</w:t>
      </w:r>
      <w:r w:rsidRPr="006F4660">
        <w:t xml:space="preserve"> </w:t>
      </w:r>
      <w:r w:rsidR="00EC68E3" w:rsidRPr="006F4660">
        <w:t>explanation</w:t>
      </w:r>
      <w:r w:rsidRPr="006F4660">
        <w:t xml:space="preserve"> to provide </w:t>
      </w:r>
      <w:r w:rsidR="446CFDDD" w:rsidRPr="006F4660">
        <w:t xml:space="preserve">context for the responses to the questions that follow: mining-induced </w:t>
      </w:r>
      <w:r w:rsidR="00EC68E3" w:rsidRPr="006F4660">
        <w:t>ground</w:t>
      </w:r>
      <w:r w:rsidR="446CFDDD" w:rsidRPr="006F4660">
        <w:t xml:space="preserve"> movement and</w:t>
      </w:r>
      <w:r w:rsidR="224E6D41" w:rsidRPr="006F4660">
        <w:t xml:space="preserve"> groundwater drawdown.</w:t>
      </w:r>
      <w:r w:rsidR="00DC30C9" w:rsidRPr="006F4660">
        <w:t xml:space="preserve"> </w:t>
      </w:r>
    </w:p>
    <w:p w14:paraId="28D13E1D" w14:textId="77777777" w:rsidR="00544955" w:rsidRPr="006F4660" w:rsidRDefault="3FB02466" w:rsidP="00BD3A5F">
      <w:pPr>
        <w:pStyle w:val="Heading4"/>
        <w:suppressLineNumbers/>
      </w:pPr>
      <w:r w:rsidRPr="006F4660">
        <w:t>Mining-induced ground movement</w:t>
      </w:r>
    </w:p>
    <w:p w14:paraId="7E489AED" w14:textId="40507C9E" w:rsidR="000713D2" w:rsidRPr="006F4660" w:rsidRDefault="003033AF" w:rsidP="00BD3A5F">
      <w:pPr>
        <w:pStyle w:val="ListParagraph"/>
        <w:numPr>
          <w:ilvl w:val="0"/>
          <w:numId w:val="6"/>
        </w:numPr>
        <w:suppressLineNumbers/>
      </w:pPr>
      <w:r w:rsidRPr="006F4660">
        <w:t xml:space="preserve">The key physical driver of concern is the extent to which </w:t>
      </w:r>
      <w:r w:rsidR="00DC30C9" w:rsidRPr="006F4660">
        <w:t>minin</w:t>
      </w:r>
      <w:r w:rsidR="006C7902" w:rsidRPr="006F4660">
        <w:t>g</w:t>
      </w:r>
      <w:r w:rsidR="00DC30C9" w:rsidRPr="006F4660">
        <w:t xml:space="preserve">-induced ground movement </w:t>
      </w:r>
      <w:r w:rsidR="002D0512" w:rsidRPr="006F4660">
        <w:t xml:space="preserve">causes </w:t>
      </w:r>
      <w:r w:rsidRPr="006F4660">
        <w:t>surface cracking and near-surface fracturing, which has important consequences for the interaction</w:t>
      </w:r>
      <w:r w:rsidR="002D0512" w:rsidRPr="006F4660">
        <w:t>s</w:t>
      </w:r>
      <w:r w:rsidRPr="006F4660">
        <w:t xml:space="preserve"> between groundwater and surface water</w:t>
      </w:r>
      <w:r w:rsidR="002D0512" w:rsidRPr="006F4660">
        <w:t>s and their</w:t>
      </w:r>
      <w:r w:rsidRPr="006F4660">
        <w:t xml:space="preserve"> resources. The estimates of </w:t>
      </w:r>
      <w:r w:rsidR="00DC30C9" w:rsidRPr="006F4660">
        <w:t xml:space="preserve">surface </w:t>
      </w:r>
      <w:r w:rsidRPr="006F4660">
        <w:t>subsidence are largely based on the use of a single empirical method</w:t>
      </w:r>
      <w:r w:rsidR="00AA043A">
        <w:t xml:space="preserve"> </w:t>
      </w:r>
      <w:r w:rsidR="00AA043A" w:rsidRPr="006F4660">
        <w:t>(</w:t>
      </w:r>
      <w:r w:rsidR="00AA043A">
        <w:t>Incremental Profile Method (IPM)</w:t>
      </w:r>
      <w:r w:rsidR="00AA043A" w:rsidRPr="006F4660">
        <w:t>)</w:t>
      </w:r>
      <w:r w:rsidRPr="006F4660">
        <w:t xml:space="preserve">. While </w:t>
      </w:r>
      <w:r w:rsidR="00D70963" w:rsidRPr="006F4660">
        <w:t>this</w:t>
      </w:r>
      <w:r w:rsidRPr="006F4660">
        <w:t xml:space="preserve"> method might be </w:t>
      </w:r>
      <w:r w:rsidR="00305121" w:rsidRPr="006F4660">
        <w:t>appropriate to</w:t>
      </w:r>
      <w:r w:rsidRPr="006F4660">
        <w:t xml:space="preserve"> estimate subsidence across the broader landscape, it is noted that the model materially underestimates observations</w:t>
      </w:r>
      <w:r w:rsidR="003C1628" w:rsidRPr="006F4660">
        <w:t xml:space="preserve"> </w:t>
      </w:r>
      <w:r w:rsidR="00E4566C" w:rsidRPr="006F4660">
        <w:t>of ground movement</w:t>
      </w:r>
      <w:r w:rsidRPr="006F4660">
        <w:t xml:space="preserve"> </w:t>
      </w:r>
      <w:r w:rsidR="00E4566C" w:rsidRPr="006F4660">
        <w:t xml:space="preserve">within </w:t>
      </w:r>
      <w:r w:rsidRPr="006F4660">
        <w:t xml:space="preserve">watercourses and </w:t>
      </w:r>
      <w:r w:rsidR="00E4566C" w:rsidRPr="006F4660">
        <w:t xml:space="preserve">near </w:t>
      </w:r>
      <w:r w:rsidRPr="006F4660">
        <w:t>the Nepean fault</w:t>
      </w:r>
      <w:r w:rsidR="00DC30C9" w:rsidRPr="006F4660">
        <w:t xml:space="preserve"> (EIS, Appendix F – </w:t>
      </w:r>
      <w:r w:rsidR="000713D2" w:rsidRPr="006F4660">
        <w:t>s</w:t>
      </w:r>
      <w:r w:rsidR="00DC30C9" w:rsidRPr="006F4660">
        <w:t>ubsidence</w:t>
      </w:r>
      <w:r w:rsidR="0023041C" w:rsidRPr="006F4660">
        <w:t xml:space="preserve"> assessment</w:t>
      </w:r>
      <w:r w:rsidR="00DC30C9" w:rsidRPr="006F4660">
        <w:t xml:space="preserve">, and </w:t>
      </w:r>
      <w:r w:rsidR="00EC68E3" w:rsidRPr="006F4660">
        <w:t>Appendix</w:t>
      </w:r>
      <w:r w:rsidR="00DC30C9" w:rsidRPr="006F4660">
        <w:t xml:space="preserve"> G – </w:t>
      </w:r>
      <w:r w:rsidR="000713D2" w:rsidRPr="006F4660">
        <w:t>g</w:t>
      </w:r>
      <w:r w:rsidR="00DC30C9" w:rsidRPr="006F4660">
        <w:t>eotechnical assessment)</w:t>
      </w:r>
      <w:r w:rsidRPr="006F4660">
        <w:t xml:space="preserve">. Accordingly, the IESC has little confidence in the estimates of subsidence (and </w:t>
      </w:r>
      <w:r w:rsidR="003B5848" w:rsidRPr="006F4660">
        <w:t xml:space="preserve">other </w:t>
      </w:r>
      <w:r w:rsidRPr="006F4660">
        <w:t>associated</w:t>
      </w:r>
      <w:r w:rsidR="00305121" w:rsidRPr="006F4660">
        <w:t xml:space="preserve"> ground movements</w:t>
      </w:r>
      <w:r w:rsidRPr="006F4660">
        <w:t xml:space="preserve">) in these </w:t>
      </w:r>
      <w:r w:rsidR="00EC68E3" w:rsidRPr="006F4660">
        <w:t>locations.</w:t>
      </w:r>
      <w:r w:rsidR="000713D2" w:rsidRPr="006F4660">
        <w:t xml:space="preserve"> </w:t>
      </w:r>
      <w:r w:rsidR="00305121" w:rsidRPr="006F4660">
        <w:t>Additional geological characterisation, groundwater level analysis and targeted s</w:t>
      </w:r>
      <w:r w:rsidR="000713D2" w:rsidRPr="006F4660">
        <w:t xml:space="preserve">eismic surveys </w:t>
      </w:r>
      <w:r w:rsidR="00305121" w:rsidRPr="006F4660">
        <w:t>across</w:t>
      </w:r>
      <w:r w:rsidR="000713D2" w:rsidRPr="006F4660">
        <w:t xml:space="preserve"> fault</w:t>
      </w:r>
      <w:r w:rsidR="00305121" w:rsidRPr="006F4660">
        <w:t xml:space="preserve"> zones</w:t>
      </w:r>
      <w:r w:rsidR="000713D2" w:rsidRPr="006F4660">
        <w:t xml:space="preserve"> may help to understand the </w:t>
      </w:r>
      <w:r w:rsidR="00305121" w:rsidRPr="006F4660">
        <w:t xml:space="preserve">hydrological influence </w:t>
      </w:r>
      <w:r w:rsidR="000713D2" w:rsidRPr="006F4660">
        <w:t>of the fault zone</w:t>
      </w:r>
      <w:r w:rsidR="00305121" w:rsidRPr="006F4660">
        <w:t>s</w:t>
      </w:r>
      <w:r w:rsidR="000713D2" w:rsidRPr="006F4660">
        <w:t>.</w:t>
      </w:r>
    </w:p>
    <w:p w14:paraId="426C5F5F" w14:textId="4C9E0706" w:rsidR="006D39B5" w:rsidRPr="006F4660" w:rsidRDefault="00EC68E3" w:rsidP="00BD3A5F">
      <w:pPr>
        <w:pStyle w:val="ListParagraph"/>
        <w:numPr>
          <w:ilvl w:val="0"/>
          <w:numId w:val="6"/>
        </w:numPr>
        <w:suppressLineNumbers/>
      </w:pPr>
      <w:r w:rsidRPr="006F4660">
        <w:t>It</w:t>
      </w:r>
      <w:r w:rsidR="00544955" w:rsidRPr="006F4660">
        <w:t xml:space="preserve"> is difficult to resolve the implications of the differences in results presented in the Subsidence Report (EIS</w:t>
      </w:r>
      <w:r w:rsidR="005F56FC" w:rsidRPr="006F4660">
        <w:t>,</w:t>
      </w:r>
      <w:r w:rsidR="00544955" w:rsidRPr="006F4660">
        <w:t xml:space="preserve"> Appendix F) and </w:t>
      </w:r>
      <w:r w:rsidR="005F56FC" w:rsidRPr="006F4660">
        <w:t xml:space="preserve">the </w:t>
      </w:r>
      <w:r w:rsidR="00544955" w:rsidRPr="006F4660">
        <w:t>Geotechnical Report (EIS</w:t>
      </w:r>
      <w:r w:rsidR="005F56FC" w:rsidRPr="006F4660">
        <w:t>,</w:t>
      </w:r>
      <w:r w:rsidR="00544955" w:rsidRPr="006F4660">
        <w:t xml:space="preserve"> Appendix G). The former presents the results of the subsidence </w:t>
      </w:r>
      <w:r w:rsidR="0096146A" w:rsidRPr="006F4660">
        <w:t>observations and predictions</w:t>
      </w:r>
      <w:r w:rsidR="006C2070">
        <w:t>,</w:t>
      </w:r>
      <w:r w:rsidR="0096146A" w:rsidRPr="006F4660">
        <w:t xml:space="preserve"> </w:t>
      </w:r>
      <w:r w:rsidR="00544955" w:rsidRPr="006F4660">
        <w:t xml:space="preserve">whereas the latter presents </w:t>
      </w:r>
      <w:r w:rsidR="00610413" w:rsidRPr="006F4660">
        <w:t>data, observations and geotechnical modelling</w:t>
      </w:r>
      <w:r w:rsidR="00544955" w:rsidRPr="006F4660">
        <w:t xml:space="preserve"> to </w:t>
      </w:r>
      <w:r w:rsidR="00610413" w:rsidRPr="006F4660">
        <w:t xml:space="preserve">evaluate </w:t>
      </w:r>
      <w:r w:rsidR="00544955" w:rsidRPr="006F4660">
        <w:t>changes in hydraulic conductivity and subsidence</w:t>
      </w:r>
      <w:r w:rsidR="00610413" w:rsidRPr="006F4660">
        <w:t>, including</w:t>
      </w:r>
      <w:r w:rsidR="00544955" w:rsidRPr="006F4660">
        <w:t xml:space="preserve"> at Longwall 10A. Th</w:t>
      </w:r>
      <w:r w:rsidR="005F56FC" w:rsidRPr="006F4660">
        <w:t xml:space="preserve">ere are also </w:t>
      </w:r>
      <w:r w:rsidR="00544955" w:rsidRPr="006F4660">
        <w:t>differences</w:t>
      </w:r>
      <w:r w:rsidR="005F56FC" w:rsidRPr="006F4660">
        <w:t xml:space="preserve"> between the reports</w:t>
      </w:r>
      <w:r w:rsidR="00544955" w:rsidRPr="006F4660">
        <w:t xml:space="preserve"> in reporting of maximum subsidence in some areas. For example, Appendix F (Figure 3.11) indicates maximum subsidence for longwall panel LW26 </w:t>
      </w:r>
      <w:r w:rsidR="0096146A" w:rsidRPr="006F4660">
        <w:t>wa</w:t>
      </w:r>
      <w:r w:rsidR="00544955" w:rsidRPr="006F4660">
        <w:t>s approximately 900 mm whereas in Appendix G (section 3.2) it is reported as 1382 mm. Also</w:t>
      </w:r>
      <w:r w:rsidR="005F56FC" w:rsidRPr="006F4660">
        <w:t xml:space="preserve">, </w:t>
      </w:r>
      <w:r w:rsidR="00544955" w:rsidRPr="006F4660">
        <w:t xml:space="preserve">in Appendix F the </w:t>
      </w:r>
      <w:r w:rsidR="009E1CF9" w:rsidRPr="006F4660">
        <w:t>largest</w:t>
      </w:r>
      <w:r w:rsidR="00544955" w:rsidRPr="006F4660">
        <w:t xml:space="preserve"> subsidence in Figure 3.9 is not represented in Figure 3.6. </w:t>
      </w:r>
      <w:r w:rsidR="009930DC" w:rsidRPr="006F4660">
        <w:t xml:space="preserve">The proponent should explain whether these differences are likely to be the result of changes in conditions – such as depth of cover, strata lithology </w:t>
      </w:r>
      <w:r w:rsidR="009E1CF9" w:rsidRPr="006F4660">
        <w:t xml:space="preserve">or </w:t>
      </w:r>
      <w:r w:rsidR="009930DC" w:rsidRPr="006F4660">
        <w:t xml:space="preserve">weathering – and what the implications are for mining-induced ground movements from the current project. </w:t>
      </w:r>
      <w:r w:rsidR="009E1CF9" w:rsidRPr="006F4660">
        <w:t>Maps</w:t>
      </w:r>
      <w:r w:rsidR="000713D2" w:rsidRPr="006F4660">
        <w:t xml:space="preserve"> clearly showing depth </w:t>
      </w:r>
      <w:r w:rsidR="009E1CF9" w:rsidRPr="006F4660">
        <w:t xml:space="preserve">from ground surface to the </w:t>
      </w:r>
      <w:r w:rsidR="000713D2" w:rsidRPr="006F4660">
        <w:t xml:space="preserve">predicted </w:t>
      </w:r>
      <w:r w:rsidR="009E1CF9" w:rsidRPr="006F4660">
        <w:t>height of</w:t>
      </w:r>
      <w:r w:rsidR="000713D2" w:rsidRPr="006F4660">
        <w:t xml:space="preserve"> fracturing </w:t>
      </w:r>
      <w:r w:rsidR="009E1CF9" w:rsidRPr="006F4660">
        <w:t xml:space="preserve">(both vertical and horizontal) </w:t>
      </w:r>
      <w:r w:rsidR="000713D2" w:rsidRPr="006F4660">
        <w:t xml:space="preserve">would help to </w:t>
      </w:r>
      <w:r w:rsidR="009E1CF9" w:rsidRPr="006F4660">
        <w:t xml:space="preserve">identify </w:t>
      </w:r>
      <w:r w:rsidR="000713D2" w:rsidRPr="006F4660">
        <w:t xml:space="preserve">the areas in which topography causes increased risks. These </w:t>
      </w:r>
      <w:r w:rsidR="005F56FC" w:rsidRPr="006F4660">
        <w:t xml:space="preserve">discrepancies and omissions </w:t>
      </w:r>
      <w:r w:rsidR="000713D2" w:rsidRPr="006F4660">
        <w:t>make</w:t>
      </w:r>
      <w:r w:rsidR="00544955" w:rsidRPr="006F4660">
        <w:t xml:space="preserve"> it difficult to assess </w:t>
      </w:r>
      <w:r w:rsidR="005F56FC" w:rsidRPr="006F4660">
        <w:t xml:space="preserve">potential </w:t>
      </w:r>
      <w:r w:rsidR="00544955" w:rsidRPr="006F4660">
        <w:t>impact</w:t>
      </w:r>
      <w:r w:rsidR="005F56FC" w:rsidRPr="006F4660">
        <w:t>s</w:t>
      </w:r>
      <w:r w:rsidR="00544955" w:rsidRPr="006F4660">
        <w:t xml:space="preserve"> on surface water and groundwater environments, especially as actual subsidence can often be greater or lower than predicted due to differences in the expected geological conditions particularly, in this case, near the Nepean </w:t>
      </w:r>
      <w:r w:rsidR="00E728ED" w:rsidRPr="006F4660">
        <w:t xml:space="preserve">Fault </w:t>
      </w:r>
      <w:r w:rsidR="00544955" w:rsidRPr="006F4660">
        <w:t xml:space="preserve">and </w:t>
      </w:r>
      <w:r w:rsidR="00091AD0" w:rsidRPr="006F4660">
        <w:t>possibly</w:t>
      </w:r>
      <w:r w:rsidR="00E728ED" w:rsidRPr="006F4660">
        <w:t xml:space="preserve">, the </w:t>
      </w:r>
      <w:r w:rsidR="00544955" w:rsidRPr="006F4660">
        <w:t xml:space="preserve">Central Fault. </w:t>
      </w:r>
    </w:p>
    <w:p w14:paraId="5293A14B" w14:textId="0DCBD14F" w:rsidR="006F6757" w:rsidRPr="006F4660" w:rsidRDefault="00D27E01" w:rsidP="00BD3A5F">
      <w:pPr>
        <w:pStyle w:val="CommentText"/>
        <w:numPr>
          <w:ilvl w:val="0"/>
          <w:numId w:val="6"/>
        </w:numPr>
        <w:suppressLineNumbers/>
      </w:pPr>
      <w:r w:rsidRPr="006F4660">
        <w:t xml:space="preserve">There is also </w:t>
      </w:r>
      <w:r w:rsidR="0023041C" w:rsidRPr="006F4660">
        <w:t xml:space="preserve">a </w:t>
      </w:r>
      <w:r w:rsidRPr="006F4660">
        <w:t xml:space="preserve">discrepancy in the assumed height of the fracture zone above the longwall panels and available observations. </w:t>
      </w:r>
      <w:r w:rsidR="00544955" w:rsidRPr="006F4660">
        <w:t>From the</w:t>
      </w:r>
      <w:r w:rsidR="00544955" w:rsidRPr="006F4660" w:rsidDel="00D27E01">
        <w:t xml:space="preserve"> </w:t>
      </w:r>
      <w:r w:rsidRPr="006F4660">
        <w:t xml:space="preserve">observations </w:t>
      </w:r>
      <w:r w:rsidR="00544955" w:rsidRPr="006F4660">
        <w:t xml:space="preserve">presented in EIS Appendix G, the zone of vertically connected fractures </w:t>
      </w:r>
      <w:r w:rsidR="006F6977" w:rsidRPr="006F4660">
        <w:t xml:space="preserve">was observed in </w:t>
      </w:r>
      <w:r w:rsidR="00CF3F14" w:rsidRPr="006F4660">
        <w:t xml:space="preserve">an </w:t>
      </w:r>
      <w:r w:rsidR="006F6977" w:rsidRPr="006F4660">
        <w:t xml:space="preserve">open-rock bore to be </w:t>
      </w:r>
      <w:r w:rsidR="00610413" w:rsidRPr="006F4660">
        <w:t xml:space="preserve">approximately </w:t>
      </w:r>
      <w:r w:rsidR="00544955" w:rsidRPr="006F4660">
        <w:t xml:space="preserve">equal to the width of </w:t>
      </w:r>
      <w:r w:rsidR="00CF3F14" w:rsidRPr="006F4660">
        <w:t>the</w:t>
      </w:r>
      <w:r w:rsidR="00544955" w:rsidRPr="006F4660">
        <w:t xml:space="preserve"> longwall panel</w:t>
      </w:r>
      <w:r w:rsidR="00CF3F14" w:rsidRPr="006F4660">
        <w:t xml:space="preserve"> at the Tahmoor North project</w:t>
      </w:r>
      <w:r w:rsidR="00EC68E3" w:rsidRPr="006F4660">
        <w:t>.</w:t>
      </w:r>
      <w:r w:rsidR="00544955" w:rsidRPr="006F4660">
        <w:t xml:space="preserve"> Given the longwall panels </w:t>
      </w:r>
      <w:r w:rsidR="00610413" w:rsidRPr="006F4660">
        <w:t xml:space="preserve">for the </w:t>
      </w:r>
      <w:r w:rsidR="00CF3F14" w:rsidRPr="006F4660">
        <w:t>Tahmoor South</w:t>
      </w:r>
      <w:r w:rsidR="00610413" w:rsidRPr="006F4660">
        <w:t xml:space="preserve"> project </w:t>
      </w:r>
      <w:r w:rsidR="00544955" w:rsidRPr="006F4660">
        <w:t>are</w:t>
      </w:r>
      <w:r w:rsidRPr="006F4660">
        <w:t xml:space="preserve"> generally </w:t>
      </w:r>
      <w:r w:rsidR="00544955" w:rsidRPr="006F4660">
        <w:t xml:space="preserve">to be 305 m wide, </w:t>
      </w:r>
      <w:r w:rsidRPr="006F4660">
        <w:t xml:space="preserve">these observations </w:t>
      </w:r>
      <w:r w:rsidR="00544955" w:rsidRPr="006F4660">
        <w:t xml:space="preserve">strongly suggest that the vertically connected fractures </w:t>
      </w:r>
      <w:r w:rsidR="00610413" w:rsidRPr="006F4660">
        <w:t xml:space="preserve">could </w:t>
      </w:r>
      <w:r w:rsidR="00544955" w:rsidRPr="006F4660">
        <w:t xml:space="preserve">extend to approximately 300 </w:t>
      </w:r>
      <w:proofErr w:type="gramStart"/>
      <w:r w:rsidR="00544955" w:rsidRPr="006F4660">
        <w:t>m</w:t>
      </w:r>
      <w:r w:rsidR="00C72561">
        <w:t xml:space="preserve"> </w:t>
      </w:r>
      <w:r w:rsidR="00544955" w:rsidRPr="006F4660">
        <w:t xml:space="preserve"> above</w:t>
      </w:r>
      <w:proofErr w:type="gramEnd"/>
      <w:r w:rsidR="00544955" w:rsidRPr="006F4660">
        <w:t xml:space="preserve"> the seam</w:t>
      </w:r>
      <w:r w:rsidR="0023041C" w:rsidRPr="006F4660">
        <w:t xml:space="preserve">. </w:t>
      </w:r>
      <w:r w:rsidR="00663B91" w:rsidRPr="006F4660">
        <w:t xml:space="preserve">However, the </w:t>
      </w:r>
      <w:proofErr w:type="spellStart"/>
      <w:r w:rsidR="00663B91" w:rsidRPr="006F4660">
        <w:t>Tammetta</w:t>
      </w:r>
      <w:proofErr w:type="spellEnd"/>
      <w:r w:rsidR="00663B91" w:rsidRPr="006F4660">
        <w:t xml:space="preserve"> (2013) method used to calculate the height of fracturing for the groundwater model predicts a fracturing height of 61 to 256 m (EIS, Appendix I, section 4.6.1).</w:t>
      </w:r>
      <w:r w:rsidR="00610413" w:rsidRPr="006F4660">
        <w:t xml:space="preserve"> </w:t>
      </w:r>
      <w:r w:rsidR="002778F1">
        <w:t>I</w:t>
      </w:r>
      <w:r w:rsidR="00610413" w:rsidRPr="006F4660">
        <w:t xml:space="preserve">t was acknowledged in Appendix I that the </w:t>
      </w:r>
      <w:proofErr w:type="spellStart"/>
      <w:r w:rsidR="00610413" w:rsidRPr="006F4660">
        <w:t>Tammetta</w:t>
      </w:r>
      <w:proofErr w:type="spellEnd"/>
      <w:r w:rsidR="00610413" w:rsidRPr="006F4660">
        <w:t xml:space="preserve"> method was developed to estimate the height of complete drainage above the seam</w:t>
      </w:r>
      <w:r w:rsidR="002778F1">
        <w:t>. A</w:t>
      </w:r>
      <w:r w:rsidR="00610413" w:rsidRPr="006F4660">
        <w:t xml:space="preserve"> </w:t>
      </w:r>
      <w:r w:rsidR="00610413" w:rsidRPr="006F4660">
        <w:lastRenderedPageBreak/>
        <w:t xml:space="preserve">model sensitivity run to test a greater height of fracturing </w:t>
      </w:r>
      <w:r w:rsidR="002778F1">
        <w:t>resulted in predicted mine inflow water volumes greater than that shown in the base model run</w:t>
      </w:r>
      <w:r w:rsidR="001A4EAA">
        <w:t xml:space="preserve"> (EIS, Appendix I, p. 80)</w:t>
      </w:r>
      <w:r w:rsidR="00610413" w:rsidRPr="006F4660">
        <w:t xml:space="preserve">. </w:t>
      </w:r>
      <w:r w:rsidR="0023041C" w:rsidRPr="006F4660">
        <w:t>This has</w:t>
      </w:r>
      <w:r w:rsidR="00544955" w:rsidRPr="006F4660">
        <w:t xml:space="preserve"> implications for </w:t>
      </w:r>
      <w:r w:rsidR="00A10016" w:rsidRPr="006F4660">
        <w:t xml:space="preserve">predictions of groundwater drawdown and the possibility of connectivity between surface water and deep strata via tortuous flow paths. </w:t>
      </w:r>
    </w:p>
    <w:p w14:paraId="049F95AA" w14:textId="77777777" w:rsidR="00544955" w:rsidRPr="0055684D" w:rsidRDefault="00544955" w:rsidP="00BD3A5F">
      <w:pPr>
        <w:pStyle w:val="Heading4"/>
        <w:suppressLineNumbers/>
      </w:pPr>
      <w:r w:rsidRPr="0055684D">
        <w:t>Groundwater</w:t>
      </w:r>
      <w:r w:rsidR="224E6D41" w:rsidRPr="0055684D">
        <w:t xml:space="preserve"> drawdown</w:t>
      </w:r>
    </w:p>
    <w:p w14:paraId="51918015" w14:textId="36E91D19" w:rsidR="00C072DC" w:rsidRPr="00AE5401" w:rsidRDefault="00447BC6" w:rsidP="00BD3A5F">
      <w:pPr>
        <w:pStyle w:val="ListNumber"/>
        <w:numPr>
          <w:ilvl w:val="0"/>
          <w:numId w:val="6"/>
        </w:numPr>
        <w:suppressLineNumbers/>
      </w:pPr>
      <w:r w:rsidRPr="0055684D">
        <w:t xml:space="preserve">The likely underestimation of the height of the fracture zone above longwall panels </w:t>
      </w:r>
      <w:r w:rsidR="00A10016" w:rsidRPr="0055684D">
        <w:t xml:space="preserve">in the </w:t>
      </w:r>
      <w:r w:rsidR="00AE5F76" w:rsidRPr="0055684D">
        <w:t xml:space="preserve">base case of the </w:t>
      </w:r>
      <w:r w:rsidR="00A10016" w:rsidRPr="0055684D">
        <w:t xml:space="preserve">groundwater model </w:t>
      </w:r>
      <w:r w:rsidRPr="0055684D">
        <w:t xml:space="preserve">means that </w:t>
      </w:r>
      <w:r w:rsidRPr="00AE5401">
        <w:t>the estimate</w:t>
      </w:r>
      <w:r w:rsidR="000713D2" w:rsidRPr="00AE5401">
        <w:t>d</w:t>
      </w:r>
      <w:r w:rsidRPr="00AE5401">
        <w:t xml:space="preserve"> extent of groundwater drawdown </w:t>
      </w:r>
      <w:r w:rsidR="00AE5F76" w:rsidRPr="00AE5401">
        <w:t xml:space="preserve">presented in Appendix I </w:t>
      </w:r>
      <w:r w:rsidRPr="00AE5401">
        <w:t>is likely to be under</w:t>
      </w:r>
      <w:r w:rsidR="00585645">
        <w:t xml:space="preserve"> </w:t>
      </w:r>
      <w:r w:rsidRPr="00AE5401">
        <w:t xml:space="preserve">predicted. </w:t>
      </w:r>
      <w:r w:rsidR="00C072DC" w:rsidRPr="00AE5401">
        <w:t xml:space="preserve">While the sensitivity analysis included a run with the height of fracturing increased by 50 percent, the proponent did not provide all the results for this run, nor accompanying drawdown maps. </w:t>
      </w:r>
      <w:r w:rsidR="00774F7A" w:rsidRPr="00AE5401">
        <w:t xml:space="preserve">The </w:t>
      </w:r>
      <w:r w:rsidR="00AE5F76" w:rsidRPr="00AE5401">
        <w:t>IESC do</w:t>
      </w:r>
      <w:r w:rsidR="006F6977" w:rsidRPr="00AE5401">
        <w:t>es</w:t>
      </w:r>
      <w:r w:rsidR="00AE5F76" w:rsidRPr="00AE5401">
        <w:t xml:space="preserve"> not have a high level of confidence in the modelled water balance and predicted drawdown</w:t>
      </w:r>
      <w:r w:rsidR="006F6977" w:rsidRPr="00AE5401">
        <w:t xml:space="preserve">, </w:t>
      </w:r>
      <w:r w:rsidR="00AE5F76" w:rsidRPr="00AE5401">
        <w:t xml:space="preserve">particularly </w:t>
      </w:r>
      <w:r w:rsidR="006F6977" w:rsidRPr="00AE5401">
        <w:t xml:space="preserve">for shallow model layers </w:t>
      </w:r>
      <w:r w:rsidR="00075855" w:rsidRPr="00AE5401">
        <w:t xml:space="preserve">because </w:t>
      </w:r>
      <w:r w:rsidRPr="00AE5401">
        <w:t xml:space="preserve">extraction from </w:t>
      </w:r>
      <w:r w:rsidR="00E728ED" w:rsidRPr="00AE5401">
        <w:t>non-mining</w:t>
      </w:r>
      <w:r w:rsidRPr="00AE5401">
        <w:t xml:space="preserve"> </w:t>
      </w:r>
      <w:r w:rsidR="00AE5F76" w:rsidRPr="00AE5401">
        <w:t xml:space="preserve">bores </w:t>
      </w:r>
      <w:r w:rsidR="006F6977" w:rsidRPr="00AE5401">
        <w:t xml:space="preserve">is unknown and </w:t>
      </w:r>
      <w:r w:rsidR="00585645">
        <w:t xml:space="preserve">so </w:t>
      </w:r>
      <w:r w:rsidR="006F6977" w:rsidRPr="00AE5401">
        <w:t xml:space="preserve">was </w:t>
      </w:r>
      <w:r w:rsidRPr="00AE5401">
        <w:t>not modelled</w:t>
      </w:r>
      <w:r w:rsidR="00AE5F76" w:rsidRPr="00AE5401">
        <w:t xml:space="preserve">. </w:t>
      </w:r>
      <w:r w:rsidR="00C072DC" w:rsidRPr="00AE5401">
        <w:t xml:space="preserve">When a revision of modelling is undertaken, </w:t>
      </w:r>
      <w:r w:rsidR="00E728ED" w:rsidRPr="00AE5401">
        <w:t>i</w:t>
      </w:r>
      <w:r w:rsidR="00635332" w:rsidRPr="00AE5401">
        <w:t>t would further aid assessment of potential impacts</w:t>
      </w:r>
      <w:r w:rsidR="006F6977" w:rsidRPr="00AE5401">
        <w:t xml:space="preserve"> to GDEs</w:t>
      </w:r>
      <w:r w:rsidR="00635332" w:rsidRPr="00AE5401">
        <w:t xml:space="preserve"> if a</w:t>
      </w:r>
      <w:r w:rsidR="00AE5401" w:rsidRPr="00AE5401">
        <w:t>n ecologically relevant</w:t>
      </w:r>
      <w:r w:rsidR="00635332" w:rsidRPr="00AE5401">
        <w:t xml:space="preserve"> drawdown map w</w:t>
      </w:r>
      <w:r w:rsidR="00585645">
        <w:t>as</w:t>
      </w:r>
      <w:r w:rsidR="00635332" w:rsidRPr="00AE5401">
        <w:t xml:space="preserve"> provided that shows the extent of the 0.2</w:t>
      </w:r>
      <w:r w:rsidR="00AE5F76" w:rsidRPr="00AE5401">
        <w:t xml:space="preserve"> </w:t>
      </w:r>
      <w:r w:rsidR="00635332" w:rsidRPr="00AE5401">
        <w:t xml:space="preserve">m water table drawdown contour at the time of maximum impact for both the base case and </w:t>
      </w:r>
      <w:r w:rsidR="00C072DC" w:rsidRPr="00AE5401">
        <w:t>uncertainty analysis</w:t>
      </w:r>
      <w:r w:rsidR="00635332" w:rsidRPr="00AE5401">
        <w:t>. The EIS only includes mapping showing the base case 2</w:t>
      </w:r>
      <w:r w:rsidR="00AE5F76" w:rsidRPr="00AE5401">
        <w:t xml:space="preserve"> </w:t>
      </w:r>
      <w:r w:rsidR="00635332" w:rsidRPr="00AE5401">
        <w:t xml:space="preserve">m drawdown contour, which is </w:t>
      </w:r>
      <w:r w:rsidR="006F6977" w:rsidRPr="00AE5401">
        <w:t xml:space="preserve">predicted to occur </w:t>
      </w:r>
      <w:r w:rsidR="00635332" w:rsidRPr="00AE5401">
        <w:t>almost entirely within the project boundary (EIS, Appendix I, Fig. 5-8).</w:t>
      </w:r>
    </w:p>
    <w:p w14:paraId="3DA4BFDA" w14:textId="4F2F2CAE" w:rsidR="0019797E" w:rsidRPr="00AE5401" w:rsidRDefault="0019797E" w:rsidP="00BD3A5F">
      <w:pPr>
        <w:pStyle w:val="ListNumber"/>
        <w:numPr>
          <w:ilvl w:val="0"/>
          <w:numId w:val="6"/>
        </w:numPr>
        <w:suppressLineNumbers/>
      </w:pPr>
      <w:r w:rsidRPr="00AE5401">
        <w:t>Further</w:t>
      </w:r>
      <w:r w:rsidR="00635332" w:rsidRPr="00AE5401">
        <w:t>,</w:t>
      </w:r>
      <w:r w:rsidRPr="00AE5401">
        <w:t xml:space="preserve"> the</w:t>
      </w:r>
      <w:r w:rsidR="00A33577" w:rsidRPr="00AE5401">
        <w:t>re is an unknown</w:t>
      </w:r>
      <w:r w:rsidRPr="00AE5401">
        <w:t xml:space="preserve"> quantity of water losses through delayed flow </w:t>
      </w:r>
      <w:r w:rsidR="006F6977" w:rsidRPr="00AE5401">
        <w:t xml:space="preserve">via </w:t>
      </w:r>
      <w:r w:rsidRPr="00AE5401">
        <w:t xml:space="preserve">tortuous flow paths </w:t>
      </w:r>
      <w:r w:rsidR="00FF7D67" w:rsidRPr="00AE5401">
        <w:t xml:space="preserve">including factures and bedding plane separations </w:t>
      </w:r>
      <w:r w:rsidR="00CF3F14" w:rsidRPr="00AE5401">
        <w:t xml:space="preserve">and </w:t>
      </w:r>
      <w:r w:rsidR="00FF7D67" w:rsidRPr="00AE5401">
        <w:t>shears</w:t>
      </w:r>
      <w:r w:rsidR="006F6977" w:rsidRPr="00AE5401">
        <w:t xml:space="preserve"> </w:t>
      </w:r>
      <w:r w:rsidRPr="00AE5401">
        <w:t xml:space="preserve">in deeper strata </w:t>
      </w:r>
      <w:r w:rsidR="00A33577" w:rsidRPr="00AE5401">
        <w:t xml:space="preserve">overlying longwall panels </w:t>
      </w:r>
      <w:r w:rsidR="00FF7D67" w:rsidRPr="00AE5401">
        <w:t>(PSM</w:t>
      </w:r>
      <w:r w:rsidR="00CF3F14" w:rsidRPr="00AE5401">
        <w:t xml:space="preserve"> 2017</w:t>
      </w:r>
      <w:r w:rsidR="00FF7D67" w:rsidRPr="00AE5401">
        <w:t xml:space="preserve"> and </w:t>
      </w:r>
      <w:r w:rsidR="00E728ED" w:rsidRPr="00AE5401">
        <w:t>associated peer reviews</w:t>
      </w:r>
      <w:r w:rsidR="00CF3F14" w:rsidRPr="00AE5401">
        <w:t xml:space="preserve"> including </w:t>
      </w:r>
      <w:r w:rsidR="00FF7D67" w:rsidRPr="00AE5401">
        <w:t xml:space="preserve">Mackie </w:t>
      </w:r>
      <w:r w:rsidR="00CF3F14" w:rsidRPr="00AE5401">
        <w:t>2017</w:t>
      </w:r>
      <w:r w:rsidR="00A33577" w:rsidRPr="00AE5401">
        <w:t xml:space="preserve"> for a discussion of such processes</w:t>
      </w:r>
      <w:r w:rsidR="00FF7D67" w:rsidRPr="00AE5401">
        <w:t>)</w:t>
      </w:r>
      <w:r w:rsidRPr="00AE5401">
        <w:t xml:space="preserve">. </w:t>
      </w:r>
      <w:r w:rsidR="00FF7D67" w:rsidRPr="00AE5401">
        <w:t xml:space="preserve">Due to these processes, it is possible that a component of surface water flows may not be returned to catchment. </w:t>
      </w:r>
      <w:r w:rsidRPr="00AE5401">
        <w:t xml:space="preserve">The implications of </w:t>
      </w:r>
      <w:r w:rsidR="00FF7D67" w:rsidRPr="00AE5401">
        <w:t xml:space="preserve">this potential </w:t>
      </w:r>
      <w:r w:rsidR="006F6977" w:rsidRPr="00AE5401">
        <w:t xml:space="preserve">water loss </w:t>
      </w:r>
      <w:r w:rsidRPr="00AE5401">
        <w:t xml:space="preserve">for creeks and </w:t>
      </w:r>
      <w:r w:rsidR="00BC01B5" w:rsidRPr="00AE5401">
        <w:t xml:space="preserve">groundwater-dependent ecosystems </w:t>
      </w:r>
      <w:r w:rsidRPr="00AE5401">
        <w:t xml:space="preserve">during long-term operations and recovery of water levels after closure </w:t>
      </w:r>
      <w:r w:rsidR="50E3CDAA" w:rsidRPr="00AE5401">
        <w:t>need</w:t>
      </w:r>
      <w:r w:rsidRPr="00AE5401">
        <w:t xml:space="preserve"> </w:t>
      </w:r>
      <w:r w:rsidR="006F6757" w:rsidRPr="00AE5401">
        <w:t xml:space="preserve">to </w:t>
      </w:r>
      <w:r w:rsidRPr="00AE5401">
        <w:t>be considered</w:t>
      </w:r>
      <w:r w:rsidR="4E170FE7" w:rsidRPr="00AE5401">
        <w:t xml:space="preserve"> in a manner that </w:t>
      </w:r>
      <w:r w:rsidR="7B98BBD2" w:rsidRPr="00AE5401">
        <w:t xml:space="preserve">bounds the </w:t>
      </w:r>
      <w:r w:rsidR="7BFCC8F0" w:rsidRPr="00AE5401">
        <w:t xml:space="preserve">likely </w:t>
      </w:r>
      <w:r w:rsidR="7B98BBD2" w:rsidRPr="00AE5401">
        <w:t>upper and lower</w:t>
      </w:r>
      <w:r w:rsidR="7BFCC8F0" w:rsidRPr="00AE5401">
        <w:t xml:space="preserve"> range of impacts.</w:t>
      </w:r>
    </w:p>
    <w:p w14:paraId="7460E46F" w14:textId="35D754A0" w:rsidR="003033AF" w:rsidRPr="00AE5401" w:rsidRDefault="003033AF" w:rsidP="00BD3A5F">
      <w:pPr>
        <w:pStyle w:val="ListNumber"/>
        <w:numPr>
          <w:ilvl w:val="0"/>
          <w:numId w:val="6"/>
        </w:numPr>
        <w:suppressLineNumbers/>
      </w:pPr>
      <w:r w:rsidRPr="00AE5401">
        <w:t>The groundwater model developed by the proponent is focussed on simulating regional groundwater flows under the assumption of porous media flow</w:t>
      </w:r>
      <w:r w:rsidR="00FF7D67" w:rsidRPr="00AE5401">
        <w:t xml:space="preserve"> (</w:t>
      </w:r>
      <w:r w:rsidR="00091AD0" w:rsidRPr="00AE5401">
        <w:t>i.e.</w:t>
      </w:r>
      <w:r w:rsidR="00FF7D67" w:rsidRPr="00AE5401">
        <w:t xml:space="preserve"> continuum model)</w:t>
      </w:r>
      <w:r w:rsidRPr="00AE5401">
        <w:t xml:space="preserve">. This model does not incorporate the impacts of surface cracking and </w:t>
      </w:r>
      <w:r w:rsidRPr="00AE5401" w:rsidDel="00447BC6">
        <w:t>near</w:t>
      </w:r>
      <w:r w:rsidR="00447BC6" w:rsidRPr="00AE5401">
        <w:t>-</w:t>
      </w:r>
      <w:r w:rsidRPr="00AE5401">
        <w:t>surface fracturing. This</w:t>
      </w:r>
      <w:r w:rsidRPr="00AE5401" w:rsidDel="00474DBC">
        <w:t xml:space="preserve"> </w:t>
      </w:r>
      <w:r w:rsidRPr="00AE5401">
        <w:t xml:space="preserve">means the groundwater model does not address what is likely to be the main impact </w:t>
      </w:r>
      <w:r w:rsidR="00447BC6" w:rsidRPr="00AE5401">
        <w:t xml:space="preserve">pathway </w:t>
      </w:r>
      <w:r w:rsidRPr="00AE5401">
        <w:t xml:space="preserve">on </w:t>
      </w:r>
      <w:proofErr w:type="spellStart"/>
      <w:r w:rsidR="004C04CB" w:rsidRPr="00AE5401">
        <w:t>baseflow</w:t>
      </w:r>
      <w:proofErr w:type="spellEnd"/>
      <w:r w:rsidR="00474DBC" w:rsidRPr="00AE5401">
        <w:t xml:space="preserve"> in nearby watercourses</w:t>
      </w:r>
      <w:r w:rsidR="004C04CB" w:rsidRPr="00AE5401">
        <w:t xml:space="preserve">, </w:t>
      </w:r>
      <w:r w:rsidR="00635332" w:rsidRPr="00AE5401">
        <w:t>and this</w:t>
      </w:r>
      <w:r w:rsidR="004C04CB" w:rsidRPr="00AE5401">
        <w:t xml:space="preserve"> has implications</w:t>
      </w:r>
      <w:r w:rsidR="00474DBC" w:rsidRPr="00AE5401">
        <w:t xml:space="preserve"> for</w:t>
      </w:r>
      <w:r w:rsidR="004C04CB" w:rsidRPr="00AE5401">
        <w:t xml:space="preserve"> </w:t>
      </w:r>
      <w:r w:rsidR="00635332" w:rsidRPr="00AE5401">
        <w:t xml:space="preserve">assessing likely impacts on riverine </w:t>
      </w:r>
      <w:r w:rsidRPr="00AE5401">
        <w:t xml:space="preserve">biota and ecological </w:t>
      </w:r>
      <w:r w:rsidR="00C70511" w:rsidRPr="00AE5401">
        <w:t>function</w:t>
      </w:r>
      <w:r w:rsidRPr="00AE5401">
        <w:t>. Accordingly, the IESC has a low level of confidence in the proponent</w:t>
      </w:r>
      <w:r w:rsidR="00447BC6" w:rsidRPr="00AE5401">
        <w:t>’</w:t>
      </w:r>
      <w:r w:rsidRPr="00AE5401">
        <w:t xml:space="preserve">s estimates of mining impacts on </w:t>
      </w:r>
      <w:r w:rsidR="006F6757" w:rsidRPr="00AE5401">
        <w:t>surface water-groundwater interaction</w:t>
      </w:r>
      <w:r w:rsidR="00635332" w:rsidRPr="00AE5401">
        <w:t>s</w:t>
      </w:r>
      <w:r w:rsidRPr="00AE5401">
        <w:t>.</w:t>
      </w:r>
    </w:p>
    <w:p w14:paraId="4FA7578E" w14:textId="6A83A716" w:rsidR="00703A8B" w:rsidRPr="0055684D" w:rsidRDefault="00544955" w:rsidP="00BD3A5F">
      <w:pPr>
        <w:pStyle w:val="ListNumber"/>
        <w:numPr>
          <w:ilvl w:val="0"/>
          <w:numId w:val="6"/>
        </w:numPr>
        <w:suppressLineNumbers/>
      </w:pPr>
      <w:r w:rsidRPr="00AE5401">
        <w:t>The type of model</w:t>
      </w:r>
      <w:r w:rsidR="00A33577" w:rsidRPr="00AE5401">
        <w:t>s</w:t>
      </w:r>
      <w:r w:rsidRPr="00AE5401">
        <w:t xml:space="preserve"> employed in the EIS </w:t>
      </w:r>
      <w:r w:rsidR="00C70511" w:rsidRPr="00AE5401">
        <w:t xml:space="preserve">also </w:t>
      </w:r>
      <w:r w:rsidRPr="00AE5401">
        <w:t xml:space="preserve">cannot simulate </w:t>
      </w:r>
      <w:r w:rsidR="00C70511" w:rsidRPr="00AE5401">
        <w:t xml:space="preserve">the dynamic changes in hydraulic properties associated with </w:t>
      </w:r>
      <w:r w:rsidR="006F6757" w:rsidRPr="00AE5401">
        <w:t>mining-induced ground movem</w:t>
      </w:r>
      <w:r w:rsidR="006C7902" w:rsidRPr="00AE5401">
        <w:t>ent</w:t>
      </w:r>
      <w:r w:rsidRPr="00AE5401">
        <w:t xml:space="preserve">. </w:t>
      </w:r>
      <w:r w:rsidR="00A33577" w:rsidRPr="00AE5401">
        <w:t>Co</w:t>
      </w:r>
      <w:r w:rsidRPr="00AE5401">
        <w:t xml:space="preserve">ntinuum </w:t>
      </w:r>
      <w:r w:rsidR="00091AD0" w:rsidRPr="00AE5401">
        <w:t>models (</w:t>
      </w:r>
      <w:r w:rsidR="00A33577" w:rsidRPr="00AE5401">
        <w:t xml:space="preserve">EIS Appendix G and Appendix I) </w:t>
      </w:r>
      <w:r w:rsidRPr="00AE5401">
        <w:t xml:space="preserve">are not </w:t>
      </w:r>
      <w:r w:rsidR="00A33577" w:rsidRPr="00AE5401">
        <w:t xml:space="preserve">currently </w:t>
      </w:r>
      <w:r w:rsidRPr="00AE5401">
        <w:t xml:space="preserve">suitable for predicting </w:t>
      </w:r>
      <w:r w:rsidR="00A33577" w:rsidRPr="00AE5401">
        <w:t xml:space="preserve">changes in groundwater flow and storage </w:t>
      </w:r>
      <w:r w:rsidR="00C70511" w:rsidRPr="00AE5401">
        <w:t xml:space="preserve">due to </w:t>
      </w:r>
      <w:r w:rsidR="000713D2" w:rsidRPr="00AE5401">
        <w:t>mining-induced ground movement</w:t>
      </w:r>
      <w:r w:rsidRPr="00AE5401">
        <w:t xml:space="preserve">. </w:t>
      </w:r>
      <w:r w:rsidR="00261F4E" w:rsidRPr="00AE5401">
        <w:t>For example, the possibility of turbulent groundwater flow through fracture</w:t>
      </w:r>
      <w:r w:rsidR="003B4479" w:rsidRPr="00AE5401">
        <w:t xml:space="preserve">s </w:t>
      </w:r>
      <w:r w:rsidR="00261F4E" w:rsidRPr="00AE5401">
        <w:t>are not considered. Also, specific storage values are assumed to be constant over time, whereas it is known that this hydraulic parameter changes</w:t>
      </w:r>
      <w:r w:rsidR="00261F4E" w:rsidRPr="0055684D">
        <w:t xml:space="preserve"> in strata overlying a longwall panel extraction (David et al</w:t>
      </w:r>
      <w:r w:rsidR="00C6662B" w:rsidRPr="0055684D">
        <w:t>.</w:t>
      </w:r>
      <w:r w:rsidR="00261F4E" w:rsidRPr="0055684D">
        <w:t xml:space="preserve"> </w:t>
      </w:r>
      <w:r w:rsidR="00C6662B" w:rsidRPr="0055684D">
        <w:t>2017</w:t>
      </w:r>
      <w:r w:rsidR="00261F4E" w:rsidRPr="0055684D">
        <w:t xml:space="preserve">). </w:t>
      </w:r>
    </w:p>
    <w:p w14:paraId="7BF1AFDE" w14:textId="03460432" w:rsidR="00703A8B" w:rsidRPr="00434D17" w:rsidRDefault="003D0104" w:rsidP="00BD3A5F">
      <w:pPr>
        <w:pStyle w:val="ListNumber"/>
        <w:numPr>
          <w:ilvl w:val="0"/>
          <w:numId w:val="6"/>
        </w:numPr>
        <w:suppressLineNumbers/>
      </w:pPr>
      <w:r w:rsidRPr="0055684D">
        <w:t xml:space="preserve">To assist in providing </w:t>
      </w:r>
      <w:r w:rsidR="00FF7D67" w:rsidRPr="0055684D">
        <w:t xml:space="preserve">more confidence in </w:t>
      </w:r>
      <w:r w:rsidRPr="0055684D">
        <w:t xml:space="preserve">impact predictions, further </w:t>
      </w:r>
      <w:r w:rsidR="005C5345" w:rsidRPr="0055684D">
        <w:t xml:space="preserve">investigations and monitoring </w:t>
      </w:r>
      <w:r w:rsidR="00D06B32" w:rsidRPr="0055684D">
        <w:t>(</w:t>
      </w:r>
      <w:r w:rsidR="002C4B31" w:rsidRPr="0055684D">
        <w:t xml:space="preserve">as discussed in </w:t>
      </w:r>
      <w:r w:rsidR="00BC01B5" w:rsidRPr="0055684D">
        <w:t>p</w:t>
      </w:r>
      <w:r w:rsidR="00BC01B5">
        <w:t>aragraphs</w:t>
      </w:r>
      <w:r w:rsidR="00BC01B5" w:rsidRPr="0055684D">
        <w:t xml:space="preserve"> </w:t>
      </w:r>
      <w:r w:rsidR="00741E28">
        <w:t>37 - 39</w:t>
      </w:r>
      <w:r w:rsidR="002C4B31" w:rsidRPr="0055684D">
        <w:t xml:space="preserve">), </w:t>
      </w:r>
      <w:r w:rsidR="00D06B32" w:rsidRPr="0055684D">
        <w:t xml:space="preserve">supported by the </w:t>
      </w:r>
      <w:r w:rsidR="00585645">
        <w:t xml:space="preserve">further </w:t>
      </w:r>
      <w:r w:rsidR="00D06B32" w:rsidRPr="0055684D">
        <w:t>analysis of existing data</w:t>
      </w:r>
      <w:r w:rsidR="002C4B31" w:rsidRPr="0055684D">
        <w:t xml:space="preserve"> </w:t>
      </w:r>
      <w:r w:rsidRPr="0055684D">
        <w:t xml:space="preserve">should be focused on quantifying losses of surface water into near-surface fracture zones and the possibility of partial or </w:t>
      </w:r>
      <w:r w:rsidRPr="00434D17">
        <w:t xml:space="preserve">complete returns of these flows </w:t>
      </w:r>
      <w:r w:rsidR="00FF7D67" w:rsidRPr="00434D17">
        <w:t xml:space="preserve">to surface water </w:t>
      </w:r>
      <w:r w:rsidRPr="00434D17">
        <w:t xml:space="preserve">at some point and time </w:t>
      </w:r>
      <w:r w:rsidR="00FF7D67" w:rsidRPr="00434D17">
        <w:t>to</w:t>
      </w:r>
      <w:r w:rsidRPr="00434D17">
        <w:t xml:space="preserve"> support GDEs.</w:t>
      </w:r>
    </w:p>
    <w:p w14:paraId="5E7A81C8" w14:textId="0726BAF8" w:rsidR="000D4ECA" w:rsidRPr="00434D17" w:rsidRDefault="005746F2" w:rsidP="00BD3A5F">
      <w:pPr>
        <w:pStyle w:val="ListNumber"/>
        <w:numPr>
          <w:ilvl w:val="0"/>
          <w:numId w:val="6"/>
        </w:numPr>
        <w:suppressLineNumbers/>
      </w:pPr>
      <w:r w:rsidRPr="00434D17">
        <w:t xml:space="preserve">Notwithstanding </w:t>
      </w:r>
      <w:r w:rsidR="006576C2" w:rsidRPr="00434D17">
        <w:t xml:space="preserve">several crucial </w:t>
      </w:r>
      <w:r w:rsidRPr="00434D17">
        <w:t>modelling issues noted above, t</w:t>
      </w:r>
      <w:r w:rsidR="000D4ECA" w:rsidRPr="00434D17">
        <w:t xml:space="preserve">he groundwater model </w:t>
      </w:r>
      <w:r w:rsidR="00A33577" w:rsidRPr="00434D17">
        <w:t>does not include an adequate uncertainty analysis</w:t>
      </w:r>
      <w:r w:rsidR="00261F4E" w:rsidRPr="00434D17">
        <w:t xml:space="preserve"> and thus cannot be used to evaluate cumulative impacts</w:t>
      </w:r>
      <w:r w:rsidR="000D4ECA" w:rsidRPr="00434D17">
        <w:t>.</w:t>
      </w:r>
      <w:r w:rsidR="00A33577" w:rsidRPr="00434D17">
        <w:t xml:space="preserve"> </w:t>
      </w:r>
      <w:r w:rsidR="000D4ECA" w:rsidRPr="00434D17">
        <w:t xml:space="preserve"> </w:t>
      </w:r>
      <w:r w:rsidR="00F25E67" w:rsidRPr="00434D17">
        <w:t xml:space="preserve">The </w:t>
      </w:r>
      <w:r w:rsidR="00F217C7" w:rsidRPr="00434D17">
        <w:t>impact</w:t>
      </w:r>
      <w:r w:rsidR="00F25E67" w:rsidRPr="00434D17">
        <w:t xml:space="preserve"> of model assumptions and limitations noted above should be quantified and demonstrated. </w:t>
      </w:r>
      <w:r w:rsidR="006343C2" w:rsidRPr="00434D17">
        <w:t xml:space="preserve">Key physical processes that are excluded must </w:t>
      </w:r>
      <w:r w:rsidR="00F217C7" w:rsidRPr="00434D17">
        <w:t xml:space="preserve">either </w:t>
      </w:r>
      <w:r w:rsidR="006343C2" w:rsidRPr="00434D17">
        <w:t>be justified</w:t>
      </w:r>
      <w:r w:rsidR="00F217C7" w:rsidRPr="00434D17">
        <w:t xml:space="preserve"> or rectified</w:t>
      </w:r>
      <w:r w:rsidR="006343C2" w:rsidRPr="00434D17">
        <w:t xml:space="preserve">. </w:t>
      </w:r>
      <w:r w:rsidR="00237A29" w:rsidRPr="00434D17">
        <w:t xml:space="preserve">Thus </w:t>
      </w:r>
      <w:r w:rsidR="003C5784" w:rsidRPr="00434D17">
        <w:t xml:space="preserve">an </w:t>
      </w:r>
      <w:r w:rsidR="00237A29" w:rsidRPr="00434D17">
        <w:t>uncertainty analysis must</w:t>
      </w:r>
      <w:r w:rsidR="003C5784" w:rsidRPr="00434D17">
        <w:t xml:space="preserve"> rigorously test and quantify </w:t>
      </w:r>
      <w:r w:rsidR="00091AD0" w:rsidRPr="00434D17">
        <w:t>uncertainties</w:t>
      </w:r>
      <w:r w:rsidR="003C5784" w:rsidRPr="00434D17">
        <w:t xml:space="preserve"> in</w:t>
      </w:r>
      <w:r w:rsidR="00237A29" w:rsidRPr="00434D17">
        <w:t xml:space="preserve"> model conceptualisation, </w:t>
      </w:r>
      <w:r w:rsidR="00237A29" w:rsidRPr="00434D17">
        <w:lastRenderedPageBreak/>
        <w:t>parameters</w:t>
      </w:r>
      <w:r w:rsidR="0063496C" w:rsidRPr="00434D17">
        <w:t xml:space="preserve">, </w:t>
      </w:r>
      <w:r w:rsidR="00237A29" w:rsidRPr="00434D17">
        <w:t>physics</w:t>
      </w:r>
      <w:r w:rsidR="0063496C" w:rsidRPr="00434D17">
        <w:t xml:space="preserve"> and assumptions</w:t>
      </w:r>
      <w:r w:rsidR="00237A29" w:rsidRPr="00434D17">
        <w:t xml:space="preserve">. </w:t>
      </w:r>
      <w:r w:rsidR="000D4ECA" w:rsidRPr="00434D17">
        <w:t xml:space="preserve">The proponent notes </w:t>
      </w:r>
      <w:r w:rsidR="00AC0735" w:rsidRPr="00434D17">
        <w:t xml:space="preserve">that </w:t>
      </w:r>
      <w:r w:rsidR="000D4ECA" w:rsidRPr="00434D17">
        <w:t xml:space="preserve">the complexity of the model and its regional focus result in long model run times, making uncertainty analysis difficult. </w:t>
      </w:r>
      <w:r w:rsidR="00E06D17" w:rsidRPr="00434D17">
        <w:t>This difficulty suggests that f</w:t>
      </w:r>
      <w:r w:rsidR="000D4ECA" w:rsidRPr="00434D17">
        <w:t xml:space="preserve">uture modelling </w:t>
      </w:r>
      <w:r w:rsidR="00261F4E" w:rsidRPr="00434D17">
        <w:t>of local scale processes</w:t>
      </w:r>
      <w:r w:rsidR="00E06D17" w:rsidRPr="00434D17">
        <w:t xml:space="preserve"> </w:t>
      </w:r>
      <w:r w:rsidR="000D4ECA" w:rsidRPr="00434D17">
        <w:t>should be designed to facilitate uncertainty analysis</w:t>
      </w:r>
      <w:r w:rsidR="00261F4E" w:rsidRPr="00434D17">
        <w:t xml:space="preserve">. For example, a </w:t>
      </w:r>
      <w:r w:rsidR="000D4ECA" w:rsidRPr="00434D17">
        <w:t>revised version of the current groundwater model could be used to provide boundary conditions for a local model of surface-groundwater interactions.</w:t>
      </w:r>
    </w:p>
    <w:p w14:paraId="1CD1CF1E" w14:textId="77777777" w:rsidR="00544955" w:rsidRDefault="00544955" w:rsidP="00BD3A5F">
      <w:pPr>
        <w:pStyle w:val="Heading4"/>
        <w:suppressLineNumbers/>
      </w:pPr>
      <w:r w:rsidRPr="00071285">
        <w:t xml:space="preserve">Surface water </w:t>
      </w:r>
      <w:r w:rsidR="00EE2396">
        <w:t>and groundwater-dependent ecosystems</w:t>
      </w:r>
    </w:p>
    <w:p w14:paraId="3803763C" w14:textId="4D2DF731" w:rsidR="0019797E" w:rsidRPr="00434D17" w:rsidRDefault="0019797E" w:rsidP="00BD3A5F">
      <w:pPr>
        <w:pStyle w:val="ListNumber"/>
        <w:numPr>
          <w:ilvl w:val="0"/>
          <w:numId w:val="6"/>
        </w:numPr>
        <w:suppressLineNumbers/>
      </w:pPr>
      <w:r>
        <w:t>The</w:t>
      </w:r>
      <w:r w:rsidR="00474DBC" w:rsidRPr="3E3051BB">
        <w:t xml:space="preserve"> </w:t>
      </w:r>
      <w:r>
        <w:t xml:space="preserve">deficiencies in the groundwater modelling of </w:t>
      </w:r>
      <w:r w:rsidR="00AC0735">
        <w:t xml:space="preserve">potential </w:t>
      </w:r>
      <w:r>
        <w:t>impacts to surface water systems</w:t>
      </w:r>
      <w:r w:rsidR="00474DBC">
        <w:t xml:space="preserve"> affect the predictions of </w:t>
      </w:r>
      <w:r w:rsidR="00474DBC" w:rsidRPr="00434D17">
        <w:t>reduction</w:t>
      </w:r>
      <w:r w:rsidR="00AC0735" w:rsidRPr="00434D17">
        <w:t>s</w:t>
      </w:r>
      <w:r w:rsidR="00474DBC" w:rsidRPr="00434D17">
        <w:t xml:space="preserve"> in stream</w:t>
      </w:r>
      <w:r w:rsidR="00AC0735" w:rsidRPr="00434D17">
        <w:t xml:space="preserve"> flow (especially during low-flow periods) and pool</w:t>
      </w:r>
      <w:r w:rsidR="00474DBC" w:rsidRPr="00434D17">
        <w:t xml:space="preserve"> persistence in the surface water assessment (EIS</w:t>
      </w:r>
      <w:r w:rsidR="00AC0735" w:rsidRPr="00434D17">
        <w:t>,</w:t>
      </w:r>
      <w:r w:rsidR="00474DBC" w:rsidRPr="00434D17">
        <w:t xml:space="preserve"> Appendix J).</w:t>
      </w:r>
    </w:p>
    <w:p w14:paraId="77DBA872" w14:textId="73DF6394" w:rsidR="00474DBC" w:rsidRPr="00434D17" w:rsidRDefault="0019797E" w:rsidP="00BD3A5F">
      <w:pPr>
        <w:pStyle w:val="ListNumber"/>
        <w:numPr>
          <w:ilvl w:val="0"/>
          <w:numId w:val="6"/>
        </w:numPr>
        <w:suppressLineNumbers/>
      </w:pPr>
      <w:r w:rsidRPr="00434D17">
        <w:rPr>
          <w:lang w:eastAsia="en-AU"/>
        </w:rPr>
        <w:t>While induced near-surface fractures may not cause a net loss of water from the catchments</w:t>
      </w:r>
      <w:r w:rsidR="005C5345" w:rsidRPr="00434D17">
        <w:rPr>
          <w:lang w:eastAsia="en-AU"/>
        </w:rPr>
        <w:t xml:space="preserve"> </w:t>
      </w:r>
      <w:r w:rsidRPr="00434D17">
        <w:rPr>
          <w:lang w:eastAsia="en-AU"/>
        </w:rPr>
        <w:t xml:space="preserve">it is expected that local impacts on pools and low flows will occur for sections of the river that lie upstream of where lateral sub-surface flows return. </w:t>
      </w:r>
      <w:r w:rsidR="00D37DDB" w:rsidRPr="00434D17">
        <w:rPr>
          <w:lang w:eastAsia="en-AU"/>
        </w:rPr>
        <w:t xml:space="preserve"> There is also the possibility of net loss of water from the catchment if the near-surface fractures are also connected to deeper tortuous flow paths. </w:t>
      </w:r>
      <w:r w:rsidRPr="00434D17">
        <w:rPr>
          <w:lang w:eastAsia="en-AU"/>
        </w:rPr>
        <w:t>The impact</w:t>
      </w:r>
      <w:r w:rsidR="00AC0735" w:rsidRPr="00434D17">
        <w:rPr>
          <w:lang w:eastAsia="en-AU"/>
        </w:rPr>
        <w:t>s on stream and pool persistence from</w:t>
      </w:r>
      <w:r w:rsidRPr="00434D17">
        <w:rPr>
          <w:lang w:eastAsia="en-AU"/>
        </w:rPr>
        <w:t xml:space="preserve"> this flow loss, </w:t>
      </w:r>
      <w:r w:rsidR="00AC0735" w:rsidRPr="00434D17">
        <w:rPr>
          <w:lang w:eastAsia="en-AU"/>
        </w:rPr>
        <w:t xml:space="preserve">altered </w:t>
      </w:r>
      <w:r w:rsidRPr="00434D17">
        <w:rPr>
          <w:lang w:eastAsia="en-AU"/>
        </w:rPr>
        <w:t xml:space="preserve">depth and change in storage below the creek bed, and implications for loss from </w:t>
      </w:r>
      <w:proofErr w:type="spellStart"/>
      <w:r w:rsidRPr="00434D17">
        <w:rPr>
          <w:lang w:eastAsia="en-AU"/>
        </w:rPr>
        <w:t>baseflow</w:t>
      </w:r>
      <w:proofErr w:type="spellEnd"/>
      <w:r w:rsidRPr="00434D17">
        <w:rPr>
          <w:lang w:eastAsia="en-AU"/>
        </w:rPr>
        <w:t xml:space="preserve"> capture, </w:t>
      </w:r>
      <w:r w:rsidR="00E84BF7" w:rsidRPr="00434D17">
        <w:rPr>
          <w:lang w:eastAsia="en-AU"/>
        </w:rPr>
        <w:t>are</w:t>
      </w:r>
      <w:r w:rsidRPr="00434D17">
        <w:rPr>
          <w:lang w:eastAsia="en-AU"/>
        </w:rPr>
        <w:t xml:space="preserve"> not quantified. The extent of this region, and thus the local and cumulative impacts on riverine biota and ecological processes, </w:t>
      </w:r>
      <w:r w:rsidR="00E84BF7" w:rsidRPr="00434D17">
        <w:rPr>
          <w:lang w:eastAsia="en-AU"/>
        </w:rPr>
        <w:t>cannot</w:t>
      </w:r>
      <w:r w:rsidRPr="00434D17">
        <w:rPr>
          <w:lang w:eastAsia="en-AU"/>
        </w:rPr>
        <w:t xml:space="preserve"> th</w:t>
      </w:r>
      <w:r w:rsidR="00E84BF7" w:rsidRPr="00434D17">
        <w:rPr>
          <w:lang w:eastAsia="en-AU"/>
        </w:rPr>
        <w:t>erefore</w:t>
      </w:r>
      <w:r w:rsidRPr="00434D17">
        <w:rPr>
          <w:lang w:eastAsia="en-AU"/>
        </w:rPr>
        <w:t xml:space="preserve"> </w:t>
      </w:r>
      <w:r w:rsidR="00E84BF7" w:rsidRPr="00434D17">
        <w:rPr>
          <w:lang w:eastAsia="en-AU"/>
        </w:rPr>
        <w:t xml:space="preserve">be </w:t>
      </w:r>
      <w:r w:rsidRPr="00434D17">
        <w:rPr>
          <w:lang w:eastAsia="en-AU"/>
        </w:rPr>
        <w:t>assessed</w:t>
      </w:r>
      <w:r w:rsidR="00E84BF7" w:rsidRPr="00434D17">
        <w:rPr>
          <w:lang w:eastAsia="en-AU"/>
        </w:rPr>
        <w:t xml:space="preserve"> adequately</w:t>
      </w:r>
      <w:r w:rsidRPr="00434D17">
        <w:rPr>
          <w:lang w:eastAsia="en-AU"/>
        </w:rPr>
        <w:t xml:space="preserve">. The proponent appears to assume </w:t>
      </w:r>
      <w:r w:rsidR="00E84BF7" w:rsidRPr="00434D17">
        <w:rPr>
          <w:lang w:eastAsia="en-AU"/>
        </w:rPr>
        <w:t xml:space="preserve">that </w:t>
      </w:r>
      <w:r w:rsidRPr="00434D17">
        <w:rPr>
          <w:lang w:eastAsia="en-AU"/>
        </w:rPr>
        <w:t xml:space="preserve">the lateral extent of impacted subsurface flow paths </w:t>
      </w:r>
      <w:r w:rsidR="00E84BF7" w:rsidRPr="00434D17">
        <w:rPr>
          <w:lang w:eastAsia="en-AU"/>
        </w:rPr>
        <w:t xml:space="preserve">is </w:t>
      </w:r>
      <w:r w:rsidRPr="00434D17">
        <w:rPr>
          <w:lang w:eastAsia="en-AU"/>
        </w:rPr>
        <w:t>limited to the extent of the subsidence zone</w:t>
      </w:r>
      <w:r w:rsidR="00E84BF7" w:rsidRPr="00434D17">
        <w:rPr>
          <w:lang w:eastAsia="en-AU"/>
        </w:rPr>
        <w:t xml:space="preserve">. </w:t>
      </w:r>
      <w:r w:rsidR="00D37DDB" w:rsidRPr="00434D17">
        <w:rPr>
          <w:lang w:eastAsia="en-AU"/>
        </w:rPr>
        <w:t xml:space="preserve">The near-surface impacts could extend a considerable distance beyond the subsidence zone along geological structures such as fault zones. </w:t>
      </w:r>
      <w:r w:rsidR="00E84BF7" w:rsidRPr="00434D17">
        <w:rPr>
          <w:lang w:eastAsia="en-AU"/>
        </w:rPr>
        <w:t xml:space="preserve"> </w:t>
      </w:r>
    </w:p>
    <w:p w14:paraId="09A3B440" w14:textId="77777777" w:rsidR="00E41ABD" w:rsidRPr="00434D17" w:rsidRDefault="00E41ABD" w:rsidP="00BD3A5F">
      <w:pPr>
        <w:pStyle w:val="Heading3"/>
        <w:suppressLineNumbers/>
      </w:pPr>
      <w:r w:rsidRPr="00434D17">
        <w:t>Response to questions</w:t>
      </w:r>
    </w:p>
    <w:p w14:paraId="6846BBD6" w14:textId="52725742" w:rsidR="00E41ABD" w:rsidRPr="00824275" w:rsidRDefault="00E41ABD" w:rsidP="00BD3A5F">
      <w:pPr>
        <w:pStyle w:val="ListNumber"/>
        <w:suppressLineNumbers/>
        <w:ind w:left="0" w:firstLine="0"/>
      </w:pPr>
      <w:r w:rsidRPr="00434D17">
        <w:t>The IESC’s advice, in response to the requesting agencies’ specific questions, is provided below. To minimise repetition and to present the advice as clearly as possible, the regulators’ questions have been reordered</w:t>
      </w:r>
      <w:r w:rsidR="0025066C" w:rsidRPr="00434D17">
        <w:t xml:space="preserve"> (though the </w:t>
      </w:r>
      <w:r w:rsidRPr="00434D17">
        <w:t>original numbering has been retained</w:t>
      </w:r>
      <w:r w:rsidR="0025066C" w:rsidRPr="00434D17">
        <w:t>)</w:t>
      </w:r>
      <w:r w:rsidRPr="00434D17">
        <w:t>.</w:t>
      </w:r>
    </w:p>
    <w:p w14:paraId="7CA0F09B" w14:textId="77777777" w:rsidR="00880F33" w:rsidRPr="00BB19E5" w:rsidRDefault="00880F33" w:rsidP="00BD3A5F">
      <w:pPr>
        <w:pStyle w:val="Question"/>
        <w:suppressLineNumbers/>
        <w:shd w:val="clear" w:color="auto" w:fill="E7E6E6"/>
      </w:pPr>
      <w:r w:rsidRPr="00071285">
        <w:rPr>
          <w:b/>
          <w:bCs/>
        </w:rPr>
        <w:t>4.</w:t>
      </w:r>
      <w:r w:rsidRPr="00BB19E5">
        <w:t xml:space="preserve"> Does the IESC agree that the predicted impacts on surface water resources have been accurately modelled and assessed in the EIS?</w:t>
      </w:r>
    </w:p>
    <w:p w14:paraId="453B71C7" w14:textId="5298796B" w:rsidR="00880F33" w:rsidRPr="00923E8D" w:rsidRDefault="00880F33" w:rsidP="00BD3A5F">
      <w:pPr>
        <w:pStyle w:val="ListNumber"/>
        <w:numPr>
          <w:ilvl w:val="0"/>
          <w:numId w:val="6"/>
        </w:numPr>
        <w:suppressLineNumbers/>
        <w:rPr>
          <w:color w:val="000000"/>
          <w:lang w:eastAsia="en-AU"/>
        </w:rPr>
      </w:pPr>
      <w:r>
        <w:rPr>
          <w:color w:val="000000"/>
          <w:lang w:eastAsia="en-AU"/>
        </w:rPr>
        <w:t xml:space="preserve">The IESC </w:t>
      </w:r>
      <w:r w:rsidRPr="00923E8D">
        <w:rPr>
          <w:color w:val="000000"/>
          <w:lang w:eastAsia="en-AU"/>
        </w:rPr>
        <w:t xml:space="preserve">does not </w:t>
      </w:r>
      <w:r w:rsidR="000713D2" w:rsidRPr="00923E8D">
        <w:rPr>
          <w:color w:val="000000"/>
          <w:lang w:eastAsia="en-AU"/>
        </w:rPr>
        <w:t xml:space="preserve">have confidence in </w:t>
      </w:r>
      <w:r w:rsidR="008512C8" w:rsidRPr="00923E8D">
        <w:rPr>
          <w:color w:val="000000"/>
          <w:lang w:eastAsia="en-AU"/>
        </w:rPr>
        <w:t xml:space="preserve">the </w:t>
      </w:r>
      <w:r w:rsidR="000713D2" w:rsidRPr="00923E8D">
        <w:rPr>
          <w:color w:val="000000"/>
          <w:lang w:eastAsia="en-AU"/>
        </w:rPr>
        <w:t>predictions of</w:t>
      </w:r>
      <w:r w:rsidRPr="00923E8D">
        <w:rPr>
          <w:color w:val="000000"/>
          <w:lang w:eastAsia="en-AU"/>
        </w:rPr>
        <w:t xml:space="preserve"> impacts on surface water resources </w:t>
      </w:r>
      <w:r w:rsidR="008512C8" w:rsidRPr="00923E8D">
        <w:rPr>
          <w:color w:val="000000"/>
          <w:lang w:eastAsia="en-AU"/>
        </w:rPr>
        <w:t xml:space="preserve">that are </w:t>
      </w:r>
      <w:r w:rsidRPr="00923E8D">
        <w:rPr>
          <w:color w:val="000000"/>
          <w:lang w:eastAsia="en-AU"/>
        </w:rPr>
        <w:t>modelled and assessed in the EIS because</w:t>
      </w:r>
      <w:r w:rsidR="002B20DD" w:rsidRPr="00923E8D">
        <w:rPr>
          <w:color w:val="000000"/>
          <w:lang w:eastAsia="en-AU"/>
        </w:rPr>
        <w:t xml:space="preserve"> of</w:t>
      </w:r>
      <w:r w:rsidRPr="00923E8D">
        <w:rPr>
          <w:color w:val="000000"/>
          <w:lang w:eastAsia="en-AU"/>
        </w:rPr>
        <w:t>:</w:t>
      </w:r>
    </w:p>
    <w:p w14:paraId="1488C8B8" w14:textId="19098E03" w:rsidR="00880F33" w:rsidRPr="00923E8D" w:rsidRDefault="7F7CCD2F" w:rsidP="00BD3A5F">
      <w:pPr>
        <w:pStyle w:val="ListNumber"/>
        <w:numPr>
          <w:ilvl w:val="1"/>
          <w:numId w:val="50"/>
        </w:numPr>
        <w:suppressLineNumbers/>
        <w:rPr>
          <w:color w:val="000000"/>
          <w:lang w:eastAsia="en-AU"/>
        </w:rPr>
      </w:pPr>
      <w:r w:rsidRPr="00923E8D">
        <w:rPr>
          <w:color w:val="000000"/>
          <w:lang w:eastAsia="en-AU"/>
        </w:rPr>
        <w:t>inconsistencies between modelled and observed</w:t>
      </w:r>
      <w:r w:rsidR="6BDE5BEB" w:rsidRPr="00923E8D">
        <w:rPr>
          <w:color w:val="000000"/>
          <w:lang w:eastAsia="en-AU"/>
        </w:rPr>
        <w:t xml:space="preserve"> subsidence </w:t>
      </w:r>
      <w:r w:rsidR="00080FE0" w:rsidRPr="00923E8D">
        <w:rPr>
          <w:color w:val="000000"/>
          <w:lang w:eastAsia="en-AU"/>
        </w:rPr>
        <w:t xml:space="preserve">and mining-induced ground movements </w:t>
      </w:r>
      <w:r w:rsidR="6BDE5BEB" w:rsidRPr="00923E8D">
        <w:rPr>
          <w:color w:val="000000"/>
          <w:lang w:eastAsia="en-AU"/>
        </w:rPr>
        <w:t>near watercourses and the Nepean Fault</w:t>
      </w:r>
      <w:r w:rsidR="006F6757" w:rsidRPr="00923E8D">
        <w:rPr>
          <w:color w:val="000000"/>
          <w:lang w:eastAsia="en-AU"/>
        </w:rPr>
        <w:t>;</w:t>
      </w:r>
    </w:p>
    <w:p w14:paraId="5E89041F" w14:textId="24C9FDD2" w:rsidR="00880F33" w:rsidRPr="00923E8D" w:rsidRDefault="006F6757" w:rsidP="00BD3A5F">
      <w:pPr>
        <w:pStyle w:val="ListNumber"/>
        <w:numPr>
          <w:ilvl w:val="1"/>
          <w:numId w:val="50"/>
        </w:numPr>
        <w:suppressLineNumbers/>
        <w:rPr>
          <w:color w:val="000000"/>
          <w:lang w:eastAsia="en-AU"/>
        </w:rPr>
      </w:pPr>
      <w:r w:rsidRPr="00923E8D">
        <w:rPr>
          <w:color w:val="000000"/>
          <w:lang w:eastAsia="en-AU"/>
        </w:rPr>
        <w:t>l</w:t>
      </w:r>
      <w:r w:rsidR="773C0BB0" w:rsidRPr="00923E8D">
        <w:rPr>
          <w:color w:val="000000"/>
          <w:lang w:eastAsia="en-AU"/>
        </w:rPr>
        <w:t>imitations in the ability of the groundwater mode</w:t>
      </w:r>
      <w:r w:rsidR="48002D3A" w:rsidRPr="00923E8D">
        <w:rPr>
          <w:color w:val="000000"/>
          <w:lang w:eastAsia="en-AU"/>
        </w:rPr>
        <w:t xml:space="preserve">l to adequately </w:t>
      </w:r>
      <w:r w:rsidR="00080FE0" w:rsidRPr="00923E8D">
        <w:rPr>
          <w:color w:val="000000"/>
          <w:lang w:eastAsia="en-AU"/>
        </w:rPr>
        <w:t xml:space="preserve">consider the effects of </w:t>
      </w:r>
      <w:r w:rsidR="48002D3A" w:rsidRPr="00923E8D">
        <w:rPr>
          <w:color w:val="000000"/>
          <w:lang w:eastAsia="en-AU"/>
        </w:rPr>
        <w:t>fractu</w:t>
      </w:r>
      <w:r w:rsidR="02F3D57E" w:rsidRPr="00923E8D">
        <w:rPr>
          <w:color w:val="000000"/>
          <w:lang w:eastAsia="en-AU"/>
        </w:rPr>
        <w:t>r</w:t>
      </w:r>
      <w:r w:rsidR="48002D3A" w:rsidRPr="00923E8D">
        <w:rPr>
          <w:color w:val="000000"/>
          <w:lang w:eastAsia="en-AU"/>
        </w:rPr>
        <w:t>ing</w:t>
      </w:r>
      <w:r w:rsidR="00080FE0" w:rsidRPr="00923E8D">
        <w:rPr>
          <w:color w:val="000000"/>
          <w:lang w:eastAsia="en-AU"/>
        </w:rPr>
        <w:t>, particularly in the near-surface zone</w:t>
      </w:r>
      <w:r w:rsidRPr="00923E8D">
        <w:rPr>
          <w:color w:val="000000"/>
          <w:lang w:eastAsia="en-AU"/>
        </w:rPr>
        <w:t>;</w:t>
      </w:r>
    </w:p>
    <w:p w14:paraId="49700BD4" w14:textId="77777777" w:rsidR="008512C8" w:rsidRPr="00923E8D" w:rsidRDefault="006F6757" w:rsidP="00BD3A5F">
      <w:pPr>
        <w:pStyle w:val="ListNumber"/>
        <w:numPr>
          <w:ilvl w:val="1"/>
          <w:numId w:val="50"/>
        </w:numPr>
        <w:suppressLineNumbers/>
        <w:rPr>
          <w:color w:val="000000" w:themeColor="text1"/>
          <w:lang w:eastAsia="en-AU"/>
        </w:rPr>
      </w:pPr>
      <w:r w:rsidRPr="00923E8D">
        <w:rPr>
          <w:color w:val="000000"/>
          <w:lang w:eastAsia="en-AU"/>
        </w:rPr>
        <w:t>a p</w:t>
      </w:r>
      <w:r w:rsidR="0ACF66DE" w:rsidRPr="00923E8D">
        <w:rPr>
          <w:color w:val="000000"/>
          <w:lang w:eastAsia="en-AU"/>
        </w:rPr>
        <w:t xml:space="preserve">aucity of baseline data to substantiate assumptions regarding impacts of existing </w:t>
      </w:r>
      <w:r w:rsidR="55C99E29" w:rsidRPr="00923E8D">
        <w:rPr>
          <w:color w:val="000000"/>
          <w:lang w:eastAsia="en-AU"/>
        </w:rPr>
        <w:t>mining activities</w:t>
      </w:r>
      <w:r w:rsidRPr="00923E8D">
        <w:rPr>
          <w:color w:val="000000"/>
          <w:lang w:eastAsia="en-AU"/>
        </w:rPr>
        <w:t>; and</w:t>
      </w:r>
    </w:p>
    <w:p w14:paraId="6A829370" w14:textId="741B1D61" w:rsidR="00880F33" w:rsidRPr="00923E8D" w:rsidRDefault="006F6757" w:rsidP="00BD3A5F">
      <w:pPr>
        <w:pStyle w:val="ListNumber"/>
        <w:numPr>
          <w:ilvl w:val="1"/>
          <w:numId w:val="50"/>
        </w:numPr>
        <w:suppressLineNumbers/>
        <w:rPr>
          <w:color w:val="000000" w:themeColor="text1"/>
          <w:lang w:eastAsia="en-AU"/>
        </w:rPr>
      </w:pPr>
      <w:proofErr w:type="gramStart"/>
      <w:r w:rsidRPr="00923E8D">
        <w:rPr>
          <w:color w:val="000000"/>
          <w:lang w:eastAsia="en-AU"/>
        </w:rPr>
        <w:t>a</w:t>
      </w:r>
      <w:proofErr w:type="gramEnd"/>
      <w:r w:rsidRPr="00923E8D">
        <w:rPr>
          <w:color w:val="000000"/>
          <w:lang w:eastAsia="en-AU"/>
        </w:rPr>
        <w:t xml:space="preserve"> g</w:t>
      </w:r>
      <w:r w:rsidR="55C99E29" w:rsidRPr="00923E8D">
        <w:rPr>
          <w:color w:val="000000"/>
          <w:lang w:eastAsia="en-AU"/>
        </w:rPr>
        <w:t xml:space="preserve">eneral lack of information </w:t>
      </w:r>
      <w:r w:rsidR="002B20DD" w:rsidRPr="00923E8D">
        <w:rPr>
          <w:color w:val="000000"/>
          <w:lang w:eastAsia="en-AU"/>
        </w:rPr>
        <w:t xml:space="preserve">about </w:t>
      </w:r>
      <w:r w:rsidR="55C99E29" w:rsidRPr="00923E8D">
        <w:rPr>
          <w:color w:val="000000"/>
          <w:lang w:eastAsia="en-AU"/>
        </w:rPr>
        <w:t>the influence of modelling assumptions on the likely upp</w:t>
      </w:r>
      <w:r w:rsidR="127B49E7" w:rsidRPr="00923E8D">
        <w:rPr>
          <w:color w:val="000000"/>
          <w:lang w:eastAsia="en-AU"/>
        </w:rPr>
        <w:t>er and lower bounds of estimates on surface and water impacts</w:t>
      </w:r>
      <w:r w:rsidRPr="00923E8D">
        <w:rPr>
          <w:color w:val="000000"/>
          <w:lang w:eastAsia="en-AU"/>
        </w:rPr>
        <w:t>.</w:t>
      </w:r>
      <w:r w:rsidR="127B49E7" w:rsidRPr="00923E8D">
        <w:rPr>
          <w:color w:val="000000"/>
          <w:lang w:eastAsia="en-AU"/>
        </w:rPr>
        <w:t xml:space="preserve"> </w:t>
      </w:r>
    </w:p>
    <w:p w14:paraId="2E5F1E35" w14:textId="77777777" w:rsidR="307C3FBC" w:rsidRPr="00923E8D" w:rsidRDefault="5B42DBAF" w:rsidP="00BD3A5F">
      <w:pPr>
        <w:pStyle w:val="ListNumber"/>
        <w:suppressLineNumbers/>
        <w:ind w:left="0" w:firstLine="0"/>
        <w:rPr>
          <w:color w:val="000000" w:themeColor="text1"/>
          <w:lang w:eastAsia="en-AU"/>
        </w:rPr>
      </w:pPr>
      <w:r w:rsidRPr="00923E8D">
        <w:rPr>
          <w:color w:val="000000" w:themeColor="text1"/>
          <w:u w:val="single"/>
          <w:lang w:eastAsia="en-AU"/>
        </w:rPr>
        <w:t>Surface hydrology</w:t>
      </w:r>
      <w:r w:rsidR="36DF54DB" w:rsidRPr="00923E8D">
        <w:rPr>
          <w:color w:val="000000" w:themeColor="text1"/>
          <w:lang w:eastAsia="en-AU"/>
        </w:rPr>
        <w:t xml:space="preserve"> </w:t>
      </w:r>
    </w:p>
    <w:p w14:paraId="1216AE06" w14:textId="1AA4C093" w:rsidR="00336708" w:rsidRPr="00923E8D" w:rsidRDefault="387E738F" w:rsidP="00BD3A5F">
      <w:pPr>
        <w:pStyle w:val="ListNumber"/>
        <w:numPr>
          <w:ilvl w:val="0"/>
          <w:numId w:val="6"/>
        </w:numPr>
        <w:suppressLineNumbers/>
        <w:rPr>
          <w:color w:val="000000"/>
          <w:lang w:eastAsia="en-AU"/>
        </w:rPr>
      </w:pPr>
      <w:r w:rsidRPr="00923E8D">
        <w:rPr>
          <w:color w:val="000000"/>
          <w:lang w:eastAsia="en-AU"/>
        </w:rPr>
        <w:t>To</w:t>
      </w:r>
      <w:r w:rsidR="0F319FE8" w:rsidRPr="00923E8D">
        <w:rPr>
          <w:color w:val="000000"/>
          <w:lang w:eastAsia="en-AU"/>
        </w:rPr>
        <w:t xml:space="preserve"> conclude that </w:t>
      </w:r>
      <w:r w:rsidR="0F319FE8" w:rsidRPr="00923E8D">
        <w:rPr>
          <w:color w:val="000000" w:themeColor="text1"/>
          <w:lang w:eastAsia="en-AU"/>
        </w:rPr>
        <w:t xml:space="preserve">mining activities have had little impact on </w:t>
      </w:r>
      <w:proofErr w:type="spellStart"/>
      <w:r w:rsidR="0F319FE8" w:rsidRPr="00923E8D">
        <w:rPr>
          <w:color w:val="000000" w:themeColor="text1"/>
          <w:lang w:eastAsia="en-AU"/>
        </w:rPr>
        <w:t>streamflows</w:t>
      </w:r>
      <w:proofErr w:type="spellEnd"/>
      <w:r w:rsidR="002B20DD" w:rsidRPr="00923E8D">
        <w:rPr>
          <w:color w:val="000000" w:themeColor="text1"/>
          <w:lang w:eastAsia="en-AU"/>
        </w:rPr>
        <w:t>,</w:t>
      </w:r>
      <w:r w:rsidR="0F319FE8" w:rsidRPr="00923E8D">
        <w:rPr>
          <w:color w:val="000000"/>
          <w:lang w:eastAsia="en-AU"/>
        </w:rPr>
        <w:t xml:space="preserve"> </w:t>
      </w:r>
      <w:r w:rsidR="75F3C532" w:rsidRPr="00923E8D">
        <w:rPr>
          <w:color w:val="000000"/>
          <w:lang w:eastAsia="en-AU"/>
        </w:rPr>
        <w:t xml:space="preserve">the proponent has used the </w:t>
      </w:r>
      <w:r w:rsidR="1C0632D7" w:rsidRPr="00923E8D">
        <w:rPr>
          <w:color w:val="000000"/>
          <w:lang w:eastAsia="en-AU"/>
        </w:rPr>
        <w:t>Au</w:t>
      </w:r>
      <w:r w:rsidR="00336708" w:rsidRPr="00923E8D">
        <w:rPr>
          <w:color w:val="000000"/>
          <w:lang w:eastAsia="en-AU"/>
        </w:rPr>
        <w:t>stralian Water Balance Model (AWBM)</w:t>
      </w:r>
      <w:r w:rsidR="0F319FE8" w:rsidRPr="00923E8D">
        <w:rPr>
          <w:color w:val="000000" w:themeColor="text1"/>
          <w:lang w:eastAsia="en-AU"/>
        </w:rPr>
        <w:t xml:space="preserve">. However, the use of simple visual comparisons of modelled versus observed flow behaviour is not compelling as the simulations are influenced by limitations in model calibration that could impact on different components of the flow regime. </w:t>
      </w:r>
      <w:r w:rsidR="002B20DD" w:rsidRPr="00923E8D">
        <w:rPr>
          <w:color w:val="000000" w:themeColor="text1"/>
          <w:lang w:eastAsia="en-AU"/>
        </w:rPr>
        <w:t>M</w:t>
      </w:r>
      <w:r w:rsidR="29BAF735" w:rsidRPr="00923E8D">
        <w:rPr>
          <w:color w:val="000000" w:themeColor="text1"/>
          <w:lang w:eastAsia="en-AU"/>
        </w:rPr>
        <w:t xml:space="preserve">ore </w:t>
      </w:r>
      <w:r w:rsidR="0F319FE8" w:rsidRPr="00923E8D">
        <w:rPr>
          <w:color w:val="000000" w:themeColor="text1"/>
          <w:lang w:eastAsia="en-AU"/>
        </w:rPr>
        <w:t xml:space="preserve">defensible insights could be drawn by undertaking a trend analysis on the differences between model </w:t>
      </w:r>
      <w:r w:rsidR="0F319FE8" w:rsidRPr="00923E8D">
        <w:rPr>
          <w:color w:val="000000" w:themeColor="text1"/>
          <w:lang w:eastAsia="en-AU"/>
        </w:rPr>
        <w:lastRenderedPageBreak/>
        <w:t>simulations and observed flows over time</w:t>
      </w:r>
      <w:r w:rsidR="00F35467" w:rsidRPr="00923E8D">
        <w:rPr>
          <w:color w:val="000000" w:themeColor="text1"/>
          <w:lang w:eastAsia="en-AU"/>
        </w:rPr>
        <w:t xml:space="preserve"> (i</w:t>
      </w:r>
      <w:r w:rsidR="00AF2385">
        <w:rPr>
          <w:color w:val="000000" w:themeColor="text1"/>
          <w:lang w:eastAsia="en-AU"/>
        </w:rPr>
        <w:t>.</w:t>
      </w:r>
      <w:r w:rsidR="00F35467" w:rsidRPr="00923E8D">
        <w:rPr>
          <w:color w:val="000000" w:themeColor="text1"/>
          <w:lang w:eastAsia="en-AU"/>
        </w:rPr>
        <w:t>e</w:t>
      </w:r>
      <w:r w:rsidR="00AF2385">
        <w:rPr>
          <w:color w:val="000000" w:themeColor="text1"/>
          <w:lang w:eastAsia="en-AU"/>
        </w:rPr>
        <w:t>.</w:t>
      </w:r>
      <w:r w:rsidR="00F35467" w:rsidRPr="00923E8D">
        <w:rPr>
          <w:color w:val="000000" w:themeColor="text1"/>
          <w:lang w:eastAsia="en-AU"/>
        </w:rPr>
        <w:t xml:space="preserve"> by analysing the modelled residuals)</w:t>
      </w:r>
      <w:r w:rsidR="0F319FE8" w:rsidRPr="00923E8D">
        <w:rPr>
          <w:color w:val="000000" w:themeColor="text1"/>
          <w:lang w:eastAsia="en-AU"/>
        </w:rPr>
        <w:t xml:space="preserve">, but without such evidence it is not possible to have confidence in the </w:t>
      </w:r>
      <w:r w:rsidR="002B20DD" w:rsidRPr="00923E8D">
        <w:rPr>
          <w:color w:val="000000" w:themeColor="text1"/>
          <w:lang w:eastAsia="en-AU"/>
        </w:rPr>
        <w:t xml:space="preserve">current </w:t>
      </w:r>
      <w:r w:rsidR="0F319FE8" w:rsidRPr="00923E8D">
        <w:rPr>
          <w:color w:val="000000" w:themeColor="text1"/>
          <w:lang w:eastAsia="en-AU"/>
        </w:rPr>
        <w:t>conclusions.</w:t>
      </w:r>
    </w:p>
    <w:p w14:paraId="0B1EDCB2" w14:textId="3B802D42" w:rsidR="00880F33" w:rsidRPr="00AE4419" w:rsidRDefault="7F88115B" w:rsidP="00BD3A5F">
      <w:pPr>
        <w:pStyle w:val="ListNumber"/>
        <w:numPr>
          <w:ilvl w:val="0"/>
          <w:numId w:val="6"/>
        </w:numPr>
        <w:suppressLineNumbers/>
        <w:rPr>
          <w:color w:val="000000" w:themeColor="text1"/>
          <w:lang w:eastAsia="en-AU"/>
        </w:rPr>
      </w:pPr>
      <w:r w:rsidRPr="00923E8D">
        <w:rPr>
          <w:color w:val="000000" w:themeColor="text1"/>
          <w:lang w:eastAsia="en-AU"/>
        </w:rPr>
        <w:t xml:space="preserve">The IESC has some confidence in assessment of the </w:t>
      </w:r>
      <w:r w:rsidRPr="00923E8D">
        <w:rPr>
          <w:i/>
          <w:iCs/>
          <w:color w:val="000000" w:themeColor="text1"/>
          <w:lang w:eastAsia="en-AU"/>
        </w:rPr>
        <w:t>relative</w:t>
      </w:r>
      <w:r w:rsidRPr="00923E8D">
        <w:rPr>
          <w:color w:val="000000" w:themeColor="text1"/>
          <w:lang w:eastAsia="en-AU"/>
        </w:rPr>
        <w:t xml:space="preserve"> impacts on the flood risks estimated by the modelling</w:t>
      </w:r>
      <w:r w:rsidR="00CF37E3" w:rsidRPr="00923E8D">
        <w:rPr>
          <w:color w:val="000000" w:themeColor="text1"/>
          <w:lang w:eastAsia="en-AU"/>
        </w:rPr>
        <w:t>, and agree that the likely impacts on flooding risk due to mining activities is low</w:t>
      </w:r>
      <w:r w:rsidRPr="00923E8D">
        <w:rPr>
          <w:color w:val="000000" w:themeColor="text1"/>
          <w:lang w:eastAsia="en-AU"/>
        </w:rPr>
        <w:t xml:space="preserve">. However, the degree of confidence </w:t>
      </w:r>
      <w:r w:rsidR="002B20DD" w:rsidRPr="00923E8D">
        <w:rPr>
          <w:color w:val="000000" w:themeColor="text1"/>
          <w:lang w:eastAsia="en-AU"/>
        </w:rPr>
        <w:t>regarding</w:t>
      </w:r>
      <w:r w:rsidRPr="00923E8D">
        <w:rPr>
          <w:color w:val="000000" w:themeColor="text1"/>
          <w:lang w:eastAsia="en-AU"/>
        </w:rPr>
        <w:t xml:space="preserve"> the </w:t>
      </w:r>
      <w:r w:rsidRPr="00923E8D">
        <w:rPr>
          <w:i/>
          <w:iCs/>
          <w:color w:val="000000" w:themeColor="text1"/>
          <w:lang w:eastAsia="en-AU"/>
        </w:rPr>
        <w:t xml:space="preserve">absolute </w:t>
      </w:r>
      <w:r w:rsidRPr="00923E8D">
        <w:rPr>
          <w:color w:val="000000" w:themeColor="text1"/>
          <w:lang w:eastAsia="en-AU"/>
        </w:rPr>
        <w:t xml:space="preserve">estimates of the flood risks </w:t>
      </w:r>
      <w:r w:rsidR="002B20DD" w:rsidRPr="00923E8D">
        <w:rPr>
          <w:color w:val="000000" w:themeColor="text1"/>
          <w:lang w:eastAsia="en-AU"/>
        </w:rPr>
        <w:t>is</w:t>
      </w:r>
      <w:r w:rsidRPr="00923E8D">
        <w:rPr>
          <w:color w:val="000000" w:themeColor="text1"/>
          <w:lang w:eastAsia="en-AU"/>
        </w:rPr>
        <w:t xml:space="preserve"> low because the configuration of the adopted flood model was based solely on regional information without calibration, and no information is provided on some of the key modelling assumptions (e.g. whether the flood estimates were derived using deterministic </w:t>
      </w:r>
      <w:r w:rsidR="007A586B">
        <w:rPr>
          <w:color w:val="000000" w:themeColor="text1"/>
          <w:lang w:eastAsia="en-AU"/>
        </w:rPr>
        <w:t xml:space="preserve">or ensemble rainfall patterns). </w:t>
      </w:r>
      <w:r w:rsidR="00CF37E3" w:rsidRPr="00923E8D">
        <w:rPr>
          <w:color w:val="000000" w:themeColor="text1"/>
          <w:lang w:eastAsia="en-AU"/>
        </w:rPr>
        <w:t>Accordingly, i</w:t>
      </w:r>
      <w:r w:rsidRPr="00923E8D">
        <w:rPr>
          <w:color w:val="000000" w:themeColor="text1"/>
          <w:lang w:eastAsia="en-AU"/>
        </w:rPr>
        <w:t xml:space="preserve">t is suggested </w:t>
      </w:r>
      <w:r w:rsidR="002B20DD" w:rsidRPr="00923E8D">
        <w:rPr>
          <w:color w:val="000000" w:themeColor="text1"/>
          <w:lang w:eastAsia="en-AU"/>
        </w:rPr>
        <w:t xml:space="preserve">that </w:t>
      </w:r>
      <w:r w:rsidRPr="00923E8D">
        <w:rPr>
          <w:color w:val="000000" w:themeColor="text1"/>
          <w:lang w:eastAsia="en-AU"/>
        </w:rPr>
        <w:t xml:space="preserve">the results of this modelling be reviewed if further analysis of the uncertainty in </w:t>
      </w:r>
      <w:r w:rsidR="00CF6B47" w:rsidRPr="00923E8D">
        <w:rPr>
          <w:color w:val="000000" w:themeColor="text1"/>
          <w:lang w:eastAsia="en-AU"/>
        </w:rPr>
        <w:t>mining-induced ground movements</w:t>
      </w:r>
      <w:r w:rsidRPr="00923E8D">
        <w:rPr>
          <w:color w:val="000000" w:themeColor="text1"/>
          <w:lang w:eastAsia="en-AU"/>
        </w:rPr>
        <w:t xml:space="preserve"> indicate the relative impacts </w:t>
      </w:r>
      <w:r w:rsidR="002B20DD" w:rsidRPr="00923E8D">
        <w:rPr>
          <w:color w:val="000000" w:themeColor="text1"/>
          <w:lang w:eastAsia="en-AU"/>
        </w:rPr>
        <w:t xml:space="preserve">on surface water resources </w:t>
      </w:r>
      <w:r w:rsidRPr="00923E8D">
        <w:rPr>
          <w:color w:val="000000" w:themeColor="text1"/>
          <w:lang w:eastAsia="en-AU"/>
        </w:rPr>
        <w:t xml:space="preserve">may be greater than that currently </w:t>
      </w:r>
      <w:r w:rsidR="00EC68E3" w:rsidRPr="00AE4419">
        <w:rPr>
          <w:color w:val="000000" w:themeColor="text1"/>
          <w:lang w:eastAsia="en-AU"/>
        </w:rPr>
        <w:t>estimated.</w:t>
      </w:r>
      <w:r w:rsidR="00EC68E3" w:rsidRPr="00AE4419">
        <w:rPr>
          <w:color w:val="000000"/>
          <w:lang w:eastAsia="en-AU"/>
        </w:rPr>
        <w:t xml:space="preserve"> Surface</w:t>
      </w:r>
      <w:r w:rsidR="00880F33" w:rsidRPr="00AE4419">
        <w:rPr>
          <w:color w:val="000000"/>
          <w:lang w:eastAsia="en-AU"/>
        </w:rPr>
        <w:t xml:space="preserve"> water resources </w:t>
      </w:r>
      <w:r w:rsidR="000D39B0">
        <w:rPr>
          <w:color w:val="000000"/>
          <w:lang w:eastAsia="en-AU"/>
        </w:rPr>
        <w:t xml:space="preserve">identified </w:t>
      </w:r>
      <w:r w:rsidR="00880F33" w:rsidRPr="00AE4419">
        <w:rPr>
          <w:color w:val="000000"/>
          <w:lang w:eastAsia="en-AU"/>
        </w:rPr>
        <w:t>within the predicted area of subsidence include water quality and aquatic habitats in</w:t>
      </w:r>
      <w:r w:rsidR="008512C8" w:rsidRPr="00AE4419">
        <w:rPr>
          <w:color w:val="000000"/>
          <w:lang w:eastAsia="en-AU"/>
        </w:rPr>
        <w:t xml:space="preserve"> </w:t>
      </w:r>
      <w:r w:rsidR="491B68FD" w:rsidRPr="00AE4419">
        <w:rPr>
          <w:color w:val="000000"/>
          <w:lang w:eastAsia="en-AU"/>
        </w:rPr>
        <w:t xml:space="preserve">Tea Tree Hollow, Dog Trap Creek and </w:t>
      </w:r>
      <w:r w:rsidR="002B20DD" w:rsidRPr="00AE4419">
        <w:rPr>
          <w:color w:val="000000"/>
          <w:lang w:eastAsia="en-AU"/>
        </w:rPr>
        <w:t xml:space="preserve">their </w:t>
      </w:r>
      <w:r w:rsidR="491B68FD" w:rsidRPr="00AE4419">
        <w:rPr>
          <w:color w:val="000000"/>
          <w:lang w:eastAsia="en-AU"/>
        </w:rPr>
        <w:t>tributaries</w:t>
      </w:r>
      <w:r w:rsidR="00AF2385">
        <w:rPr>
          <w:color w:val="000000"/>
          <w:lang w:eastAsia="en-AU"/>
        </w:rPr>
        <w:t>,</w:t>
      </w:r>
      <w:r w:rsidR="002B20DD" w:rsidRPr="00AE4419">
        <w:rPr>
          <w:color w:val="000000"/>
          <w:lang w:eastAsia="en-AU"/>
        </w:rPr>
        <w:t xml:space="preserve"> as well as</w:t>
      </w:r>
      <w:r w:rsidR="00880F33" w:rsidRPr="00AE4419">
        <w:rPr>
          <w:color w:val="000000"/>
          <w:lang w:eastAsia="en-AU"/>
        </w:rPr>
        <w:t xml:space="preserve"> riparian corridors including potentially groundwater</w:t>
      </w:r>
      <w:r w:rsidR="00BC01B5">
        <w:rPr>
          <w:color w:val="000000"/>
          <w:lang w:eastAsia="en-AU"/>
        </w:rPr>
        <w:t>-</w:t>
      </w:r>
      <w:r w:rsidR="00880F33" w:rsidRPr="00AE4419">
        <w:rPr>
          <w:color w:val="000000"/>
          <w:lang w:eastAsia="en-AU"/>
        </w:rPr>
        <w:t>dependent vegetation. Outside the predicted area of subsidence</w:t>
      </w:r>
      <w:r w:rsidR="002B20DD" w:rsidRPr="00AE4419">
        <w:rPr>
          <w:color w:val="000000"/>
          <w:lang w:eastAsia="en-AU"/>
        </w:rPr>
        <w:t>,</w:t>
      </w:r>
      <w:r w:rsidR="00880F33" w:rsidRPr="00AE4419">
        <w:rPr>
          <w:color w:val="000000"/>
          <w:lang w:eastAsia="en-AU"/>
        </w:rPr>
        <w:t xml:space="preserve"> there may be impacts on Thirlmere Lakes and streams </w:t>
      </w:r>
      <w:r w:rsidR="32489196" w:rsidRPr="00AE4419">
        <w:rPr>
          <w:color w:val="000000"/>
          <w:lang w:eastAsia="en-AU"/>
        </w:rPr>
        <w:t xml:space="preserve">of </w:t>
      </w:r>
      <w:r w:rsidR="00880F33" w:rsidRPr="00AE4419">
        <w:rPr>
          <w:color w:val="000000"/>
          <w:lang w:eastAsia="en-AU"/>
        </w:rPr>
        <w:t xml:space="preserve">the </w:t>
      </w:r>
      <w:r w:rsidR="000E2041">
        <w:rPr>
          <w:color w:val="000000"/>
          <w:lang w:eastAsia="en-AU"/>
        </w:rPr>
        <w:t>Metropolitan Special Area (</w:t>
      </w:r>
      <w:r w:rsidR="00880F33" w:rsidRPr="00AE4419">
        <w:rPr>
          <w:color w:val="000000"/>
          <w:lang w:eastAsia="en-AU"/>
        </w:rPr>
        <w:t>MSA</w:t>
      </w:r>
      <w:r w:rsidR="000E2041">
        <w:rPr>
          <w:color w:val="000000"/>
          <w:lang w:eastAsia="en-AU"/>
        </w:rPr>
        <w:t>)</w:t>
      </w:r>
      <w:r w:rsidR="00880F33" w:rsidRPr="00AE4419">
        <w:rPr>
          <w:color w:val="000000"/>
          <w:lang w:eastAsia="en-AU"/>
        </w:rPr>
        <w:t xml:space="preserve"> (see responses to questions </w:t>
      </w:r>
      <w:r w:rsidR="2AFA2C8D" w:rsidRPr="00AE4419">
        <w:rPr>
          <w:color w:val="000000"/>
          <w:lang w:eastAsia="en-AU"/>
        </w:rPr>
        <w:t>2</w:t>
      </w:r>
      <w:r w:rsidR="46DE02E3" w:rsidRPr="00AE4419">
        <w:rPr>
          <w:color w:val="000000"/>
          <w:lang w:eastAsia="en-AU"/>
        </w:rPr>
        <w:t xml:space="preserve"> and 5</w:t>
      </w:r>
      <w:r w:rsidR="00880F33" w:rsidRPr="00AE4419">
        <w:rPr>
          <w:color w:val="000000"/>
          <w:lang w:eastAsia="en-AU"/>
        </w:rPr>
        <w:t xml:space="preserve">). However, these impacts cannot be </w:t>
      </w:r>
      <w:r w:rsidR="00CF37E3" w:rsidRPr="00AE4419">
        <w:rPr>
          <w:color w:val="000000"/>
          <w:lang w:eastAsia="en-AU"/>
        </w:rPr>
        <w:t xml:space="preserve">assessed </w:t>
      </w:r>
      <w:r w:rsidR="002B20DD" w:rsidRPr="00AE4419">
        <w:rPr>
          <w:color w:val="000000"/>
          <w:lang w:eastAsia="en-AU"/>
        </w:rPr>
        <w:t xml:space="preserve">because of the inadequacies of the </w:t>
      </w:r>
      <w:r w:rsidR="00CF37E3" w:rsidRPr="00AE4419">
        <w:rPr>
          <w:color w:val="000000"/>
          <w:lang w:eastAsia="en-AU"/>
        </w:rPr>
        <w:t>modelling of surface-water/groundwater interactions</w:t>
      </w:r>
      <w:r w:rsidR="00880F33" w:rsidRPr="00AE4419">
        <w:rPr>
          <w:color w:val="000000"/>
          <w:lang w:eastAsia="en-AU"/>
        </w:rPr>
        <w:t xml:space="preserve">. </w:t>
      </w:r>
    </w:p>
    <w:p w14:paraId="3A055B33" w14:textId="77777777" w:rsidR="00880F33" w:rsidRPr="00BC0AAB" w:rsidRDefault="12DF01B2" w:rsidP="00BD3A5F">
      <w:pPr>
        <w:pStyle w:val="Heading4"/>
        <w:suppressLineNumbers/>
        <w:rPr>
          <w:rStyle w:val="Heading4Char"/>
        </w:rPr>
      </w:pPr>
      <w:r w:rsidRPr="00BC0AAB">
        <w:rPr>
          <w:rStyle w:val="Heading4Char"/>
        </w:rPr>
        <w:t>Water quality</w:t>
      </w:r>
    </w:p>
    <w:p w14:paraId="7A8898C1" w14:textId="01E74C1F" w:rsidR="00880F33" w:rsidRPr="00AE4419" w:rsidRDefault="00880F33" w:rsidP="00BD3A5F">
      <w:pPr>
        <w:pStyle w:val="ListNumber"/>
        <w:numPr>
          <w:ilvl w:val="0"/>
          <w:numId w:val="6"/>
        </w:numPr>
        <w:suppressLineNumbers/>
        <w:rPr>
          <w:lang w:eastAsia="en-AU"/>
        </w:rPr>
      </w:pPr>
      <w:r w:rsidRPr="00AE4419">
        <w:rPr>
          <w:lang w:eastAsia="en-AU"/>
        </w:rPr>
        <w:t xml:space="preserve">It is noted in the EIS (Appendix I, p. 49) </w:t>
      </w:r>
      <w:r w:rsidR="00884BC3" w:rsidRPr="00AE4419">
        <w:rPr>
          <w:lang w:eastAsia="en-AU"/>
        </w:rPr>
        <w:t xml:space="preserve">that </w:t>
      </w:r>
      <w:r w:rsidRPr="00AE4419">
        <w:rPr>
          <w:lang w:eastAsia="en-AU"/>
        </w:rPr>
        <w:t xml:space="preserve">surface cracking can result in subsurface flow and, where flow re-emerges downstream, water quality is affected. This </w:t>
      </w:r>
      <w:r w:rsidR="00884BC3" w:rsidRPr="00AE4419">
        <w:rPr>
          <w:lang w:eastAsia="en-AU"/>
        </w:rPr>
        <w:t xml:space="preserve">change in water quality </w:t>
      </w:r>
      <w:r w:rsidRPr="00AE4419">
        <w:rPr>
          <w:lang w:eastAsia="en-AU"/>
        </w:rPr>
        <w:t xml:space="preserve">is not assessed further in the EIS. The proponent should </w:t>
      </w:r>
      <w:r w:rsidR="75F3C532" w:rsidRPr="00AE4419">
        <w:rPr>
          <w:lang w:eastAsia="en-AU"/>
        </w:rPr>
        <w:t xml:space="preserve">use existing data from Tahmoor North to </w:t>
      </w:r>
      <w:r w:rsidRPr="00AE4419">
        <w:rPr>
          <w:lang w:eastAsia="en-AU"/>
        </w:rPr>
        <w:t>provide a</w:t>
      </w:r>
      <w:r w:rsidR="73BD956A" w:rsidRPr="00AE4419">
        <w:rPr>
          <w:lang w:eastAsia="en-AU"/>
        </w:rPr>
        <w:t xml:space="preserve">n </w:t>
      </w:r>
      <w:r w:rsidRPr="00AE4419">
        <w:rPr>
          <w:lang w:eastAsia="en-AU"/>
        </w:rPr>
        <w:t>assessment of the likely impacts of this process on water quality and the implications for ecosystems dependent on this water.</w:t>
      </w:r>
    </w:p>
    <w:p w14:paraId="65590D29" w14:textId="718DC226" w:rsidR="00880F33" w:rsidRPr="00AE4419" w:rsidRDefault="00884BC3" w:rsidP="00BD3A5F">
      <w:pPr>
        <w:pStyle w:val="ListNumber"/>
        <w:numPr>
          <w:ilvl w:val="0"/>
          <w:numId w:val="6"/>
        </w:numPr>
        <w:suppressLineNumbers/>
        <w:rPr>
          <w:color w:val="000000" w:themeColor="text1"/>
          <w:lang w:eastAsia="en-AU"/>
        </w:rPr>
      </w:pPr>
      <w:r w:rsidRPr="00AE4419">
        <w:t>Water quality monitoring</w:t>
      </w:r>
      <w:r w:rsidR="008512C8" w:rsidRPr="00AE4419">
        <w:t xml:space="preserve"> during 2012–2015 </w:t>
      </w:r>
      <w:r w:rsidR="22E18EC7" w:rsidRPr="00AE4419">
        <w:t>found that</w:t>
      </w:r>
      <w:r w:rsidR="12377496" w:rsidRPr="00AE4419">
        <w:t xml:space="preserve"> </w:t>
      </w:r>
      <w:r w:rsidRPr="00AE4419">
        <w:t xml:space="preserve">water from </w:t>
      </w:r>
      <w:r w:rsidR="22E18EC7" w:rsidRPr="00AE4419">
        <w:t>all impact</w:t>
      </w:r>
      <w:r w:rsidR="12377496" w:rsidRPr="00AE4419">
        <w:t>ed</w:t>
      </w:r>
      <w:r w:rsidR="22E18EC7" w:rsidRPr="00AE4419">
        <w:t xml:space="preserve"> </w:t>
      </w:r>
      <w:r w:rsidR="2C412EA8" w:rsidRPr="00AE4419">
        <w:t xml:space="preserve">and reference sites </w:t>
      </w:r>
      <w:r w:rsidR="3C9553DD" w:rsidRPr="00AE4419">
        <w:t>exceed</w:t>
      </w:r>
      <w:r w:rsidR="008512C8" w:rsidRPr="00AE4419">
        <w:t>ed</w:t>
      </w:r>
      <w:r w:rsidR="3C9553DD" w:rsidRPr="00AE4419">
        <w:t xml:space="preserve"> multiple water quality parameters when compared to ANZG </w:t>
      </w:r>
      <w:r w:rsidR="12377496" w:rsidRPr="00AE4419">
        <w:t>(</w:t>
      </w:r>
      <w:r w:rsidR="3C9553DD" w:rsidRPr="00AE4419">
        <w:t>2018</w:t>
      </w:r>
      <w:r w:rsidR="1BB2C854" w:rsidRPr="00AE4419">
        <w:t>)</w:t>
      </w:r>
      <w:r w:rsidR="3C9553DD" w:rsidRPr="00AE4419">
        <w:t xml:space="preserve"> guidelines</w:t>
      </w:r>
      <w:r w:rsidR="00880F33" w:rsidRPr="00AE4419">
        <w:t xml:space="preserve"> for aquatic ecosystem protection. Although increased salinity, metals and barium precipitate identified downstream of the wastewater discharge sites </w:t>
      </w:r>
      <w:r w:rsidRPr="00AE4419">
        <w:t xml:space="preserve">are </w:t>
      </w:r>
      <w:r w:rsidR="00880F33" w:rsidRPr="00AE4419">
        <w:t xml:space="preserve">attributed to mine water, explanations </w:t>
      </w:r>
      <w:r w:rsidRPr="00AE4419">
        <w:t xml:space="preserve">are not provided </w:t>
      </w:r>
      <w:r w:rsidR="00880F33" w:rsidRPr="00AE4419">
        <w:t xml:space="preserve">for the observed exceedances </w:t>
      </w:r>
      <w:r w:rsidR="136A10D2" w:rsidRPr="00AE4419">
        <w:t>of nat</w:t>
      </w:r>
      <w:r w:rsidR="1BB2C854" w:rsidRPr="00AE4419">
        <w:t xml:space="preserve">ional </w:t>
      </w:r>
      <w:r w:rsidR="136A10D2" w:rsidRPr="00AE4419">
        <w:t xml:space="preserve">and site-specific guideline values </w:t>
      </w:r>
      <w:r w:rsidR="00880F33" w:rsidRPr="00AE4419">
        <w:t xml:space="preserve">across most sites. More recent monitoring data </w:t>
      </w:r>
      <w:r w:rsidR="632EABC7" w:rsidRPr="00AE4419">
        <w:t>should be used to confirm</w:t>
      </w:r>
      <w:r w:rsidR="00880F33" w:rsidRPr="00AE4419">
        <w:t xml:space="preserve"> that the contaminant concentrations have been reduced with improvements to the </w:t>
      </w:r>
      <w:r w:rsidR="008512C8" w:rsidRPr="00AE4419">
        <w:t>Waste Water Treatment Plant (WWTP)</w:t>
      </w:r>
      <w:r w:rsidR="00880F33" w:rsidRPr="00AE4419">
        <w:t xml:space="preserve">. </w:t>
      </w:r>
    </w:p>
    <w:p w14:paraId="245AD136" w14:textId="77777777" w:rsidR="00880F33" w:rsidRPr="00567189" w:rsidRDefault="00567189" w:rsidP="00BD3A5F">
      <w:pPr>
        <w:pStyle w:val="Heading4"/>
        <w:suppressLineNumbers/>
        <w:rPr>
          <w:rStyle w:val="Heading4Char"/>
        </w:rPr>
      </w:pPr>
      <w:r w:rsidRPr="00567189">
        <w:rPr>
          <w:rStyle w:val="Heading4Char"/>
        </w:rPr>
        <w:t>Surface water ecosystems</w:t>
      </w:r>
    </w:p>
    <w:p w14:paraId="4B18CCFF" w14:textId="4673AB9F" w:rsidR="00880F33" w:rsidRPr="00AE4419" w:rsidRDefault="00880F33" w:rsidP="00BD3A5F">
      <w:pPr>
        <w:pStyle w:val="ListNumber"/>
        <w:numPr>
          <w:ilvl w:val="0"/>
          <w:numId w:val="6"/>
        </w:numPr>
        <w:suppressLineNumbers/>
      </w:pPr>
      <w:r w:rsidRPr="00BF2AF7">
        <w:t>Streams and their associated riparian corridors are the predominant surface water resources in the project area</w:t>
      </w:r>
      <w:r w:rsidR="00192D2D">
        <w:t>. F</w:t>
      </w:r>
      <w:r w:rsidRPr="00BF2AF7">
        <w:t xml:space="preserve">ive will be undermined for substantial lengths (Dog Trap Creek: 3.1 km; Tributary 1 of Dog Trap Creek: 2.6 km; Tributary 2 of Dog Trap Creek: 2.4 km; Tea Tree Hollow: 1.9 km; tributary of Tea Tree Hollow: 2.4 km (Table 18, EIS Appendix K)). The proponent states that in these undermined stream reaches, fracturing is likely to result in complete or partial loss of surface water, hydrological connections along the streams will be less frequent, pools will overflow less often and there will be less aquatic habitat available. Water quality is predicted to deteriorate and where cracking promotes emergence of ferruginous groundwater, iron flocs are likely to smother benthic biota. There will also be subsidence-induced changes to stream gradients that will increase potential ponding in some reaches (e.g. upstream of the tailgate of LW103 in Dog Trap Creek) whereas erosion will increase in other reaches where subsidence troughs form (EIS, Appendix K). Where little sediment is present, fracturing and surface water loss may </w:t>
      </w:r>
      <w:r w:rsidRPr="00AE4419">
        <w:t>persist for years and the proponent states that remediation may be required when mining is completed</w:t>
      </w:r>
      <w:r w:rsidR="006D39B5" w:rsidRPr="00AE4419">
        <w:t xml:space="preserve">, </w:t>
      </w:r>
      <w:r w:rsidR="00192D2D" w:rsidRPr="00AE4419">
        <w:t>al</w:t>
      </w:r>
      <w:r w:rsidR="006D39B5" w:rsidRPr="00AE4419">
        <w:t>though it is unclear whether this is likely to succe</w:t>
      </w:r>
      <w:r w:rsidR="00192D2D" w:rsidRPr="00AE4419">
        <w:t>ed</w:t>
      </w:r>
      <w:r w:rsidR="008512C8" w:rsidRPr="00AE4419">
        <w:t xml:space="preserve">. </w:t>
      </w:r>
      <w:r w:rsidRPr="00AE4419">
        <w:t xml:space="preserve">Collectively, these impacts on surface water hydrology, pool persistence, water quality and hydrological connectivity over some twelve stream-kilometres are predicted to adversely affect aquatic biota such as small native fish, tadpoles and aquatic macroinvertebrates. Total biomass will </w:t>
      </w:r>
      <w:r w:rsidRPr="00AE4419">
        <w:lastRenderedPageBreak/>
        <w:t>be reduced (EIS, Appendix K). Bats, birds and other fauna that feed on these animals are also likely to be impacted but these impacts have not been assessed by the proponent.</w:t>
      </w:r>
    </w:p>
    <w:p w14:paraId="117D3E50" w14:textId="0C8AA385" w:rsidR="00880F33" w:rsidRPr="00AE4419" w:rsidRDefault="00F5752D" w:rsidP="00BD3A5F">
      <w:pPr>
        <w:pStyle w:val="ListNumber"/>
        <w:numPr>
          <w:ilvl w:val="0"/>
          <w:numId w:val="6"/>
        </w:numPr>
        <w:suppressLineNumbers/>
        <w:rPr>
          <w:color w:val="000000"/>
          <w:lang w:eastAsia="en-AU"/>
        </w:rPr>
      </w:pPr>
      <w:r w:rsidRPr="00AE4419">
        <w:t xml:space="preserve">Riparian habitats in the project area include groundwater-dependent vegetation. </w:t>
      </w:r>
      <w:r w:rsidR="00880F33" w:rsidRPr="00AE4419">
        <w:t>The</w:t>
      </w:r>
      <w:r w:rsidR="00880F33" w:rsidRPr="00AE4419">
        <w:rPr>
          <w:color w:val="000000"/>
          <w:lang w:eastAsia="en-AU"/>
        </w:rPr>
        <w:t xml:space="preserve"> proponent does not appear to have assessed the likely groundwater dependence of vegetation in areas where drawdown is predicted. This may be particularly relevant for threatened flora such as Rufous </w:t>
      </w:r>
      <w:proofErr w:type="spellStart"/>
      <w:r w:rsidR="00880F33" w:rsidRPr="00AE4419">
        <w:rPr>
          <w:color w:val="000000"/>
          <w:lang w:eastAsia="en-AU"/>
        </w:rPr>
        <w:t>Pomaderris</w:t>
      </w:r>
      <w:proofErr w:type="spellEnd"/>
      <w:r w:rsidR="00880F33" w:rsidRPr="00AE4419">
        <w:rPr>
          <w:color w:val="000000"/>
          <w:lang w:eastAsia="en-AU"/>
        </w:rPr>
        <w:t xml:space="preserve"> (</w:t>
      </w:r>
      <w:proofErr w:type="spellStart"/>
      <w:r w:rsidR="00880F33" w:rsidRPr="00AE4419">
        <w:rPr>
          <w:i/>
          <w:iCs/>
          <w:color w:val="000000"/>
          <w:lang w:eastAsia="en-AU"/>
        </w:rPr>
        <w:t>Pomaderris</w:t>
      </w:r>
      <w:proofErr w:type="spellEnd"/>
      <w:r w:rsidR="00880F33" w:rsidRPr="00AE4419">
        <w:rPr>
          <w:i/>
          <w:iCs/>
          <w:color w:val="000000"/>
          <w:lang w:eastAsia="en-AU"/>
        </w:rPr>
        <w:t xml:space="preserve"> </w:t>
      </w:r>
      <w:proofErr w:type="spellStart"/>
      <w:r w:rsidR="00880F33" w:rsidRPr="00AE4419">
        <w:rPr>
          <w:i/>
          <w:iCs/>
          <w:color w:val="000000"/>
          <w:lang w:eastAsia="en-AU"/>
        </w:rPr>
        <w:t>brunnea</w:t>
      </w:r>
      <w:proofErr w:type="spellEnd"/>
      <w:r w:rsidR="00880F33" w:rsidRPr="00AE4419">
        <w:rPr>
          <w:color w:val="000000"/>
          <w:lang w:eastAsia="en-AU"/>
        </w:rPr>
        <w:t>) which was recorded along Tea Tree Hollow.</w:t>
      </w:r>
      <w:r w:rsidRPr="00AE4419">
        <w:rPr>
          <w:color w:val="000000"/>
          <w:lang w:eastAsia="en-AU"/>
        </w:rPr>
        <w:t xml:space="preserve"> The </w:t>
      </w:r>
      <w:r w:rsidR="00192D2D" w:rsidRPr="00AE4419">
        <w:rPr>
          <w:color w:val="000000"/>
          <w:lang w:eastAsia="en-AU"/>
        </w:rPr>
        <w:t>proponent report</w:t>
      </w:r>
      <w:r w:rsidR="001A2FF4" w:rsidRPr="00AE4419">
        <w:rPr>
          <w:color w:val="000000"/>
          <w:lang w:eastAsia="en-AU"/>
        </w:rPr>
        <w:t>s</w:t>
      </w:r>
      <w:r w:rsidRPr="00AE4419">
        <w:rPr>
          <w:color w:val="000000"/>
          <w:lang w:eastAsia="en-AU"/>
        </w:rPr>
        <w:t xml:space="preserve"> about 300 individuals in the study area</w:t>
      </w:r>
      <w:r w:rsidR="00192D2D" w:rsidRPr="00AE4419">
        <w:rPr>
          <w:color w:val="000000"/>
          <w:lang w:eastAsia="en-AU"/>
        </w:rPr>
        <w:t>,</w:t>
      </w:r>
      <w:r w:rsidRPr="00AE4419">
        <w:rPr>
          <w:color w:val="000000"/>
          <w:lang w:eastAsia="en-AU"/>
        </w:rPr>
        <w:t xml:space="preserve"> a significant find as the known </w:t>
      </w:r>
      <w:r w:rsidR="001A2FF4" w:rsidRPr="00AE4419">
        <w:rPr>
          <w:color w:val="000000"/>
          <w:lang w:eastAsia="en-AU"/>
        </w:rPr>
        <w:t xml:space="preserve">total </w:t>
      </w:r>
      <w:r w:rsidRPr="00AE4419">
        <w:rPr>
          <w:color w:val="000000"/>
          <w:lang w:eastAsia="en-AU"/>
        </w:rPr>
        <w:t>population of th</w:t>
      </w:r>
      <w:r w:rsidR="00192D2D" w:rsidRPr="00AE4419">
        <w:rPr>
          <w:color w:val="000000"/>
          <w:lang w:eastAsia="en-AU"/>
        </w:rPr>
        <w:t xml:space="preserve">is </w:t>
      </w:r>
      <w:r w:rsidRPr="00AE4419">
        <w:rPr>
          <w:color w:val="000000"/>
          <w:lang w:eastAsia="en-AU"/>
        </w:rPr>
        <w:t xml:space="preserve">species </w:t>
      </w:r>
      <w:r w:rsidR="00192D2D" w:rsidRPr="00AE4419">
        <w:rPr>
          <w:color w:val="000000"/>
          <w:lang w:eastAsia="en-AU"/>
        </w:rPr>
        <w:t xml:space="preserve">in NSW </w:t>
      </w:r>
      <w:r w:rsidR="001A2FF4" w:rsidRPr="00AE4419">
        <w:rPr>
          <w:color w:val="000000"/>
          <w:lang w:eastAsia="en-AU"/>
        </w:rPr>
        <w:t xml:space="preserve">in 2011 </w:t>
      </w:r>
      <w:r w:rsidR="00192D2D" w:rsidRPr="00AE4419">
        <w:rPr>
          <w:color w:val="000000"/>
          <w:lang w:eastAsia="en-AU"/>
        </w:rPr>
        <w:t>was</w:t>
      </w:r>
      <w:r w:rsidRPr="00AE4419">
        <w:rPr>
          <w:color w:val="000000"/>
          <w:lang w:eastAsia="en-AU"/>
        </w:rPr>
        <w:t xml:space="preserve"> about 600 individuals (Sutter, 2011). </w:t>
      </w:r>
      <w:r w:rsidR="00880F33" w:rsidRPr="00AE4419">
        <w:rPr>
          <w:color w:val="000000"/>
          <w:lang w:eastAsia="en-AU"/>
        </w:rPr>
        <w:t xml:space="preserve">Most of the plants </w:t>
      </w:r>
      <w:r w:rsidR="001A2FF4" w:rsidRPr="00AE4419">
        <w:rPr>
          <w:color w:val="000000"/>
          <w:lang w:eastAsia="en-AU"/>
        </w:rPr>
        <w:t xml:space="preserve">in the project area </w:t>
      </w:r>
      <w:r w:rsidR="00880F33" w:rsidRPr="00AE4419">
        <w:rPr>
          <w:color w:val="000000"/>
          <w:lang w:eastAsia="en-AU"/>
        </w:rPr>
        <w:t xml:space="preserve">occur on the mid-bank to higher banks of </w:t>
      </w:r>
      <w:r w:rsidR="00192D2D" w:rsidRPr="00AE4419">
        <w:rPr>
          <w:color w:val="000000"/>
          <w:lang w:eastAsia="en-AU"/>
        </w:rPr>
        <w:t>Tea Tree Hollow</w:t>
      </w:r>
      <w:r w:rsidR="00192D2D" w:rsidRPr="00AE4419" w:rsidDel="00192D2D">
        <w:rPr>
          <w:color w:val="000000"/>
          <w:lang w:eastAsia="en-AU"/>
        </w:rPr>
        <w:t xml:space="preserve"> </w:t>
      </w:r>
      <w:r w:rsidR="00880F33" w:rsidRPr="00AE4419">
        <w:rPr>
          <w:color w:val="000000"/>
          <w:lang w:eastAsia="en-AU"/>
        </w:rPr>
        <w:t>(EIS</w:t>
      </w:r>
      <w:r w:rsidR="001A2FF4" w:rsidRPr="00AE4419">
        <w:rPr>
          <w:color w:val="000000"/>
          <w:lang w:eastAsia="en-AU"/>
        </w:rPr>
        <w:t>,</w:t>
      </w:r>
      <w:r w:rsidR="00880F33" w:rsidRPr="00AE4419">
        <w:rPr>
          <w:color w:val="000000"/>
          <w:lang w:eastAsia="en-AU"/>
        </w:rPr>
        <w:t xml:space="preserve"> Appendix K, p. 102) and it was inferred that the drying of pools or predicted changes to the flow regime as a result of subsidence was therefore unlikely to result in die-back of th</w:t>
      </w:r>
      <w:r w:rsidR="001A2FF4" w:rsidRPr="00AE4419">
        <w:rPr>
          <w:color w:val="000000"/>
          <w:lang w:eastAsia="en-AU"/>
        </w:rPr>
        <w:t>is</w:t>
      </w:r>
      <w:r w:rsidR="00880F33" w:rsidRPr="00AE4419">
        <w:rPr>
          <w:color w:val="000000"/>
          <w:lang w:eastAsia="en-AU"/>
        </w:rPr>
        <w:t xml:space="preserve"> </w:t>
      </w:r>
      <w:r w:rsidR="196F7627" w:rsidRPr="00AE4419">
        <w:rPr>
          <w:i/>
          <w:iCs/>
          <w:color w:val="000000" w:themeColor="text1"/>
          <w:lang w:eastAsia="en-AU"/>
        </w:rPr>
        <w:t>P.</w:t>
      </w:r>
      <w:r w:rsidR="008512C8" w:rsidRPr="00AE4419">
        <w:rPr>
          <w:i/>
          <w:iCs/>
          <w:color w:val="000000" w:themeColor="text1"/>
          <w:lang w:eastAsia="en-AU"/>
        </w:rPr>
        <w:t> </w:t>
      </w:r>
      <w:proofErr w:type="spellStart"/>
      <w:r w:rsidR="196F7627" w:rsidRPr="00AE4419">
        <w:rPr>
          <w:i/>
          <w:iCs/>
          <w:color w:val="000000" w:themeColor="text1"/>
          <w:lang w:eastAsia="en-AU"/>
        </w:rPr>
        <w:t>brunnea</w:t>
      </w:r>
      <w:proofErr w:type="spellEnd"/>
      <w:r w:rsidR="00880F33" w:rsidRPr="00AE4419">
        <w:rPr>
          <w:color w:val="000000"/>
          <w:lang w:eastAsia="en-AU"/>
        </w:rPr>
        <w:t xml:space="preserve"> population. However, the proponent needs to assess whether this EPBC Act-listed species is occasionally dependent on groundwater and therefore might be affected by groundwater drawdown. No offset has been proposed for</w:t>
      </w:r>
      <w:r w:rsidR="00880F33" w:rsidRPr="00AE4419">
        <w:rPr>
          <w:i/>
          <w:iCs/>
          <w:color w:val="000000"/>
          <w:lang w:eastAsia="en-AU"/>
        </w:rPr>
        <w:t xml:space="preserve"> P. </w:t>
      </w:r>
      <w:proofErr w:type="spellStart"/>
      <w:r w:rsidR="00880F33" w:rsidRPr="00AE4419">
        <w:rPr>
          <w:i/>
          <w:iCs/>
          <w:color w:val="000000"/>
          <w:lang w:eastAsia="en-AU"/>
        </w:rPr>
        <w:t>brunnea</w:t>
      </w:r>
      <w:proofErr w:type="spellEnd"/>
      <w:r w:rsidR="00880F33" w:rsidRPr="00AE4419">
        <w:rPr>
          <w:color w:val="000000"/>
          <w:lang w:eastAsia="en-AU"/>
        </w:rPr>
        <w:t>, because the proponent considers that the species will not be impacted by the project. Similar investigations of groundwater-dependence and potential risks from drawdown would be appropriate for other flora likely to be found near creek lines in the project area as well as vegetation used by threatened fauna such as koalas.</w:t>
      </w:r>
    </w:p>
    <w:p w14:paraId="0CCC3737" w14:textId="521FCD6C" w:rsidR="00F5752D" w:rsidRPr="00AE4419" w:rsidRDefault="00EC68E3" w:rsidP="00BD3A5F">
      <w:pPr>
        <w:pStyle w:val="ListNumber"/>
        <w:numPr>
          <w:ilvl w:val="0"/>
          <w:numId w:val="6"/>
        </w:numPr>
        <w:suppressLineNumbers/>
        <w:rPr>
          <w:color w:val="000000"/>
          <w:lang w:eastAsia="en-AU"/>
        </w:rPr>
      </w:pPr>
      <w:r w:rsidRPr="00AE4419">
        <w:rPr>
          <w:color w:val="000000"/>
          <w:lang w:eastAsia="en-AU"/>
        </w:rPr>
        <w:t>Thirlmere</w:t>
      </w:r>
      <w:r w:rsidR="00F5752D" w:rsidRPr="00AE4419">
        <w:rPr>
          <w:color w:val="000000"/>
          <w:lang w:eastAsia="en-AU"/>
        </w:rPr>
        <w:t xml:space="preserve"> Lakes and streams in the MSA are surface </w:t>
      </w:r>
      <w:r w:rsidR="000C0AFB" w:rsidRPr="00AE4419">
        <w:rPr>
          <w:color w:val="000000"/>
          <w:lang w:eastAsia="en-AU"/>
        </w:rPr>
        <w:t xml:space="preserve">water </w:t>
      </w:r>
      <w:r w:rsidR="00F5752D" w:rsidRPr="00AE4419">
        <w:rPr>
          <w:color w:val="000000"/>
          <w:lang w:eastAsia="en-AU"/>
        </w:rPr>
        <w:t>resources outside the project area. Predicted impacts on these are discussed in response to questions 2</w:t>
      </w:r>
      <w:r w:rsidR="001A2FF4" w:rsidRPr="00AE4419">
        <w:rPr>
          <w:color w:val="000000"/>
          <w:lang w:eastAsia="en-AU"/>
        </w:rPr>
        <w:t xml:space="preserve">, 3, 1 and </w:t>
      </w:r>
      <w:r w:rsidR="00F5752D" w:rsidRPr="00AE4419">
        <w:rPr>
          <w:color w:val="000000"/>
          <w:lang w:eastAsia="en-AU"/>
        </w:rPr>
        <w:t>5.</w:t>
      </w:r>
    </w:p>
    <w:p w14:paraId="116EFCA5" w14:textId="77777777" w:rsidR="008F5232" w:rsidRPr="00AE4419" w:rsidRDefault="5CD0183A" w:rsidP="00BD3A5F">
      <w:pPr>
        <w:pStyle w:val="Heading4"/>
        <w:suppressLineNumbers/>
      </w:pPr>
      <w:r w:rsidRPr="00AE4419">
        <w:t>Wastewater management and discharge</w:t>
      </w:r>
    </w:p>
    <w:p w14:paraId="69DEFA3D" w14:textId="42E85BC9" w:rsidR="5CD0183A" w:rsidRDefault="6868E936" w:rsidP="00BD3A5F">
      <w:pPr>
        <w:pStyle w:val="ListNumber"/>
        <w:numPr>
          <w:ilvl w:val="0"/>
          <w:numId w:val="6"/>
        </w:numPr>
        <w:suppressLineNumbers/>
      </w:pPr>
      <w:r w:rsidRPr="00AE4419">
        <w:t>T</w:t>
      </w:r>
      <w:r w:rsidR="14781CDE" w:rsidRPr="00AE4419">
        <w:t>he proponent intends to increase water storage cap</w:t>
      </w:r>
      <w:r w:rsidR="78176E31" w:rsidRPr="00AE4419">
        <w:t>acity by construction of additional sediment dams and storage of excess water in the goaf</w:t>
      </w:r>
      <w:r w:rsidR="3B363C4E" w:rsidRPr="00AE4419">
        <w:t>.</w:t>
      </w:r>
      <w:r w:rsidR="78176E31" w:rsidRPr="00AE4419">
        <w:t xml:space="preserve"> </w:t>
      </w:r>
      <w:r w:rsidR="3B363C4E" w:rsidRPr="00AE4419">
        <w:t xml:space="preserve">Overflow from sediment </w:t>
      </w:r>
      <w:r w:rsidR="6552A3E1" w:rsidRPr="00AE4419">
        <w:t xml:space="preserve">dams </w:t>
      </w:r>
      <w:r w:rsidR="000D39B0">
        <w:t>is</w:t>
      </w:r>
      <w:r w:rsidR="2CE7C99E" w:rsidRPr="00AE4419">
        <w:t xml:space="preserve"> proposed to be released into</w:t>
      </w:r>
      <w:r w:rsidR="6A8DBF23" w:rsidRPr="00AE4419">
        <w:t xml:space="preserve"> </w:t>
      </w:r>
      <w:r w:rsidR="6552A3E1" w:rsidRPr="00AE4419">
        <w:t>the Bargo River and Te</w:t>
      </w:r>
      <w:r w:rsidR="009F2A76" w:rsidRPr="00AE4419">
        <w:t>a</w:t>
      </w:r>
      <w:r w:rsidR="6552A3E1" w:rsidRPr="00AE4419">
        <w:t xml:space="preserve"> Tree </w:t>
      </w:r>
      <w:r w:rsidR="6B0AE21B" w:rsidRPr="00AE4419">
        <w:t>Hollow</w:t>
      </w:r>
      <w:r w:rsidR="78176E31" w:rsidRPr="00AE4419">
        <w:t xml:space="preserve">. </w:t>
      </w:r>
      <w:r w:rsidR="6A8DBF23" w:rsidRPr="00AE4419">
        <w:t>There are no</w:t>
      </w:r>
      <w:r w:rsidR="6039CDF3" w:rsidRPr="00AE4419">
        <w:t xml:space="preserve"> volumetric limits in place for the release of </w:t>
      </w:r>
      <w:r w:rsidR="517A004C" w:rsidRPr="00AE4419">
        <w:t>overflow water</w:t>
      </w:r>
      <w:r w:rsidR="6A8DBF23" w:rsidRPr="00AE4419">
        <w:t>, althou</w:t>
      </w:r>
      <w:r w:rsidR="4B4A4A28" w:rsidRPr="00AE4419">
        <w:t>gh conditions are prescribed</w:t>
      </w:r>
      <w:r w:rsidR="000D39B0">
        <w:t xml:space="preserve"> for the existing mine</w:t>
      </w:r>
      <w:r w:rsidR="15E38E1E" w:rsidRPr="00AE4419">
        <w:t xml:space="preserve">. </w:t>
      </w:r>
      <w:r w:rsidR="009F2A76" w:rsidRPr="00AE4419">
        <w:t>Potential</w:t>
      </w:r>
      <w:r w:rsidR="7AD41BF0" w:rsidRPr="00AE4419">
        <w:t xml:space="preserve"> impacts to </w:t>
      </w:r>
      <w:r w:rsidR="0A67BD1B" w:rsidRPr="00AE4419">
        <w:t xml:space="preserve">the </w:t>
      </w:r>
      <w:r w:rsidR="7AD41BF0" w:rsidRPr="00AE4419">
        <w:t>surface water r</w:t>
      </w:r>
      <w:r w:rsidR="0A67BD1B" w:rsidRPr="00AE4419">
        <w:t>e</w:t>
      </w:r>
      <w:r w:rsidR="73B501B7" w:rsidRPr="00AE4419">
        <w:t>ceiving environment from</w:t>
      </w:r>
      <w:r w:rsidR="0A67BD1B" w:rsidRPr="00AE4419">
        <w:t xml:space="preserve"> </w:t>
      </w:r>
      <w:r w:rsidR="7AD41BF0" w:rsidRPr="00AE4419">
        <w:t>overflow discharge</w:t>
      </w:r>
      <w:r w:rsidR="73B501B7" w:rsidRPr="00AE4419">
        <w:t>s</w:t>
      </w:r>
      <w:r w:rsidR="7AD41BF0" w:rsidRPr="00AE4419">
        <w:t xml:space="preserve"> are not considered</w:t>
      </w:r>
      <w:r w:rsidR="73B501B7" w:rsidRPr="00AE4419">
        <w:t>.</w:t>
      </w:r>
      <w:r w:rsidR="2C35FBEB" w:rsidRPr="00AE4419">
        <w:t xml:space="preserve"> </w:t>
      </w:r>
      <w:r w:rsidR="009F2A76" w:rsidRPr="00AE4419">
        <w:t>Condition of t</w:t>
      </w:r>
      <w:r w:rsidR="2C35FBEB" w:rsidRPr="00AE4419">
        <w:t xml:space="preserve">he </w:t>
      </w:r>
      <w:r w:rsidR="009F2A76" w:rsidRPr="00AE4419">
        <w:t>current receiving</w:t>
      </w:r>
      <w:r w:rsidR="2C35FBEB" w:rsidRPr="00AE4419">
        <w:t xml:space="preserve"> environment</w:t>
      </w:r>
      <w:r w:rsidR="261CCACB" w:rsidRPr="00AE4419">
        <w:t xml:space="preserve"> and the extent to which </w:t>
      </w:r>
      <w:r w:rsidR="67073D78" w:rsidRPr="00AE4419">
        <w:t>it</w:t>
      </w:r>
      <w:r w:rsidR="261CCACB" w:rsidRPr="00AE4419">
        <w:t xml:space="preserve"> is impacted by existing activities </w:t>
      </w:r>
      <w:r w:rsidR="00BC01B5">
        <w:t>are</w:t>
      </w:r>
      <w:r w:rsidR="00BC01B5" w:rsidRPr="00AE4419">
        <w:t xml:space="preserve"> </w:t>
      </w:r>
      <w:r w:rsidR="261CCACB" w:rsidRPr="00AE4419">
        <w:t xml:space="preserve">not </w:t>
      </w:r>
      <w:r w:rsidR="43F665F2" w:rsidRPr="00AE4419">
        <w:t xml:space="preserve">adequately </w:t>
      </w:r>
      <w:r w:rsidR="261CCACB" w:rsidRPr="00AE4419">
        <w:t>d</w:t>
      </w:r>
      <w:r w:rsidR="43F665F2" w:rsidRPr="00AE4419">
        <w:t>iscussed</w:t>
      </w:r>
      <w:r w:rsidR="261CCACB" w:rsidRPr="00AE4419">
        <w:t xml:space="preserve"> and require information f</w:t>
      </w:r>
      <w:r w:rsidR="653ECDC1" w:rsidRPr="00AE4419">
        <w:t xml:space="preserve">rom a more robust monitoring program (see responses to question </w:t>
      </w:r>
      <w:r w:rsidR="60AF7255" w:rsidRPr="00AE4419">
        <w:t>8</w:t>
      </w:r>
      <w:r w:rsidR="653ECDC1" w:rsidRPr="00AE4419">
        <w:t>)</w:t>
      </w:r>
      <w:r w:rsidR="60AF7255" w:rsidRPr="00AE4419">
        <w:t>.</w:t>
      </w:r>
    </w:p>
    <w:p w14:paraId="5C4ADC71" w14:textId="77777777" w:rsidR="00AF2385" w:rsidRPr="00D07EDF" w:rsidRDefault="00AF2385" w:rsidP="00BD3A5F">
      <w:pPr>
        <w:pStyle w:val="ListNumber"/>
        <w:numPr>
          <w:ilvl w:val="0"/>
          <w:numId w:val="6"/>
        </w:numPr>
        <w:suppressLineNumbers/>
        <w:rPr>
          <w:color w:val="000000"/>
          <w:lang w:eastAsia="en-AU"/>
        </w:rPr>
      </w:pPr>
      <w:r w:rsidRPr="00D07EDF">
        <w:rPr>
          <w:lang w:eastAsia="en-AU"/>
        </w:rPr>
        <w:t>If it is intended to store the waste water from coal washing and groundwater from dewatering activities</w:t>
      </w:r>
      <w:r>
        <w:rPr>
          <w:lang w:eastAsia="en-AU"/>
        </w:rPr>
        <w:t xml:space="preserve"> in the </w:t>
      </w:r>
      <w:proofErr w:type="spellStart"/>
      <w:r>
        <w:rPr>
          <w:lang w:eastAsia="en-AU"/>
        </w:rPr>
        <w:t>goafed</w:t>
      </w:r>
      <w:proofErr w:type="spellEnd"/>
      <w:r>
        <w:rPr>
          <w:lang w:eastAsia="en-AU"/>
        </w:rPr>
        <w:t xml:space="preserve"> areas</w:t>
      </w:r>
      <w:r w:rsidRPr="00D07EDF">
        <w:rPr>
          <w:lang w:eastAsia="en-AU"/>
        </w:rPr>
        <w:t xml:space="preserve">, the IESC considers further information </w:t>
      </w:r>
      <w:r>
        <w:rPr>
          <w:lang w:eastAsia="en-AU"/>
        </w:rPr>
        <w:t>is needed</w:t>
      </w:r>
      <w:r w:rsidRPr="00D07EDF">
        <w:rPr>
          <w:lang w:eastAsia="en-AU"/>
        </w:rPr>
        <w:t xml:space="preserve"> on the underground storage proposal. This should include:</w:t>
      </w:r>
    </w:p>
    <w:p w14:paraId="3EF7D376" w14:textId="77777777" w:rsidR="00AF2385" w:rsidRPr="00D07EDF" w:rsidRDefault="00AF2385" w:rsidP="00BD3A5F">
      <w:pPr>
        <w:pStyle w:val="ListNumber"/>
        <w:numPr>
          <w:ilvl w:val="1"/>
          <w:numId w:val="51"/>
        </w:numPr>
        <w:suppressLineNumbers/>
      </w:pPr>
      <w:r w:rsidRPr="00D07EDF">
        <w:t xml:space="preserve">further information on the water quality of the water being stored underground </w:t>
      </w:r>
      <w:r>
        <w:t>with a full</w:t>
      </w:r>
      <w:r w:rsidRPr="2E895087">
        <w:t xml:space="preserve"> </w:t>
      </w:r>
      <w:r w:rsidRPr="00D07EDF">
        <w:t>risk assessment o</w:t>
      </w:r>
      <w:r>
        <w:t>f</w:t>
      </w:r>
      <w:r w:rsidRPr="00D07EDF">
        <w:t xml:space="preserve"> the potential contamination caused by untreated water leaking into the groundwater (potential impacts to the receiving environment);</w:t>
      </w:r>
      <w:r w:rsidRPr="2E895087">
        <w:t xml:space="preserve"> </w:t>
      </w:r>
    </w:p>
    <w:p w14:paraId="44782BBC" w14:textId="77777777" w:rsidR="00AF2385" w:rsidRDefault="00AF2385" w:rsidP="00BD3A5F">
      <w:pPr>
        <w:pStyle w:val="ListNumber"/>
        <w:numPr>
          <w:ilvl w:val="1"/>
          <w:numId w:val="51"/>
        </w:numPr>
        <w:suppressLineNumbers/>
      </w:pPr>
      <w:r w:rsidRPr="00D07EDF">
        <w:t>assurance that the lack of water storage does not lead to releases of untreated water into Tea Tree Hollow and the Bargo River</w:t>
      </w:r>
      <w:r>
        <w:t>; and</w:t>
      </w:r>
    </w:p>
    <w:p w14:paraId="10DDE828" w14:textId="2014DE42" w:rsidR="00AF2385" w:rsidRPr="00AE4419" w:rsidRDefault="00AF2385" w:rsidP="00BD3A5F">
      <w:pPr>
        <w:pStyle w:val="ListNumber"/>
        <w:numPr>
          <w:ilvl w:val="1"/>
          <w:numId w:val="51"/>
        </w:numPr>
        <w:suppressLineNumbers/>
      </w:pPr>
      <w:proofErr w:type="gramStart"/>
      <w:r>
        <w:t>updating</w:t>
      </w:r>
      <w:proofErr w:type="gramEnd"/>
      <w:r>
        <w:t xml:space="preserve"> the groundwater model to reflect water storage in the </w:t>
      </w:r>
      <w:proofErr w:type="spellStart"/>
      <w:r>
        <w:t>goafed</w:t>
      </w:r>
      <w:proofErr w:type="spellEnd"/>
      <w:r>
        <w:t xml:space="preserve"> area.</w:t>
      </w:r>
    </w:p>
    <w:p w14:paraId="2A32EE1F" w14:textId="77777777" w:rsidR="00BB19E5" w:rsidRPr="00BB19E5" w:rsidRDefault="00BB19E5" w:rsidP="00BD3A5F">
      <w:pPr>
        <w:pStyle w:val="Question"/>
        <w:suppressLineNumbers/>
        <w:shd w:val="clear" w:color="auto" w:fill="E7E6E6"/>
      </w:pPr>
      <w:r w:rsidRPr="006E0F4C">
        <w:rPr>
          <w:b/>
          <w:bCs/>
        </w:rPr>
        <w:t>2.</w:t>
      </w:r>
      <w:r w:rsidRPr="00BB19E5">
        <w:t xml:space="preserve"> Does the IESC agree with the project EIS’s conclusions that Thirlmere Lakes and the </w:t>
      </w:r>
      <w:r w:rsidR="00796D7C">
        <w:t xml:space="preserve">Metropolitan Special Area </w:t>
      </w:r>
      <w:r w:rsidRPr="00BB19E5">
        <w:t>would not be significantly impacted by mining operations?</w:t>
      </w:r>
    </w:p>
    <w:p w14:paraId="7EE5EDAE" w14:textId="328DFAD4" w:rsidR="788D23A6" w:rsidRPr="00665038" w:rsidRDefault="001E53DC" w:rsidP="00BD3A5F">
      <w:pPr>
        <w:pStyle w:val="ListParagraph"/>
        <w:numPr>
          <w:ilvl w:val="0"/>
          <w:numId w:val="6"/>
        </w:numPr>
        <w:suppressLineNumbers/>
        <w:rPr>
          <w:color w:val="000000" w:themeColor="text1"/>
        </w:rPr>
      </w:pPr>
      <w:r>
        <w:rPr>
          <w:color w:val="000000" w:themeColor="text1"/>
        </w:rPr>
        <w:t xml:space="preserve">The IESC does not have confidence in the EIS’s conclusions that </w:t>
      </w:r>
      <w:r w:rsidRPr="00BB19E5">
        <w:t xml:space="preserve">Thirlmere Lakes and the </w:t>
      </w:r>
      <w:r>
        <w:t xml:space="preserve">Metropolitan Special Area </w:t>
      </w:r>
      <w:r w:rsidRPr="00BB19E5">
        <w:t>would not be significantly impacted by mining operations</w:t>
      </w:r>
      <w:r>
        <w:t xml:space="preserve">. Of greatest concern are </w:t>
      </w:r>
      <w:r w:rsidRPr="00AE4419">
        <w:t xml:space="preserve">the potential risks from </w:t>
      </w:r>
      <w:r w:rsidR="006509E0" w:rsidRPr="00AE4419">
        <w:t xml:space="preserve">regional groundwater drawdown and </w:t>
      </w:r>
      <w:r w:rsidR="00B8347B" w:rsidRPr="00AE4419">
        <w:t xml:space="preserve">mining-induced ground movements </w:t>
      </w:r>
      <w:r w:rsidR="006509E0" w:rsidRPr="00AE4419">
        <w:t>that could occur along geological structures beyond the subsidence zone.</w:t>
      </w:r>
      <w:r w:rsidR="003F6921" w:rsidRPr="7D3F9C87">
        <w:t xml:space="preserve"> </w:t>
      </w:r>
    </w:p>
    <w:p w14:paraId="55DC24EB" w14:textId="55FE12A7" w:rsidR="001E53DC" w:rsidRDefault="001E53DC" w:rsidP="00BD3A5F">
      <w:pPr>
        <w:pStyle w:val="ListNumber"/>
        <w:numPr>
          <w:ilvl w:val="0"/>
          <w:numId w:val="6"/>
        </w:numPr>
        <w:suppressLineNumbers/>
      </w:pPr>
      <w:r w:rsidRPr="00DE4B51">
        <w:lastRenderedPageBreak/>
        <w:t xml:space="preserve">The potential role of the Nepean Fault and other geological structures in influencing unconventional subsidence and </w:t>
      </w:r>
      <w:r w:rsidR="006509E0">
        <w:t xml:space="preserve">ground </w:t>
      </w:r>
      <w:r w:rsidRPr="00DE4B51">
        <w:t>movement is acknowledged (</w:t>
      </w:r>
      <w:r>
        <w:t>EIS</w:t>
      </w:r>
      <w:r w:rsidR="00DD22A1">
        <w:t>,</w:t>
      </w:r>
      <w:r>
        <w:t xml:space="preserve"> Appendix F,</w:t>
      </w:r>
      <w:r w:rsidRPr="00DE4B51">
        <w:t xml:space="preserve"> p. 28) but not assessed</w:t>
      </w:r>
      <w:r w:rsidRPr="7D3F9C87">
        <w:t>.</w:t>
      </w:r>
    </w:p>
    <w:p w14:paraId="79813D2F" w14:textId="3066F68B" w:rsidR="001E53DC" w:rsidRPr="004E3DE0" w:rsidRDefault="001E53DC" w:rsidP="00BD3A5F">
      <w:pPr>
        <w:pStyle w:val="ListNumber"/>
        <w:numPr>
          <w:ilvl w:val="1"/>
          <w:numId w:val="6"/>
        </w:numPr>
        <w:suppressLineNumbers/>
      </w:pPr>
      <w:r>
        <w:t>The N</w:t>
      </w:r>
      <w:r w:rsidR="00F87FAA">
        <w:t>e</w:t>
      </w:r>
      <w:r>
        <w:t xml:space="preserve">pean Fault is located </w:t>
      </w:r>
      <w:r w:rsidR="003F6921">
        <w:t>in the eastern section of the project area</w:t>
      </w:r>
      <w:r>
        <w:t>. The presence of the fault increases the probability of impacts in the MSA</w:t>
      </w:r>
      <w:r w:rsidR="003F6921">
        <w:t xml:space="preserve">, particularly to Cow Creek, located </w:t>
      </w:r>
      <w:r w:rsidR="007A586B">
        <w:t xml:space="preserve">approximately 1000 </w:t>
      </w:r>
      <w:r w:rsidR="003F6921" w:rsidRPr="004E3DE0">
        <w:t>m from the nearest longwall</w:t>
      </w:r>
      <w:r w:rsidRPr="004E3DE0">
        <w:t>. It may also act as a conduit for enhanced groundwater drawdown.</w:t>
      </w:r>
    </w:p>
    <w:p w14:paraId="6E1530E7" w14:textId="7AB08A59" w:rsidR="001E53DC" w:rsidRPr="003C299D" w:rsidRDefault="001E53DC" w:rsidP="00BD3A5F">
      <w:pPr>
        <w:pStyle w:val="ListNumber"/>
        <w:numPr>
          <w:ilvl w:val="1"/>
          <w:numId w:val="6"/>
        </w:numPr>
        <w:suppressLineNumbers/>
      </w:pPr>
      <w:r w:rsidRPr="004E3DE0">
        <w:t>The</w:t>
      </w:r>
      <w:r w:rsidR="00B8347B" w:rsidRPr="004E3DE0">
        <w:t xml:space="preserve"> location of the</w:t>
      </w:r>
      <w:r w:rsidR="00BD6BDA">
        <w:t xml:space="preserve"> geological structure</w:t>
      </w:r>
      <w:r w:rsidRPr="004E3DE0">
        <w:t xml:space="preserve"> T2</w:t>
      </w:r>
      <w:r w:rsidR="00BD6BDA">
        <w:t>,</w:t>
      </w:r>
      <w:r w:rsidRPr="004E3DE0">
        <w:t xml:space="preserve"> close to the </w:t>
      </w:r>
      <w:r w:rsidR="006509E0" w:rsidRPr="004E3DE0">
        <w:t xml:space="preserve">proposed </w:t>
      </w:r>
      <w:r w:rsidRPr="004E3DE0">
        <w:t>project area and extending towards Thirlmere Lakes, may also increase the probability of unconventional mining-induced ground movements and associated impacts to groundwater</w:t>
      </w:r>
      <w:r w:rsidR="006509E0" w:rsidRPr="004E3DE0">
        <w:t>.</w:t>
      </w:r>
      <w:r w:rsidR="00DD22A1" w:rsidRPr="004E3DE0">
        <w:t xml:space="preserve"> It</w:t>
      </w:r>
      <w:r w:rsidRPr="004E3DE0">
        <w:t xml:space="preserve"> could </w:t>
      </w:r>
      <w:r w:rsidR="00DD22A1" w:rsidRPr="004E3DE0">
        <w:t xml:space="preserve">also </w:t>
      </w:r>
      <w:r w:rsidRPr="004E3DE0">
        <w:t xml:space="preserve">act as a conduit for </w:t>
      </w:r>
      <w:r w:rsidR="006509E0" w:rsidRPr="004E3DE0">
        <w:t xml:space="preserve">localised increases in mine water inflow, based on reports from a longwall panel in </w:t>
      </w:r>
      <w:r w:rsidR="00091AD0" w:rsidRPr="004E3DE0">
        <w:t>existing Tahmoor</w:t>
      </w:r>
      <w:r w:rsidR="006509E0" w:rsidRPr="004E3DE0">
        <w:t xml:space="preserve"> North</w:t>
      </w:r>
      <w:r w:rsidRPr="004E3DE0">
        <w:t xml:space="preserve">. Nevertheless, </w:t>
      </w:r>
      <w:r w:rsidR="003F6921" w:rsidRPr="004E3DE0">
        <w:t xml:space="preserve">it is noted that </w:t>
      </w:r>
      <w:r w:rsidR="006509E0" w:rsidRPr="004E3DE0">
        <w:t xml:space="preserve">cumulative </w:t>
      </w:r>
      <w:r w:rsidR="003F6921" w:rsidRPr="004E3DE0">
        <w:t xml:space="preserve">impacts from the currently proposed project are likely to be less than </w:t>
      </w:r>
      <w:r w:rsidR="006509E0" w:rsidRPr="004E3DE0">
        <w:t xml:space="preserve">the possibility of impact </w:t>
      </w:r>
      <w:r w:rsidR="003F6921" w:rsidRPr="004E3DE0">
        <w:t xml:space="preserve">from the </w:t>
      </w:r>
      <w:r w:rsidR="006509E0" w:rsidRPr="004E3DE0">
        <w:t xml:space="preserve">drained longwall </w:t>
      </w:r>
      <w:r w:rsidR="006509E0" w:rsidRPr="003C299D">
        <w:t xml:space="preserve">panels of the existing </w:t>
      </w:r>
      <w:r w:rsidR="00D40774" w:rsidRPr="003C299D">
        <w:t xml:space="preserve">Tahmoor North project </w:t>
      </w:r>
      <w:r w:rsidR="00B8347B" w:rsidRPr="003C299D">
        <w:t>which</w:t>
      </w:r>
      <w:r w:rsidR="00D40774" w:rsidRPr="003C299D">
        <w:t xml:space="preserve"> </w:t>
      </w:r>
      <w:r w:rsidR="006509E0" w:rsidRPr="003C299D">
        <w:t>are</w:t>
      </w:r>
      <w:r w:rsidR="00D40774" w:rsidRPr="003C299D">
        <w:t xml:space="preserve"> closer to the lakes. This existing impact has not been quantified, and it is unclear whether it is likely to be material.</w:t>
      </w:r>
    </w:p>
    <w:p w14:paraId="3E01FF6F" w14:textId="2A77B3FD" w:rsidR="00B46A3B" w:rsidRPr="003C299D" w:rsidRDefault="00B46A3B" w:rsidP="00BD3A5F">
      <w:pPr>
        <w:pStyle w:val="CommentText"/>
        <w:numPr>
          <w:ilvl w:val="0"/>
          <w:numId w:val="6"/>
        </w:numPr>
        <w:suppressLineNumbers/>
      </w:pPr>
      <w:r w:rsidRPr="003C299D">
        <w:t xml:space="preserve">Given </w:t>
      </w:r>
      <w:r w:rsidR="00236291" w:rsidRPr="003C299D">
        <w:t xml:space="preserve">variable </w:t>
      </w:r>
      <w:r w:rsidRPr="003C299D">
        <w:t xml:space="preserve">water levels in the Thirlmere Lakes, the </w:t>
      </w:r>
      <w:r w:rsidR="000D4ECA" w:rsidRPr="003C299D">
        <w:t xml:space="preserve">potential </w:t>
      </w:r>
      <w:r w:rsidRPr="003C299D">
        <w:t xml:space="preserve">influence of coal mining on lake water levels relative to the </w:t>
      </w:r>
      <w:r w:rsidR="003E5BA6" w:rsidRPr="003C299D">
        <w:t>influence of</w:t>
      </w:r>
      <w:r w:rsidRPr="003C299D">
        <w:t xml:space="preserve"> </w:t>
      </w:r>
      <w:r w:rsidR="00E728ED" w:rsidRPr="003C299D">
        <w:t xml:space="preserve">pumping </w:t>
      </w:r>
      <w:r w:rsidR="003E5BA6" w:rsidRPr="003C299D">
        <w:t xml:space="preserve">by non-mining </w:t>
      </w:r>
      <w:r w:rsidR="00E728ED" w:rsidRPr="003C299D">
        <w:t>groundwater</w:t>
      </w:r>
      <w:r w:rsidR="003E5BA6" w:rsidRPr="003C299D">
        <w:t xml:space="preserve"> </w:t>
      </w:r>
      <w:r w:rsidRPr="003C299D">
        <w:t xml:space="preserve">bores </w:t>
      </w:r>
      <w:r w:rsidR="003E5BA6" w:rsidRPr="003C299D">
        <w:t xml:space="preserve">and various other factors </w:t>
      </w:r>
      <w:r w:rsidRPr="003C299D">
        <w:t>needs to be considered</w:t>
      </w:r>
      <w:r w:rsidR="00B8347B" w:rsidRPr="003C299D">
        <w:t xml:space="preserve"> (Riley et al. 2012; </w:t>
      </w:r>
      <w:proofErr w:type="spellStart"/>
      <w:r w:rsidR="000A4367" w:rsidRPr="003C299D">
        <w:t>Pells</w:t>
      </w:r>
      <w:proofErr w:type="spellEnd"/>
      <w:r w:rsidR="000A4367" w:rsidRPr="003C299D">
        <w:t xml:space="preserve"> and </w:t>
      </w:r>
      <w:proofErr w:type="spellStart"/>
      <w:r w:rsidR="000A4367" w:rsidRPr="003C299D">
        <w:t>Pells</w:t>
      </w:r>
      <w:proofErr w:type="spellEnd"/>
      <w:r w:rsidR="000A4367" w:rsidRPr="003C299D">
        <w:t xml:space="preserve"> 2016; </w:t>
      </w:r>
      <w:proofErr w:type="spellStart"/>
      <w:r w:rsidR="00B8347B" w:rsidRPr="003C299D">
        <w:t>Schädler</w:t>
      </w:r>
      <w:proofErr w:type="spellEnd"/>
      <w:r w:rsidR="00B8347B" w:rsidRPr="003C299D">
        <w:t xml:space="preserve"> and Kingsford 2016</w:t>
      </w:r>
      <w:r w:rsidR="000A4367" w:rsidRPr="003C299D">
        <w:t>; Banerjee et al. 2016</w:t>
      </w:r>
      <w:r w:rsidR="00B8347B" w:rsidRPr="003C299D">
        <w:t>)</w:t>
      </w:r>
      <w:r w:rsidRPr="003C299D">
        <w:t>. Overall</w:t>
      </w:r>
      <w:r w:rsidR="00AD2EAE" w:rsidRPr="003C299D">
        <w:t>,</w:t>
      </w:r>
      <w:r w:rsidRPr="003C299D">
        <w:t xml:space="preserve"> there is a lack of clarity </w:t>
      </w:r>
      <w:r w:rsidR="00AD2EAE" w:rsidRPr="003C299D">
        <w:t xml:space="preserve">about </w:t>
      </w:r>
      <w:r w:rsidR="00236291" w:rsidRPr="003C299D">
        <w:t xml:space="preserve">the volume of </w:t>
      </w:r>
      <w:r w:rsidRPr="003C299D">
        <w:t>groundwater use</w:t>
      </w:r>
      <w:r w:rsidR="00236291" w:rsidRPr="003C299D">
        <w:t xml:space="preserve"> by </w:t>
      </w:r>
      <w:r w:rsidR="003E5BA6" w:rsidRPr="003C299D">
        <w:t xml:space="preserve">production </w:t>
      </w:r>
      <w:r w:rsidR="00236291" w:rsidRPr="003C299D">
        <w:t>bores in the region</w:t>
      </w:r>
      <w:r w:rsidRPr="003C299D">
        <w:t xml:space="preserve">, and also the influence of </w:t>
      </w:r>
      <w:r w:rsidR="000A4367" w:rsidRPr="003C299D">
        <w:t xml:space="preserve">the geological </w:t>
      </w:r>
      <w:r w:rsidRPr="003C299D">
        <w:t>structure T2</w:t>
      </w:r>
      <w:r w:rsidR="00236291" w:rsidRPr="003C299D">
        <w:t xml:space="preserve"> and whether or not the structure extends from the coal seam to the ground surface. This structure </w:t>
      </w:r>
      <w:r w:rsidR="000A4367" w:rsidRPr="003C299D">
        <w:t>is known to extend at coal seam level to the edge of</w:t>
      </w:r>
      <w:r w:rsidRPr="003C299D">
        <w:t xml:space="preserve"> </w:t>
      </w:r>
      <w:r w:rsidR="000A4367" w:rsidRPr="003C299D">
        <w:t>the</w:t>
      </w:r>
      <w:r w:rsidRPr="003C299D">
        <w:t xml:space="preserve"> </w:t>
      </w:r>
      <w:r w:rsidR="000A4367" w:rsidRPr="003C299D">
        <w:t xml:space="preserve">proposed </w:t>
      </w:r>
      <w:r w:rsidRPr="003C299D">
        <w:t>Tahmoor South</w:t>
      </w:r>
      <w:r w:rsidR="000A4367" w:rsidRPr="003C299D">
        <w:t xml:space="preserve"> project. There is a possibility that the T2 structure influences groundwater and that it may continue within the Tahmoor South project </w:t>
      </w:r>
      <w:r w:rsidRPr="003C299D">
        <w:t xml:space="preserve">between the Nepean Fault (which </w:t>
      </w:r>
      <w:r w:rsidR="00236291" w:rsidRPr="003C299D">
        <w:t xml:space="preserve">is known to </w:t>
      </w:r>
      <w:r w:rsidRPr="003C299D">
        <w:t>influence groundwater) and the Central Fault (</w:t>
      </w:r>
      <w:r w:rsidR="00236291" w:rsidRPr="003C299D">
        <w:t>for which</w:t>
      </w:r>
      <w:r w:rsidRPr="003C299D">
        <w:t xml:space="preserve"> influence </w:t>
      </w:r>
      <w:r w:rsidR="00236291" w:rsidRPr="003C299D">
        <w:t xml:space="preserve">on groundwater is apparently </w:t>
      </w:r>
      <w:r w:rsidRPr="003C299D">
        <w:t>unknown).</w:t>
      </w:r>
    </w:p>
    <w:p w14:paraId="6DB1265B" w14:textId="61A0C59A" w:rsidR="00B46A3B" w:rsidRPr="003C299D" w:rsidRDefault="00236291" w:rsidP="00BD3A5F">
      <w:pPr>
        <w:pStyle w:val="CommentText"/>
        <w:numPr>
          <w:ilvl w:val="0"/>
          <w:numId w:val="6"/>
        </w:numPr>
        <w:suppressLineNumbers/>
      </w:pPr>
      <w:r w:rsidRPr="003C299D">
        <w:t xml:space="preserve">The findings of ongoing </w:t>
      </w:r>
      <w:r w:rsidRPr="00BC0AAB">
        <w:t xml:space="preserve">studies at Thirlmere Lakes </w:t>
      </w:r>
      <w:r w:rsidR="00166F7B" w:rsidRPr="00BC0AAB">
        <w:t xml:space="preserve">(NSW OEH, 2019) </w:t>
      </w:r>
      <w:r w:rsidRPr="00BC0AAB">
        <w:t>should</w:t>
      </w:r>
      <w:r w:rsidRPr="003C299D">
        <w:t xml:space="preserve"> be used to revise and update future models for the Tahmoor South project. For example, t</w:t>
      </w:r>
      <w:r w:rsidR="00B46A3B" w:rsidRPr="003C299D">
        <w:t xml:space="preserve">he conceptual model of </w:t>
      </w:r>
      <w:r w:rsidRPr="003C299D">
        <w:t xml:space="preserve">each individual </w:t>
      </w:r>
      <w:r w:rsidR="00B46A3B" w:rsidRPr="003C299D">
        <w:t>lake</w:t>
      </w:r>
      <w:r w:rsidRPr="003C299D">
        <w:t xml:space="preserve"> as variably</w:t>
      </w:r>
      <w:r w:rsidR="00B46A3B" w:rsidRPr="003C299D">
        <w:t xml:space="preserve"> </w:t>
      </w:r>
      <w:r w:rsidR="00021752" w:rsidRPr="003C299D">
        <w:t>connected</w:t>
      </w:r>
      <w:r w:rsidRPr="003C299D">
        <w:t xml:space="preserve"> or</w:t>
      </w:r>
      <w:r w:rsidR="00021752" w:rsidRPr="003C299D">
        <w:t xml:space="preserve"> disconnected </w:t>
      </w:r>
      <w:r w:rsidR="00B46A3B" w:rsidRPr="003C299D">
        <w:t xml:space="preserve">with regional groundwater should be reviewed and included in model updates. </w:t>
      </w:r>
      <w:r w:rsidRPr="003C299D">
        <w:t>The potential indirect influence of mining, particularly during periods of high</w:t>
      </w:r>
      <w:r w:rsidR="00166F7B" w:rsidRPr="003C299D">
        <w:t>er</w:t>
      </w:r>
      <w:r w:rsidRPr="003C299D">
        <w:t xml:space="preserve"> lake water levels and for the two lakes </w:t>
      </w:r>
      <w:r w:rsidR="00166F7B" w:rsidRPr="003C299D">
        <w:t xml:space="preserve">that are located </w:t>
      </w:r>
      <w:r w:rsidRPr="003C299D">
        <w:t>furthest to the west, should also be considered.</w:t>
      </w:r>
      <w:r w:rsidR="003E5BA6" w:rsidRPr="003C299D">
        <w:t xml:space="preserve"> </w:t>
      </w:r>
      <w:r w:rsidR="00B46A3B" w:rsidRPr="003C299D">
        <w:t xml:space="preserve">Once updated predictions </w:t>
      </w:r>
      <w:r w:rsidRPr="003C299D">
        <w:t xml:space="preserve">of potential impacts </w:t>
      </w:r>
      <w:r w:rsidR="00166F7B" w:rsidRPr="003C299D">
        <w:t xml:space="preserve">of mining </w:t>
      </w:r>
      <w:r w:rsidRPr="003C299D">
        <w:t xml:space="preserve">on each lake </w:t>
      </w:r>
      <w:r w:rsidR="00B46A3B" w:rsidRPr="003C299D">
        <w:t xml:space="preserve">are available, </w:t>
      </w:r>
      <w:r w:rsidR="00166F7B" w:rsidRPr="003C299D">
        <w:t xml:space="preserve">the results </w:t>
      </w:r>
      <w:r w:rsidR="00B46A3B" w:rsidRPr="003C299D">
        <w:t xml:space="preserve">should be viewed in </w:t>
      </w:r>
      <w:r w:rsidR="000A4367" w:rsidRPr="003C299D">
        <w:t xml:space="preserve">the </w:t>
      </w:r>
      <w:r w:rsidR="00B46A3B" w:rsidRPr="003C299D">
        <w:t>context of historical</w:t>
      </w:r>
      <w:r w:rsidR="000A4367" w:rsidRPr="003C299D">
        <w:t xml:space="preserve"> </w:t>
      </w:r>
      <w:r w:rsidR="00E728ED" w:rsidRPr="003C299D">
        <w:t>f</w:t>
      </w:r>
      <w:r w:rsidR="00B46A3B" w:rsidRPr="003C299D">
        <w:t xml:space="preserve">luctuations in lake water levels, </w:t>
      </w:r>
      <w:r w:rsidR="000A4367" w:rsidRPr="003C299D">
        <w:t xml:space="preserve">including periods when the lakes are known to have dried. </w:t>
      </w:r>
      <w:r w:rsidR="00184744" w:rsidRPr="003C299D">
        <w:t xml:space="preserve"> </w:t>
      </w:r>
    </w:p>
    <w:p w14:paraId="40195384" w14:textId="77777777" w:rsidR="3E1268D6" w:rsidRPr="00B81EE8" w:rsidRDefault="3248C841" w:rsidP="00BD3A5F">
      <w:pPr>
        <w:pStyle w:val="Question"/>
        <w:suppressLineNumbers/>
        <w:shd w:val="clear" w:color="auto" w:fill="E7E6E6"/>
        <w:rPr>
          <w:lang w:eastAsia="en-AU"/>
        </w:rPr>
      </w:pPr>
      <w:r w:rsidRPr="006D39B5">
        <w:rPr>
          <w:b/>
        </w:rPr>
        <w:t>3.</w:t>
      </w:r>
      <w:r>
        <w:t xml:space="preserve"> Noting that the project is predicted to exceed the Level 1 minimal impact considerations under the NSW Aquifer Interference Policy at a limited number of groundwater bores, does the IESC consider the impacts to bores to be accurately modelled and assessed in the EIS?</w:t>
      </w:r>
    </w:p>
    <w:p w14:paraId="26A5BC81" w14:textId="459F3995" w:rsidR="51209DE0" w:rsidRPr="003C299D" w:rsidRDefault="006F128E" w:rsidP="00BD3A5F">
      <w:pPr>
        <w:pStyle w:val="ListParagraph"/>
        <w:numPr>
          <w:ilvl w:val="0"/>
          <w:numId w:val="6"/>
        </w:numPr>
        <w:suppressLineNumbers/>
      </w:pPr>
      <w:r w:rsidRPr="003C299D">
        <w:t>Given modelling issues already identified, t</w:t>
      </w:r>
      <w:r w:rsidR="00665038" w:rsidRPr="003C299D">
        <w:t xml:space="preserve">he IESC does not consider </w:t>
      </w:r>
      <w:r w:rsidR="00021752" w:rsidRPr="003C299D">
        <w:t xml:space="preserve">that </w:t>
      </w:r>
      <w:r w:rsidR="00665038" w:rsidRPr="003C299D">
        <w:t xml:space="preserve">the </w:t>
      </w:r>
      <w:r w:rsidR="000D4ECA" w:rsidRPr="003C299D">
        <w:t xml:space="preserve">potential </w:t>
      </w:r>
      <w:r w:rsidR="00665038" w:rsidRPr="003C299D">
        <w:t xml:space="preserve">impacts to groundwater bores have been appropriately </w:t>
      </w:r>
      <w:r w:rsidR="00324CBA" w:rsidRPr="003C299D">
        <w:t xml:space="preserve">modelled and </w:t>
      </w:r>
      <w:r w:rsidR="00665038" w:rsidRPr="003C299D">
        <w:t xml:space="preserve">assessed. The </w:t>
      </w:r>
      <w:r w:rsidR="00166F7B" w:rsidRPr="003C299D">
        <w:t xml:space="preserve">historic and </w:t>
      </w:r>
      <w:r w:rsidR="000D4ECA" w:rsidRPr="003C299D">
        <w:t xml:space="preserve">current </w:t>
      </w:r>
      <w:r w:rsidR="00166F7B" w:rsidRPr="003C299D">
        <w:t xml:space="preserve">volumes </w:t>
      </w:r>
      <w:r w:rsidR="000D4ECA" w:rsidRPr="003C299D">
        <w:t xml:space="preserve">of </w:t>
      </w:r>
      <w:r w:rsidR="00665038" w:rsidRPr="003C299D">
        <w:t xml:space="preserve">pumping from </w:t>
      </w:r>
      <w:r w:rsidR="00180F27" w:rsidRPr="003C299D">
        <w:t>non-mining groundwater</w:t>
      </w:r>
      <w:r w:rsidR="00665038" w:rsidRPr="003C299D">
        <w:t xml:space="preserve"> bores ha</w:t>
      </w:r>
      <w:r w:rsidR="000D4ECA" w:rsidRPr="003C299D">
        <w:t>ve</w:t>
      </w:r>
      <w:r w:rsidR="00665038" w:rsidRPr="003C299D">
        <w:t xml:space="preserve"> not been included in the model, meaning that</w:t>
      </w:r>
      <w:r w:rsidR="00166F7B" w:rsidRPr="003C299D">
        <w:t xml:space="preserve"> the calibrated water balance may not be reliable for predicting groundwater drawdown. </w:t>
      </w:r>
      <w:r w:rsidR="00180F27" w:rsidRPr="003C299D">
        <w:t xml:space="preserve">There was no attempt to test the sensitivity of the model to low and high estimates of pumping from these bores. </w:t>
      </w:r>
      <w:r w:rsidR="00A32BCB" w:rsidRPr="003C299D">
        <w:t xml:space="preserve">An uncertainty analysis is required to quantify conceptual and parametric uncertainty on groundwater drawdown and hence </w:t>
      </w:r>
      <w:r w:rsidR="00021752" w:rsidRPr="003C299D">
        <w:t xml:space="preserve">potential </w:t>
      </w:r>
      <w:r w:rsidR="00A32BCB" w:rsidRPr="003C299D">
        <w:t>impacts on groundwater bores.</w:t>
      </w:r>
    </w:p>
    <w:p w14:paraId="3F3D7AA1" w14:textId="64B386B7" w:rsidR="00C87FAD" w:rsidRPr="003C299D" w:rsidRDefault="00A32BCB" w:rsidP="00BD3A5F">
      <w:pPr>
        <w:pStyle w:val="ListParagraph"/>
        <w:numPr>
          <w:ilvl w:val="0"/>
          <w:numId w:val="6"/>
        </w:numPr>
        <w:suppressLineNumbers/>
      </w:pPr>
      <w:r w:rsidRPr="003C299D">
        <w:t>In addition to the issues described above that result in low confidence in groundwater model predictions, the model calibration residual is high. The model’s absolute mean residual is 21 m</w:t>
      </w:r>
      <w:r w:rsidR="009A5B92" w:rsidRPr="003C299D">
        <w:t>, which is an order of magnitude higher than the</w:t>
      </w:r>
      <w:r w:rsidRPr="003C299D">
        <w:t xml:space="preserve"> impact threshold under </w:t>
      </w:r>
      <w:r w:rsidR="008512C8" w:rsidRPr="003C299D">
        <w:t>the NSW Aquifer Interference Policy</w:t>
      </w:r>
      <w:r w:rsidRPr="003C299D">
        <w:t xml:space="preserve"> of 2 m for groundwater bores</w:t>
      </w:r>
      <w:r w:rsidR="009A5B92" w:rsidRPr="003C299D">
        <w:t xml:space="preserve">. </w:t>
      </w:r>
      <w:r w:rsidR="00FE720F" w:rsidRPr="003C299D">
        <w:t xml:space="preserve">It is unclear how this calibration residual affects the prediction that the 2 m drawdown threshold will be exceeded in approximately 120 non-mining bores due to cumulative </w:t>
      </w:r>
      <w:r w:rsidR="00FE720F" w:rsidRPr="003C299D">
        <w:lastRenderedPageBreak/>
        <w:t xml:space="preserve">mining impacts. Of these total number of bores, approximately 28 would be impacted for the first time by mining during the Tahmoor South project according to model predictions with the most severe drawdown. </w:t>
      </w:r>
    </w:p>
    <w:p w14:paraId="34963D31" w14:textId="77777777" w:rsidR="00B8347B" w:rsidRPr="00BB19E5" w:rsidRDefault="00B8347B" w:rsidP="00BD3A5F">
      <w:pPr>
        <w:pStyle w:val="Question"/>
        <w:suppressLineNumbers/>
        <w:shd w:val="clear" w:color="auto" w:fill="E7E6E6"/>
      </w:pPr>
      <w:r w:rsidRPr="00071285">
        <w:rPr>
          <w:b/>
          <w:bCs/>
        </w:rPr>
        <w:t>1.</w:t>
      </w:r>
      <w:r w:rsidRPr="00BB19E5">
        <w:t xml:space="preserve"> Have the likely far-field non-conventional groundwater impacts been accurately modelled and assessed in the EIS, including consideration of possible basal plane movements and consequential potential impacts on the Thirlmere Lakes and the </w:t>
      </w:r>
      <w:r>
        <w:t>Metropolitan Special Area</w:t>
      </w:r>
      <w:r w:rsidRPr="552ACE48">
        <w:t>?</w:t>
      </w:r>
    </w:p>
    <w:p w14:paraId="02B65E51" w14:textId="4759F9D2" w:rsidR="00B8347B" w:rsidRPr="00A64C79" w:rsidRDefault="00B8347B" w:rsidP="00BD3A5F">
      <w:pPr>
        <w:pStyle w:val="ListNumber"/>
        <w:numPr>
          <w:ilvl w:val="0"/>
          <w:numId w:val="6"/>
        </w:numPr>
        <w:suppressLineNumbers/>
      </w:pPr>
      <w:r w:rsidRPr="00A64C79">
        <w:t>The IESC has low confidence in the proponent’s modelling of</w:t>
      </w:r>
      <w:r w:rsidR="006D39B5" w:rsidRPr="00A64C79">
        <w:t xml:space="preserve"> groundwater impacts, as described above. The IESC has particular concerns regarding prediction of</w:t>
      </w:r>
      <w:r w:rsidRPr="00A64C79">
        <w:t xml:space="preserve"> far-field (outside the predicted area of </w:t>
      </w:r>
      <w:r w:rsidR="006D39B5" w:rsidRPr="00A64C79">
        <w:t xml:space="preserve">conventional </w:t>
      </w:r>
      <w:r w:rsidRPr="00A64C79">
        <w:t xml:space="preserve">subsidence) groundwater impacts. This is because the subsurface processes are poorly understood when it comes to inferring </w:t>
      </w:r>
      <w:r w:rsidR="009A5B92" w:rsidRPr="00A64C79">
        <w:t xml:space="preserve">potential </w:t>
      </w:r>
      <w:r w:rsidRPr="00A64C79">
        <w:t xml:space="preserve">impacts on Thirlmere Lakes and </w:t>
      </w:r>
      <w:r w:rsidR="00266F6E">
        <w:t>the M</w:t>
      </w:r>
      <w:r w:rsidRPr="00A64C79">
        <w:t>SA.</w:t>
      </w:r>
    </w:p>
    <w:p w14:paraId="294CF0EA" w14:textId="67160648" w:rsidR="00B8347B" w:rsidRPr="00A64C79" w:rsidRDefault="009A5B92" w:rsidP="00BD3A5F">
      <w:pPr>
        <w:pStyle w:val="ListNumber"/>
        <w:numPr>
          <w:ilvl w:val="0"/>
          <w:numId w:val="6"/>
        </w:numPr>
        <w:suppressLineNumbers/>
      </w:pPr>
      <w:r w:rsidRPr="00A64C79">
        <w:t>Although t</w:t>
      </w:r>
      <w:r w:rsidR="00B8347B" w:rsidRPr="00A64C79">
        <w:t xml:space="preserve">he mechanisms by which mining-induced ground movements (basal plane movements, bedding plane separations, </w:t>
      </w:r>
      <w:proofErr w:type="spellStart"/>
      <w:r w:rsidR="00B8347B" w:rsidRPr="00A64C79">
        <w:t>upsidence</w:t>
      </w:r>
      <w:proofErr w:type="spellEnd"/>
      <w:r w:rsidR="00B8347B" w:rsidRPr="00A64C79">
        <w:t xml:space="preserve">, valley closure and shears) influence groundwater drawdown are </w:t>
      </w:r>
      <w:r w:rsidRPr="00A64C79">
        <w:t xml:space="preserve">also </w:t>
      </w:r>
      <w:r w:rsidR="00B8347B" w:rsidRPr="00A64C79">
        <w:t>poorly understood</w:t>
      </w:r>
      <w:r w:rsidRPr="00A64C79">
        <w:t>,</w:t>
      </w:r>
      <w:r w:rsidR="00B8347B" w:rsidRPr="00A64C79">
        <w:t xml:space="preserve"> these movements primarily occur in the project area rather than the far-field. However, the</w:t>
      </w:r>
      <w:r w:rsidRPr="00A64C79">
        <w:t>se</w:t>
      </w:r>
      <w:r w:rsidR="00B8347B" w:rsidRPr="00A64C79">
        <w:t xml:space="preserve"> project-specific ground movements could contribute to regional groundwater drawdown, which may impact on the MSA and Thirlmere Lakes. </w:t>
      </w:r>
      <w:r w:rsidR="00F749E2" w:rsidRPr="00A64C79">
        <w:t>There are potential</w:t>
      </w:r>
      <w:r w:rsidR="009F601D" w:rsidRPr="00A64C79">
        <w:t xml:space="preserve"> groundwater and </w:t>
      </w:r>
      <w:proofErr w:type="spellStart"/>
      <w:r w:rsidR="009F601D" w:rsidRPr="00B60423">
        <w:t>baseflow</w:t>
      </w:r>
      <w:proofErr w:type="spellEnd"/>
      <w:r w:rsidR="00F749E2" w:rsidRPr="00B60423">
        <w:t xml:space="preserve"> impacts </w:t>
      </w:r>
      <w:r w:rsidR="009F601D" w:rsidRPr="00B60423">
        <w:t xml:space="preserve">on </w:t>
      </w:r>
      <w:r w:rsidR="000D39B0">
        <w:t>Cow Creek</w:t>
      </w:r>
      <w:r w:rsidR="009F601D" w:rsidRPr="00B60423">
        <w:t xml:space="preserve"> in</w:t>
      </w:r>
      <w:r w:rsidR="00F749E2" w:rsidRPr="00B60423">
        <w:t xml:space="preserve"> the MSA which is</w:t>
      </w:r>
      <w:r w:rsidR="009F601D" w:rsidRPr="00B60423">
        <w:t xml:space="preserve"> located relatively</w:t>
      </w:r>
      <w:r w:rsidR="00F749E2" w:rsidRPr="00B60423">
        <w:t xml:space="preserve"> close</w:t>
      </w:r>
      <w:r w:rsidR="009F601D" w:rsidRPr="00B60423">
        <w:t xml:space="preserve"> </w:t>
      </w:r>
      <w:r w:rsidR="00F749E2" w:rsidRPr="00B60423">
        <w:t xml:space="preserve">to the Tahmoor South project as discussed in </w:t>
      </w:r>
      <w:r w:rsidR="00BC01B5" w:rsidRPr="00B60423">
        <w:t>p</w:t>
      </w:r>
      <w:r w:rsidR="00BC01B5">
        <w:t>aragraph</w:t>
      </w:r>
      <w:r w:rsidR="00BC01B5" w:rsidRPr="00B60423">
        <w:t xml:space="preserve"> </w:t>
      </w:r>
      <w:r w:rsidR="00F749E2" w:rsidRPr="00B60423">
        <w:t>2</w:t>
      </w:r>
      <w:r w:rsidR="00B60423" w:rsidRPr="00B60423">
        <w:t>5</w:t>
      </w:r>
      <w:r w:rsidR="00F749E2" w:rsidRPr="00B60423">
        <w:t>.</w:t>
      </w:r>
      <w:r w:rsidR="00F749E2" w:rsidRPr="00A64C79">
        <w:t xml:space="preserve"> </w:t>
      </w:r>
    </w:p>
    <w:p w14:paraId="07C3104A" w14:textId="77777777" w:rsidR="006C7902" w:rsidRPr="00BF21A7" w:rsidRDefault="006C7902" w:rsidP="00BD3A5F">
      <w:pPr>
        <w:pStyle w:val="Question"/>
        <w:suppressLineNumbers/>
        <w:shd w:val="clear" w:color="auto" w:fill="E7E6E6"/>
      </w:pPr>
      <w:r>
        <w:rPr>
          <w:b/>
        </w:rPr>
        <w:t xml:space="preserve">5. </w:t>
      </w:r>
      <w:r>
        <w:t>Do</w:t>
      </w:r>
      <w:r w:rsidRPr="00BB19E5">
        <w:t xml:space="preserve">es the IESC consider that the project would comply with the neutral or beneficial effect of development on water quality within the </w:t>
      </w:r>
      <w:r>
        <w:t>Metropolitan Special Area</w:t>
      </w:r>
      <w:r w:rsidRPr="552ACE48">
        <w:t>?</w:t>
      </w:r>
    </w:p>
    <w:p w14:paraId="4C93AC3F" w14:textId="419AE962" w:rsidR="00C85222" w:rsidRPr="00A64C79" w:rsidRDefault="006C7902" w:rsidP="00BD3A5F">
      <w:pPr>
        <w:pStyle w:val="ListNumber"/>
        <w:numPr>
          <w:ilvl w:val="0"/>
          <w:numId w:val="6"/>
        </w:numPr>
        <w:suppressLineNumbers/>
      </w:pPr>
      <w:r w:rsidRPr="00A64C79">
        <w:rPr>
          <w:lang w:eastAsia="en-AU"/>
        </w:rPr>
        <w:t xml:space="preserve">As the IESC has low confidence in the </w:t>
      </w:r>
      <w:r w:rsidR="00EC68E3" w:rsidRPr="00A64C79">
        <w:rPr>
          <w:lang w:eastAsia="en-AU"/>
        </w:rPr>
        <w:t>predictions</w:t>
      </w:r>
      <w:r w:rsidRPr="00A64C79">
        <w:rPr>
          <w:lang w:eastAsia="en-AU"/>
        </w:rPr>
        <w:t xml:space="preserve"> of the groundwater model, and </w:t>
      </w:r>
      <w:r w:rsidR="00F051E7" w:rsidRPr="00A64C79">
        <w:rPr>
          <w:lang w:eastAsia="en-AU"/>
        </w:rPr>
        <w:t xml:space="preserve">as </w:t>
      </w:r>
      <w:r w:rsidRPr="00A64C79">
        <w:rPr>
          <w:lang w:eastAsia="en-AU"/>
        </w:rPr>
        <w:t>there may also be other unidentified processes that could alter or exacerbate potential impacts</w:t>
      </w:r>
      <w:r w:rsidR="00BC01B5">
        <w:rPr>
          <w:lang w:eastAsia="en-AU"/>
        </w:rPr>
        <w:t xml:space="preserve"> on water quality</w:t>
      </w:r>
      <w:r w:rsidRPr="00A64C79">
        <w:rPr>
          <w:lang w:eastAsia="en-AU"/>
        </w:rPr>
        <w:t xml:space="preserve">, it is not possible to </w:t>
      </w:r>
      <w:r w:rsidR="008512C8" w:rsidRPr="00A64C79">
        <w:rPr>
          <w:lang w:eastAsia="en-AU"/>
        </w:rPr>
        <w:t>evalu</w:t>
      </w:r>
      <w:r w:rsidR="00F051E7" w:rsidRPr="00A64C79">
        <w:rPr>
          <w:lang w:eastAsia="en-AU"/>
        </w:rPr>
        <w:t>a</w:t>
      </w:r>
      <w:r w:rsidR="008512C8" w:rsidRPr="00A64C79">
        <w:rPr>
          <w:lang w:eastAsia="en-AU"/>
        </w:rPr>
        <w:t>te whether</w:t>
      </w:r>
      <w:r w:rsidRPr="00A64C79">
        <w:rPr>
          <w:lang w:eastAsia="en-AU"/>
        </w:rPr>
        <w:t xml:space="preserve"> the project would comply with development intent in the MSA.</w:t>
      </w:r>
    </w:p>
    <w:p w14:paraId="23788CCC" w14:textId="77777777" w:rsidR="006C7902" w:rsidRPr="00071285" w:rsidRDefault="006C7902" w:rsidP="00BD3A5F">
      <w:pPr>
        <w:pStyle w:val="Question"/>
        <w:keepNext/>
        <w:suppressLineNumbers/>
        <w:shd w:val="clear" w:color="auto" w:fill="E7E6E6"/>
        <w:rPr>
          <w:b/>
        </w:rPr>
      </w:pPr>
      <w:r w:rsidRPr="0046648C">
        <w:rPr>
          <w:b/>
        </w:rPr>
        <w:t>6.</w:t>
      </w:r>
      <w:r w:rsidRPr="004E3990">
        <w:t xml:space="preserve"> Does the EIS provide reasonable strategies to effectively avoid, mitigate or reduce the likelihood, extent and significance of impacts (including cumulative impacts with the existing Tahmoor mine) to significant water-related resources? </w:t>
      </w:r>
    </w:p>
    <w:p w14:paraId="62BE3D88" w14:textId="77777777" w:rsidR="006C7902" w:rsidRDefault="006C7902" w:rsidP="00BD3A5F">
      <w:pPr>
        <w:pStyle w:val="Question"/>
        <w:suppressLineNumbers/>
        <w:shd w:val="clear" w:color="auto" w:fill="E7E6E6"/>
      </w:pPr>
      <w:r w:rsidRPr="0046648C">
        <w:rPr>
          <w:b/>
        </w:rPr>
        <w:t>7.</w:t>
      </w:r>
      <w:r w:rsidRPr="004E3990">
        <w:t xml:space="preserve"> Would the IESC recommend any additional or varied strategies to avoid, mitigate or reduce the likelihood, extent and significance of impacts (including cumulative impacts with the existing Tahmoor mine) on water-related resources? If so, why?</w:t>
      </w:r>
    </w:p>
    <w:p w14:paraId="374B78ED" w14:textId="77777777" w:rsidR="006C7902" w:rsidRPr="00C85222" w:rsidRDefault="006C7902" w:rsidP="00BD3A5F">
      <w:pPr>
        <w:pStyle w:val="Heading4"/>
        <w:suppressLineNumbers/>
      </w:pPr>
      <w:r w:rsidRPr="00C85222">
        <w:t>Avoidance</w:t>
      </w:r>
    </w:p>
    <w:p w14:paraId="4EFEB0F9" w14:textId="6A5D90A9" w:rsidR="006C7902" w:rsidRPr="00C85222" w:rsidRDefault="006C7902" w:rsidP="00BD3A5F">
      <w:pPr>
        <w:pStyle w:val="ListNumber"/>
        <w:numPr>
          <w:ilvl w:val="0"/>
          <w:numId w:val="6"/>
        </w:numPr>
        <w:suppressLineNumbers/>
        <w:rPr>
          <w:lang w:eastAsia="en-AU"/>
        </w:rPr>
      </w:pPr>
      <w:r w:rsidRPr="00C85222">
        <w:rPr>
          <w:lang w:eastAsia="en-AU"/>
        </w:rPr>
        <w:t>Where mitigation is not feasible, avoidance is the most effective management strategy.</w:t>
      </w:r>
      <w:r w:rsidR="004C5E05" w:rsidRPr="00C85222">
        <w:rPr>
          <w:lang w:eastAsia="en-AU"/>
        </w:rPr>
        <w:t xml:space="preserve"> </w:t>
      </w:r>
      <w:r w:rsidR="00D129B9" w:rsidRPr="00C85222">
        <w:rPr>
          <w:lang w:eastAsia="en-AU"/>
        </w:rPr>
        <w:t xml:space="preserve">Given that empirical observations from Tahmoor North suggest that impacts from </w:t>
      </w:r>
      <w:r w:rsidR="009F601D" w:rsidRPr="00C85222">
        <w:rPr>
          <w:lang w:eastAsia="en-AU"/>
        </w:rPr>
        <w:t>mining-induced ground movements</w:t>
      </w:r>
      <w:r w:rsidR="00D129B9" w:rsidRPr="00C85222">
        <w:rPr>
          <w:lang w:eastAsia="en-AU"/>
        </w:rPr>
        <w:t xml:space="preserve"> are likely to be more severe than modelled, </w:t>
      </w:r>
      <w:r w:rsidR="00BD6BDA">
        <w:rPr>
          <w:lang w:eastAsia="en-AU"/>
        </w:rPr>
        <w:t>fu</w:t>
      </w:r>
      <w:r w:rsidR="00266F6E">
        <w:rPr>
          <w:lang w:eastAsia="en-AU"/>
        </w:rPr>
        <w:t>r</w:t>
      </w:r>
      <w:r w:rsidR="00BD6BDA">
        <w:rPr>
          <w:lang w:eastAsia="en-AU"/>
        </w:rPr>
        <w:t xml:space="preserve">ther </w:t>
      </w:r>
      <w:r w:rsidR="00D129B9" w:rsidRPr="00C85222">
        <w:rPr>
          <w:lang w:eastAsia="en-AU"/>
        </w:rPr>
        <w:t>redesign of the mine plan should be considered to avoid impacts. In particular, connective cracking and extensive surface cracking and near-surface fracturing should be avoided at mapped GDEs</w:t>
      </w:r>
      <w:r w:rsidR="00683854" w:rsidRPr="00C85222">
        <w:rPr>
          <w:lang w:eastAsia="en-AU"/>
        </w:rPr>
        <w:t>,</w:t>
      </w:r>
      <w:r w:rsidR="00D129B9" w:rsidRPr="00C85222">
        <w:rPr>
          <w:lang w:eastAsia="en-AU"/>
        </w:rPr>
        <w:t xml:space="preserve"> Dog Trap Creek and Tea Tree Hollow.  </w:t>
      </w:r>
      <w:r w:rsidRPr="00C85222">
        <w:rPr>
          <w:lang w:eastAsia="en-AU"/>
        </w:rPr>
        <w:t>The</w:t>
      </w:r>
      <w:r w:rsidR="00B94F62" w:rsidRPr="00C85222">
        <w:rPr>
          <w:lang w:eastAsia="en-AU"/>
        </w:rPr>
        <w:t>se</w:t>
      </w:r>
      <w:r w:rsidRPr="00C85222">
        <w:rPr>
          <w:lang w:eastAsia="en-AU"/>
        </w:rPr>
        <w:t xml:space="preserve"> impacts may be avoided by</w:t>
      </w:r>
      <w:r w:rsidR="00B94F62" w:rsidRPr="00C85222">
        <w:t>, for example,</w:t>
      </w:r>
      <w:r w:rsidR="009F601D" w:rsidRPr="00C85222">
        <w:t xml:space="preserve"> altering the longwall placement or orientation so that creeks are not undermined or by other alterations to the mine design and geometry of panels and pillars</w:t>
      </w:r>
      <w:r w:rsidR="004C5E05" w:rsidRPr="00C85222">
        <w:t>.</w:t>
      </w:r>
      <w:r w:rsidR="009F601D" w:rsidRPr="00C85222" w:rsidDel="009F601D">
        <w:t xml:space="preserve"> </w:t>
      </w:r>
      <w:r w:rsidR="009F601D" w:rsidRPr="00C85222">
        <w:t xml:space="preserve"> </w:t>
      </w:r>
    </w:p>
    <w:p w14:paraId="1BD82995" w14:textId="77777777" w:rsidR="00EC68E3" w:rsidRPr="00C85222" w:rsidRDefault="006C7902" w:rsidP="00BD3A5F">
      <w:pPr>
        <w:pStyle w:val="ListNumber"/>
        <w:suppressLineNumbers/>
        <w:rPr>
          <w:rStyle w:val="Heading4Char"/>
          <w:u w:val="none"/>
          <w:lang w:eastAsia="en-AU"/>
        </w:rPr>
      </w:pPr>
      <w:r w:rsidRPr="00C85222">
        <w:rPr>
          <w:rStyle w:val="Heading4Char"/>
        </w:rPr>
        <w:t>Mitigation</w:t>
      </w:r>
    </w:p>
    <w:p w14:paraId="7E71BB65" w14:textId="27174C71" w:rsidR="00D129B9" w:rsidRPr="00C85222" w:rsidRDefault="00D129B9" w:rsidP="00BD3A5F">
      <w:pPr>
        <w:pStyle w:val="ListNumber"/>
        <w:numPr>
          <w:ilvl w:val="0"/>
          <w:numId w:val="6"/>
        </w:numPr>
        <w:suppressLineNumbers/>
      </w:pPr>
      <w:r w:rsidRPr="00C85222">
        <w:rPr>
          <w:lang w:eastAsia="en-AU"/>
        </w:rPr>
        <w:t xml:space="preserve">The IESC presumes that details of mitigation strategies are, or will be, provided in management plans. As these management plans have not been provided, the IESC is unable to provide comment. </w:t>
      </w:r>
      <w:r w:rsidRPr="00C85222">
        <w:t xml:space="preserve">To underpin these plans and associated </w:t>
      </w:r>
      <w:r w:rsidRPr="00C85222">
        <w:rPr>
          <w:lang w:eastAsia="en-AU"/>
        </w:rPr>
        <w:t>risk</w:t>
      </w:r>
      <w:r w:rsidRPr="00C85222">
        <w:t xml:space="preserve"> assessment, an </w:t>
      </w:r>
      <w:proofErr w:type="spellStart"/>
      <w:r w:rsidRPr="00C85222">
        <w:t>ecohydrological</w:t>
      </w:r>
      <w:proofErr w:type="spellEnd"/>
      <w:r w:rsidRPr="00C85222">
        <w:t xml:space="preserve"> conceptual model is needed that illustrates potential pathways and mechanisms of </w:t>
      </w:r>
      <w:r w:rsidR="00904F5E" w:rsidRPr="00C85222">
        <w:t xml:space="preserve">the </w:t>
      </w:r>
      <w:r w:rsidRPr="00C85222">
        <w:t xml:space="preserve">effects of altered surface flows, </w:t>
      </w:r>
      <w:r w:rsidR="00904F5E" w:rsidRPr="00C85222">
        <w:t xml:space="preserve">and of the effects on </w:t>
      </w:r>
      <w:r w:rsidRPr="00C85222">
        <w:t>groundwater exchanges and in</w:t>
      </w:r>
      <w:r w:rsidRPr="00C85222">
        <w:noBreakHyphen/>
        <w:t xml:space="preserve">stream water quality on surface and groundwater </w:t>
      </w:r>
      <w:r w:rsidRPr="00C85222">
        <w:lastRenderedPageBreak/>
        <w:t xml:space="preserve">ecosystems. This conceptual model would help the proponent justify strategies proposed to mitigate and manage potential impacts. </w:t>
      </w:r>
    </w:p>
    <w:p w14:paraId="4EC00CE6" w14:textId="3ABFC07F" w:rsidR="006C7902" w:rsidRPr="00C85222" w:rsidRDefault="006C7902" w:rsidP="00BD3A5F">
      <w:pPr>
        <w:pStyle w:val="ListNumber"/>
        <w:numPr>
          <w:ilvl w:val="0"/>
          <w:numId w:val="6"/>
        </w:numPr>
        <w:suppressLineNumbers/>
        <w:rPr>
          <w:lang w:eastAsia="en-AU"/>
        </w:rPr>
      </w:pPr>
      <w:r w:rsidRPr="00C85222">
        <w:rPr>
          <w:lang w:eastAsia="en-AU"/>
        </w:rPr>
        <w:t xml:space="preserve">The proponent states that cracks will naturally remediate through sediment infilling. However, the creek beds in this area are mainly bedrock or rock bars where suitably fine sediment is unlikely to collect. Moreover, much of the sediment is sandy and </w:t>
      </w:r>
      <w:r w:rsidR="004C5E05" w:rsidRPr="00C85222">
        <w:rPr>
          <w:lang w:eastAsia="en-AU"/>
        </w:rPr>
        <w:t xml:space="preserve">infilled cracks would retain some permeability. </w:t>
      </w:r>
      <w:r w:rsidRPr="00C85222">
        <w:rPr>
          <w:lang w:eastAsia="en-AU"/>
        </w:rPr>
        <w:t xml:space="preserve"> </w:t>
      </w:r>
      <w:r w:rsidR="00E75093" w:rsidRPr="00C85222">
        <w:rPr>
          <w:lang w:eastAsia="en-AU"/>
        </w:rPr>
        <w:t xml:space="preserve">Although </w:t>
      </w:r>
      <w:r w:rsidRPr="00C85222">
        <w:rPr>
          <w:lang w:eastAsia="en-AU"/>
        </w:rPr>
        <w:t xml:space="preserve">the proponent indicates that grouting may be employed, the IESC is unaware of any successful deployment </w:t>
      </w:r>
      <w:r w:rsidR="00E75093" w:rsidRPr="00C85222">
        <w:rPr>
          <w:lang w:eastAsia="en-AU"/>
        </w:rPr>
        <w:t xml:space="preserve">of this method </w:t>
      </w:r>
      <w:r w:rsidRPr="00C85222">
        <w:rPr>
          <w:lang w:eastAsia="en-AU"/>
        </w:rPr>
        <w:t>at a large scale (e.g. along a creek line) in a natural system</w:t>
      </w:r>
      <w:r w:rsidR="004C5E05" w:rsidRPr="00C85222">
        <w:rPr>
          <w:lang w:eastAsia="en-AU"/>
        </w:rPr>
        <w:t xml:space="preserve"> that has been verified by appropriate stream </w:t>
      </w:r>
      <w:r w:rsidR="00091AD0" w:rsidRPr="00C85222">
        <w:rPr>
          <w:lang w:eastAsia="en-AU"/>
        </w:rPr>
        <w:t>gauge</w:t>
      </w:r>
      <w:r w:rsidR="004C5E05" w:rsidRPr="00C85222">
        <w:rPr>
          <w:lang w:eastAsia="en-AU"/>
        </w:rPr>
        <w:t xml:space="preserve"> data over </w:t>
      </w:r>
      <w:r w:rsidR="00AC72DD" w:rsidRPr="00C85222">
        <w:rPr>
          <w:lang w:eastAsia="en-AU"/>
        </w:rPr>
        <w:t xml:space="preserve">both </w:t>
      </w:r>
      <w:r w:rsidR="004C5E05" w:rsidRPr="00C85222">
        <w:rPr>
          <w:lang w:eastAsia="en-AU"/>
        </w:rPr>
        <w:t xml:space="preserve">the </w:t>
      </w:r>
      <w:r w:rsidR="00AC72DD" w:rsidRPr="00C85222">
        <w:rPr>
          <w:lang w:eastAsia="en-AU"/>
        </w:rPr>
        <w:t xml:space="preserve">short and </w:t>
      </w:r>
      <w:r w:rsidR="004C5E05" w:rsidRPr="00C85222">
        <w:rPr>
          <w:lang w:eastAsia="en-AU"/>
        </w:rPr>
        <w:t>long term</w:t>
      </w:r>
      <w:r w:rsidR="00E75093" w:rsidRPr="00C85222">
        <w:rPr>
          <w:lang w:eastAsia="en-AU"/>
        </w:rPr>
        <w:t>.</w:t>
      </w:r>
      <w:r w:rsidR="004C5E05" w:rsidRPr="00C85222">
        <w:rPr>
          <w:lang w:eastAsia="en-AU"/>
        </w:rPr>
        <w:t xml:space="preserve"> </w:t>
      </w:r>
      <w:r w:rsidR="00E75093" w:rsidRPr="00C85222">
        <w:rPr>
          <w:lang w:eastAsia="en-AU"/>
        </w:rPr>
        <w:t xml:space="preserve"> T</w:t>
      </w:r>
      <w:r w:rsidRPr="00C85222">
        <w:rPr>
          <w:lang w:eastAsia="en-AU"/>
        </w:rPr>
        <w:t xml:space="preserve">he proponent has not provided </w:t>
      </w:r>
      <w:r w:rsidR="004C5E05" w:rsidRPr="00C85222">
        <w:rPr>
          <w:lang w:eastAsia="en-AU"/>
        </w:rPr>
        <w:t>detailed and indepen</w:t>
      </w:r>
      <w:r w:rsidR="002538AC" w:rsidRPr="00C85222">
        <w:rPr>
          <w:lang w:eastAsia="en-AU"/>
        </w:rPr>
        <w:t>dent</w:t>
      </w:r>
      <w:r w:rsidR="004C5E05" w:rsidRPr="00C85222">
        <w:rPr>
          <w:lang w:eastAsia="en-AU"/>
        </w:rPr>
        <w:t xml:space="preserve">ly peer-reviewed </w:t>
      </w:r>
      <w:r w:rsidRPr="00C85222">
        <w:rPr>
          <w:lang w:eastAsia="en-AU"/>
        </w:rPr>
        <w:t xml:space="preserve">evidence that streambed subsidence impacts can be remediated. </w:t>
      </w:r>
    </w:p>
    <w:p w14:paraId="431D8E71" w14:textId="4EA2436F" w:rsidR="006C7902" w:rsidRPr="0088605B" w:rsidRDefault="006C7902" w:rsidP="00BD3A5F">
      <w:pPr>
        <w:pStyle w:val="ListNumber"/>
        <w:numPr>
          <w:ilvl w:val="0"/>
          <w:numId w:val="6"/>
        </w:numPr>
        <w:suppressLineNumbers/>
      </w:pPr>
      <w:r w:rsidRPr="00463053">
        <w:t xml:space="preserve">As </w:t>
      </w:r>
      <w:r w:rsidRPr="00463053">
        <w:rPr>
          <w:lang w:eastAsia="en-AU"/>
        </w:rPr>
        <w:t>described</w:t>
      </w:r>
      <w:r w:rsidRPr="00463053">
        <w:t xml:space="preserve"> above (see response to </w:t>
      </w:r>
      <w:r>
        <w:t>q</w:t>
      </w:r>
      <w:r w:rsidRPr="00463053">
        <w:t>uestion 4)</w:t>
      </w:r>
      <w:r w:rsidRPr="6B8E26AC">
        <w:t>,</w:t>
      </w:r>
      <w:r w:rsidRPr="00463053">
        <w:t xml:space="preserve"> potential impacts to </w:t>
      </w:r>
      <w:r>
        <w:t>surface and ground</w:t>
      </w:r>
      <w:r w:rsidRPr="00463053">
        <w:t xml:space="preserve">water </w:t>
      </w:r>
      <w:r w:rsidRPr="0088605B">
        <w:t xml:space="preserve">quality from the proposed project could occur through impacts </w:t>
      </w:r>
      <w:r w:rsidR="00643427" w:rsidRPr="0088605B">
        <w:t xml:space="preserve">associated with </w:t>
      </w:r>
      <w:r w:rsidRPr="0088605B">
        <w:t xml:space="preserve">water discharges, water storage and </w:t>
      </w:r>
      <w:r w:rsidR="00643427" w:rsidRPr="0088605B">
        <w:t>mining-induced ground movements</w:t>
      </w:r>
      <w:r w:rsidRPr="0088605B">
        <w:t xml:space="preserve">. To mitigate </w:t>
      </w:r>
      <w:r w:rsidR="00643427" w:rsidRPr="0088605B">
        <w:t xml:space="preserve">these </w:t>
      </w:r>
      <w:r w:rsidRPr="0088605B">
        <w:t>potential impacts</w:t>
      </w:r>
      <w:r w:rsidR="00643427" w:rsidRPr="0088605B">
        <w:t>,</w:t>
      </w:r>
      <w:r w:rsidRPr="0088605B">
        <w:t xml:space="preserve"> the IESC considers</w:t>
      </w:r>
      <w:r w:rsidR="00622165" w:rsidRPr="0088605B">
        <w:t xml:space="preserve"> that</w:t>
      </w:r>
      <w:r w:rsidRPr="0088605B">
        <w:t>:</w:t>
      </w:r>
    </w:p>
    <w:p w14:paraId="5FEE4F27" w14:textId="77777777" w:rsidR="006C7902" w:rsidRPr="0088605B" w:rsidRDefault="006C7902" w:rsidP="00BD3A5F">
      <w:pPr>
        <w:pStyle w:val="ListNumber"/>
        <w:numPr>
          <w:ilvl w:val="1"/>
          <w:numId w:val="48"/>
        </w:numPr>
        <w:suppressLineNumbers/>
      </w:pPr>
      <w:r w:rsidRPr="0088605B">
        <w:t xml:space="preserve"> </w:t>
      </w:r>
      <w:r w:rsidRPr="0088605B" w:rsidDel="006468EB">
        <w:t>t</w:t>
      </w:r>
      <w:r w:rsidRPr="0088605B">
        <w:t>he proponent’s existing operations facilities for water should be improved by ensuring:</w:t>
      </w:r>
    </w:p>
    <w:p w14:paraId="545F7DA8" w14:textId="1FD3048D" w:rsidR="006C7902" w:rsidRDefault="006C7902" w:rsidP="00BD3A5F">
      <w:pPr>
        <w:pStyle w:val="ListNumber"/>
        <w:numPr>
          <w:ilvl w:val="2"/>
          <w:numId w:val="48"/>
        </w:numPr>
        <w:suppressLineNumbers/>
      </w:pPr>
      <w:proofErr w:type="gramStart"/>
      <w:r w:rsidRPr="0088605B">
        <w:t>the</w:t>
      </w:r>
      <w:proofErr w:type="gramEnd"/>
      <w:r w:rsidRPr="0088605B">
        <w:t xml:space="preserve"> WWTP is operating as intended to mitigate metal concentrations in water prior to discharge. There </w:t>
      </w:r>
      <w:r w:rsidR="00774F7A">
        <w:t xml:space="preserve">is </w:t>
      </w:r>
      <w:r w:rsidRPr="0088605B">
        <w:t>no evidence in the EIS that the WWTP is achieving the required water quality objectives since its 2014 upgrade</w:t>
      </w:r>
      <w:r>
        <w:t xml:space="preserve"> as no recent data has been provided. It is also noted that no water quality data is provided for LPO3, LPO4, and LPO5</w:t>
      </w:r>
      <w:r w:rsidR="00622165">
        <w:t>; and</w:t>
      </w:r>
    </w:p>
    <w:p w14:paraId="6E6484D9" w14:textId="4201DFE7" w:rsidR="006C7902" w:rsidRPr="00463053" w:rsidRDefault="006C7902" w:rsidP="00BD3A5F">
      <w:pPr>
        <w:pStyle w:val="ListNumber"/>
        <w:numPr>
          <w:ilvl w:val="2"/>
          <w:numId w:val="48"/>
        </w:numPr>
        <w:suppressLineNumbers/>
      </w:pPr>
      <w:proofErr w:type="gramStart"/>
      <w:r>
        <w:t>the</w:t>
      </w:r>
      <w:proofErr w:type="gramEnd"/>
      <w:r>
        <w:t xml:space="preserve"> water treatment system has the capacity to store </w:t>
      </w:r>
      <w:r w:rsidRPr="00463053">
        <w:t xml:space="preserve">and treat contaminated mine water during storm events or </w:t>
      </w:r>
      <w:r w:rsidRPr="00463053">
        <w:rPr>
          <w:lang w:eastAsia="en-AU"/>
        </w:rPr>
        <w:t>during periods of high groundwater inflows.</w:t>
      </w:r>
      <w:r w:rsidRPr="00CD7598">
        <w:t xml:space="preserve"> </w:t>
      </w:r>
      <w:r w:rsidRPr="00CD7598">
        <w:rPr>
          <w:lang w:eastAsia="en-AU"/>
        </w:rPr>
        <w:t xml:space="preserve">The IESC considers that if </w:t>
      </w:r>
      <w:r>
        <w:rPr>
          <w:lang w:eastAsia="en-AU"/>
        </w:rPr>
        <w:t>the</w:t>
      </w:r>
      <w:r w:rsidRPr="00CD7598">
        <w:rPr>
          <w:lang w:eastAsia="en-AU"/>
        </w:rPr>
        <w:t xml:space="preserve"> additional water balance work </w:t>
      </w:r>
      <w:r>
        <w:rPr>
          <w:lang w:eastAsia="en-AU"/>
        </w:rPr>
        <w:t>finds</w:t>
      </w:r>
      <w:r w:rsidRPr="00CD7598">
        <w:rPr>
          <w:lang w:eastAsia="en-AU"/>
        </w:rPr>
        <w:t xml:space="preserve"> a high risk of untreated </w:t>
      </w:r>
      <w:r w:rsidR="00643427">
        <w:rPr>
          <w:lang w:eastAsia="en-AU"/>
        </w:rPr>
        <w:t xml:space="preserve">water </w:t>
      </w:r>
      <w:r w:rsidRPr="00B71E96">
        <w:rPr>
          <w:lang w:eastAsia="en-AU"/>
        </w:rPr>
        <w:t>discharges, additional storage capacity should be installed so that untreated water is not released or allowed</w:t>
      </w:r>
      <w:r w:rsidRPr="00CD7598">
        <w:rPr>
          <w:lang w:eastAsia="en-AU"/>
        </w:rPr>
        <w:t xml:space="preserve"> to overflow to</w:t>
      </w:r>
      <w:r>
        <w:rPr>
          <w:lang w:eastAsia="en-AU"/>
        </w:rPr>
        <w:t xml:space="preserve"> </w:t>
      </w:r>
      <w:r w:rsidRPr="00CD7598">
        <w:rPr>
          <w:lang w:eastAsia="en-AU"/>
        </w:rPr>
        <w:t>Tea Tree Hollow or the Bargo River.</w:t>
      </w:r>
      <w:r>
        <w:rPr>
          <w:lang w:eastAsia="en-AU"/>
        </w:rPr>
        <w:t xml:space="preserve"> </w:t>
      </w:r>
    </w:p>
    <w:p w14:paraId="21496B79" w14:textId="35211E26" w:rsidR="006C7902" w:rsidRDefault="006C7902" w:rsidP="00BD3A5F">
      <w:pPr>
        <w:pStyle w:val="ListNumber"/>
        <w:numPr>
          <w:ilvl w:val="1"/>
          <w:numId w:val="48"/>
        </w:numPr>
        <w:suppressLineNumbers/>
      </w:pPr>
      <w:proofErr w:type="gramStart"/>
      <w:r>
        <w:t>the</w:t>
      </w:r>
      <w:proofErr w:type="gramEnd"/>
      <w:r>
        <w:t xml:space="preserve"> proponent should develop a Receiving Environment Management Plan that provides actions to </w:t>
      </w:r>
      <w:r w:rsidRPr="00E960D0">
        <w:t xml:space="preserve">ensure that the downstream environment is not adversely affected by discharges or storage overflows from the proposed mine. </w:t>
      </w:r>
      <w:r>
        <w:t>Collectively</w:t>
      </w:r>
      <w:r w:rsidR="00643427">
        <w:t>,</w:t>
      </w:r>
      <w:r>
        <w:t xml:space="preserve"> these plans should:</w:t>
      </w:r>
    </w:p>
    <w:p w14:paraId="18ACD780" w14:textId="77777777" w:rsidR="006C7902" w:rsidRDefault="006C7902" w:rsidP="00BD3A5F">
      <w:pPr>
        <w:pStyle w:val="ListNumber"/>
        <w:numPr>
          <w:ilvl w:val="2"/>
          <w:numId w:val="48"/>
        </w:numPr>
        <w:suppressLineNumbers/>
        <w:rPr>
          <w:lang w:eastAsia="en-AU"/>
        </w:rPr>
      </w:pPr>
      <w:r w:rsidRPr="006824C2">
        <w:rPr>
          <w:lang w:eastAsia="en-AU"/>
        </w:rPr>
        <w:t>provide a trigger action response plan (TARP)</w:t>
      </w:r>
      <w:r>
        <w:rPr>
          <w:lang w:eastAsia="en-AU"/>
        </w:rPr>
        <w:t xml:space="preserve"> in line with </w:t>
      </w:r>
      <w:r w:rsidRPr="0038115F">
        <w:t>ANZ</w:t>
      </w:r>
      <w:r>
        <w:t>G 2018</w:t>
      </w:r>
      <w:r w:rsidRPr="0038115F">
        <w:t xml:space="preserve"> guidelines</w:t>
      </w:r>
      <w:r>
        <w:t xml:space="preserve">; and </w:t>
      </w:r>
    </w:p>
    <w:p w14:paraId="39D41B79" w14:textId="122EC7E2" w:rsidR="006C7902" w:rsidRDefault="00643427" w:rsidP="00BD3A5F">
      <w:pPr>
        <w:pStyle w:val="ListNumber"/>
        <w:numPr>
          <w:ilvl w:val="2"/>
          <w:numId w:val="48"/>
        </w:numPr>
        <w:suppressLineNumbers/>
        <w:rPr>
          <w:lang w:eastAsia="en-AU"/>
        </w:rPr>
      </w:pPr>
      <w:proofErr w:type="gramStart"/>
      <w:r>
        <w:rPr>
          <w:lang w:eastAsia="en-AU"/>
        </w:rPr>
        <w:t>incorporate</w:t>
      </w:r>
      <w:proofErr w:type="gramEnd"/>
      <w:r w:rsidR="006C7902">
        <w:rPr>
          <w:lang w:eastAsia="en-AU"/>
        </w:rPr>
        <w:t xml:space="preserve"> </w:t>
      </w:r>
      <w:r w:rsidR="006C7902" w:rsidRPr="004D17D3">
        <w:rPr>
          <w:lang w:eastAsia="en-AU"/>
        </w:rPr>
        <w:t xml:space="preserve">appropriate spatial </w:t>
      </w:r>
      <w:r w:rsidR="006C7902">
        <w:rPr>
          <w:lang w:eastAsia="en-AU"/>
        </w:rPr>
        <w:t xml:space="preserve">and temporal </w:t>
      </w:r>
      <w:r w:rsidR="006C7902" w:rsidRPr="004D17D3">
        <w:rPr>
          <w:lang w:eastAsia="en-AU"/>
        </w:rPr>
        <w:t xml:space="preserve">representation to detect impacts from </w:t>
      </w:r>
      <w:r w:rsidR="006C7902" w:rsidRPr="008F58E0">
        <w:rPr>
          <w:lang w:eastAsia="en-AU"/>
        </w:rPr>
        <w:t>mine</w:t>
      </w:r>
      <w:r w:rsidR="008F58E0" w:rsidRPr="008F58E0">
        <w:rPr>
          <w:lang w:eastAsia="en-AU"/>
        </w:rPr>
        <w:t>-induced ground</w:t>
      </w:r>
      <w:r w:rsidR="006C7902" w:rsidRPr="008F58E0">
        <w:rPr>
          <w:lang w:eastAsia="en-AU"/>
        </w:rPr>
        <w:t xml:space="preserve"> </w:t>
      </w:r>
      <w:r w:rsidR="008F58E0" w:rsidRPr="008F58E0">
        <w:rPr>
          <w:lang w:eastAsia="en-AU"/>
        </w:rPr>
        <w:t xml:space="preserve">movement </w:t>
      </w:r>
      <w:r w:rsidR="006C7902" w:rsidRPr="008F58E0">
        <w:rPr>
          <w:lang w:eastAsia="en-AU"/>
        </w:rPr>
        <w:t>and</w:t>
      </w:r>
      <w:r w:rsidR="006C7902" w:rsidRPr="004D17D3">
        <w:rPr>
          <w:lang w:eastAsia="en-AU"/>
        </w:rPr>
        <w:t xml:space="preserve"> mine-water discharge</w:t>
      </w:r>
      <w:r w:rsidR="006C7902">
        <w:rPr>
          <w:lang w:eastAsia="en-AU"/>
        </w:rPr>
        <w:t>.</w:t>
      </w:r>
      <w:r w:rsidR="006C7902" w:rsidRPr="004D17D3">
        <w:rPr>
          <w:lang w:eastAsia="en-AU"/>
        </w:rPr>
        <w:t xml:space="preserve"> This redesign should take account of the investigations into </w:t>
      </w:r>
      <w:r w:rsidR="006C7902">
        <w:rPr>
          <w:lang w:eastAsia="en-AU"/>
        </w:rPr>
        <w:t>reference and impact sites</w:t>
      </w:r>
      <w:r w:rsidR="006C7902" w:rsidRPr="004D17D3">
        <w:rPr>
          <w:lang w:eastAsia="en-AU"/>
        </w:rPr>
        <w:t xml:space="preserve"> </w:t>
      </w:r>
      <w:r w:rsidR="006C7902">
        <w:rPr>
          <w:lang w:eastAsia="en-AU"/>
        </w:rPr>
        <w:t>and the</w:t>
      </w:r>
      <w:r w:rsidR="006C7902" w:rsidRPr="004D17D3">
        <w:rPr>
          <w:lang w:eastAsia="en-AU"/>
        </w:rPr>
        <w:t xml:space="preserve"> water quality guideline value exceedances described above. </w:t>
      </w:r>
    </w:p>
    <w:p w14:paraId="192EBFDC" w14:textId="5833AF0F" w:rsidR="006C7902" w:rsidRDefault="006C7902" w:rsidP="00BD3A5F">
      <w:pPr>
        <w:pStyle w:val="ListNumber"/>
        <w:numPr>
          <w:ilvl w:val="1"/>
          <w:numId w:val="48"/>
        </w:numPr>
        <w:suppressLineNumbers/>
        <w:rPr>
          <w:lang w:eastAsia="en-AU"/>
        </w:rPr>
      </w:pPr>
      <w:r>
        <w:t xml:space="preserve">this Receiving Environment Management Plan should be integrated with the existing Water Management Plan </w:t>
      </w:r>
      <w:r w:rsidR="00643427">
        <w:t>and</w:t>
      </w:r>
      <w:r>
        <w:t xml:space="preserve"> the Biodiversity Management Plan </w:t>
      </w:r>
      <w:r w:rsidR="00643427">
        <w:t>so that</w:t>
      </w:r>
      <w:r>
        <w:t xml:space="preserve"> the </w:t>
      </w:r>
      <w:r w:rsidR="00643427">
        <w:t xml:space="preserve">mitigation </w:t>
      </w:r>
      <w:r>
        <w:t xml:space="preserve">and management measures will </w:t>
      </w:r>
      <w:r w:rsidR="00643427">
        <w:t xml:space="preserve">adequately </w:t>
      </w:r>
      <w:r>
        <w:t xml:space="preserve">protect environmental values </w:t>
      </w:r>
      <w:r w:rsidR="00643427">
        <w:t xml:space="preserve">within and downstream of </w:t>
      </w:r>
      <w:r>
        <w:t xml:space="preserve">the </w:t>
      </w:r>
      <w:r w:rsidR="00643427">
        <w:t xml:space="preserve">project </w:t>
      </w:r>
      <w:r>
        <w:t xml:space="preserve">area. </w:t>
      </w:r>
    </w:p>
    <w:p w14:paraId="0D55FF03" w14:textId="77777777" w:rsidR="00B25CA7" w:rsidRPr="00BF21A7" w:rsidRDefault="00B25CA7" w:rsidP="00BD3A5F">
      <w:pPr>
        <w:pStyle w:val="Question"/>
        <w:suppressLineNumbers/>
        <w:shd w:val="clear" w:color="auto" w:fill="E7E6E6"/>
        <w:ind w:left="142"/>
      </w:pPr>
      <w:r w:rsidRPr="004E3990">
        <w:t>8. Would the IESC recommend any additional monitoring or management measures to address any residual impacts on water-related resources?</w:t>
      </w:r>
    </w:p>
    <w:p w14:paraId="7939D6DF" w14:textId="315A2170" w:rsidR="00BD6BDA" w:rsidRPr="006E0EF5" w:rsidRDefault="00BD6BDA" w:rsidP="00BD3A5F">
      <w:pPr>
        <w:pStyle w:val="ListNumber"/>
        <w:suppressLineNumbers/>
        <w:rPr>
          <w:u w:val="single"/>
          <w:lang w:eastAsia="en-AU"/>
        </w:rPr>
      </w:pPr>
      <w:r w:rsidRPr="006E0EF5">
        <w:rPr>
          <w:u w:val="single"/>
          <w:lang w:eastAsia="en-AU"/>
        </w:rPr>
        <w:t>Mining-induced ground movement monitoring</w:t>
      </w:r>
    </w:p>
    <w:p w14:paraId="598FC3E3" w14:textId="77777777" w:rsidR="00BD6BDA" w:rsidRPr="006E0EF5" w:rsidRDefault="00BD6BDA" w:rsidP="00BD3A5F">
      <w:pPr>
        <w:pStyle w:val="ListNumber"/>
        <w:numPr>
          <w:ilvl w:val="0"/>
          <w:numId w:val="6"/>
        </w:numPr>
        <w:suppressLineNumbers/>
        <w:rPr>
          <w:lang w:eastAsia="en-AU"/>
        </w:rPr>
      </w:pPr>
      <w:r w:rsidRPr="006E0EF5">
        <w:t xml:space="preserve">The </w:t>
      </w:r>
      <w:r w:rsidRPr="006E0EF5">
        <w:rPr>
          <w:lang w:eastAsia="en-AU"/>
        </w:rPr>
        <w:t>IESC</w:t>
      </w:r>
      <w:r w:rsidRPr="006E0EF5">
        <w:t xml:space="preserve"> considers the following mining-induced ground movement monitoring should be undertaken to confirm the spatial extent and magnitude of potential impacts.</w:t>
      </w:r>
    </w:p>
    <w:p w14:paraId="7B5ABE84" w14:textId="77777777" w:rsidR="00BD6BDA" w:rsidRPr="006E0EF5" w:rsidRDefault="00BD6BDA" w:rsidP="00BD3A5F">
      <w:pPr>
        <w:pStyle w:val="ListNumber2"/>
        <w:numPr>
          <w:ilvl w:val="1"/>
          <w:numId w:val="41"/>
        </w:numPr>
        <w:suppressLineNumbers/>
        <w:ind w:left="851" w:hanging="284"/>
      </w:pPr>
      <w:r w:rsidRPr="006E0EF5">
        <w:lastRenderedPageBreak/>
        <w:t>The proponent should adopt the monitoring recommendations for a 5-yearly catchment-wide geomorphology survey to complement monitoring of subsidence at each longwall, as described in the geomorphology report (EIS, Appendix H).</w:t>
      </w:r>
    </w:p>
    <w:p w14:paraId="634BD319" w14:textId="249A451B" w:rsidR="00BD6BDA" w:rsidRPr="006E0EF5" w:rsidRDefault="00BD6BDA" w:rsidP="00BD3A5F">
      <w:pPr>
        <w:pStyle w:val="ListNumber2"/>
        <w:numPr>
          <w:ilvl w:val="1"/>
          <w:numId w:val="41"/>
        </w:numPr>
        <w:suppressLineNumbers/>
        <w:ind w:left="851" w:hanging="284"/>
      </w:pPr>
      <w:r w:rsidRPr="006E0EF5">
        <w:t>Subsidence monitoring points should be installed before any mining of second workings for all longwalls in each Extraction Plan. The IESC acknowledges that there is an adaptive management plan for longwall mining. This would be enhanced by a commitment to re-evaluate the subsidence and biodiversity monitoring after mining of each longwall. This would then inform monitoring for subsequent longwall panels</w:t>
      </w:r>
      <w:r w:rsidR="00774F7A">
        <w:t>.</w:t>
      </w:r>
    </w:p>
    <w:p w14:paraId="6EEE5DBD" w14:textId="3B0ABC66" w:rsidR="00BD6BDA" w:rsidRPr="006E0EF5" w:rsidRDefault="00BD6BDA" w:rsidP="00BD3A5F">
      <w:pPr>
        <w:pStyle w:val="ListNumber2"/>
        <w:numPr>
          <w:ilvl w:val="1"/>
          <w:numId w:val="41"/>
        </w:numPr>
        <w:suppressLineNumbers/>
        <w:ind w:left="851" w:hanging="284"/>
        <w:rPr>
          <w:rFonts w:cs="Times New Roman"/>
        </w:rPr>
      </w:pPr>
      <w:r w:rsidRPr="006E0EF5">
        <w:t>Data from subsidence monitoring needs to be used to provide better calibrated predictions of subsidence within each consecutive Extraction Plan, particularly within fault zones. Additional geological characterisation, and targeted seismic surveys across fault zones should be designed to improve the knowledge of fault zones. For high risk fault zones, drilling across core and fault damage zones, and studies of the spatial variability and changes over time in response to mining-induced stresses</w:t>
      </w:r>
      <w:r w:rsidR="009053B3">
        <w:t xml:space="preserve"> should be undertaken</w:t>
      </w:r>
      <w:r w:rsidRPr="006E0EF5">
        <w:t xml:space="preserve">. </w:t>
      </w:r>
    </w:p>
    <w:p w14:paraId="498F1EEF" w14:textId="77777777" w:rsidR="00BD6BDA" w:rsidRPr="006E0EF5" w:rsidRDefault="00BD6BDA" w:rsidP="00BD3A5F">
      <w:pPr>
        <w:pStyle w:val="ListNumber2"/>
        <w:numPr>
          <w:ilvl w:val="1"/>
          <w:numId w:val="41"/>
        </w:numPr>
        <w:suppressLineNumbers/>
        <w:ind w:left="851" w:hanging="284"/>
      </w:pPr>
      <w:r w:rsidRPr="006E0EF5">
        <w:t>Monitoring should be undertaken to determine if leakage from shallow near-surface fractures is occurring and if the flows through fractures are returning to the watercourses. Such monitoring should be undertaken before mining commences to assess the baseline conditions above each longwall, and should include:</w:t>
      </w:r>
    </w:p>
    <w:p w14:paraId="12A299A8" w14:textId="7393B661" w:rsidR="00BD6BDA" w:rsidRPr="006E0EF5" w:rsidRDefault="00BD6BDA" w:rsidP="00BD3A5F">
      <w:pPr>
        <w:pStyle w:val="ListNumber2"/>
        <w:numPr>
          <w:ilvl w:val="2"/>
          <w:numId w:val="41"/>
        </w:numPr>
        <w:suppressLineNumbers/>
        <w:ind w:left="1276"/>
      </w:pPr>
      <w:r w:rsidRPr="006E0EF5">
        <w:t xml:space="preserve">detailed monitoring to determine geomorphological conditions, including creek mapping and high-resolution photography (before, during and after undermining of each longwall) of any rock bars, shallow alluvium (i.e. less than 2 m deep) and permanent or semi-permanent pools within the subsidence impact area; </w:t>
      </w:r>
    </w:p>
    <w:p w14:paraId="02ED8BEA" w14:textId="3A11872B" w:rsidR="00BD6BDA" w:rsidRPr="006E0EF5" w:rsidRDefault="00BD6BDA" w:rsidP="00BD3A5F">
      <w:pPr>
        <w:pStyle w:val="ListNumber2"/>
        <w:numPr>
          <w:ilvl w:val="2"/>
          <w:numId w:val="41"/>
        </w:numPr>
        <w:suppressLineNumbers/>
        <w:ind w:left="1276"/>
      </w:pPr>
      <w:proofErr w:type="gramStart"/>
      <w:r w:rsidRPr="006E0EF5">
        <w:t>geophysical</w:t>
      </w:r>
      <w:proofErr w:type="gramEnd"/>
      <w:r w:rsidRPr="006E0EF5">
        <w:t xml:space="preserve"> logging of boreholes that allow changes in groundwater storage and fracture apertures to be quantified and depth of rock deformation to be identified (i</w:t>
      </w:r>
      <w:r w:rsidR="00266F6E">
        <w:t>.</w:t>
      </w:r>
      <w:r w:rsidRPr="006E0EF5">
        <w:t>e. observations of non-deformed ground which could be at least 10 – 30 m below surface). Both open-rock and multi-level piezometers will support assessment of changes to hydraulic gradients between different hydrogeological units (such as between alluvium and the underlying sequences); and should also be used for environmental water tracer studies to provide an additional line of evidence for hydraulic connection and disconnection</w:t>
      </w:r>
      <w:r w:rsidR="00774F7A">
        <w:t>;</w:t>
      </w:r>
    </w:p>
    <w:p w14:paraId="4BA51775" w14:textId="4DE3E0C9" w:rsidR="00BD6BDA" w:rsidRDefault="00BD6BDA" w:rsidP="00BD3A5F">
      <w:pPr>
        <w:pStyle w:val="ListNumber2"/>
        <w:numPr>
          <w:ilvl w:val="2"/>
          <w:numId w:val="41"/>
        </w:numPr>
        <w:suppressLineNumbers/>
        <w:ind w:left="1276"/>
      </w:pPr>
      <w:proofErr w:type="gramStart"/>
      <w:r w:rsidRPr="006E0EF5">
        <w:t>time-series</w:t>
      </w:r>
      <w:proofErr w:type="gramEnd"/>
      <w:r w:rsidRPr="006E0EF5">
        <w:t xml:space="preserve"> cross-sections </w:t>
      </w:r>
      <w:r w:rsidR="000D39B0" w:rsidRPr="006E0EF5">
        <w:t xml:space="preserve">using suitable geophysical techniques </w:t>
      </w:r>
      <w:r w:rsidRPr="006E0EF5">
        <w:t>(before, during and after undermining of each longwall). This should include profiles across the creek channel</w:t>
      </w:r>
      <w:r w:rsidRPr="00463053">
        <w:t xml:space="preserve"> and either side of the flood plain, with depth penetration exceeding the depth of alluvium to bedrock, but with metr</w:t>
      </w:r>
      <w:r>
        <w:t>e</w:t>
      </w:r>
      <w:r w:rsidRPr="00463053">
        <w:t xml:space="preserve"> or sub-metre scale resolution of data in </w:t>
      </w:r>
      <w:r w:rsidR="00CF383A">
        <w:t xml:space="preserve">the zone from, </w:t>
      </w:r>
      <w:r w:rsidRPr="00463053">
        <w:t>at least</w:t>
      </w:r>
      <w:r w:rsidR="00CF383A">
        <w:t>,</w:t>
      </w:r>
      <w:r w:rsidRPr="00463053">
        <w:t xml:space="preserve"> 10 – 30 m of the surface.</w:t>
      </w:r>
    </w:p>
    <w:p w14:paraId="1D1AC391" w14:textId="77777777" w:rsidR="0088605B" w:rsidRPr="006E0EF5" w:rsidRDefault="0088605B" w:rsidP="00BD3A5F">
      <w:pPr>
        <w:pStyle w:val="ListNumber"/>
        <w:suppressLineNumbers/>
        <w:rPr>
          <w:u w:val="single"/>
        </w:rPr>
      </w:pPr>
      <w:r w:rsidRPr="006E0EF5">
        <w:rPr>
          <w:u w:val="single"/>
        </w:rPr>
        <w:t>Groundwater monitoring</w:t>
      </w:r>
    </w:p>
    <w:p w14:paraId="0F85603E" w14:textId="77777777" w:rsidR="00B25CA7" w:rsidRPr="00463053" w:rsidRDefault="00B25CA7" w:rsidP="00BD3A5F">
      <w:pPr>
        <w:pStyle w:val="ListNumber"/>
        <w:numPr>
          <w:ilvl w:val="0"/>
          <w:numId w:val="6"/>
        </w:numPr>
        <w:suppressLineNumbers/>
      </w:pPr>
      <w:r w:rsidRPr="00463053">
        <w:t xml:space="preserve">The IESC considers </w:t>
      </w:r>
      <w:r>
        <w:t>the following improvements should be made to the groundwater monitoring network.</w:t>
      </w:r>
    </w:p>
    <w:p w14:paraId="0AC9DCE1" w14:textId="06BB83E2" w:rsidR="00B25CA7" w:rsidRPr="0088605B" w:rsidRDefault="00B25CA7" w:rsidP="00BD3A5F">
      <w:pPr>
        <w:pStyle w:val="ListNumber"/>
        <w:numPr>
          <w:ilvl w:val="0"/>
          <w:numId w:val="56"/>
        </w:numPr>
        <w:suppressLineNumbers/>
      </w:pPr>
      <w:r>
        <w:t>As recommended in the groundwater report (EIS Appendix I, pp. 22–24, 100–101), a review of vibrating</w:t>
      </w:r>
      <w:r w:rsidR="00286AC2">
        <w:t>-</w:t>
      </w:r>
      <w:r>
        <w:t>wire piezometers should be undertaken to identify piezometers that have ceased to function or are providing suspect data. As also</w:t>
      </w:r>
      <w:r w:rsidRPr="0272D063">
        <w:t xml:space="preserve"> </w:t>
      </w:r>
      <w:r>
        <w:t xml:space="preserve">noted in the groundwater report, it is expected </w:t>
      </w:r>
      <w:r w:rsidRPr="0088605B">
        <w:t>that a number of replacements may be needed following this review.</w:t>
      </w:r>
    </w:p>
    <w:p w14:paraId="7D2B599C" w14:textId="20A01FEF" w:rsidR="00622165" w:rsidRPr="0088605B" w:rsidRDefault="00B25CA7" w:rsidP="00BD3A5F">
      <w:pPr>
        <w:pStyle w:val="ListNumber"/>
        <w:numPr>
          <w:ilvl w:val="0"/>
          <w:numId w:val="56"/>
        </w:numPr>
        <w:suppressLineNumbers/>
      </w:pPr>
      <w:r w:rsidRPr="0088605B">
        <w:t>Multi-level piezo</w:t>
      </w:r>
      <w:r w:rsidR="00EC68E3" w:rsidRPr="0088605B">
        <w:t>meter</w:t>
      </w:r>
      <w:r w:rsidRPr="0088605B">
        <w:t>s and open rock holes should be installed</w:t>
      </w:r>
      <w:r w:rsidR="001D3D87" w:rsidRPr="0088605B">
        <w:t xml:space="preserve"> in the following areas</w:t>
      </w:r>
      <w:r w:rsidR="00622165" w:rsidRPr="0088605B">
        <w:t>:</w:t>
      </w:r>
    </w:p>
    <w:p w14:paraId="29FEA413" w14:textId="61942864" w:rsidR="001D3D87" w:rsidRPr="0088605B" w:rsidRDefault="001D3D87" w:rsidP="00BD3A5F">
      <w:pPr>
        <w:pStyle w:val="ListNumber2"/>
        <w:numPr>
          <w:ilvl w:val="2"/>
          <w:numId w:val="58"/>
        </w:numPr>
        <w:suppressLineNumbers/>
        <w:ind w:left="1276"/>
      </w:pPr>
      <w:r w:rsidRPr="0088605B">
        <w:t xml:space="preserve">within the subsidence zone at key locations above longwall panels that are early in the mining sequence proposed for Tahmoor South to verify the height of complete drainage, </w:t>
      </w:r>
      <w:r w:rsidRPr="0088605B">
        <w:lastRenderedPageBreak/>
        <w:t>the height of vertical connected fracturing and the height of horizontal fracturing above the coal seam as a function of longwall panel geometry, overburden thickness and other factors</w:t>
      </w:r>
      <w:r w:rsidR="006E0EF5">
        <w:t>;</w:t>
      </w:r>
      <w:r w:rsidRPr="0088605B">
        <w:t xml:space="preserve">  </w:t>
      </w:r>
    </w:p>
    <w:p w14:paraId="0319A685" w14:textId="469AF928" w:rsidR="00622165" w:rsidRPr="0088605B" w:rsidRDefault="001D3D87" w:rsidP="00BD3A5F">
      <w:pPr>
        <w:pStyle w:val="ListNumber2"/>
        <w:numPr>
          <w:ilvl w:val="2"/>
          <w:numId w:val="58"/>
        </w:numPr>
        <w:suppressLineNumbers/>
        <w:ind w:left="1276"/>
      </w:pPr>
      <w:r w:rsidRPr="0088605B">
        <w:t xml:space="preserve">beyond the mine subsidence zone between the mine and </w:t>
      </w:r>
      <w:r w:rsidR="00B25CA7" w:rsidRPr="0088605B">
        <w:t>the MSA</w:t>
      </w:r>
      <w:r w:rsidRPr="0088605B">
        <w:t xml:space="preserve">, located in an appropriate manner to quantify the influence of the Nepean fault zone on near-field and far-field </w:t>
      </w:r>
      <w:r w:rsidR="00025E95" w:rsidRPr="0088605B">
        <w:t>strata and groundwater conditions</w:t>
      </w:r>
      <w:r w:rsidR="00622165" w:rsidRPr="0088605B">
        <w:t>;</w:t>
      </w:r>
    </w:p>
    <w:p w14:paraId="0A15DEB6" w14:textId="1921B093" w:rsidR="00622165" w:rsidRPr="0088605B" w:rsidRDefault="001D3D87" w:rsidP="00BD3A5F">
      <w:pPr>
        <w:pStyle w:val="ListNumber2"/>
        <w:numPr>
          <w:ilvl w:val="2"/>
          <w:numId w:val="58"/>
        </w:numPr>
        <w:suppressLineNumbers/>
        <w:ind w:left="1276"/>
      </w:pPr>
      <w:r w:rsidRPr="0088605B">
        <w:t xml:space="preserve">beyond the mine subsidence zone </w:t>
      </w:r>
      <w:r w:rsidR="00025E95" w:rsidRPr="0088605B">
        <w:t>on the topographic high between the mine</w:t>
      </w:r>
      <w:r w:rsidRPr="0088605B">
        <w:t xml:space="preserve"> and the </w:t>
      </w:r>
      <w:r w:rsidR="00622165" w:rsidRPr="0088605B">
        <w:t>Thirlmere Lakes</w:t>
      </w:r>
      <w:r w:rsidR="00AA4660" w:rsidRPr="0088605B">
        <w:t xml:space="preserve"> (</w:t>
      </w:r>
      <w:r w:rsidR="00091AD0" w:rsidRPr="0088605B">
        <w:t>e.g.</w:t>
      </w:r>
      <w:r w:rsidR="00AA4660" w:rsidRPr="0088605B">
        <w:t xml:space="preserve"> replacement of site TBC039 if it is not suitable or functional)</w:t>
      </w:r>
      <w:r w:rsidR="00622165" w:rsidRPr="0088605B">
        <w:t>;</w:t>
      </w:r>
    </w:p>
    <w:p w14:paraId="506CBA3E" w14:textId="14E4EB2F" w:rsidR="004C5E05" w:rsidRPr="0088605B" w:rsidRDefault="004C5E05" w:rsidP="00376E4F">
      <w:pPr>
        <w:pStyle w:val="ListNumber"/>
        <w:numPr>
          <w:ilvl w:val="0"/>
          <w:numId w:val="56"/>
        </w:numPr>
        <w:suppressLineNumbers/>
      </w:pPr>
      <w:r w:rsidRPr="0088605B">
        <w:t xml:space="preserve">These monitoring points should be targeted at key depths within each strata overlying the coal seam, with detailed analysis of water level data. Downhole geophysical logs and camera logs in open rock holes should be repeated before and after longwall extraction in a manner similar to that demonstrated in EIS Appendix G. </w:t>
      </w:r>
      <w:r w:rsidR="00025E95" w:rsidRPr="0088605B">
        <w:t xml:space="preserve">In addition, environmental water tracer studies at these sites should provide another line of evidence of hydraulic connection and disconnection over the short term and long term.  </w:t>
      </w:r>
      <w:r w:rsidRPr="0088605B">
        <w:t xml:space="preserve">  </w:t>
      </w:r>
    </w:p>
    <w:p w14:paraId="1BD57A2F" w14:textId="1D470FCC" w:rsidR="00B25CA7" w:rsidRPr="0088605B" w:rsidRDefault="00B25CA7" w:rsidP="00376E4F">
      <w:pPr>
        <w:pStyle w:val="ListNumber"/>
        <w:numPr>
          <w:ilvl w:val="0"/>
          <w:numId w:val="56"/>
        </w:numPr>
        <w:suppressLineNumbers/>
      </w:pPr>
      <w:r w:rsidRPr="0088605B">
        <w:t xml:space="preserve">The proponent should also seek to include </w:t>
      </w:r>
      <w:r w:rsidR="004C5E05" w:rsidRPr="0088605B">
        <w:t>reliable</w:t>
      </w:r>
      <w:r w:rsidR="005F6007">
        <w:t xml:space="preserve"> groundwater head data</w:t>
      </w:r>
      <w:r w:rsidRPr="0088605B">
        <w:t xml:space="preserve"> from all public and private bores. This will allow verification of the depth of near-surface fracturing </w:t>
      </w:r>
      <w:r w:rsidR="001D3D87" w:rsidRPr="0088605B">
        <w:t xml:space="preserve">and connective fracturing. </w:t>
      </w:r>
    </w:p>
    <w:p w14:paraId="67BD30A5" w14:textId="045893F3" w:rsidR="00B25CA7" w:rsidRPr="0088605B" w:rsidRDefault="00B25CA7" w:rsidP="00BD3A5F">
      <w:pPr>
        <w:pStyle w:val="ListNumber"/>
        <w:numPr>
          <w:ilvl w:val="0"/>
          <w:numId w:val="56"/>
        </w:numPr>
        <w:suppressLineNumbers/>
      </w:pPr>
      <w:r w:rsidRPr="0088605B">
        <w:t xml:space="preserve">To measure any impacts to sensitive areas, additional multi-level piezometers </w:t>
      </w:r>
      <w:r w:rsidR="002C4B31" w:rsidRPr="0088605B">
        <w:t xml:space="preserve">and open rock holes </w:t>
      </w:r>
      <w:r w:rsidRPr="0088605B">
        <w:t xml:space="preserve">should be installed </w:t>
      </w:r>
      <w:r w:rsidR="002C4B31" w:rsidRPr="0088605B">
        <w:t xml:space="preserve">as close as practicable to creeks </w:t>
      </w:r>
      <w:r w:rsidRPr="0088605B">
        <w:t>to monitor:</w:t>
      </w:r>
    </w:p>
    <w:p w14:paraId="60001F81" w14:textId="255212CA" w:rsidR="00B25CA7" w:rsidRPr="0088605B" w:rsidRDefault="00B25CA7" w:rsidP="00BD3A5F">
      <w:pPr>
        <w:pStyle w:val="ListNumber2"/>
        <w:numPr>
          <w:ilvl w:val="2"/>
          <w:numId w:val="59"/>
        </w:numPr>
        <w:suppressLineNumbers/>
        <w:ind w:left="1276"/>
      </w:pPr>
      <w:r w:rsidRPr="0088605B">
        <w:t xml:space="preserve">ecologically sensitive areas, including Cow Creek in the MSA (placed between the mine and Cow Creek) and the </w:t>
      </w:r>
      <w:r w:rsidRPr="00AE5401">
        <w:rPr>
          <w:i/>
        </w:rPr>
        <w:t xml:space="preserve">P. </w:t>
      </w:r>
      <w:proofErr w:type="spellStart"/>
      <w:r w:rsidRPr="00AE5401">
        <w:rPr>
          <w:i/>
        </w:rPr>
        <w:t>brunnea</w:t>
      </w:r>
      <w:proofErr w:type="spellEnd"/>
      <w:r w:rsidRPr="00266F6E">
        <w:t xml:space="preserve"> </w:t>
      </w:r>
      <w:r w:rsidRPr="0088605B">
        <w:t>population</w:t>
      </w:r>
      <w:r w:rsidR="00286AC2" w:rsidRPr="0088605B">
        <w:t xml:space="preserve"> along Tea Tree Hollow</w:t>
      </w:r>
      <w:r w:rsidRPr="0088605B">
        <w:t xml:space="preserve">; </w:t>
      </w:r>
    </w:p>
    <w:p w14:paraId="302B6E4B" w14:textId="40EBD716" w:rsidR="002C4B31" w:rsidRPr="0088605B" w:rsidRDefault="00B25CA7" w:rsidP="00BD3A5F">
      <w:pPr>
        <w:pStyle w:val="ListNumber2"/>
        <w:numPr>
          <w:ilvl w:val="2"/>
          <w:numId w:val="59"/>
        </w:numPr>
        <w:suppressLineNumbers/>
        <w:ind w:left="1276"/>
      </w:pPr>
      <w:r w:rsidRPr="0088605B">
        <w:t xml:space="preserve">sections of streams identified as being of at high risk from </w:t>
      </w:r>
      <w:r w:rsidR="002C4B31" w:rsidRPr="0088605B">
        <w:t>mining-induced ground movement</w:t>
      </w:r>
      <w:r w:rsidR="00622165" w:rsidRPr="0088605B">
        <w:t xml:space="preserve">; </w:t>
      </w:r>
    </w:p>
    <w:p w14:paraId="7FC57179" w14:textId="52FBF74F" w:rsidR="00B25CA7" w:rsidRPr="0088605B" w:rsidRDefault="00AC72DD" w:rsidP="00376E4F">
      <w:pPr>
        <w:pStyle w:val="ListNumber"/>
        <w:numPr>
          <w:ilvl w:val="0"/>
          <w:numId w:val="56"/>
        </w:numPr>
        <w:suppressLineNumbers/>
      </w:pPr>
      <w:r w:rsidRPr="0088605B">
        <w:t xml:space="preserve">Detailed investigations and monitoring at these points including downhole geophysics and </w:t>
      </w:r>
      <w:r w:rsidR="001138A0" w:rsidRPr="0088605B">
        <w:t xml:space="preserve">environmental </w:t>
      </w:r>
      <w:r w:rsidRPr="0088605B">
        <w:t xml:space="preserve">water tracer studies should be designed to identify and quantify mining impacts as discussed in </w:t>
      </w:r>
      <w:r w:rsidR="00BC01B5" w:rsidRPr="0088605B">
        <w:t>p</w:t>
      </w:r>
      <w:r w:rsidR="00BC01B5">
        <w:t>aragraph</w:t>
      </w:r>
      <w:r w:rsidR="00BC01B5" w:rsidRPr="0088605B">
        <w:t xml:space="preserve"> </w:t>
      </w:r>
      <w:r w:rsidRPr="0088605B">
        <w:t>3</w:t>
      </w:r>
      <w:r w:rsidR="00266F6E">
        <w:t>7</w:t>
      </w:r>
      <w:r w:rsidRPr="0088605B">
        <w:t xml:space="preserve"> part d-ii) and d-iii). </w:t>
      </w:r>
    </w:p>
    <w:p w14:paraId="549F3873" w14:textId="77777777" w:rsidR="00B25CA7" w:rsidRPr="0088605B" w:rsidRDefault="00CF0ABA" w:rsidP="00BD3A5F">
      <w:pPr>
        <w:pStyle w:val="ListNumber"/>
        <w:numPr>
          <w:ilvl w:val="0"/>
          <w:numId w:val="56"/>
        </w:numPr>
        <w:suppressLineNumbers/>
      </w:pPr>
      <w:r w:rsidRPr="0088605B">
        <w:t xml:space="preserve">To provide an indication of background groundwater quality, the proponent should </w:t>
      </w:r>
      <w:r w:rsidR="00B25CA7" w:rsidRPr="0088605B">
        <w:t>reinstate groundwater quality monitoring upstream of the REA</w:t>
      </w:r>
      <w:r w:rsidR="00622165" w:rsidRPr="0088605B">
        <w:t>.</w:t>
      </w:r>
    </w:p>
    <w:p w14:paraId="0946B578" w14:textId="3422D090" w:rsidR="0069433E" w:rsidRDefault="00B25CA7" w:rsidP="00BD3A5F">
      <w:pPr>
        <w:pStyle w:val="ListNumber"/>
        <w:numPr>
          <w:ilvl w:val="0"/>
          <w:numId w:val="6"/>
        </w:numPr>
        <w:suppressLineNumbers/>
      </w:pPr>
      <w:r w:rsidRPr="0088605B">
        <w:t xml:space="preserve">Groundwater quality monitoring is needed to determine whether groundwater that has travelled through shallow subsidence fractures </w:t>
      </w:r>
      <w:r w:rsidR="002C4B31" w:rsidRPr="0088605B">
        <w:t xml:space="preserve">increases the concentration of </w:t>
      </w:r>
      <w:r w:rsidRPr="0088605B">
        <w:t>metals or other contaminants. Results from this monitoring should be compared to those from groundwater monitoring of reference sites upstream and outside the predicted subsidence impact zone</w:t>
      </w:r>
      <w:r w:rsidR="00CF383A">
        <w:t>.</w:t>
      </w:r>
    </w:p>
    <w:p w14:paraId="351DC5E4" w14:textId="77777777" w:rsidR="0088605B" w:rsidRPr="006E0EF5" w:rsidRDefault="0088605B" w:rsidP="00BD3A5F">
      <w:pPr>
        <w:pStyle w:val="ListNumber"/>
        <w:suppressLineNumbers/>
        <w:ind w:left="0" w:firstLine="0"/>
        <w:rPr>
          <w:u w:val="single"/>
        </w:rPr>
      </w:pPr>
      <w:r w:rsidRPr="006E0EF5">
        <w:rPr>
          <w:u w:val="single"/>
        </w:rPr>
        <w:t>Surface water monitoring</w:t>
      </w:r>
    </w:p>
    <w:p w14:paraId="4C28405E" w14:textId="191DA76E" w:rsidR="00286AC2" w:rsidRDefault="00286AC2" w:rsidP="00BD3A5F">
      <w:pPr>
        <w:pStyle w:val="ListNumber"/>
        <w:numPr>
          <w:ilvl w:val="0"/>
          <w:numId w:val="6"/>
        </w:numPr>
        <w:suppressLineNumbers/>
      </w:pPr>
      <w:r w:rsidRPr="0088605B">
        <w:t>An effective monitoring program needs to justify the selection of reference, baseline and impacted sites. This is especially critical for sampling water quality because water from the reference sites exceeded multiple water quality parameters when compared to the ANZG (2018) guidelines for aquatic ecosystem protection. Sometimes, the same sites have been used inconsistently. For example, sites serving as controls</w:t>
      </w:r>
      <w:r w:rsidRPr="00576E48">
        <w:t xml:space="preserve"> for water discharge also served as impact sites for mine subsidence. This inconsistency needs justification and an explanation of how the potential contributing factors between changes to </w:t>
      </w:r>
      <w:proofErr w:type="spellStart"/>
      <w:r w:rsidRPr="00576E48">
        <w:t>hydrogeochemistry</w:t>
      </w:r>
      <w:proofErr w:type="spellEnd"/>
      <w:r w:rsidRPr="00576E48">
        <w:t xml:space="preserve"> due to mine subsidence (should it occur) and those caused by mine discharge waters are to be partitioned</w:t>
      </w:r>
      <w:r>
        <w:t xml:space="preserve"> when interpreting resul</w:t>
      </w:r>
      <w:r w:rsidR="00266F6E">
        <w:t>t</w:t>
      </w:r>
      <w:r>
        <w:t>s from future monitoring.</w:t>
      </w:r>
    </w:p>
    <w:p w14:paraId="4D1DAFDF" w14:textId="6B5FD6D0" w:rsidR="00CD5064" w:rsidRDefault="00CD5064" w:rsidP="00BD3A5F">
      <w:pPr>
        <w:pStyle w:val="ListNumber"/>
        <w:numPr>
          <w:ilvl w:val="0"/>
          <w:numId w:val="6"/>
        </w:numPr>
        <w:suppressLineNumbers/>
      </w:pPr>
      <w:r>
        <w:rPr>
          <w:lang w:eastAsia="en-AU"/>
        </w:rPr>
        <w:lastRenderedPageBreak/>
        <w:t xml:space="preserve">The IESC considers the proponent should re-install gauging stations and monitoring at surface-water sites </w:t>
      </w:r>
      <w:r w:rsidRPr="00B25CA7">
        <w:rPr>
          <w:lang w:eastAsia="en-AU"/>
        </w:rPr>
        <w:t>as recommended in the proponent</w:t>
      </w:r>
      <w:r w:rsidR="00286AC2">
        <w:rPr>
          <w:lang w:eastAsia="en-AU"/>
        </w:rPr>
        <w:t>’</w:t>
      </w:r>
      <w:r w:rsidRPr="00B25CA7">
        <w:rPr>
          <w:lang w:eastAsia="en-AU"/>
        </w:rPr>
        <w:t>s documentation</w:t>
      </w:r>
      <w:r w:rsidR="006E0EF5">
        <w:rPr>
          <w:lang w:eastAsia="en-AU"/>
        </w:rPr>
        <w:t xml:space="preserve"> (EIS, Appendix J, Surface Wa</w:t>
      </w:r>
      <w:r w:rsidR="00266F6E">
        <w:rPr>
          <w:lang w:eastAsia="en-AU"/>
        </w:rPr>
        <w:t>ter Impact Assessment Report, p</w:t>
      </w:r>
      <w:r w:rsidR="006E0EF5">
        <w:rPr>
          <w:lang w:eastAsia="en-AU"/>
        </w:rPr>
        <w:t>. 79)</w:t>
      </w:r>
      <w:r>
        <w:rPr>
          <w:lang w:eastAsia="en-AU"/>
        </w:rPr>
        <w:t>. Monitoring sites should also be expanded to include high</w:t>
      </w:r>
      <w:r w:rsidR="00286AC2">
        <w:rPr>
          <w:lang w:eastAsia="en-AU"/>
        </w:rPr>
        <w:t>-</w:t>
      </w:r>
      <w:r>
        <w:rPr>
          <w:lang w:eastAsia="en-AU"/>
        </w:rPr>
        <w:t>risk and ecologically sensitive sites.</w:t>
      </w:r>
    </w:p>
    <w:p w14:paraId="320BA642" w14:textId="77777777" w:rsidR="0069433E" w:rsidRPr="0088605B" w:rsidRDefault="0069433E" w:rsidP="00BD3A5F">
      <w:pPr>
        <w:pStyle w:val="ListNumber"/>
        <w:numPr>
          <w:ilvl w:val="0"/>
          <w:numId w:val="6"/>
        </w:numPr>
        <w:suppressLineNumbers/>
      </w:pPr>
      <w:r w:rsidRPr="0088605B">
        <w:rPr>
          <w:lang w:eastAsia="en-AU"/>
        </w:rPr>
        <w:t xml:space="preserve">To address gaps in </w:t>
      </w:r>
      <w:r>
        <w:rPr>
          <w:lang w:eastAsia="en-AU"/>
        </w:rPr>
        <w:t xml:space="preserve">surface </w:t>
      </w:r>
      <w:r w:rsidRPr="0088605B">
        <w:rPr>
          <w:lang w:eastAsia="en-AU"/>
        </w:rPr>
        <w:t xml:space="preserve">water quality information, the </w:t>
      </w:r>
      <w:r w:rsidRPr="0088605B">
        <w:t>proponent should:</w:t>
      </w:r>
    </w:p>
    <w:p w14:paraId="03F6017B" w14:textId="6DA62406" w:rsidR="0069433E" w:rsidRPr="0088605B" w:rsidRDefault="0069433E" w:rsidP="00BD3A5F">
      <w:pPr>
        <w:pStyle w:val="ListNumber"/>
        <w:numPr>
          <w:ilvl w:val="1"/>
          <w:numId w:val="47"/>
        </w:numPr>
        <w:suppressLineNumbers/>
      </w:pPr>
      <w:proofErr w:type="gramStart"/>
      <w:r w:rsidRPr="0088605B">
        <w:t>provide</w:t>
      </w:r>
      <w:proofErr w:type="gramEnd"/>
      <w:r w:rsidRPr="0088605B">
        <w:t xml:space="preserve"> an explanation for the source of high contaminant concentrations at reference sites. If high contaminant concentrations are found to be anthropogenic, the proponent should identify the magnitude of impact at control sites to enable an understanding of cumulative impacts; </w:t>
      </w:r>
    </w:p>
    <w:p w14:paraId="0FA37473" w14:textId="77777777" w:rsidR="0069433E" w:rsidRPr="0088605B" w:rsidRDefault="0069433E" w:rsidP="00BD3A5F">
      <w:pPr>
        <w:pStyle w:val="ListNumber2"/>
        <w:numPr>
          <w:ilvl w:val="1"/>
          <w:numId w:val="47"/>
        </w:numPr>
        <w:suppressLineNumbers/>
      </w:pPr>
      <w:r w:rsidRPr="0088605B">
        <w:t xml:space="preserve">where water quality guidelines are consistently exceeded for individual contaminants, undertake direct </w:t>
      </w:r>
      <w:proofErr w:type="spellStart"/>
      <w:r w:rsidRPr="0088605B">
        <w:t>ecotoxicity</w:t>
      </w:r>
      <w:proofErr w:type="spellEnd"/>
      <w:r w:rsidRPr="0088605B">
        <w:t xml:space="preserve"> testing of the discharge, upstream water and water immediately downstream of the licenced discharge point, to determine any mixture toxicity; and</w:t>
      </w:r>
    </w:p>
    <w:p w14:paraId="39C17FA0" w14:textId="09534BBD" w:rsidR="0069433E" w:rsidRDefault="0069433E" w:rsidP="00BD3A5F">
      <w:pPr>
        <w:pStyle w:val="ListNumber2"/>
        <w:numPr>
          <w:ilvl w:val="1"/>
          <w:numId w:val="47"/>
        </w:numPr>
        <w:suppressLineNumbers/>
      </w:pPr>
      <w:proofErr w:type="gramStart"/>
      <w:r w:rsidRPr="0088605B">
        <w:t>increase</w:t>
      </w:r>
      <w:proofErr w:type="gramEnd"/>
      <w:r w:rsidRPr="0088605B">
        <w:t xml:space="preserve"> spatial representation of water quality sites, particularly downstream of LDP1.</w:t>
      </w:r>
    </w:p>
    <w:p w14:paraId="2E6BA223" w14:textId="124F0B73" w:rsidR="0088605B" w:rsidRPr="006E0EF5" w:rsidRDefault="0088605B" w:rsidP="00BD3A5F">
      <w:pPr>
        <w:pStyle w:val="ListNumber2"/>
        <w:suppressLineNumbers/>
        <w:ind w:left="0" w:firstLine="0"/>
        <w:rPr>
          <w:u w:val="single"/>
        </w:rPr>
      </w:pPr>
      <w:r w:rsidRPr="006E0EF5">
        <w:rPr>
          <w:u w:val="single"/>
        </w:rPr>
        <w:t>Biological monitoring</w:t>
      </w:r>
    </w:p>
    <w:p w14:paraId="3CF47FE9" w14:textId="0E741EEE" w:rsidR="00286AC2" w:rsidRDefault="00286AC2" w:rsidP="00BD3A5F">
      <w:pPr>
        <w:pStyle w:val="ListNumber2"/>
        <w:numPr>
          <w:ilvl w:val="0"/>
          <w:numId w:val="6"/>
        </w:numPr>
        <w:suppressLineNumbers/>
      </w:pPr>
      <w:r>
        <w:t xml:space="preserve">Based on the information provided in the EIS, the IESC considers that additional monitoring is needed to identify water regime and groundwater requirements of threatened species (e.g. </w:t>
      </w:r>
      <w:r w:rsidRPr="00D729BC">
        <w:rPr>
          <w:i/>
        </w:rPr>
        <w:t xml:space="preserve">P. </w:t>
      </w:r>
      <w:proofErr w:type="spellStart"/>
      <w:r w:rsidRPr="00D729BC">
        <w:rPr>
          <w:i/>
        </w:rPr>
        <w:t>brunnea</w:t>
      </w:r>
      <w:proofErr w:type="spellEnd"/>
      <w:r>
        <w:t>) and keystone GDE and water-dependent species within the project area and where drawdown impacts are predicted downstream. This additional work will identify whether further management measures are needed to avoid or mitigate potential impacts of groundwater drawdown or altered flows on these species.</w:t>
      </w:r>
    </w:p>
    <w:p w14:paraId="1FA9D598" w14:textId="3A1FEC0D" w:rsidR="00286AC2" w:rsidRDefault="00286AC2" w:rsidP="00BD3A5F">
      <w:pPr>
        <w:pStyle w:val="ListNumber"/>
        <w:numPr>
          <w:ilvl w:val="0"/>
          <w:numId w:val="6"/>
        </w:numPr>
        <w:suppressLineNumbers/>
        <w:ind w:left="357" w:hanging="357"/>
      </w:pPr>
      <w:r>
        <w:t xml:space="preserve">Although the ecological </w:t>
      </w:r>
      <w:r w:rsidRPr="00A82E43">
        <w:t xml:space="preserve">survey methods </w:t>
      </w:r>
      <w:r>
        <w:t>were generally a</w:t>
      </w:r>
      <w:r w:rsidRPr="00A82E43">
        <w:t>ppropriate</w:t>
      </w:r>
      <w:r>
        <w:t xml:space="preserve"> and</w:t>
      </w:r>
      <w:r w:rsidRPr="00A82E43">
        <w:t xml:space="preserve"> follow</w:t>
      </w:r>
      <w:r>
        <w:t>ed</w:t>
      </w:r>
      <w:r w:rsidRPr="00A82E43">
        <w:t xml:space="preserve"> standard protocols</w:t>
      </w:r>
      <w:r>
        <w:t>, survey timing was sub-optimal for the Sydney Hawk Dragonfly (</w:t>
      </w:r>
      <w:proofErr w:type="spellStart"/>
      <w:r w:rsidRPr="00286AC2">
        <w:rPr>
          <w:i/>
        </w:rPr>
        <w:t>Austrocordulia</w:t>
      </w:r>
      <w:proofErr w:type="spellEnd"/>
      <w:r w:rsidRPr="00286AC2">
        <w:rPr>
          <w:i/>
        </w:rPr>
        <w:t xml:space="preserve"> </w:t>
      </w:r>
      <w:proofErr w:type="spellStart"/>
      <w:r w:rsidRPr="00286AC2">
        <w:rPr>
          <w:i/>
        </w:rPr>
        <w:t>leonardi</w:t>
      </w:r>
      <w:proofErr w:type="spellEnd"/>
      <w:r>
        <w:t xml:space="preserve">) listed as threatened under the NSW </w:t>
      </w:r>
      <w:r w:rsidRPr="00286AC2">
        <w:rPr>
          <w:i/>
        </w:rPr>
        <w:t>Biodiversity Conservation Act 2016</w:t>
      </w:r>
      <w:r>
        <w:t>. It is recommended that further surveys are needed during warmer months, when dragonflies are likely to be larger and more active. Summer sampling of adults at sites identified as suitable larval habitats is also needed</w:t>
      </w:r>
      <w:r w:rsidRPr="00A82E43">
        <w:t xml:space="preserve">. </w:t>
      </w:r>
    </w:p>
    <w:p w14:paraId="4ED7652A" w14:textId="6C3990C2" w:rsidR="00643427" w:rsidRPr="009A0548" w:rsidRDefault="00DE18A4" w:rsidP="00BD3A5F">
      <w:pPr>
        <w:pStyle w:val="ListNumber"/>
        <w:numPr>
          <w:ilvl w:val="0"/>
          <w:numId w:val="6"/>
        </w:numPr>
        <w:suppressLineNumbers/>
      </w:pPr>
      <w:r>
        <w:t>T</w:t>
      </w:r>
      <w:r w:rsidR="00643427">
        <w:t>here may be a need to collect more up-to-date baseline data</w:t>
      </w:r>
      <w:r>
        <w:t xml:space="preserve"> against which to judge potential ecological impacts of the proposed project</w:t>
      </w:r>
      <w:r w:rsidR="00643427">
        <w:t>. For example, the macroinvertebrate monitoring was done in 2012 and 2013, but there may have been changes in community composition that should be identified to provide a reliable pre-mining baseline data set. Samples should also be collected from the three tributaries that are to be undermined as these have not been sampled for aquatic invertebrates</w:t>
      </w:r>
      <w:r>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73FAE420" w14:textId="77777777" w:rsidTr="00EF5C72">
        <w:trPr>
          <w:trHeight w:val="19"/>
        </w:trPr>
        <w:tc>
          <w:tcPr>
            <w:tcW w:w="1809" w:type="dxa"/>
            <w:tcBorders>
              <w:top w:val="single" w:sz="4" w:space="0" w:color="auto"/>
              <w:bottom w:val="single" w:sz="4" w:space="0" w:color="auto"/>
            </w:tcBorders>
          </w:tcPr>
          <w:p w14:paraId="06F0CD84" w14:textId="77777777" w:rsidR="007203C3" w:rsidRPr="00376E4F" w:rsidRDefault="007203C3" w:rsidP="00BD3A5F">
            <w:pPr>
              <w:pStyle w:val="Heading6"/>
              <w:suppressLineNumbers/>
            </w:pPr>
            <w:r w:rsidRPr="00376E4F">
              <w:t>Date of advice</w:t>
            </w:r>
          </w:p>
        </w:tc>
        <w:tc>
          <w:tcPr>
            <w:tcW w:w="8159" w:type="dxa"/>
            <w:tcBorders>
              <w:top w:val="single" w:sz="4" w:space="0" w:color="auto"/>
              <w:bottom w:val="single" w:sz="4" w:space="0" w:color="auto"/>
            </w:tcBorders>
          </w:tcPr>
          <w:p w14:paraId="5F08E9B6" w14:textId="60AE8980" w:rsidR="007203C3" w:rsidRPr="00376E4F" w:rsidRDefault="00376E4F" w:rsidP="00BD3A5F">
            <w:pPr>
              <w:pStyle w:val="Tabletext"/>
              <w:suppressLineNumbers/>
            </w:pPr>
            <w:r w:rsidRPr="00376E4F">
              <w:t xml:space="preserve">18 </w:t>
            </w:r>
            <w:r w:rsidR="002209B3" w:rsidRPr="00376E4F">
              <w:t>March</w:t>
            </w:r>
            <w:r w:rsidR="007203C3" w:rsidRPr="00376E4F">
              <w:t xml:space="preserve"> 201</w:t>
            </w:r>
            <w:r w:rsidR="002209B3" w:rsidRPr="00376E4F">
              <w:t>9</w:t>
            </w:r>
            <w:r w:rsidR="003E2135" w:rsidRPr="00376E4F">
              <w:t xml:space="preserve"> </w:t>
            </w:r>
          </w:p>
        </w:tc>
      </w:tr>
      <w:tr w:rsidR="007203C3" w:rsidRPr="00BF21A7" w14:paraId="685B5AF2" w14:textId="77777777" w:rsidTr="00EF5C72">
        <w:trPr>
          <w:trHeight w:val="161"/>
        </w:trPr>
        <w:tc>
          <w:tcPr>
            <w:tcW w:w="1809" w:type="dxa"/>
            <w:tcBorders>
              <w:top w:val="single" w:sz="4" w:space="0" w:color="auto"/>
              <w:bottom w:val="single" w:sz="4" w:space="0" w:color="auto"/>
            </w:tcBorders>
          </w:tcPr>
          <w:p w14:paraId="7B0E86DF" w14:textId="77777777" w:rsidR="007203C3" w:rsidRPr="00BF21A7" w:rsidRDefault="007203C3" w:rsidP="00BD3A5F">
            <w:pPr>
              <w:pStyle w:val="Heading6"/>
              <w:suppressLineNumbers/>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775924E6" w14:textId="77777777" w:rsidR="008C74DD" w:rsidRPr="008C74DD" w:rsidRDefault="008C74DD" w:rsidP="00BD3A5F">
            <w:pPr>
              <w:pStyle w:val="Tabletext"/>
              <w:suppressLineNumbers/>
              <w:rPr>
                <w:color w:val="FF0000"/>
              </w:rPr>
            </w:pPr>
            <w:r w:rsidRPr="008C74DD">
              <w:t xml:space="preserve">Tahmoor Coal Pty Ltd, 2018. Environmental Impact Statement, Volume 1. </w:t>
            </w:r>
            <w:r>
              <w:t xml:space="preserve">Prepared by AECOM Australia Pty Ltd. </w:t>
            </w:r>
            <w:r w:rsidRPr="008C74DD">
              <w:t>Available</w:t>
            </w:r>
            <w:r>
              <w:t>:</w:t>
            </w:r>
            <w:r w:rsidRPr="008C74DD">
              <w:t xml:space="preserve"> </w:t>
            </w:r>
            <w:hyperlink r:id="rId13" w:history="1">
              <w:r w:rsidRPr="008C74DD">
                <w:rPr>
                  <w:rStyle w:val="Hyperlink"/>
                </w:rPr>
                <w:t>http://www.majorprojects.planning.nsw.gov.au/index.pl?action=view_job&amp;job_id=8445</w:t>
              </w:r>
            </w:hyperlink>
          </w:p>
          <w:p w14:paraId="31E9908E" w14:textId="12CA369F" w:rsidR="00AE5401" w:rsidRDefault="00AE5401" w:rsidP="00BD3A5F">
            <w:pPr>
              <w:pStyle w:val="Tabletext"/>
              <w:suppressLineNumbers/>
              <w:rPr>
                <w:szCs w:val="22"/>
              </w:rPr>
            </w:pPr>
          </w:p>
          <w:p w14:paraId="729E2370" w14:textId="77777777" w:rsidR="007203C3" w:rsidRPr="00AE5401" w:rsidRDefault="007203C3" w:rsidP="00BD3A5F">
            <w:pPr>
              <w:suppressLineNumbers/>
            </w:pPr>
          </w:p>
        </w:tc>
      </w:tr>
      <w:tr w:rsidR="007203C3" w:rsidRPr="00BF21A7" w14:paraId="053C9FD3" w14:textId="77777777" w:rsidTr="002932C8">
        <w:trPr>
          <w:trHeight w:val="19"/>
        </w:trPr>
        <w:tc>
          <w:tcPr>
            <w:tcW w:w="1809" w:type="dxa"/>
            <w:tcBorders>
              <w:top w:val="single" w:sz="4" w:space="0" w:color="auto"/>
              <w:bottom w:val="single" w:sz="4" w:space="0" w:color="auto"/>
            </w:tcBorders>
          </w:tcPr>
          <w:p w14:paraId="13BCDB12" w14:textId="77777777" w:rsidR="007203C3" w:rsidRPr="00BF21A7" w:rsidRDefault="007203C3" w:rsidP="00BD3A5F">
            <w:pPr>
              <w:pStyle w:val="Heading6"/>
              <w:suppressLineNumbers/>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4F2CFD42" w14:textId="64C187B6" w:rsidR="003103E0" w:rsidRPr="006E0EF5" w:rsidRDefault="007A586B" w:rsidP="00BD3A5F">
            <w:pPr>
              <w:pStyle w:val="Heading6"/>
              <w:suppressLineNumbers/>
              <w:ind w:left="720" w:hanging="720"/>
              <w:rPr>
                <w:b w:val="0"/>
              </w:rPr>
            </w:pPr>
            <w:r>
              <w:rPr>
                <w:b w:val="0"/>
              </w:rPr>
              <w:t xml:space="preserve">ANZG 2018. </w:t>
            </w:r>
            <w:r w:rsidR="003103E0" w:rsidRPr="006E0EF5">
              <w:rPr>
                <w:b w:val="0"/>
              </w:rPr>
              <w:t>Australian and New Zealand Guidelines for Fresh and Marine Water Quality. Australian and New Zealand Governments and Australian state and territory governments, Canberra ACT, Australia.  Available at</w:t>
            </w:r>
            <w:r w:rsidR="009A69E2" w:rsidRPr="006E0EF5">
              <w:rPr>
                <w:b w:val="0"/>
              </w:rPr>
              <w:t xml:space="preserve"> </w:t>
            </w:r>
            <w:hyperlink r:id="rId14" w:history="1">
              <w:r w:rsidR="003103E0" w:rsidRPr="006E0EF5">
                <w:rPr>
                  <w:rStyle w:val="Hyperlink"/>
                  <w:b w:val="0"/>
                </w:rPr>
                <w:t>www.waterquality.gov.au/anz-guidelines</w:t>
              </w:r>
            </w:hyperlink>
          </w:p>
          <w:p w14:paraId="0BFC9DE7" w14:textId="1BC7DC87" w:rsidR="00EE3B84" w:rsidRPr="006E0EF5" w:rsidRDefault="00EE3B84" w:rsidP="00BD3A5F">
            <w:pPr>
              <w:pStyle w:val="Heading6"/>
              <w:suppressLineNumbers/>
              <w:ind w:left="720" w:hanging="720"/>
              <w:rPr>
                <w:rFonts w:eastAsia="Calibri"/>
                <w:b w:val="0"/>
                <w:color w:val="000000"/>
                <w:lang w:eastAsia="en-AU"/>
              </w:rPr>
            </w:pPr>
            <w:r w:rsidRPr="006E0EF5">
              <w:rPr>
                <w:rFonts w:eastAsia="Calibri"/>
                <w:b w:val="0"/>
                <w:color w:val="000000"/>
                <w:lang w:eastAsia="en-AU"/>
              </w:rPr>
              <w:lastRenderedPageBreak/>
              <w:t>Banerjee</w:t>
            </w:r>
            <w:r w:rsidR="00BC0AAB">
              <w:rPr>
                <w:rFonts w:eastAsia="Calibri"/>
                <w:b w:val="0"/>
                <w:color w:val="000000"/>
                <w:lang w:eastAsia="en-AU"/>
              </w:rPr>
              <w:t xml:space="preserve"> BP</w:t>
            </w:r>
            <w:r w:rsidRPr="006E0EF5">
              <w:rPr>
                <w:rFonts w:eastAsia="Calibri"/>
                <w:b w:val="0"/>
                <w:color w:val="000000"/>
                <w:lang w:eastAsia="en-AU"/>
              </w:rPr>
              <w:t xml:space="preserve">, </w:t>
            </w:r>
            <w:proofErr w:type="spellStart"/>
            <w:r w:rsidRPr="006E0EF5">
              <w:rPr>
                <w:rFonts w:eastAsia="Calibri"/>
                <w:b w:val="0"/>
                <w:color w:val="000000"/>
                <w:lang w:eastAsia="en-AU"/>
              </w:rPr>
              <w:t>Raval</w:t>
            </w:r>
            <w:proofErr w:type="spellEnd"/>
            <w:r w:rsidR="00BC0AAB">
              <w:rPr>
                <w:rFonts w:eastAsia="Calibri"/>
                <w:b w:val="0"/>
                <w:color w:val="000000"/>
                <w:lang w:eastAsia="en-AU"/>
              </w:rPr>
              <w:t xml:space="preserve"> S</w:t>
            </w:r>
            <w:r w:rsidRPr="006E0EF5">
              <w:rPr>
                <w:rFonts w:eastAsia="Calibri"/>
                <w:b w:val="0"/>
                <w:color w:val="000000"/>
                <w:lang w:eastAsia="en-AU"/>
              </w:rPr>
              <w:t xml:space="preserve"> and</w:t>
            </w:r>
            <w:r w:rsidR="009C2DB7" w:rsidRPr="006E0EF5">
              <w:rPr>
                <w:rFonts w:eastAsia="Calibri"/>
                <w:b w:val="0"/>
                <w:color w:val="000000"/>
                <w:lang w:eastAsia="en-AU"/>
              </w:rPr>
              <w:t xml:space="preserve"> </w:t>
            </w:r>
            <w:proofErr w:type="spellStart"/>
            <w:r w:rsidRPr="006E0EF5">
              <w:rPr>
                <w:rFonts w:eastAsia="Calibri"/>
                <w:b w:val="0"/>
                <w:color w:val="000000"/>
                <w:lang w:eastAsia="en-AU"/>
              </w:rPr>
              <w:t>Timms</w:t>
            </w:r>
            <w:proofErr w:type="spellEnd"/>
            <w:r w:rsidR="00BC0AAB">
              <w:rPr>
                <w:rFonts w:eastAsia="Calibri"/>
                <w:b w:val="0"/>
                <w:color w:val="000000"/>
                <w:lang w:eastAsia="en-AU"/>
              </w:rPr>
              <w:t xml:space="preserve"> W</w:t>
            </w:r>
            <w:r w:rsidRPr="006E0EF5">
              <w:rPr>
                <w:rFonts w:eastAsia="Calibri"/>
                <w:b w:val="0"/>
                <w:color w:val="000000"/>
                <w:lang w:eastAsia="en-AU"/>
              </w:rPr>
              <w:t xml:space="preserve"> 2016. Evaluation of rainfall and wetland water area variability at Thirlmere Lakes using Landsat time-series data. </w:t>
            </w:r>
            <w:r w:rsidRPr="006E0EF5">
              <w:rPr>
                <w:rFonts w:eastAsia="Calibri"/>
                <w:b w:val="0"/>
                <w:i/>
                <w:color w:val="000000"/>
                <w:lang w:eastAsia="en-AU"/>
              </w:rPr>
              <w:t>International Journal of Environmental Science and Technology</w:t>
            </w:r>
            <w:r w:rsidRPr="006E0EF5">
              <w:rPr>
                <w:rFonts w:eastAsia="Calibri"/>
                <w:b w:val="0"/>
                <w:color w:val="000000"/>
                <w:lang w:eastAsia="en-AU"/>
              </w:rPr>
              <w:t>, 13:1781–1792. DOI</w:t>
            </w:r>
            <w:r w:rsidR="006B5EFD" w:rsidRPr="006E0EF5">
              <w:rPr>
                <w:rFonts w:eastAsia="Calibri"/>
                <w:b w:val="0"/>
                <w:color w:val="000000"/>
                <w:lang w:eastAsia="en-AU"/>
              </w:rPr>
              <w:t>:</w:t>
            </w:r>
            <w:r w:rsidRPr="006E0EF5">
              <w:rPr>
                <w:rFonts w:eastAsia="Calibri"/>
                <w:b w:val="0"/>
                <w:color w:val="000000"/>
                <w:lang w:eastAsia="en-AU"/>
              </w:rPr>
              <w:t xml:space="preserve"> </w:t>
            </w:r>
            <w:hyperlink r:id="rId15" w:history="1">
              <w:r w:rsidR="002932C8" w:rsidRPr="006E0EF5">
                <w:rPr>
                  <w:rStyle w:val="Hyperlink"/>
                  <w:rFonts w:eastAsia="Calibri"/>
                  <w:b w:val="0"/>
                  <w:lang w:eastAsia="en-AU"/>
                </w:rPr>
                <w:t>http://dx.doi.org/10.1007/s13762-016-1018-z</w:t>
              </w:r>
            </w:hyperlink>
            <w:r w:rsidRPr="006E0EF5">
              <w:rPr>
                <w:rFonts w:eastAsia="Calibri"/>
                <w:b w:val="0"/>
                <w:color w:val="000000"/>
                <w:lang w:eastAsia="en-AU"/>
              </w:rPr>
              <w:t>. Erratum DOI</w:t>
            </w:r>
            <w:r w:rsidR="006B5EFD" w:rsidRPr="006E0EF5">
              <w:rPr>
                <w:rFonts w:eastAsia="Calibri"/>
                <w:b w:val="0"/>
                <w:color w:val="000000"/>
                <w:lang w:eastAsia="en-AU"/>
              </w:rPr>
              <w:t>:</w:t>
            </w:r>
            <w:r w:rsidRPr="006E0EF5">
              <w:rPr>
                <w:rFonts w:eastAsia="Calibri"/>
                <w:b w:val="0"/>
                <w:color w:val="000000"/>
                <w:lang w:eastAsia="en-AU"/>
              </w:rPr>
              <w:t xml:space="preserve"> </w:t>
            </w:r>
            <w:hyperlink r:id="rId16" w:tgtFrame="_blank" w:history="1">
              <w:r w:rsidR="002932C8" w:rsidRPr="006E0EF5">
                <w:rPr>
                  <w:rStyle w:val="Hyperlink"/>
                  <w:rFonts w:eastAsia="Calibri"/>
                  <w:b w:val="0"/>
                  <w:lang w:eastAsia="en-AU"/>
                </w:rPr>
                <w:t>http://dx.doi.org/10.1007/s13762-016-1068-2</w:t>
              </w:r>
            </w:hyperlink>
            <w:r w:rsidR="002932C8" w:rsidRPr="006E0EF5">
              <w:rPr>
                <w:rFonts w:eastAsia="Calibri"/>
                <w:b w:val="0"/>
                <w:color w:val="000000"/>
                <w:lang w:eastAsia="en-AU"/>
              </w:rPr>
              <w:t xml:space="preserve"> </w:t>
            </w:r>
          </w:p>
          <w:p w14:paraId="754260FC" w14:textId="024704C1" w:rsidR="00E10435" w:rsidRPr="006E0EF5" w:rsidRDefault="00E10435" w:rsidP="00BD3A5F">
            <w:pPr>
              <w:pStyle w:val="Heading6"/>
              <w:suppressLineNumbers/>
              <w:ind w:left="720" w:hanging="720"/>
            </w:pPr>
            <w:proofErr w:type="spellStart"/>
            <w:r w:rsidRPr="006E0EF5">
              <w:rPr>
                <w:b w:val="0"/>
              </w:rPr>
              <w:t>Boughton</w:t>
            </w:r>
            <w:proofErr w:type="spellEnd"/>
            <w:r w:rsidRPr="006E0EF5">
              <w:rPr>
                <w:b w:val="0"/>
              </w:rPr>
              <w:t xml:space="preserve"> WC 2004. “The Australian Water Balance Model”, </w:t>
            </w:r>
            <w:r w:rsidRPr="006E0EF5">
              <w:rPr>
                <w:b w:val="0"/>
                <w:i/>
              </w:rPr>
              <w:t>Environmental Modelling and Software</w:t>
            </w:r>
            <w:r w:rsidRPr="005F6007">
              <w:rPr>
                <w:b w:val="0"/>
              </w:rPr>
              <w:t>, 19</w:t>
            </w:r>
            <w:r w:rsidR="005F6007" w:rsidRPr="005F6007">
              <w:rPr>
                <w:b w:val="0"/>
              </w:rPr>
              <w:t>:</w:t>
            </w:r>
            <w:r w:rsidRPr="006E0EF5">
              <w:rPr>
                <w:b w:val="0"/>
              </w:rPr>
              <w:t xml:space="preserve"> 943-956.</w:t>
            </w:r>
          </w:p>
          <w:p w14:paraId="7B4EB08E" w14:textId="25DAB598" w:rsidR="00C6662B" w:rsidRPr="006E0EF5" w:rsidRDefault="00C6662B" w:rsidP="00BD3A5F">
            <w:pPr>
              <w:pStyle w:val="Default"/>
              <w:suppressLineNumbers/>
              <w:ind w:left="599" w:hanging="599"/>
              <w:rPr>
                <w:rFonts w:ascii="Arial" w:hAnsi="Arial" w:cs="Arial"/>
                <w:sz w:val="20"/>
                <w:szCs w:val="20"/>
              </w:rPr>
            </w:pPr>
            <w:r w:rsidRPr="006E0EF5">
              <w:rPr>
                <w:rFonts w:ascii="Arial" w:hAnsi="Arial" w:cs="Arial"/>
                <w:sz w:val="20"/>
                <w:szCs w:val="20"/>
              </w:rPr>
              <w:t xml:space="preserve">David K, </w:t>
            </w:r>
            <w:proofErr w:type="spellStart"/>
            <w:r w:rsidRPr="006E0EF5">
              <w:rPr>
                <w:rFonts w:ascii="Arial" w:hAnsi="Arial" w:cs="Arial"/>
                <w:sz w:val="20"/>
                <w:szCs w:val="20"/>
              </w:rPr>
              <w:t>Timms</w:t>
            </w:r>
            <w:proofErr w:type="spellEnd"/>
            <w:r w:rsidRPr="006E0EF5">
              <w:rPr>
                <w:rFonts w:ascii="Arial" w:hAnsi="Arial" w:cs="Arial"/>
                <w:sz w:val="20"/>
                <w:szCs w:val="20"/>
              </w:rPr>
              <w:t xml:space="preserve"> WA, Barbour SL and </w:t>
            </w:r>
            <w:proofErr w:type="spellStart"/>
            <w:r w:rsidRPr="006E0EF5">
              <w:rPr>
                <w:rFonts w:ascii="Arial" w:hAnsi="Arial" w:cs="Arial"/>
                <w:sz w:val="20"/>
                <w:szCs w:val="20"/>
              </w:rPr>
              <w:t>Mitra</w:t>
            </w:r>
            <w:proofErr w:type="spellEnd"/>
            <w:r w:rsidRPr="006E0EF5">
              <w:rPr>
                <w:rFonts w:ascii="Arial" w:hAnsi="Arial" w:cs="Arial"/>
                <w:sz w:val="20"/>
                <w:szCs w:val="20"/>
              </w:rPr>
              <w:t xml:space="preserve"> R 2017. Tracking changes in the specific storage of overburden rock during longwall coal mining. </w:t>
            </w:r>
            <w:r w:rsidRPr="006E0EF5">
              <w:rPr>
                <w:rFonts w:ascii="Arial" w:hAnsi="Arial" w:cs="Arial"/>
                <w:i/>
                <w:iCs/>
                <w:sz w:val="20"/>
                <w:szCs w:val="20"/>
              </w:rPr>
              <w:t>Journal of Hydrology</w:t>
            </w:r>
            <w:r w:rsidRPr="005F6007">
              <w:rPr>
                <w:rFonts w:ascii="Arial" w:hAnsi="Arial" w:cs="Arial"/>
                <w:sz w:val="20"/>
                <w:szCs w:val="20"/>
              </w:rPr>
              <w:t xml:space="preserve">, </w:t>
            </w:r>
            <w:r w:rsidRPr="005F6007">
              <w:rPr>
                <w:rFonts w:ascii="Arial" w:hAnsi="Arial" w:cs="Arial"/>
                <w:bCs/>
                <w:sz w:val="20"/>
                <w:szCs w:val="20"/>
              </w:rPr>
              <w:t>553</w:t>
            </w:r>
            <w:r w:rsidR="005F6007" w:rsidRPr="005F6007">
              <w:rPr>
                <w:rFonts w:ascii="Arial" w:hAnsi="Arial" w:cs="Arial"/>
                <w:sz w:val="20"/>
                <w:szCs w:val="20"/>
              </w:rPr>
              <w:t>:</w:t>
            </w:r>
            <w:r w:rsidRPr="006E0EF5">
              <w:rPr>
                <w:rFonts w:ascii="Arial" w:hAnsi="Arial" w:cs="Arial"/>
                <w:sz w:val="20"/>
                <w:szCs w:val="20"/>
              </w:rPr>
              <w:t xml:space="preserve"> 304 – 320, </w:t>
            </w:r>
            <w:hyperlink r:id="rId17" w:history="1">
              <w:r w:rsidRPr="006E0EF5">
                <w:rPr>
                  <w:rStyle w:val="Hyperlink"/>
                  <w:rFonts w:ascii="Arial" w:hAnsi="Arial" w:cs="Arial"/>
                  <w:sz w:val="20"/>
                  <w:szCs w:val="20"/>
                </w:rPr>
                <w:t>http://dx.doi.org/10.1016/j.jhydrol.2017.07.057</w:t>
              </w:r>
            </w:hyperlink>
          </w:p>
          <w:p w14:paraId="0E8F9AFC" w14:textId="798E1B74" w:rsidR="00752B8A" w:rsidRPr="006E0EF5" w:rsidRDefault="005B0855" w:rsidP="00BD3A5F">
            <w:pPr>
              <w:pStyle w:val="Tabletext"/>
              <w:suppressLineNumbers/>
              <w:spacing w:line="240" w:lineRule="auto"/>
              <w:ind w:left="493" w:hanging="493"/>
            </w:pPr>
            <w:r w:rsidRPr="006E0EF5">
              <w:t>IESC</w:t>
            </w:r>
            <w:r w:rsidR="0048018F" w:rsidRPr="006E0EF5">
              <w:t xml:space="preserve"> 201</w:t>
            </w:r>
            <w:r w:rsidR="001E2E34" w:rsidRPr="006E0EF5">
              <w:t>8</w:t>
            </w:r>
            <w:r w:rsidR="0048018F" w:rsidRPr="006E0EF5">
              <w:t xml:space="preserve">. </w:t>
            </w:r>
            <w:r w:rsidR="0048018F" w:rsidRPr="006E0EF5">
              <w:rPr>
                <w:i/>
              </w:rPr>
              <w:t xml:space="preserve">Information Guidelines for </w:t>
            </w:r>
            <w:r w:rsidR="001E2E34" w:rsidRPr="006E0EF5">
              <w:rPr>
                <w:i/>
              </w:rPr>
              <w:t xml:space="preserve">proponents preparing </w:t>
            </w:r>
            <w:r w:rsidR="0048018F" w:rsidRPr="006E0EF5">
              <w:rPr>
                <w:i/>
              </w:rPr>
              <w:t>coal seam gas and large coal mining development proposals</w:t>
            </w:r>
            <w:r w:rsidR="0048018F" w:rsidRPr="006E0EF5">
              <w:t>. Available</w:t>
            </w:r>
            <w:r w:rsidR="00CE4158" w:rsidRPr="006E0EF5">
              <w:t xml:space="preserve"> at</w:t>
            </w:r>
            <w:r w:rsidR="0048018F" w:rsidRPr="006E0EF5">
              <w:t xml:space="preserve">: </w:t>
            </w:r>
            <w:hyperlink r:id="rId18" w:history="1">
              <w:r w:rsidR="001E2E34" w:rsidRPr="006E0EF5">
                <w:rPr>
                  <w:rStyle w:val="Hyperlink"/>
                </w:rPr>
                <w:t>http://www.iesc.environment.gov.au/system/files/resources/012fa918-ee79-4131-9c8d-02c9b2de65cf/files/iesc-information-guidelines-may-2018.pdf</w:t>
              </w:r>
            </w:hyperlink>
            <w:r w:rsidR="0048018F" w:rsidRPr="006E0EF5">
              <w:t>.</w:t>
            </w:r>
          </w:p>
          <w:p w14:paraId="64EA4D26" w14:textId="032C1056" w:rsidR="00BC01B5" w:rsidRDefault="00BC01B5" w:rsidP="00BD3A5F">
            <w:pPr>
              <w:suppressLineNumbers/>
              <w:spacing w:after="0" w:line="240" w:lineRule="auto"/>
              <w:ind w:left="720" w:hanging="720"/>
              <w:rPr>
                <w:rFonts w:eastAsia="Calibri"/>
                <w:lang w:eastAsia="en-AU"/>
              </w:rPr>
            </w:pPr>
            <w:r>
              <w:rPr>
                <w:rFonts w:eastAsia="Calibri"/>
                <w:lang w:eastAsia="en-AU"/>
              </w:rPr>
              <w:t>Mackie</w:t>
            </w:r>
            <w:r w:rsidR="00BD3A5F">
              <w:rPr>
                <w:rFonts w:eastAsia="Calibri"/>
                <w:lang w:eastAsia="en-AU"/>
              </w:rPr>
              <w:t xml:space="preserve"> C 2017. </w:t>
            </w:r>
            <w:r w:rsidR="00BD3A5F" w:rsidRPr="00BD3A5F">
              <w:rPr>
                <w:rFonts w:eastAsia="Calibri"/>
                <w:i/>
                <w:lang w:eastAsia="en-AU"/>
              </w:rPr>
              <w:t xml:space="preserve">Height of fracturing at Dendrobium Mine - Peer review of </w:t>
            </w:r>
            <w:proofErr w:type="spellStart"/>
            <w:r w:rsidR="00BD3A5F" w:rsidRPr="00BD3A5F">
              <w:rPr>
                <w:rFonts w:eastAsia="Calibri"/>
                <w:i/>
                <w:lang w:eastAsia="en-AU"/>
              </w:rPr>
              <w:t>Pells</w:t>
            </w:r>
            <w:proofErr w:type="spellEnd"/>
            <w:r w:rsidR="00BD3A5F" w:rsidRPr="00BD3A5F">
              <w:rPr>
                <w:rFonts w:eastAsia="Calibri"/>
                <w:i/>
                <w:lang w:eastAsia="en-AU"/>
              </w:rPr>
              <w:t xml:space="preserve"> Sullivan </w:t>
            </w:r>
            <w:proofErr w:type="spellStart"/>
            <w:r w:rsidR="00BD3A5F" w:rsidRPr="00BD3A5F">
              <w:rPr>
                <w:rFonts w:eastAsia="Calibri"/>
                <w:i/>
                <w:lang w:eastAsia="en-AU"/>
              </w:rPr>
              <w:t>Meynick</w:t>
            </w:r>
            <w:proofErr w:type="spellEnd"/>
            <w:r w:rsidR="00BD3A5F" w:rsidRPr="00BD3A5F">
              <w:rPr>
                <w:rFonts w:eastAsia="Calibri"/>
                <w:i/>
                <w:lang w:eastAsia="en-AU"/>
              </w:rPr>
              <w:t xml:space="preserve"> Report.</w:t>
            </w:r>
            <w:r w:rsidR="00BD3A5F">
              <w:rPr>
                <w:rFonts w:eastAsia="Calibri"/>
                <w:lang w:eastAsia="en-AU"/>
              </w:rPr>
              <w:t xml:space="preserve"> Letter from Mackie Environmental Research Pty. Ltd. to the NSW Department of Pl</w:t>
            </w:r>
            <w:r w:rsidR="00105F63">
              <w:rPr>
                <w:rFonts w:eastAsia="Calibri"/>
                <w:lang w:eastAsia="en-AU"/>
              </w:rPr>
              <w:t>a</w:t>
            </w:r>
            <w:r w:rsidR="00BD3A5F">
              <w:rPr>
                <w:rFonts w:eastAsia="Calibri"/>
                <w:lang w:eastAsia="en-AU"/>
              </w:rPr>
              <w:t>nning and Environment. Dated 28 Feb</w:t>
            </w:r>
            <w:r w:rsidR="00105F63">
              <w:rPr>
                <w:rFonts w:eastAsia="Calibri"/>
                <w:lang w:eastAsia="en-AU"/>
              </w:rPr>
              <w:t>r</w:t>
            </w:r>
            <w:r w:rsidR="00BD3A5F">
              <w:rPr>
                <w:rFonts w:eastAsia="Calibri"/>
                <w:lang w:eastAsia="en-AU"/>
              </w:rPr>
              <w:t xml:space="preserve">uary 2017.  </w:t>
            </w:r>
          </w:p>
          <w:p w14:paraId="38647F72" w14:textId="7C2EEA16" w:rsidR="00166F7B" w:rsidRPr="006E0EF5" w:rsidRDefault="00166F7B" w:rsidP="00BD3A5F">
            <w:pPr>
              <w:suppressLineNumbers/>
              <w:spacing w:after="0" w:line="240" w:lineRule="auto"/>
              <w:ind w:left="720" w:hanging="720"/>
              <w:rPr>
                <w:rFonts w:eastAsia="Calibri"/>
                <w:lang w:eastAsia="en-AU"/>
              </w:rPr>
            </w:pPr>
            <w:r w:rsidRPr="006E0EF5">
              <w:rPr>
                <w:rFonts w:eastAsia="Calibri"/>
                <w:lang w:eastAsia="en-AU"/>
              </w:rPr>
              <w:t xml:space="preserve">NSW OEH, 2018. Thirlmere Lakes Research Program website. New South Wales Office of Environment and Heritage. Available at: </w:t>
            </w:r>
            <w:hyperlink r:id="rId19" w:history="1">
              <w:r w:rsidRPr="006E0EF5">
                <w:rPr>
                  <w:rStyle w:val="Hyperlink"/>
                  <w:rFonts w:eastAsia="Calibri"/>
                  <w:lang w:eastAsia="en-AU"/>
                </w:rPr>
                <w:t>https://www.environment.nsw.gov.au/water/ThirlmereLakesInquiry.htm</w:t>
              </w:r>
            </w:hyperlink>
          </w:p>
          <w:p w14:paraId="56983928" w14:textId="57DDF516" w:rsidR="00F657D7" w:rsidRPr="006E0EF5" w:rsidRDefault="00752B8A" w:rsidP="00BD3A5F">
            <w:pPr>
              <w:suppressLineNumbers/>
              <w:spacing w:after="0" w:line="240" w:lineRule="auto"/>
              <w:ind w:left="720" w:hanging="720"/>
              <w:rPr>
                <w:rFonts w:eastAsia="Calibri"/>
                <w:color w:val="0000FF"/>
                <w:lang w:eastAsia="en-AU"/>
              </w:rPr>
            </w:pPr>
            <w:proofErr w:type="spellStart"/>
            <w:r w:rsidRPr="006E0EF5">
              <w:rPr>
                <w:rFonts w:eastAsia="Calibri"/>
                <w:lang w:eastAsia="en-AU"/>
              </w:rPr>
              <w:t>Pells</w:t>
            </w:r>
            <w:proofErr w:type="spellEnd"/>
            <w:r w:rsidRPr="006E0EF5">
              <w:rPr>
                <w:rFonts w:eastAsia="Calibri"/>
                <w:lang w:eastAsia="en-AU"/>
              </w:rPr>
              <w:t xml:space="preserve"> P and </w:t>
            </w:r>
            <w:proofErr w:type="spellStart"/>
            <w:r w:rsidRPr="006E0EF5">
              <w:rPr>
                <w:rFonts w:eastAsia="Calibri"/>
                <w:lang w:eastAsia="en-AU"/>
              </w:rPr>
              <w:t>Pells</w:t>
            </w:r>
            <w:proofErr w:type="spellEnd"/>
            <w:r w:rsidRPr="006E0EF5">
              <w:rPr>
                <w:rFonts w:eastAsia="Calibri"/>
                <w:lang w:eastAsia="en-AU"/>
              </w:rPr>
              <w:t xml:space="preserve"> S 2016. </w:t>
            </w:r>
            <w:r w:rsidRPr="006E0EF5">
              <w:rPr>
                <w:rFonts w:eastAsia="Calibri"/>
                <w:i/>
                <w:iCs/>
                <w:lang w:eastAsia="en-AU"/>
              </w:rPr>
              <w:t>The Water Levels of Thirlmere Lakes – Where did the water go and when will it return</w:t>
            </w:r>
            <w:r w:rsidRPr="006E0EF5">
              <w:rPr>
                <w:rFonts w:eastAsia="Calibri"/>
                <w:lang w:eastAsia="en-AU"/>
              </w:rPr>
              <w:t>?</w:t>
            </w:r>
            <w:r w:rsidRPr="006E0EF5">
              <w:t xml:space="preserve"> </w:t>
            </w:r>
            <w:r w:rsidRPr="006E0EF5">
              <w:rPr>
                <w:rFonts w:eastAsia="Calibri"/>
                <w:color w:val="000000"/>
                <w:lang w:eastAsia="en-AU"/>
              </w:rPr>
              <w:t xml:space="preserve">IAHR APD 2016: 20th Congress of the Asia Pacific Division of the International Association for Hydro Environment Engineering &amp; Research, August 28 – 31 Colombo, Sri Lanka </w:t>
            </w:r>
            <w:hyperlink r:id="rId20" w:history="1">
              <w:r w:rsidR="0010501A" w:rsidRPr="006E0EF5">
                <w:rPr>
                  <w:rStyle w:val="Hyperlink"/>
                  <w:rFonts w:eastAsia="Calibri"/>
                  <w:lang w:eastAsia="en-AU"/>
                </w:rPr>
                <w:t>http://www.iahrapd2016.info/</w:t>
              </w:r>
            </w:hyperlink>
          </w:p>
          <w:p w14:paraId="4321D31E" w14:textId="77777777" w:rsidR="00C6662B" w:rsidRPr="006E0EF5" w:rsidRDefault="00C6662B" w:rsidP="00BD3A5F">
            <w:pPr>
              <w:pStyle w:val="Default"/>
              <w:suppressLineNumbers/>
              <w:ind w:left="741" w:hanging="741"/>
              <w:rPr>
                <w:rFonts w:ascii="Arial" w:hAnsi="Arial" w:cs="Arial"/>
                <w:sz w:val="20"/>
                <w:szCs w:val="20"/>
              </w:rPr>
            </w:pPr>
            <w:r w:rsidRPr="006E0EF5">
              <w:rPr>
                <w:rFonts w:ascii="Arial" w:hAnsi="Arial" w:cs="Arial"/>
                <w:sz w:val="20"/>
                <w:szCs w:val="20"/>
              </w:rPr>
              <w:t xml:space="preserve">PSM 2017. </w:t>
            </w:r>
            <w:r w:rsidRPr="006E0EF5">
              <w:rPr>
                <w:rFonts w:ascii="Arial" w:hAnsi="Arial" w:cs="Arial"/>
                <w:i/>
                <w:iCs/>
                <w:sz w:val="20"/>
                <w:szCs w:val="20"/>
              </w:rPr>
              <w:t>Height of Cracking – Dendrobium Area 3B, Dendrobium mine</w:t>
            </w:r>
            <w:r w:rsidRPr="006E0EF5">
              <w:rPr>
                <w:rFonts w:ascii="Arial" w:hAnsi="Arial" w:cs="Arial"/>
                <w:sz w:val="20"/>
                <w:szCs w:val="20"/>
              </w:rPr>
              <w:t xml:space="preserve">. Report for Department of Planning and Environment, PSM3021-002R, March 2017. </w:t>
            </w:r>
          </w:p>
          <w:p w14:paraId="28D59A69" w14:textId="791038BC" w:rsidR="00B8347B" w:rsidRPr="006E0EF5" w:rsidRDefault="00B8347B" w:rsidP="00BD3A5F">
            <w:pPr>
              <w:suppressLineNumbers/>
              <w:spacing w:after="0" w:line="240" w:lineRule="auto"/>
              <w:ind w:left="720" w:hanging="720"/>
              <w:rPr>
                <w:rFonts w:eastAsia="Calibri"/>
                <w:lang w:eastAsia="en-AU"/>
              </w:rPr>
            </w:pPr>
            <w:r w:rsidRPr="006E0EF5">
              <w:rPr>
                <w:rFonts w:eastAsia="Calibri"/>
                <w:lang w:eastAsia="en-AU"/>
              </w:rPr>
              <w:t xml:space="preserve">Riley S, Finlayson M, Gore D, McLean W and Thomas K 2012. </w:t>
            </w:r>
            <w:r w:rsidRPr="006E0EF5">
              <w:rPr>
                <w:rFonts w:eastAsia="Calibri"/>
                <w:i/>
                <w:lang w:eastAsia="en-AU"/>
              </w:rPr>
              <w:t>Thirlmere Lakes In</w:t>
            </w:r>
            <w:r w:rsidR="00021752" w:rsidRPr="006E0EF5">
              <w:rPr>
                <w:rFonts w:eastAsia="Calibri"/>
                <w:i/>
                <w:lang w:eastAsia="en-AU"/>
              </w:rPr>
              <w:t>q</w:t>
            </w:r>
            <w:r w:rsidRPr="006E0EF5">
              <w:rPr>
                <w:rFonts w:eastAsia="Calibri"/>
                <w:i/>
                <w:lang w:eastAsia="en-AU"/>
              </w:rPr>
              <w:t>uiry: Final report of the independent committee</w:t>
            </w:r>
            <w:r w:rsidRPr="006E0EF5">
              <w:rPr>
                <w:rFonts w:eastAsia="Calibri"/>
                <w:lang w:eastAsia="en-AU"/>
              </w:rPr>
              <w:t>, 23 October 2012. Available</w:t>
            </w:r>
            <w:r w:rsidR="00CE4158" w:rsidRPr="006E0EF5">
              <w:rPr>
                <w:rFonts w:eastAsia="Calibri"/>
                <w:lang w:eastAsia="en-AU"/>
              </w:rPr>
              <w:t xml:space="preserve"> at:</w:t>
            </w:r>
            <w:r w:rsidR="00CE4158" w:rsidRPr="006E0EF5">
              <w:t xml:space="preserve"> </w:t>
            </w:r>
            <w:hyperlink r:id="rId21" w:history="1">
              <w:r w:rsidR="00CE4158" w:rsidRPr="006E0EF5">
                <w:rPr>
                  <w:rStyle w:val="Hyperlink"/>
                  <w:rFonts w:eastAsia="Calibri"/>
                  <w:lang w:eastAsia="en-AU"/>
                </w:rPr>
                <w:t>https://www.environment.nsw.gov.au/resources/water/ThirlmereReport2012.pdf</w:t>
              </w:r>
            </w:hyperlink>
            <w:r w:rsidR="00CE4158" w:rsidRPr="006E0EF5">
              <w:rPr>
                <w:rFonts w:eastAsia="Calibri"/>
                <w:lang w:eastAsia="en-AU"/>
              </w:rPr>
              <w:t xml:space="preserve"> </w:t>
            </w:r>
          </w:p>
          <w:p w14:paraId="4A7EDD5F" w14:textId="7E5D8C23" w:rsidR="00021752" w:rsidRPr="006E0EF5" w:rsidRDefault="00CE4158" w:rsidP="00BD3A5F">
            <w:pPr>
              <w:suppressLineNumbers/>
              <w:spacing w:after="0" w:line="240" w:lineRule="auto"/>
              <w:ind w:left="720" w:hanging="720"/>
              <w:rPr>
                <w:rFonts w:eastAsia="Calibri"/>
                <w:lang w:eastAsia="en-AU"/>
              </w:rPr>
            </w:pPr>
            <w:proofErr w:type="spellStart"/>
            <w:r w:rsidRPr="006E0EF5">
              <w:rPr>
                <w:rFonts w:eastAsia="Calibri"/>
                <w:lang w:eastAsia="en-AU"/>
              </w:rPr>
              <w:t>Schädler</w:t>
            </w:r>
            <w:proofErr w:type="spellEnd"/>
            <w:r w:rsidRPr="006E0EF5">
              <w:rPr>
                <w:rFonts w:eastAsia="Calibri"/>
                <w:lang w:eastAsia="en-AU"/>
              </w:rPr>
              <w:t xml:space="preserve"> S and Kingsford R 2016. </w:t>
            </w:r>
            <w:r w:rsidRPr="006E0EF5">
              <w:rPr>
                <w:rFonts w:eastAsia="Calibri"/>
                <w:i/>
                <w:lang w:eastAsia="en-AU"/>
              </w:rPr>
              <w:t>Long-term changes to water levels in Thirlmere Lakes – drivers and consequences</w:t>
            </w:r>
            <w:r w:rsidRPr="006E0EF5">
              <w:rPr>
                <w:rFonts w:eastAsia="Calibri"/>
                <w:lang w:eastAsia="en-AU"/>
              </w:rPr>
              <w:t>. Centre for Ecosystem Science, University of New South Wales, Australia.</w:t>
            </w:r>
            <w:r w:rsidR="00021752" w:rsidRPr="006E0EF5">
              <w:rPr>
                <w:rFonts w:eastAsia="Calibri"/>
                <w:lang w:eastAsia="en-AU"/>
              </w:rPr>
              <w:t xml:space="preserve"> </w:t>
            </w:r>
          </w:p>
          <w:p w14:paraId="27405477" w14:textId="2E68A2C7" w:rsidR="00FB61B2" w:rsidRPr="006E0EF5" w:rsidRDefault="0092403A" w:rsidP="00BD3A5F">
            <w:pPr>
              <w:suppressLineNumbers/>
              <w:spacing w:after="0" w:line="240" w:lineRule="auto"/>
              <w:ind w:left="720" w:hanging="720"/>
              <w:rPr>
                <w:rFonts w:eastAsia="Calibri"/>
                <w:lang w:eastAsia="en-AU"/>
              </w:rPr>
            </w:pPr>
            <w:r w:rsidRPr="006E0EF5">
              <w:rPr>
                <w:rFonts w:eastAsia="Calibri"/>
                <w:lang w:eastAsia="en-AU"/>
              </w:rPr>
              <w:t xml:space="preserve">Sutter G 2011. National Recovery Plan for Rufous </w:t>
            </w:r>
            <w:proofErr w:type="spellStart"/>
            <w:r w:rsidRPr="006E0EF5">
              <w:rPr>
                <w:rFonts w:eastAsia="Calibri"/>
                <w:lang w:eastAsia="en-AU"/>
              </w:rPr>
              <w:t>Pomaderris</w:t>
            </w:r>
            <w:proofErr w:type="spellEnd"/>
            <w:r w:rsidRPr="006E0EF5">
              <w:rPr>
                <w:rFonts w:eastAsia="Calibri"/>
                <w:lang w:eastAsia="en-AU"/>
              </w:rPr>
              <w:t xml:space="preserve"> (</w:t>
            </w:r>
            <w:proofErr w:type="spellStart"/>
            <w:r w:rsidRPr="006E0EF5">
              <w:rPr>
                <w:rFonts w:eastAsia="Calibri"/>
                <w:i/>
                <w:iCs/>
                <w:lang w:eastAsia="en-AU"/>
              </w:rPr>
              <w:t>Pomaderris</w:t>
            </w:r>
            <w:proofErr w:type="spellEnd"/>
            <w:r w:rsidR="00FB61B2" w:rsidRPr="006E0EF5">
              <w:rPr>
                <w:rFonts w:eastAsia="Calibri"/>
                <w:i/>
                <w:iCs/>
                <w:lang w:eastAsia="en-AU"/>
              </w:rPr>
              <w:t xml:space="preserve"> </w:t>
            </w:r>
            <w:proofErr w:type="spellStart"/>
            <w:r w:rsidRPr="006E0EF5">
              <w:rPr>
                <w:rFonts w:eastAsia="Calibri"/>
                <w:i/>
                <w:iCs/>
                <w:lang w:eastAsia="en-AU"/>
              </w:rPr>
              <w:t>brunnea</w:t>
            </w:r>
            <w:proofErr w:type="spellEnd"/>
            <w:r w:rsidRPr="006E0EF5">
              <w:rPr>
                <w:rFonts w:eastAsia="Calibri"/>
                <w:lang w:eastAsia="en-AU"/>
              </w:rPr>
              <w:t>). Department of Sustainability and Environment, East Melbourne.</w:t>
            </w:r>
            <w:r w:rsidR="00021752" w:rsidRPr="006E0EF5">
              <w:rPr>
                <w:rFonts w:eastAsia="Calibri"/>
                <w:lang w:eastAsia="en-AU"/>
              </w:rPr>
              <w:t xml:space="preserve"> Available at: </w:t>
            </w:r>
            <w:hyperlink r:id="rId22" w:history="1">
              <w:r w:rsidR="00021752" w:rsidRPr="006E0EF5">
                <w:rPr>
                  <w:rStyle w:val="Hyperlink"/>
                  <w:rFonts w:eastAsia="Calibri"/>
                  <w:lang w:eastAsia="en-AU"/>
                </w:rPr>
                <w:t>https://www.environment.gov.au/system/.../pomaderris-brunnea-recovery-plan.doc</w:t>
              </w:r>
            </w:hyperlink>
          </w:p>
          <w:p w14:paraId="69F513AC" w14:textId="5A51F540" w:rsidR="00FB61B2" w:rsidRPr="006E0EF5" w:rsidRDefault="00FB61B2" w:rsidP="00BD3A5F">
            <w:pPr>
              <w:suppressLineNumbers/>
              <w:spacing w:after="0" w:line="240" w:lineRule="auto"/>
              <w:ind w:left="720" w:hanging="720"/>
              <w:rPr>
                <w:rStyle w:val="Hyperlink"/>
                <w:rFonts w:eastAsia="Calibri"/>
              </w:rPr>
            </w:pPr>
            <w:proofErr w:type="spellStart"/>
            <w:r w:rsidRPr="006E0EF5">
              <w:rPr>
                <w:rFonts w:eastAsia="Calibri"/>
                <w:lang w:eastAsia="en-AU"/>
              </w:rPr>
              <w:t>Tammetta</w:t>
            </w:r>
            <w:proofErr w:type="spellEnd"/>
            <w:r w:rsidRPr="006E0EF5">
              <w:rPr>
                <w:rFonts w:eastAsia="Calibri"/>
                <w:lang w:eastAsia="en-AU"/>
              </w:rPr>
              <w:t xml:space="preserve"> P 2013. </w:t>
            </w:r>
            <w:r w:rsidRPr="006E0EF5">
              <w:rPr>
                <w:rFonts w:eastAsia="Calibri"/>
                <w:iCs/>
                <w:lang w:eastAsia="en-AU"/>
              </w:rPr>
              <w:t>Estimation of the height of complete groundwater drainage above mined longwall panels</w:t>
            </w:r>
            <w:r w:rsidRPr="006E0EF5">
              <w:rPr>
                <w:rFonts w:eastAsia="Calibri"/>
                <w:lang w:eastAsia="en-AU"/>
              </w:rPr>
              <w:t xml:space="preserve">. </w:t>
            </w:r>
            <w:r w:rsidRPr="006E0EF5">
              <w:rPr>
                <w:rFonts w:eastAsia="Calibri"/>
                <w:i/>
                <w:lang w:eastAsia="en-AU"/>
              </w:rPr>
              <w:t>Groundwater</w:t>
            </w:r>
            <w:r w:rsidRPr="006E0EF5">
              <w:rPr>
                <w:rFonts w:eastAsia="Calibri"/>
                <w:lang w:eastAsia="en-AU"/>
              </w:rPr>
              <w:t>, 51(5)</w:t>
            </w:r>
            <w:r w:rsidR="00021752" w:rsidRPr="006E0EF5">
              <w:rPr>
                <w:rFonts w:eastAsia="Calibri"/>
                <w:lang w:eastAsia="en-AU"/>
              </w:rPr>
              <w:t>:</w:t>
            </w:r>
            <w:r w:rsidRPr="006E0EF5">
              <w:rPr>
                <w:rFonts w:eastAsia="Calibri"/>
                <w:lang w:eastAsia="en-AU"/>
              </w:rPr>
              <w:t xml:space="preserve"> 723–734.</w:t>
            </w:r>
            <w:r w:rsidRPr="006E0EF5" w:rsidDel="00FB61B2">
              <w:rPr>
                <w:rFonts w:eastAsia="Calibri"/>
                <w:iCs/>
                <w:lang w:eastAsia="en-AU"/>
              </w:rPr>
              <w:t xml:space="preserve"> </w:t>
            </w:r>
            <w:r w:rsidRPr="006E0EF5">
              <w:rPr>
                <w:rFonts w:eastAsia="Calibri"/>
                <w:iCs/>
                <w:lang w:eastAsia="en-AU"/>
              </w:rPr>
              <w:t xml:space="preserve">DOI: </w:t>
            </w:r>
            <w:hyperlink r:id="rId23" w:history="1">
              <w:r w:rsidRPr="006E0EF5">
                <w:rPr>
                  <w:rStyle w:val="Hyperlink"/>
                  <w:rFonts w:eastAsia="Calibri"/>
                </w:rPr>
                <w:t>https://doi.org/10.1111/gwat.12003</w:t>
              </w:r>
            </w:hyperlink>
            <w:r w:rsidRPr="006E0EF5">
              <w:rPr>
                <w:rStyle w:val="Hyperlink"/>
                <w:rFonts w:eastAsia="Calibri"/>
              </w:rPr>
              <w:t xml:space="preserve"> </w:t>
            </w:r>
          </w:p>
          <w:p w14:paraId="7A00A165" w14:textId="77777777" w:rsidR="00F657D7" w:rsidRPr="00BF21A7" w:rsidRDefault="00FB61B2" w:rsidP="00BD3A5F">
            <w:pPr>
              <w:suppressLineNumbers/>
              <w:spacing w:after="0" w:line="240" w:lineRule="auto"/>
            </w:pPr>
            <w:r w:rsidRPr="009A69E2" w:rsidDel="00FB61B2">
              <w:rPr>
                <w:rFonts w:eastAsia="Calibri"/>
                <w:highlight w:val="yellow"/>
                <w:lang w:eastAsia="en-AU"/>
              </w:rPr>
              <w:t xml:space="preserve"> </w:t>
            </w:r>
          </w:p>
        </w:tc>
      </w:tr>
      <w:tr w:rsidR="00166F7B" w:rsidRPr="00BF21A7" w14:paraId="56FBB235" w14:textId="77777777" w:rsidTr="002932C8">
        <w:trPr>
          <w:trHeight w:val="19"/>
        </w:trPr>
        <w:tc>
          <w:tcPr>
            <w:tcW w:w="1809" w:type="dxa"/>
            <w:tcBorders>
              <w:top w:val="single" w:sz="4" w:space="0" w:color="auto"/>
              <w:bottom w:val="single" w:sz="4" w:space="0" w:color="auto"/>
            </w:tcBorders>
          </w:tcPr>
          <w:p w14:paraId="67A943CF" w14:textId="77777777" w:rsidR="00166F7B" w:rsidRPr="00BF21A7" w:rsidRDefault="00166F7B" w:rsidP="00BD3A5F">
            <w:pPr>
              <w:pStyle w:val="Heading6"/>
              <w:suppressLineNumbers/>
            </w:pPr>
          </w:p>
        </w:tc>
        <w:tc>
          <w:tcPr>
            <w:tcW w:w="8159" w:type="dxa"/>
            <w:tcBorders>
              <w:top w:val="single" w:sz="4" w:space="0" w:color="auto"/>
              <w:bottom w:val="single" w:sz="4" w:space="0" w:color="auto"/>
            </w:tcBorders>
          </w:tcPr>
          <w:p w14:paraId="639B46E5" w14:textId="77777777" w:rsidR="00166F7B" w:rsidRPr="009A69E2" w:rsidRDefault="00166F7B" w:rsidP="00BD3A5F">
            <w:pPr>
              <w:pStyle w:val="Heading6"/>
              <w:suppressLineNumbers/>
              <w:ind w:left="720" w:hanging="720"/>
              <w:rPr>
                <w:b w:val="0"/>
              </w:rPr>
            </w:pPr>
          </w:p>
        </w:tc>
      </w:tr>
    </w:tbl>
    <w:p w14:paraId="01CC0626" w14:textId="77777777" w:rsidR="007203C3" w:rsidRPr="00BF21A7" w:rsidRDefault="007203C3" w:rsidP="00BD3A5F">
      <w:pPr>
        <w:suppressLineNumbers/>
      </w:pPr>
    </w:p>
    <w:sectPr w:rsidR="007203C3" w:rsidRPr="00BF21A7" w:rsidSect="00492025">
      <w:type w:val="continuous"/>
      <w:pgSz w:w="11906" w:h="16838"/>
      <w:pgMar w:top="1440" w:right="1274" w:bottom="1440" w:left="1276" w:header="425" w:footer="425" w:gutter="0"/>
      <w:lnNumType w:countBy="1" w:restart="continuous"/>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459AD" w16cid:durableId="2031EB2F"/>
  <w16cid:commentId w16cid:paraId="5A8BF519" w16cid:durableId="2031EB30"/>
  <w16cid:commentId w16cid:paraId="195589DB" w16cid:durableId="2031EB31"/>
  <w16cid:commentId w16cid:paraId="7D07AFE6" w16cid:durableId="2031EB32"/>
  <w16cid:commentId w16cid:paraId="62F892BC" w16cid:durableId="2031EB33"/>
  <w16cid:commentId w16cid:paraId="7B02D699" w16cid:durableId="2031EB34"/>
  <w16cid:commentId w16cid:paraId="513C8FC6" w16cid:durableId="2031EB35"/>
  <w16cid:commentId w16cid:paraId="7A393FC4" w16cid:durableId="2031EB36"/>
  <w16cid:commentId w16cid:paraId="50DC0122" w16cid:durableId="2031EB37"/>
  <w16cid:commentId w16cid:paraId="3385DBBA" w16cid:durableId="2031EB38"/>
  <w16cid:commentId w16cid:paraId="3562D75E" w16cid:durableId="2031EB39"/>
  <w16cid:commentId w16cid:paraId="18F91F2A" w16cid:durableId="2031EB3A"/>
  <w16cid:commentId w16cid:paraId="11EA44F2" w16cid:durableId="2031EB3B"/>
  <w16cid:commentId w16cid:paraId="44BAF376" w16cid:durableId="2031EB3C"/>
  <w16cid:commentId w16cid:paraId="2F3E2154" w16cid:durableId="2031EB3D"/>
  <w16cid:commentId w16cid:paraId="49441455" w16cid:durableId="2031EB3E"/>
  <w16cid:commentId w16cid:paraId="583D6BE6" w16cid:durableId="2031EB3F"/>
  <w16cid:commentId w16cid:paraId="5887B73E" w16cid:durableId="2031EB40"/>
  <w16cid:commentId w16cid:paraId="1FBC2475" w16cid:durableId="2031EB41"/>
  <w16cid:commentId w16cid:paraId="03DA4BA3" w16cid:durableId="2031EB42"/>
  <w16cid:commentId w16cid:paraId="3FDFC647" w16cid:durableId="2031EB43"/>
  <w16cid:commentId w16cid:paraId="18426542" w16cid:durableId="2031EB44"/>
  <w16cid:commentId w16cid:paraId="67343FE1" w16cid:durableId="2031EB45"/>
  <w16cid:commentId w16cid:paraId="48825D3B" w16cid:durableId="2031EB46"/>
  <w16cid:commentId w16cid:paraId="1E0AD109" w16cid:durableId="2031EB47"/>
  <w16cid:commentId w16cid:paraId="4B9A41E0" w16cid:durableId="2031EB48"/>
  <w16cid:commentId w16cid:paraId="42DAD17C" w16cid:durableId="2031EB49"/>
  <w16cid:commentId w16cid:paraId="6BBC8848" w16cid:durableId="2031EB4A"/>
  <w16cid:commentId w16cid:paraId="6393D0B5" w16cid:durableId="2031EB4B"/>
  <w16cid:commentId w16cid:paraId="556238BE" w16cid:durableId="2031EB4C"/>
  <w16cid:commentId w16cid:paraId="09602DF5" w16cid:durableId="2031EB4D"/>
  <w16cid:commentId w16cid:paraId="537F0A25" w16cid:durableId="2031EB4E"/>
  <w16cid:commentId w16cid:paraId="65E8FECC" w16cid:durableId="2031EB4F"/>
  <w16cid:commentId w16cid:paraId="321F57A7" w16cid:durableId="2031EB50"/>
  <w16cid:commentId w16cid:paraId="3C4ED61C" w16cid:durableId="2031EB51"/>
  <w16cid:commentId w16cid:paraId="38EEEEC7" w16cid:durableId="2031EB52"/>
  <w16cid:commentId w16cid:paraId="48CA8269" w16cid:durableId="2031EB53"/>
  <w16cid:commentId w16cid:paraId="3EE2F602" w16cid:durableId="2031EB54"/>
  <w16cid:commentId w16cid:paraId="41F3C182" w16cid:durableId="2031EB55"/>
  <w16cid:commentId w16cid:paraId="0F1499D2" w16cid:durableId="2031EB56"/>
  <w16cid:commentId w16cid:paraId="5B64288B" w16cid:durableId="2031EB57"/>
  <w16cid:commentId w16cid:paraId="002661F1" w16cid:durableId="2031EB58"/>
  <w16cid:commentId w16cid:paraId="0DE972CD" w16cid:durableId="2031EB59"/>
  <w16cid:commentId w16cid:paraId="7D4EA0F0" w16cid:durableId="2031EB5A"/>
  <w16cid:commentId w16cid:paraId="39ED48AB" w16cid:durableId="2031EB5B"/>
  <w16cid:commentId w16cid:paraId="26FD2F36" w16cid:durableId="2031EB5C"/>
  <w16cid:commentId w16cid:paraId="5B87DFF5" w16cid:durableId="2031EB5D"/>
  <w16cid:commentId w16cid:paraId="4BA10F98" w16cid:durableId="2031EB5E"/>
  <w16cid:commentId w16cid:paraId="14425914" w16cid:durableId="2031EB5F"/>
  <w16cid:commentId w16cid:paraId="41695377" w16cid:durableId="2031EB60"/>
  <w16cid:commentId w16cid:paraId="35082059" w16cid:durableId="2031EB61"/>
  <w16cid:commentId w16cid:paraId="55BD6859" w16cid:durableId="2031EB62"/>
  <w16cid:commentId w16cid:paraId="3D4659CC" w16cid:durableId="2031EB63"/>
  <w16cid:commentId w16cid:paraId="5DE6C19B" w16cid:durableId="2031EB64"/>
  <w16cid:commentId w16cid:paraId="61F99C82" w16cid:durableId="2031EB65"/>
  <w16cid:commentId w16cid:paraId="043EF218" w16cid:durableId="2031EB66"/>
  <w16cid:commentId w16cid:paraId="315AC18A" w16cid:durableId="2031EB67"/>
  <w16cid:commentId w16cid:paraId="0078012F" w16cid:durableId="2031EB68"/>
  <w16cid:commentId w16cid:paraId="612B73E1" w16cid:durableId="2031EB69"/>
  <w16cid:commentId w16cid:paraId="363542A2" w16cid:durableId="2031EB6A"/>
  <w16cid:commentId w16cid:paraId="5C770333" w16cid:durableId="2031EB6B"/>
  <w16cid:commentId w16cid:paraId="3BC0F0C9" w16cid:durableId="2031EB6C"/>
  <w16cid:commentId w16cid:paraId="5DE1AF3A" w16cid:durableId="2031EB6D"/>
  <w16cid:commentId w16cid:paraId="13CDBAD2" w16cid:durableId="2031EB6E"/>
  <w16cid:commentId w16cid:paraId="28D856D4" w16cid:durableId="2031EB6F"/>
  <w16cid:commentId w16cid:paraId="196AA394" w16cid:durableId="2031EB70"/>
  <w16cid:commentId w16cid:paraId="4F11612B" w16cid:durableId="2031EB71"/>
  <w16cid:commentId w16cid:paraId="4DDDDC1E" w16cid:durableId="2031EB72"/>
  <w16cid:commentId w16cid:paraId="4656B1FB" w16cid:durableId="2031EB73"/>
  <w16cid:commentId w16cid:paraId="15B81DD2" w16cid:durableId="2031EB74"/>
  <w16cid:commentId w16cid:paraId="38F743D2" w16cid:durableId="2031EB75"/>
  <w16cid:commentId w16cid:paraId="6BD07C6F" w16cid:durableId="2031EB76"/>
  <w16cid:commentId w16cid:paraId="4B274F42" w16cid:durableId="2031EB77"/>
  <w16cid:commentId w16cid:paraId="1E8896FD" w16cid:durableId="2031EB78"/>
  <w16cid:commentId w16cid:paraId="72AA900A" w16cid:durableId="2031EB79"/>
  <w16cid:commentId w16cid:paraId="3A5ECC5E" w16cid:durableId="2031EB7A"/>
  <w16cid:commentId w16cid:paraId="5697AAD7" w16cid:durableId="2031EB7B"/>
  <w16cid:commentId w16cid:paraId="3A582090" w16cid:durableId="2031EB7C"/>
  <w16cid:commentId w16cid:paraId="60603CBC" w16cid:durableId="2031EB7D"/>
  <w16cid:commentId w16cid:paraId="45247616" w16cid:durableId="2031EB7E"/>
  <w16cid:commentId w16cid:paraId="069F9591" w16cid:durableId="2031EB7F"/>
  <w16cid:commentId w16cid:paraId="24D2F3F9" w16cid:durableId="2031EB80"/>
  <w16cid:commentId w16cid:paraId="51E88E85" w16cid:durableId="2031EB81"/>
  <w16cid:commentId w16cid:paraId="34D92AC9" w16cid:durableId="2031EB82"/>
  <w16cid:commentId w16cid:paraId="4E2575E7" w16cid:durableId="2031EB83"/>
  <w16cid:commentId w16cid:paraId="20E6ACA3" w16cid:durableId="2031EB84"/>
  <w16cid:commentId w16cid:paraId="42323AC6" w16cid:durableId="2031EB85"/>
  <w16cid:commentId w16cid:paraId="1A3D8F39" w16cid:durableId="2031EB86"/>
  <w16cid:commentId w16cid:paraId="5F6BDC17" w16cid:durableId="2031EB87"/>
  <w16cid:commentId w16cid:paraId="682AF448" w16cid:durableId="2031EB88"/>
  <w16cid:commentId w16cid:paraId="41E65E56" w16cid:durableId="2031EB89"/>
  <w16cid:commentId w16cid:paraId="54867E17" w16cid:durableId="2031EB8A"/>
  <w16cid:commentId w16cid:paraId="1E8D92A6" w16cid:durableId="2031EB8B"/>
  <w16cid:commentId w16cid:paraId="1C20A10A" w16cid:durableId="2031EB8C"/>
  <w16cid:commentId w16cid:paraId="1F7B4DEF" w16cid:durableId="2031EB8D"/>
  <w16cid:commentId w16cid:paraId="35981C6D" w16cid:durableId="2031EB8E"/>
  <w16cid:commentId w16cid:paraId="7F2C63B6" w16cid:durableId="2031EB8F"/>
  <w16cid:commentId w16cid:paraId="25356F1E" w16cid:durableId="2031EB90"/>
  <w16cid:commentId w16cid:paraId="544DD005" w16cid:durableId="2031EB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534E9" w14:textId="77777777" w:rsidR="00923E8D" w:rsidRDefault="00923E8D" w:rsidP="00D622B9">
      <w:r>
        <w:separator/>
      </w:r>
    </w:p>
  </w:endnote>
  <w:endnote w:type="continuationSeparator" w:id="0">
    <w:p w14:paraId="06197735" w14:textId="77777777" w:rsidR="00923E8D" w:rsidRDefault="00923E8D" w:rsidP="00D622B9">
      <w:r>
        <w:continuationSeparator/>
      </w:r>
    </w:p>
  </w:endnote>
  <w:endnote w:type="continuationNotice" w:id="1">
    <w:p w14:paraId="60168EE8" w14:textId="77777777" w:rsidR="00923E8D" w:rsidRDefault="00923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339C9" w14:textId="77777777" w:rsidR="00317622" w:rsidRDefault="00317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B8159" w14:textId="77777777" w:rsidR="00923E8D" w:rsidRPr="00637239" w:rsidRDefault="00923E8D" w:rsidP="003B5A88">
    <w:pPr>
      <w:pStyle w:val="Footer"/>
      <w:pBdr>
        <w:top w:val="single" w:sz="12" w:space="0" w:color="auto"/>
      </w:pBdr>
    </w:pPr>
  </w:p>
  <w:p w14:paraId="0C3E1DF5" w14:textId="12A9938B" w:rsidR="00923E8D" w:rsidRPr="00637239" w:rsidRDefault="00923E8D" w:rsidP="003B5A88">
    <w:pPr>
      <w:pStyle w:val="Footer"/>
      <w:pBdr>
        <w:top w:val="single" w:sz="12" w:space="0" w:color="auto"/>
      </w:pBdr>
      <w:rPr>
        <w:sz w:val="20"/>
      </w:rPr>
    </w:pPr>
    <w:r w:rsidRPr="00B51FB6">
      <w:rPr>
        <w:sz w:val="20"/>
      </w:rPr>
      <w:t>Tahmoor South</w:t>
    </w:r>
    <w:r w:rsidRPr="00637239">
      <w:rPr>
        <w:sz w:val="20"/>
      </w:rPr>
      <w:t xml:space="preserve"> </w:t>
    </w:r>
    <w:r w:rsidR="004D5FC3">
      <w:rPr>
        <w:sz w:val="20"/>
      </w:rPr>
      <w:t>Coal M</w:t>
    </w:r>
    <w:r w:rsidR="00AE5401">
      <w:rPr>
        <w:sz w:val="20"/>
      </w:rPr>
      <w:t xml:space="preserve">ining </w:t>
    </w:r>
    <w:r w:rsidR="004D5FC3">
      <w:rPr>
        <w:sz w:val="20"/>
      </w:rPr>
      <w:t>P</w:t>
    </w:r>
    <w:r w:rsidR="00AE5401">
      <w:rPr>
        <w:sz w:val="20"/>
      </w:rPr>
      <w:t xml:space="preserve">roject </w:t>
    </w:r>
    <w:r w:rsidR="00376E4F" w:rsidRPr="00637239">
      <w:rPr>
        <w:sz w:val="20"/>
      </w:rPr>
      <w:t>Advice</w:t>
    </w:r>
    <w:r w:rsidR="00376E4F" w:rsidRPr="00637239">
      <w:rPr>
        <w:color w:val="FF0000"/>
        <w:sz w:val="20"/>
      </w:rPr>
      <w:ptab w:relativeTo="margin" w:alignment="right" w:leader="none"/>
    </w:r>
    <w:r w:rsidR="00376E4F" w:rsidRPr="00376E4F">
      <w:rPr>
        <w:sz w:val="20"/>
      </w:rPr>
      <w:t xml:space="preserve">18 </w:t>
    </w:r>
    <w:r w:rsidR="00AE5401" w:rsidRPr="00376E4F">
      <w:rPr>
        <w:sz w:val="20"/>
      </w:rPr>
      <w:t>March 2019</w:t>
    </w:r>
  </w:p>
  <w:p w14:paraId="461005C3" w14:textId="4CBD933A" w:rsidR="00923E8D" w:rsidRPr="00637239" w:rsidRDefault="00923E8D"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317622">
      <w:rPr>
        <w:noProof/>
        <w:sz w:val="20"/>
      </w:rPr>
      <w:t>15</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0B905" w14:textId="77777777" w:rsidR="00923E8D" w:rsidRPr="007B11FD" w:rsidRDefault="00923E8D" w:rsidP="000F240D">
    <w:pPr>
      <w:pStyle w:val="Footer"/>
      <w:pBdr>
        <w:top w:val="single" w:sz="12" w:space="0" w:color="auto"/>
      </w:pBdr>
      <w:ind w:left="-426"/>
    </w:pPr>
  </w:p>
  <w:p w14:paraId="1946E0F1" w14:textId="10EB54A9" w:rsidR="00923E8D" w:rsidRDefault="00923E8D" w:rsidP="000F240D">
    <w:pPr>
      <w:pStyle w:val="Footer"/>
      <w:pBdr>
        <w:top w:val="single" w:sz="12" w:space="0" w:color="auto"/>
      </w:pBdr>
      <w:ind w:left="-426"/>
      <w:rPr>
        <w:color w:val="FF0000"/>
        <w:sz w:val="20"/>
      </w:rPr>
    </w:pPr>
    <w:r w:rsidRPr="00553BF7">
      <w:rPr>
        <w:sz w:val="20"/>
      </w:rPr>
      <w:t>Tahmoor South</w:t>
    </w:r>
    <w:r w:rsidR="00AE5401">
      <w:rPr>
        <w:sz w:val="20"/>
      </w:rPr>
      <w:t xml:space="preserve"> </w:t>
    </w:r>
    <w:r w:rsidR="00EA6E13">
      <w:rPr>
        <w:sz w:val="20"/>
      </w:rPr>
      <w:t>C</w:t>
    </w:r>
    <w:r w:rsidR="00AE5401">
      <w:rPr>
        <w:sz w:val="20"/>
      </w:rPr>
      <w:t xml:space="preserve">oal </w:t>
    </w:r>
    <w:r w:rsidR="00EA6E13">
      <w:rPr>
        <w:sz w:val="20"/>
      </w:rPr>
      <w:t>Mining P</w:t>
    </w:r>
    <w:r w:rsidR="00AE5401">
      <w:rPr>
        <w:sz w:val="20"/>
      </w:rPr>
      <w:t>roject</w:t>
    </w:r>
    <w:r w:rsidRPr="00553BF7">
      <w:rPr>
        <w:sz w:val="20"/>
      </w:rPr>
      <w:t xml:space="preserve"> </w:t>
    </w:r>
    <w:r w:rsidR="00376E4F" w:rsidRPr="00376E4F">
      <w:rPr>
        <w:sz w:val="20"/>
      </w:rPr>
      <w:t>Advice</w:t>
    </w:r>
    <w:r w:rsidR="00376E4F" w:rsidRPr="00376E4F">
      <w:rPr>
        <w:sz w:val="20"/>
      </w:rPr>
      <w:ptab w:relativeTo="margin" w:alignment="right" w:leader="none"/>
    </w:r>
    <w:r w:rsidR="00376E4F" w:rsidRPr="00376E4F">
      <w:rPr>
        <w:sz w:val="20"/>
      </w:rPr>
      <w:t xml:space="preserve">18 </w:t>
    </w:r>
    <w:r w:rsidR="00AE5401" w:rsidRPr="00376E4F">
      <w:rPr>
        <w:sz w:val="20"/>
      </w:rPr>
      <w:t>March 2019</w:t>
    </w:r>
  </w:p>
  <w:p w14:paraId="4F303526" w14:textId="00004D52" w:rsidR="00923E8D" w:rsidRPr="00637239" w:rsidRDefault="00923E8D"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317622">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100C2" w14:textId="77777777" w:rsidR="00923E8D" w:rsidRDefault="00923E8D" w:rsidP="00D622B9">
      <w:r>
        <w:separator/>
      </w:r>
    </w:p>
  </w:footnote>
  <w:footnote w:type="continuationSeparator" w:id="0">
    <w:p w14:paraId="050F88B2" w14:textId="77777777" w:rsidR="00923E8D" w:rsidRDefault="00923E8D" w:rsidP="00D622B9">
      <w:r>
        <w:continuationSeparator/>
      </w:r>
    </w:p>
  </w:footnote>
  <w:footnote w:type="continuationNotice" w:id="1">
    <w:p w14:paraId="39427E5D" w14:textId="77777777" w:rsidR="00923E8D" w:rsidRDefault="00923E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03FE4" w14:textId="77777777" w:rsidR="00923E8D" w:rsidRDefault="00923E8D"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1611D" w14:textId="77777777" w:rsidR="00317622" w:rsidRDefault="003176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E74C5" w14:textId="77777777" w:rsidR="00923E8D" w:rsidRDefault="00923E8D"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3546BC8" wp14:editId="38B7BC49">
          <wp:simplePos x="0" y="0"/>
          <wp:positionH relativeFrom="column">
            <wp:posOffset>-904875</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E52844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0885A8A"/>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8CF6398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8"/>
    <w:multiLevelType w:val="singleLevel"/>
    <w:tmpl w:val="C67E6EA4"/>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6" w15:restartNumberingAfterBreak="0">
    <w:nsid w:val="0621415B"/>
    <w:multiLevelType w:val="hybridMultilevel"/>
    <w:tmpl w:val="84B6B04E"/>
    <w:lvl w:ilvl="0" w:tplc="FFFFFFFF">
      <w:start w:val="1"/>
      <w:numFmt w:val="decimal"/>
      <w:lvlText w:val="%1."/>
      <w:lvlJc w:val="left"/>
      <w:pPr>
        <w:ind w:left="502" w:hanging="360"/>
      </w:pPr>
    </w:lvl>
    <w:lvl w:ilvl="1" w:tplc="0C090019">
      <w:start w:val="1"/>
      <w:numFmt w:val="lowerLetter"/>
      <w:lvlText w:val="%2."/>
      <w:lvlJc w:val="left"/>
      <w:pPr>
        <w:ind w:left="1080" w:hanging="360"/>
      </w:pPr>
    </w:lvl>
    <w:lvl w:ilvl="2" w:tplc="FFFFFFFF">
      <w:start w:val="1"/>
      <w:numFmt w:val="decimal"/>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A494877"/>
    <w:multiLevelType w:val="multilevel"/>
    <w:tmpl w:val="1660AA50"/>
    <w:lvl w:ilvl="0">
      <w:start w:val="1"/>
      <w:numFmt w:val="decimal"/>
      <w:lvlText w:val="%1."/>
      <w:lvlJc w:val="left"/>
      <w:pPr>
        <w:ind w:left="511" w:hanging="369"/>
      </w:pPr>
      <w:rPr>
        <w:rFonts w:ascii="Arial" w:hAnsi="Arial" w:hint="default"/>
        <w:i w:val="0"/>
        <w:sz w:val="20"/>
        <w:szCs w:val="20"/>
      </w:rPr>
    </w:lvl>
    <w:lvl w:ilvl="1">
      <w:start w:val="1"/>
      <w:numFmt w:val="lowerLetter"/>
      <w:lvlText w:val="%2."/>
      <w:lvlJc w:val="left"/>
      <w:pPr>
        <w:ind w:left="795"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0A4B20CC"/>
    <w:multiLevelType w:val="multilevel"/>
    <w:tmpl w:val="1946E20A"/>
    <w:lvl w:ilvl="0">
      <w:start w:val="1"/>
      <w:numFmt w:val="decimal"/>
      <w:lvlText w:val="%1."/>
      <w:lvlJc w:val="left"/>
      <w:pPr>
        <w:tabs>
          <w:tab w:val="num" w:pos="720"/>
        </w:tabs>
        <w:ind w:left="720" w:hanging="720"/>
      </w:pPr>
    </w:lvl>
    <w:lvl w:ilvl="1">
      <w:start w:val="1"/>
      <w:numFmt w:val="lowerRoman"/>
      <w:lvlText w:val="%2."/>
      <w:lvlJc w:val="righ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10"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7827FA"/>
    <w:multiLevelType w:val="hybridMultilevel"/>
    <w:tmpl w:val="B37AEC8E"/>
    <w:lvl w:ilvl="0" w:tplc="0C09000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56828"/>
    <w:multiLevelType w:val="hybridMultilevel"/>
    <w:tmpl w:val="4B94E8B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E0780E"/>
    <w:multiLevelType w:val="hybridMultilevel"/>
    <w:tmpl w:val="5538DD3C"/>
    <w:lvl w:ilvl="0" w:tplc="FFFFFFF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F094694"/>
    <w:multiLevelType w:val="hybridMultilevel"/>
    <w:tmpl w:val="5538DD3C"/>
    <w:lvl w:ilvl="0" w:tplc="FFFFFFF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FA94032"/>
    <w:multiLevelType w:val="hybridMultilevel"/>
    <w:tmpl w:val="F4E81BBE"/>
    <w:lvl w:ilvl="0" w:tplc="9508F594">
      <w:start w:val="1"/>
      <w:numFmt w:val="bullet"/>
      <w:lvlText w:val=""/>
      <w:lvlJc w:val="left"/>
      <w:pPr>
        <w:ind w:left="720" w:hanging="360"/>
      </w:pPr>
      <w:rPr>
        <w:rFonts w:ascii="Symbol" w:hAnsi="Symbol" w:hint="default"/>
      </w:rPr>
    </w:lvl>
    <w:lvl w:ilvl="1" w:tplc="B74EE04E">
      <w:start w:val="1"/>
      <w:numFmt w:val="bullet"/>
      <w:lvlText w:val="o"/>
      <w:lvlJc w:val="left"/>
      <w:pPr>
        <w:ind w:left="1440" w:hanging="360"/>
      </w:pPr>
      <w:rPr>
        <w:rFonts w:ascii="Courier New" w:hAnsi="Courier New" w:hint="default"/>
      </w:rPr>
    </w:lvl>
    <w:lvl w:ilvl="2" w:tplc="AAACF1FC">
      <w:start w:val="1"/>
      <w:numFmt w:val="bullet"/>
      <w:lvlText w:val=""/>
      <w:lvlJc w:val="left"/>
      <w:pPr>
        <w:ind w:left="2160" w:hanging="360"/>
      </w:pPr>
      <w:rPr>
        <w:rFonts w:ascii="Wingdings" w:hAnsi="Wingdings" w:hint="default"/>
      </w:rPr>
    </w:lvl>
    <w:lvl w:ilvl="3" w:tplc="EB443AE2">
      <w:start w:val="1"/>
      <w:numFmt w:val="bullet"/>
      <w:lvlText w:val=""/>
      <w:lvlJc w:val="left"/>
      <w:pPr>
        <w:ind w:left="2880" w:hanging="360"/>
      </w:pPr>
      <w:rPr>
        <w:rFonts w:ascii="Symbol" w:hAnsi="Symbol" w:hint="default"/>
      </w:rPr>
    </w:lvl>
    <w:lvl w:ilvl="4" w:tplc="73C2642A">
      <w:start w:val="1"/>
      <w:numFmt w:val="bullet"/>
      <w:lvlText w:val="o"/>
      <w:lvlJc w:val="left"/>
      <w:pPr>
        <w:ind w:left="3600" w:hanging="360"/>
      </w:pPr>
      <w:rPr>
        <w:rFonts w:ascii="Courier New" w:hAnsi="Courier New" w:hint="default"/>
      </w:rPr>
    </w:lvl>
    <w:lvl w:ilvl="5" w:tplc="359A9C0A">
      <w:start w:val="1"/>
      <w:numFmt w:val="bullet"/>
      <w:lvlText w:val=""/>
      <w:lvlJc w:val="left"/>
      <w:pPr>
        <w:ind w:left="4320" w:hanging="360"/>
      </w:pPr>
      <w:rPr>
        <w:rFonts w:ascii="Wingdings" w:hAnsi="Wingdings" w:hint="default"/>
      </w:rPr>
    </w:lvl>
    <w:lvl w:ilvl="6" w:tplc="AA2CCEDE">
      <w:start w:val="1"/>
      <w:numFmt w:val="bullet"/>
      <w:lvlText w:val=""/>
      <w:lvlJc w:val="left"/>
      <w:pPr>
        <w:ind w:left="5040" w:hanging="360"/>
      </w:pPr>
      <w:rPr>
        <w:rFonts w:ascii="Symbol" w:hAnsi="Symbol" w:hint="default"/>
      </w:rPr>
    </w:lvl>
    <w:lvl w:ilvl="7" w:tplc="D8AE144A">
      <w:start w:val="1"/>
      <w:numFmt w:val="bullet"/>
      <w:lvlText w:val="o"/>
      <w:lvlJc w:val="left"/>
      <w:pPr>
        <w:ind w:left="5760" w:hanging="360"/>
      </w:pPr>
      <w:rPr>
        <w:rFonts w:ascii="Courier New" w:hAnsi="Courier New" w:hint="default"/>
      </w:rPr>
    </w:lvl>
    <w:lvl w:ilvl="8" w:tplc="D64E21A6">
      <w:start w:val="1"/>
      <w:numFmt w:val="bullet"/>
      <w:lvlText w:val=""/>
      <w:lvlJc w:val="left"/>
      <w:pPr>
        <w:ind w:left="6480" w:hanging="360"/>
      </w:pPr>
      <w:rPr>
        <w:rFonts w:ascii="Wingdings" w:hAnsi="Wingdings" w:hint="default"/>
      </w:rPr>
    </w:lvl>
  </w:abstractNum>
  <w:abstractNum w:abstractNumId="18" w15:restartNumberingAfterBreak="0">
    <w:nsid w:val="207C71F2"/>
    <w:multiLevelType w:val="hybridMultilevel"/>
    <w:tmpl w:val="89E6D622"/>
    <w:lvl w:ilvl="0" w:tplc="FFFFFFF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5723309"/>
    <w:multiLevelType w:val="hybridMultilevel"/>
    <w:tmpl w:val="3F7853CC"/>
    <w:lvl w:ilvl="0" w:tplc="393C459A">
      <w:start w:val="1"/>
      <w:numFmt w:val="decimal"/>
      <w:lvlText w:val="%1."/>
      <w:lvlJc w:val="left"/>
      <w:pPr>
        <w:ind w:left="720" w:hanging="360"/>
      </w:pPr>
    </w:lvl>
    <w:lvl w:ilvl="1" w:tplc="A5984692">
      <w:start w:val="1"/>
      <w:numFmt w:val="lowerLetter"/>
      <w:lvlText w:val="%2."/>
      <w:lvlJc w:val="left"/>
      <w:pPr>
        <w:ind w:left="1440" w:hanging="360"/>
      </w:pPr>
    </w:lvl>
    <w:lvl w:ilvl="2" w:tplc="DFAEB47C">
      <w:start w:val="1"/>
      <w:numFmt w:val="lowerRoman"/>
      <w:lvlText w:val="%3."/>
      <w:lvlJc w:val="right"/>
      <w:pPr>
        <w:ind w:left="2160" w:hanging="180"/>
      </w:pPr>
    </w:lvl>
    <w:lvl w:ilvl="3" w:tplc="9F201512">
      <w:start w:val="1"/>
      <w:numFmt w:val="decimal"/>
      <w:lvlText w:val="%4."/>
      <w:lvlJc w:val="left"/>
      <w:pPr>
        <w:ind w:left="2880" w:hanging="360"/>
      </w:pPr>
    </w:lvl>
    <w:lvl w:ilvl="4" w:tplc="B8C87D04">
      <w:start w:val="1"/>
      <w:numFmt w:val="lowerLetter"/>
      <w:lvlText w:val="%5."/>
      <w:lvlJc w:val="left"/>
      <w:pPr>
        <w:ind w:left="3600" w:hanging="360"/>
      </w:pPr>
    </w:lvl>
    <w:lvl w:ilvl="5" w:tplc="62805710">
      <w:start w:val="1"/>
      <w:numFmt w:val="lowerRoman"/>
      <w:lvlText w:val="%6."/>
      <w:lvlJc w:val="right"/>
      <w:pPr>
        <w:ind w:left="4320" w:hanging="180"/>
      </w:pPr>
    </w:lvl>
    <w:lvl w:ilvl="6" w:tplc="70C21E4C">
      <w:start w:val="1"/>
      <w:numFmt w:val="decimal"/>
      <w:lvlText w:val="%7."/>
      <w:lvlJc w:val="left"/>
      <w:pPr>
        <w:ind w:left="5040" w:hanging="360"/>
      </w:pPr>
    </w:lvl>
    <w:lvl w:ilvl="7" w:tplc="9280DE94">
      <w:start w:val="1"/>
      <w:numFmt w:val="lowerLetter"/>
      <w:lvlText w:val="%8."/>
      <w:lvlJc w:val="left"/>
      <w:pPr>
        <w:ind w:left="5760" w:hanging="360"/>
      </w:pPr>
    </w:lvl>
    <w:lvl w:ilvl="8" w:tplc="82B282B4">
      <w:start w:val="1"/>
      <w:numFmt w:val="lowerRoman"/>
      <w:lvlText w:val="%9."/>
      <w:lvlJc w:val="right"/>
      <w:pPr>
        <w:ind w:left="6480" w:hanging="180"/>
      </w:pPr>
    </w:lvl>
  </w:abstractNum>
  <w:abstractNum w:abstractNumId="20" w15:restartNumberingAfterBreak="0">
    <w:nsid w:val="2DEC70FA"/>
    <w:multiLevelType w:val="hybridMultilevel"/>
    <w:tmpl w:val="CF928A26"/>
    <w:lvl w:ilvl="0" w:tplc="6CB6F664">
      <w:start w:val="1"/>
      <w:numFmt w:val="decimal"/>
      <w:lvlText w:val="%1."/>
      <w:lvlJc w:val="left"/>
      <w:pPr>
        <w:ind w:left="720" w:hanging="360"/>
      </w:pPr>
    </w:lvl>
    <w:lvl w:ilvl="1" w:tplc="110A0904">
      <w:start w:val="1"/>
      <w:numFmt w:val="lowerLetter"/>
      <w:lvlText w:val="%2."/>
      <w:lvlJc w:val="left"/>
      <w:pPr>
        <w:ind w:left="1440" w:hanging="360"/>
      </w:pPr>
    </w:lvl>
    <w:lvl w:ilvl="2" w:tplc="2AF0A776">
      <w:start w:val="1"/>
      <w:numFmt w:val="lowerRoman"/>
      <w:lvlText w:val="%3."/>
      <w:lvlJc w:val="right"/>
      <w:pPr>
        <w:ind w:left="2160" w:hanging="180"/>
      </w:pPr>
    </w:lvl>
    <w:lvl w:ilvl="3" w:tplc="DC7E88FA">
      <w:start w:val="1"/>
      <w:numFmt w:val="decimal"/>
      <w:lvlText w:val="%4."/>
      <w:lvlJc w:val="left"/>
      <w:pPr>
        <w:ind w:left="2880" w:hanging="360"/>
      </w:pPr>
    </w:lvl>
    <w:lvl w:ilvl="4" w:tplc="57A00AEE">
      <w:start w:val="1"/>
      <w:numFmt w:val="lowerLetter"/>
      <w:lvlText w:val="%5."/>
      <w:lvlJc w:val="left"/>
      <w:pPr>
        <w:ind w:left="3600" w:hanging="360"/>
      </w:pPr>
    </w:lvl>
    <w:lvl w:ilvl="5" w:tplc="B3068D4A">
      <w:start w:val="1"/>
      <w:numFmt w:val="lowerRoman"/>
      <w:lvlText w:val="%6."/>
      <w:lvlJc w:val="right"/>
      <w:pPr>
        <w:ind w:left="4320" w:hanging="180"/>
      </w:pPr>
    </w:lvl>
    <w:lvl w:ilvl="6" w:tplc="B6402E38">
      <w:start w:val="1"/>
      <w:numFmt w:val="decimal"/>
      <w:lvlText w:val="%7."/>
      <w:lvlJc w:val="left"/>
      <w:pPr>
        <w:ind w:left="5040" w:hanging="360"/>
      </w:pPr>
    </w:lvl>
    <w:lvl w:ilvl="7" w:tplc="6FDCDFEE">
      <w:start w:val="1"/>
      <w:numFmt w:val="lowerLetter"/>
      <w:lvlText w:val="%8."/>
      <w:lvlJc w:val="left"/>
      <w:pPr>
        <w:ind w:left="5760" w:hanging="360"/>
      </w:pPr>
    </w:lvl>
    <w:lvl w:ilvl="8" w:tplc="56B0FAEC">
      <w:start w:val="1"/>
      <w:numFmt w:val="lowerRoman"/>
      <w:lvlText w:val="%9."/>
      <w:lvlJc w:val="right"/>
      <w:pPr>
        <w:ind w:left="6480" w:hanging="180"/>
      </w:pPr>
    </w:lvl>
  </w:abstractNum>
  <w:abstractNum w:abstractNumId="2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7144BC"/>
    <w:multiLevelType w:val="hybridMultilevel"/>
    <w:tmpl w:val="665657DA"/>
    <w:lvl w:ilvl="0" w:tplc="FFFFFFF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2B3290"/>
    <w:multiLevelType w:val="hybridMultilevel"/>
    <w:tmpl w:val="2A94CF20"/>
    <w:lvl w:ilvl="0" w:tplc="8256974A">
      <w:start w:val="1"/>
      <w:numFmt w:val="bullet"/>
      <w:lvlText w:val=""/>
      <w:lvlJc w:val="left"/>
      <w:pPr>
        <w:ind w:left="360" w:hanging="360"/>
      </w:pPr>
      <w:rPr>
        <w:rFonts w:ascii="Symbol" w:hAnsi="Symbol" w:hint="default"/>
        <w:b w:val="0"/>
        <w:color w:val="auto"/>
      </w:rPr>
    </w:lvl>
    <w:lvl w:ilvl="1" w:tplc="96A8169E">
      <w:start w:val="1"/>
      <w:numFmt w:val="bullet"/>
      <w:lvlText w:val="o"/>
      <w:lvlJc w:val="left"/>
      <w:pPr>
        <w:ind w:left="1080" w:hanging="360"/>
      </w:pPr>
      <w:rPr>
        <w:rFonts w:ascii="Courier New" w:hAnsi="Courier New" w:cs="Courier New" w:hint="default"/>
        <w:color w:val="auto"/>
      </w:rPr>
    </w:lvl>
    <w:lvl w:ilvl="2" w:tplc="22603556">
      <w:start w:val="1"/>
      <w:numFmt w:val="bullet"/>
      <w:lvlText w:val=""/>
      <w:lvlJc w:val="left"/>
      <w:pPr>
        <w:ind w:left="1800" w:hanging="360"/>
      </w:pPr>
      <w:rPr>
        <w:rFonts w:ascii="Wingdings" w:hAnsi="Wingdings" w:hint="default"/>
      </w:rPr>
    </w:lvl>
    <w:lvl w:ilvl="3" w:tplc="93E0953A">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25" w15:restartNumberingAfterBreak="0">
    <w:nsid w:val="3BFE3932"/>
    <w:multiLevelType w:val="hybridMultilevel"/>
    <w:tmpl w:val="7A5240B2"/>
    <w:lvl w:ilvl="0" w:tplc="FFFFFFFF">
      <w:start w:val="1"/>
      <w:numFmt w:val="decimal"/>
      <w:lvlText w:val="%1."/>
      <w:lvlJc w:val="left"/>
      <w:pPr>
        <w:ind w:left="360" w:hanging="360"/>
      </w:pPr>
    </w:lvl>
    <w:lvl w:ilvl="1" w:tplc="F200931C">
      <w:start w:val="1"/>
      <w:numFmt w:val="lowerLetter"/>
      <w:lvlText w:val="%2."/>
      <w:lvlJc w:val="left"/>
      <w:pPr>
        <w:ind w:left="1080" w:hanging="360"/>
      </w:pPr>
    </w:lvl>
    <w:lvl w:ilvl="2" w:tplc="2BB4E420">
      <w:start w:val="1"/>
      <w:numFmt w:val="lowerRoman"/>
      <w:lvlText w:val="%3."/>
      <w:lvlJc w:val="right"/>
      <w:pPr>
        <w:ind w:left="1800" w:hanging="180"/>
      </w:pPr>
    </w:lvl>
    <w:lvl w:ilvl="3" w:tplc="659C7F02">
      <w:start w:val="1"/>
      <w:numFmt w:val="decimal"/>
      <w:lvlText w:val="%4."/>
      <w:lvlJc w:val="left"/>
      <w:pPr>
        <w:ind w:left="2520" w:hanging="360"/>
      </w:pPr>
    </w:lvl>
    <w:lvl w:ilvl="4" w:tplc="16342908">
      <w:start w:val="1"/>
      <w:numFmt w:val="lowerLetter"/>
      <w:lvlText w:val="%5."/>
      <w:lvlJc w:val="left"/>
      <w:pPr>
        <w:ind w:left="3240" w:hanging="360"/>
      </w:pPr>
    </w:lvl>
    <w:lvl w:ilvl="5" w:tplc="8D5680F0">
      <w:start w:val="1"/>
      <w:numFmt w:val="lowerRoman"/>
      <w:lvlText w:val="%6."/>
      <w:lvlJc w:val="right"/>
      <w:pPr>
        <w:ind w:left="3960" w:hanging="180"/>
      </w:pPr>
    </w:lvl>
    <w:lvl w:ilvl="6" w:tplc="0ED8C40E">
      <w:start w:val="1"/>
      <w:numFmt w:val="decimal"/>
      <w:lvlText w:val="%7."/>
      <w:lvlJc w:val="left"/>
      <w:pPr>
        <w:ind w:left="4680" w:hanging="360"/>
      </w:pPr>
    </w:lvl>
    <w:lvl w:ilvl="7" w:tplc="C91254C0">
      <w:start w:val="1"/>
      <w:numFmt w:val="lowerLetter"/>
      <w:lvlText w:val="%8."/>
      <w:lvlJc w:val="left"/>
      <w:pPr>
        <w:ind w:left="5400" w:hanging="360"/>
      </w:pPr>
    </w:lvl>
    <w:lvl w:ilvl="8" w:tplc="9DC8AB14">
      <w:start w:val="1"/>
      <w:numFmt w:val="lowerRoman"/>
      <w:lvlText w:val="%9."/>
      <w:lvlJc w:val="right"/>
      <w:pPr>
        <w:ind w:left="6120" w:hanging="180"/>
      </w:pPr>
    </w:lvl>
  </w:abstractNum>
  <w:abstractNum w:abstractNumId="26"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DF671D"/>
    <w:multiLevelType w:val="hybridMultilevel"/>
    <w:tmpl w:val="262A995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2329B3"/>
    <w:multiLevelType w:val="hybridMultilevel"/>
    <w:tmpl w:val="FD8C75FC"/>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1" w15:restartNumberingAfterBreak="0">
    <w:nsid w:val="50144786"/>
    <w:multiLevelType w:val="hybridMultilevel"/>
    <w:tmpl w:val="4816F88C"/>
    <w:lvl w:ilvl="0" w:tplc="FFFFFFF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D54025"/>
    <w:multiLevelType w:val="multilevel"/>
    <w:tmpl w:val="1660AA50"/>
    <w:lvl w:ilvl="0">
      <w:start w:val="1"/>
      <w:numFmt w:val="decimal"/>
      <w:lvlText w:val="%1."/>
      <w:lvlJc w:val="left"/>
      <w:pPr>
        <w:ind w:left="511" w:hanging="369"/>
      </w:pPr>
      <w:rPr>
        <w:rFonts w:ascii="Arial" w:hAnsi="Arial" w:hint="default"/>
        <w:i w:val="0"/>
        <w:sz w:val="20"/>
        <w:szCs w:val="20"/>
      </w:rPr>
    </w:lvl>
    <w:lvl w:ilvl="1">
      <w:start w:val="1"/>
      <w:numFmt w:val="lowerLetter"/>
      <w:lvlText w:val="%2."/>
      <w:lvlJc w:val="left"/>
      <w:pPr>
        <w:ind w:left="795"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0A2DE7"/>
    <w:multiLevelType w:val="hybridMultilevel"/>
    <w:tmpl w:val="F40C2144"/>
    <w:lvl w:ilvl="0" w:tplc="FFFFFFFF">
      <w:start w:val="1"/>
      <w:numFmt w:val="decimal"/>
      <w:lvlText w:val="%1."/>
      <w:lvlJc w:val="left"/>
      <w:pPr>
        <w:ind w:left="720" w:hanging="360"/>
      </w:pPr>
    </w:lvl>
    <w:lvl w:ilvl="1" w:tplc="F200931C">
      <w:start w:val="1"/>
      <w:numFmt w:val="lowerLetter"/>
      <w:lvlText w:val="%2."/>
      <w:lvlJc w:val="left"/>
      <w:pPr>
        <w:ind w:left="1440" w:hanging="360"/>
      </w:pPr>
    </w:lvl>
    <w:lvl w:ilvl="2" w:tplc="2BB4E420">
      <w:start w:val="1"/>
      <w:numFmt w:val="lowerRoman"/>
      <w:lvlText w:val="%3."/>
      <w:lvlJc w:val="right"/>
      <w:pPr>
        <w:ind w:left="2160" w:hanging="180"/>
      </w:pPr>
    </w:lvl>
    <w:lvl w:ilvl="3" w:tplc="659C7F02">
      <w:start w:val="1"/>
      <w:numFmt w:val="decimal"/>
      <w:lvlText w:val="%4."/>
      <w:lvlJc w:val="left"/>
      <w:pPr>
        <w:ind w:left="2880" w:hanging="360"/>
      </w:pPr>
    </w:lvl>
    <w:lvl w:ilvl="4" w:tplc="16342908">
      <w:start w:val="1"/>
      <w:numFmt w:val="lowerLetter"/>
      <w:lvlText w:val="%5."/>
      <w:lvlJc w:val="left"/>
      <w:pPr>
        <w:ind w:left="3600" w:hanging="360"/>
      </w:pPr>
    </w:lvl>
    <w:lvl w:ilvl="5" w:tplc="8D5680F0">
      <w:start w:val="1"/>
      <w:numFmt w:val="lowerRoman"/>
      <w:lvlText w:val="%6."/>
      <w:lvlJc w:val="right"/>
      <w:pPr>
        <w:ind w:left="4320" w:hanging="180"/>
      </w:pPr>
    </w:lvl>
    <w:lvl w:ilvl="6" w:tplc="0ED8C40E">
      <w:start w:val="1"/>
      <w:numFmt w:val="decimal"/>
      <w:lvlText w:val="%7."/>
      <w:lvlJc w:val="left"/>
      <w:pPr>
        <w:ind w:left="5040" w:hanging="360"/>
      </w:pPr>
    </w:lvl>
    <w:lvl w:ilvl="7" w:tplc="C91254C0">
      <w:start w:val="1"/>
      <w:numFmt w:val="lowerLetter"/>
      <w:lvlText w:val="%8."/>
      <w:lvlJc w:val="left"/>
      <w:pPr>
        <w:ind w:left="5760" w:hanging="360"/>
      </w:pPr>
    </w:lvl>
    <w:lvl w:ilvl="8" w:tplc="9DC8AB14">
      <w:start w:val="1"/>
      <w:numFmt w:val="lowerRoman"/>
      <w:lvlText w:val="%9."/>
      <w:lvlJc w:val="right"/>
      <w:pPr>
        <w:ind w:left="6480" w:hanging="180"/>
      </w:pPr>
    </w:lvl>
  </w:abstractNum>
  <w:abstractNum w:abstractNumId="36" w15:restartNumberingAfterBreak="0">
    <w:nsid w:val="60DE693F"/>
    <w:multiLevelType w:val="hybridMultilevel"/>
    <w:tmpl w:val="F746B8B0"/>
    <w:lvl w:ilvl="0" w:tplc="0C09000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8"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9F0B2E"/>
    <w:multiLevelType w:val="hybridMultilevel"/>
    <w:tmpl w:val="1C80A6A2"/>
    <w:lvl w:ilvl="0" w:tplc="FE687D2C">
      <w:start w:val="1"/>
      <w:numFmt w:val="decimal"/>
      <w:lvlText w:val="%1."/>
      <w:lvlJc w:val="left"/>
      <w:pPr>
        <w:ind w:left="720" w:hanging="360"/>
      </w:pPr>
    </w:lvl>
    <w:lvl w:ilvl="1" w:tplc="6A6A034E">
      <w:start w:val="1"/>
      <w:numFmt w:val="lowerLetter"/>
      <w:lvlText w:val="%2."/>
      <w:lvlJc w:val="left"/>
      <w:pPr>
        <w:ind w:left="1440" w:hanging="360"/>
      </w:pPr>
    </w:lvl>
    <w:lvl w:ilvl="2" w:tplc="47BA2DA6">
      <w:start w:val="1"/>
      <w:numFmt w:val="lowerRoman"/>
      <w:lvlText w:val="%3."/>
      <w:lvlJc w:val="right"/>
      <w:pPr>
        <w:ind w:left="2160" w:hanging="180"/>
      </w:pPr>
    </w:lvl>
    <w:lvl w:ilvl="3" w:tplc="A0A2F882">
      <w:start w:val="1"/>
      <w:numFmt w:val="decimal"/>
      <w:lvlText w:val="%4."/>
      <w:lvlJc w:val="left"/>
      <w:pPr>
        <w:ind w:left="2880" w:hanging="360"/>
      </w:pPr>
    </w:lvl>
    <w:lvl w:ilvl="4" w:tplc="325EC2D2">
      <w:start w:val="1"/>
      <w:numFmt w:val="lowerLetter"/>
      <w:lvlText w:val="%5."/>
      <w:lvlJc w:val="left"/>
      <w:pPr>
        <w:ind w:left="3600" w:hanging="360"/>
      </w:pPr>
    </w:lvl>
    <w:lvl w:ilvl="5" w:tplc="75C81A88">
      <w:start w:val="1"/>
      <w:numFmt w:val="lowerRoman"/>
      <w:lvlText w:val="%6."/>
      <w:lvlJc w:val="right"/>
      <w:pPr>
        <w:ind w:left="4320" w:hanging="180"/>
      </w:pPr>
    </w:lvl>
    <w:lvl w:ilvl="6" w:tplc="1332E570">
      <w:start w:val="1"/>
      <w:numFmt w:val="decimal"/>
      <w:lvlText w:val="%7."/>
      <w:lvlJc w:val="left"/>
      <w:pPr>
        <w:ind w:left="5040" w:hanging="360"/>
      </w:pPr>
    </w:lvl>
    <w:lvl w:ilvl="7" w:tplc="83083128">
      <w:start w:val="1"/>
      <w:numFmt w:val="lowerLetter"/>
      <w:lvlText w:val="%8."/>
      <w:lvlJc w:val="left"/>
      <w:pPr>
        <w:ind w:left="5760" w:hanging="360"/>
      </w:pPr>
    </w:lvl>
    <w:lvl w:ilvl="8" w:tplc="5A106B9A">
      <w:start w:val="1"/>
      <w:numFmt w:val="lowerRoman"/>
      <w:lvlText w:val="%9."/>
      <w:lvlJc w:val="right"/>
      <w:pPr>
        <w:ind w:left="6480" w:hanging="180"/>
      </w:pPr>
    </w:lvl>
  </w:abstractNum>
  <w:abstractNum w:abstractNumId="40" w15:restartNumberingAfterBreak="0">
    <w:nsid w:val="67E04DA5"/>
    <w:multiLevelType w:val="multilevel"/>
    <w:tmpl w:val="1660AA50"/>
    <w:lvl w:ilvl="0">
      <w:start w:val="1"/>
      <w:numFmt w:val="decimal"/>
      <w:lvlText w:val="%1."/>
      <w:lvlJc w:val="left"/>
      <w:pPr>
        <w:ind w:left="511" w:hanging="369"/>
      </w:pPr>
      <w:rPr>
        <w:rFonts w:ascii="Arial" w:hAnsi="Arial" w:hint="default"/>
        <w:i w:val="0"/>
        <w:sz w:val="20"/>
        <w:szCs w:val="20"/>
      </w:rPr>
    </w:lvl>
    <w:lvl w:ilvl="1">
      <w:start w:val="1"/>
      <w:numFmt w:val="lowerLetter"/>
      <w:lvlText w:val="%2."/>
      <w:lvlJc w:val="left"/>
      <w:pPr>
        <w:ind w:left="795"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6ACC58FA"/>
    <w:multiLevelType w:val="hybridMultilevel"/>
    <w:tmpl w:val="F746B8B0"/>
    <w:lvl w:ilvl="0" w:tplc="FFFFFFF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B2548C6"/>
    <w:multiLevelType w:val="hybridMultilevel"/>
    <w:tmpl w:val="F40C2144"/>
    <w:lvl w:ilvl="0" w:tplc="FFFFFFFF">
      <w:start w:val="1"/>
      <w:numFmt w:val="decimal"/>
      <w:lvlText w:val="%1."/>
      <w:lvlJc w:val="left"/>
      <w:pPr>
        <w:ind w:left="720" w:hanging="360"/>
      </w:pPr>
    </w:lvl>
    <w:lvl w:ilvl="1" w:tplc="F200931C">
      <w:start w:val="1"/>
      <w:numFmt w:val="lowerLetter"/>
      <w:lvlText w:val="%2."/>
      <w:lvlJc w:val="left"/>
      <w:pPr>
        <w:ind w:left="1440" w:hanging="360"/>
      </w:pPr>
    </w:lvl>
    <w:lvl w:ilvl="2" w:tplc="2BB4E420">
      <w:start w:val="1"/>
      <w:numFmt w:val="lowerRoman"/>
      <w:lvlText w:val="%3."/>
      <w:lvlJc w:val="right"/>
      <w:pPr>
        <w:ind w:left="2160" w:hanging="180"/>
      </w:pPr>
    </w:lvl>
    <w:lvl w:ilvl="3" w:tplc="659C7F02">
      <w:start w:val="1"/>
      <w:numFmt w:val="decimal"/>
      <w:lvlText w:val="%4."/>
      <w:lvlJc w:val="left"/>
      <w:pPr>
        <w:ind w:left="2880" w:hanging="360"/>
      </w:pPr>
    </w:lvl>
    <w:lvl w:ilvl="4" w:tplc="16342908">
      <w:start w:val="1"/>
      <w:numFmt w:val="lowerLetter"/>
      <w:lvlText w:val="%5."/>
      <w:lvlJc w:val="left"/>
      <w:pPr>
        <w:ind w:left="3600" w:hanging="360"/>
      </w:pPr>
    </w:lvl>
    <w:lvl w:ilvl="5" w:tplc="8D5680F0">
      <w:start w:val="1"/>
      <w:numFmt w:val="lowerRoman"/>
      <w:lvlText w:val="%6."/>
      <w:lvlJc w:val="right"/>
      <w:pPr>
        <w:ind w:left="4320" w:hanging="180"/>
      </w:pPr>
    </w:lvl>
    <w:lvl w:ilvl="6" w:tplc="0ED8C40E">
      <w:start w:val="1"/>
      <w:numFmt w:val="decimal"/>
      <w:lvlText w:val="%7."/>
      <w:lvlJc w:val="left"/>
      <w:pPr>
        <w:ind w:left="5040" w:hanging="360"/>
      </w:pPr>
    </w:lvl>
    <w:lvl w:ilvl="7" w:tplc="C91254C0">
      <w:start w:val="1"/>
      <w:numFmt w:val="lowerLetter"/>
      <w:lvlText w:val="%8."/>
      <w:lvlJc w:val="left"/>
      <w:pPr>
        <w:ind w:left="5760" w:hanging="360"/>
      </w:pPr>
    </w:lvl>
    <w:lvl w:ilvl="8" w:tplc="9DC8AB14">
      <w:start w:val="1"/>
      <w:numFmt w:val="lowerRoman"/>
      <w:lvlText w:val="%9."/>
      <w:lvlJc w:val="right"/>
      <w:pPr>
        <w:ind w:left="6480" w:hanging="180"/>
      </w:pPr>
    </w:lvl>
  </w:abstractNum>
  <w:abstractNum w:abstractNumId="43" w15:restartNumberingAfterBreak="0">
    <w:nsid w:val="6B5B4EC7"/>
    <w:multiLevelType w:val="hybridMultilevel"/>
    <w:tmpl w:val="EC366D5C"/>
    <w:lvl w:ilvl="0" w:tplc="C3A65AA6">
      <w:start w:val="1"/>
      <w:numFmt w:val="decimal"/>
      <w:lvlText w:val="%1."/>
      <w:lvlJc w:val="left"/>
      <w:pPr>
        <w:ind w:left="720" w:hanging="360"/>
      </w:pPr>
    </w:lvl>
    <w:lvl w:ilvl="1" w:tplc="FB20A420">
      <w:start w:val="1"/>
      <w:numFmt w:val="lowerLetter"/>
      <w:lvlText w:val="%2."/>
      <w:lvlJc w:val="left"/>
      <w:pPr>
        <w:ind w:left="1440" w:hanging="360"/>
      </w:pPr>
    </w:lvl>
    <w:lvl w:ilvl="2" w:tplc="10E0C0F4">
      <w:start w:val="1"/>
      <w:numFmt w:val="lowerRoman"/>
      <w:lvlText w:val="%3."/>
      <w:lvlJc w:val="right"/>
      <w:pPr>
        <w:ind w:left="2160" w:hanging="180"/>
      </w:pPr>
    </w:lvl>
    <w:lvl w:ilvl="3" w:tplc="EBAA67BA">
      <w:start w:val="1"/>
      <w:numFmt w:val="decimal"/>
      <w:lvlText w:val="%4."/>
      <w:lvlJc w:val="left"/>
      <w:pPr>
        <w:ind w:left="2880" w:hanging="360"/>
      </w:pPr>
    </w:lvl>
    <w:lvl w:ilvl="4" w:tplc="A3AA5A3A">
      <w:start w:val="1"/>
      <w:numFmt w:val="lowerLetter"/>
      <w:lvlText w:val="%5."/>
      <w:lvlJc w:val="left"/>
      <w:pPr>
        <w:ind w:left="3600" w:hanging="360"/>
      </w:pPr>
    </w:lvl>
    <w:lvl w:ilvl="5" w:tplc="FBB60AFC">
      <w:start w:val="1"/>
      <w:numFmt w:val="lowerRoman"/>
      <w:lvlText w:val="%6."/>
      <w:lvlJc w:val="right"/>
      <w:pPr>
        <w:ind w:left="4320" w:hanging="180"/>
      </w:pPr>
    </w:lvl>
    <w:lvl w:ilvl="6" w:tplc="AD4259F6">
      <w:start w:val="1"/>
      <w:numFmt w:val="decimal"/>
      <w:lvlText w:val="%7."/>
      <w:lvlJc w:val="left"/>
      <w:pPr>
        <w:ind w:left="5040" w:hanging="360"/>
      </w:pPr>
    </w:lvl>
    <w:lvl w:ilvl="7" w:tplc="87880E6C">
      <w:start w:val="1"/>
      <w:numFmt w:val="lowerLetter"/>
      <w:lvlText w:val="%8."/>
      <w:lvlJc w:val="left"/>
      <w:pPr>
        <w:ind w:left="5760" w:hanging="360"/>
      </w:pPr>
    </w:lvl>
    <w:lvl w:ilvl="8" w:tplc="BEAE8CA6">
      <w:start w:val="1"/>
      <w:numFmt w:val="lowerRoman"/>
      <w:lvlText w:val="%9."/>
      <w:lvlJc w:val="right"/>
      <w:pPr>
        <w:ind w:left="6480" w:hanging="180"/>
      </w:pPr>
    </w:lvl>
  </w:abstractNum>
  <w:abstractNum w:abstractNumId="44" w15:restartNumberingAfterBreak="0">
    <w:nsid w:val="6F816586"/>
    <w:multiLevelType w:val="hybridMultilevel"/>
    <w:tmpl w:val="2EF84C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8" w15:restartNumberingAfterBreak="0">
    <w:nsid w:val="774C798E"/>
    <w:multiLevelType w:val="hybridMultilevel"/>
    <w:tmpl w:val="FB9668FE"/>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43"/>
  </w:num>
  <w:num w:numId="4">
    <w:abstractNumId w:val="19"/>
  </w:num>
  <w:num w:numId="5">
    <w:abstractNumId w:val="39"/>
  </w:num>
  <w:num w:numId="6">
    <w:abstractNumId w:val="25"/>
  </w:num>
  <w:num w:numId="7">
    <w:abstractNumId w:val="47"/>
  </w:num>
  <w:num w:numId="8">
    <w:abstractNumId w:val="5"/>
  </w:num>
  <w:num w:numId="9">
    <w:abstractNumId w:val="23"/>
  </w:num>
  <w:num w:numId="10">
    <w:abstractNumId w:val="21"/>
  </w:num>
  <w:num w:numId="11">
    <w:abstractNumId w:val="37"/>
  </w:num>
  <w:num w:numId="12">
    <w:abstractNumId w:val="28"/>
  </w:num>
  <w:num w:numId="13">
    <w:abstractNumId w:val="14"/>
  </w:num>
  <w:num w:numId="14">
    <w:abstractNumId w:val="14"/>
  </w:num>
  <w:num w:numId="15">
    <w:abstractNumId w:val="15"/>
  </w:num>
  <w:num w:numId="16">
    <w:abstractNumId w:val="13"/>
  </w:num>
  <w:num w:numId="17">
    <w:abstractNumId w:val="8"/>
  </w:num>
  <w:num w:numId="18">
    <w:abstractNumId w:val="45"/>
  </w:num>
  <w:num w:numId="19">
    <w:abstractNumId w:val="32"/>
  </w:num>
  <w:num w:numId="20">
    <w:abstractNumId w:val="10"/>
  </w:num>
  <w:num w:numId="21">
    <w:abstractNumId w:val="49"/>
  </w:num>
  <w:num w:numId="22">
    <w:abstractNumId w:val="3"/>
  </w:num>
  <w:num w:numId="23">
    <w:abstractNumId w:val="1"/>
  </w:num>
  <w:num w:numId="24">
    <w:abstractNumId w:val="0"/>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9"/>
  </w:num>
  <w:num w:numId="29">
    <w:abstractNumId w:val="38"/>
  </w:num>
  <w:num w:numId="30">
    <w:abstractNumId w:val="11"/>
  </w:num>
  <w:num w:numId="31">
    <w:abstractNumId w:val="29"/>
  </w:num>
  <w:num w:numId="32">
    <w:abstractNumId w:val="46"/>
  </w:num>
  <w:num w:numId="33">
    <w:abstractNumId w:val="26"/>
  </w:num>
  <w:num w:numId="34">
    <w:abstractNumId w:val="28"/>
    <w:lvlOverride w:ilvl="0">
      <w:startOverride w:val="1"/>
    </w:lvlOverride>
  </w:num>
  <w:num w:numId="35">
    <w:abstractNumId w:val="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
  </w:num>
  <w:num w:numId="40">
    <w:abstractNumId w:val="44"/>
  </w:num>
  <w:num w:numId="41">
    <w:abstractNumId w:val="40"/>
  </w:num>
  <w:num w:numId="42">
    <w:abstractNumId w:val="12"/>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41"/>
  </w:num>
  <w:num w:numId="47">
    <w:abstractNumId w:val="18"/>
  </w:num>
  <w:num w:numId="48">
    <w:abstractNumId w:val="16"/>
  </w:num>
  <w:num w:numId="49">
    <w:abstractNumId w:val="27"/>
  </w:num>
  <w:num w:numId="50">
    <w:abstractNumId w:val="6"/>
  </w:num>
  <w:num w:numId="51">
    <w:abstractNumId w:val="22"/>
  </w:num>
  <w:num w:numId="52">
    <w:abstractNumId w:val="21"/>
  </w:num>
  <w:num w:numId="53">
    <w:abstractNumId w:val="31"/>
  </w:num>
  <w:num w:numId="54">
    <w:abstractNumId w:val="42"/>
  </w:num>
  <w:num w:numId="55">
    <w:abstractNumId w:val="35"/>
  </w:num>
  <w:num w:numId="56">
    <w:abstractNumId w:val="48"/>
  </w:num>
  <w:num w:numId="57">
    <w:abstractNumId w:val="30"/>
  </w:num>
  <w:num w:numId="58">
    <w:abstractNumId w:val="33"/>
  </w:num>
  <w:num w:numId="5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ABB"/>
    <w:rsid w:val="00001CD9"/>
    <w:rsid w:val="000041A3"/>
    <w:rsid w:val="0000491C"/>
    <w:rsid w:val="00004AEE"/>
    <w:rsid w:val="00005CAA"/>
    <w:rsid w:val="00006757"/>
    <w:rsid w:val="00006D29"/>
    <w:rsid w:val="00010210"/>
    <w:rsid w:val="0001045A"/>
    <w:rsid w:val="00010F99"/>
    <w:rsid w:val="00011EFD"/>
    <w:rsid w:val="00012D66"/>
    <w:rsid w:val="00015ADA"/>
    <w:rsid w:val="00017441"/>
    <w:rsid w:val="0002020C"/>
    <w:rsid w:val="0002041B"/>
    <w:rsid w:val="00020C99"/>
    <w:rsid w:val="000212A9"/>
    <w:rsid w:val="00021752"/>
    <w:rsid w:val="00021E2A"/>
    <w:rsid w:val="00022481"/>
    <w:rsid w:val="00023350"/>
    <w:rsid w:val="00023968"/>
    <w:rsid w:val="00025E95"/>
    <w:rsid w:val="000265B2"/>
    <w:rsid w:val="00026A2C"/>
    <w:rsid w:val="0002707B"/>
    <w:rsid w:val="00030A59"/>
    <w:rsid w:val="00031B32"/>
    <w:rsid w:val="00032668"/>
    <w:rsid w:val="00041D16"/>
    <w:rsid w:val="000422C9"/>
    <w:rsid w:val="000445E2"/>
    <w:rsid w:val="000460B0"/>
    <w:rsid w:val="00046C6F"/>
    <w:rsid w:val="00046EBF"/>
    <w:rsid w:val="0005148E"/>
    <w:rsid w:val="000538A6"/>
    <w:rsid w:val="000547F0"/>
    <w:rsid w:val="00054DE1"/>
    <w:rsid w:val="00055D15"/>
    <w:rsid w:val="00060C5A"/>
    <w:rsid w:val="00062A46"/>
    <w:rsid w:val="00062F2B"/>
    <w:rsid w:val="00064061"/>
    <w:rsid w:val="00065830"/>
    <w:rsid w:val="00067209"/>
    <w:rsid w:val="00070E30"/>
    <w:rsid w:val="00071285"/>
    <w:rsid w:val="000713D2"/>
    <w:rsid w:val="0007346B"/>
    <w:rsid w:val="00075855"/>
    <w:rsid w:val="000759E5"/>
    <w:rsid w:val="0007601C"/>
    <w:rsid w:val="00076226"/>
    <w:rsid w:val="00077AD4"/>
    <w:rsid w:val="00080FE0"/>
    <w:rsid w:val="00081FC9"/>
    <w:rsid w:val="000821E0"/>
    <w:rsid w:val="00083D78"/>
    <w:rsid w:val="00084AC6"/>
    <w:rsid w:val="00085816"/>
    <w:rsid w:val="00085D83"/>
    <w:rsid w:val="000865D6"/>
    <w:rsid w:val="000903E9"/>
    <w:rsid w:val="00091608"/>
    <w:rsid w:val="0009196E"/>
    <w:rsid w:val="00091AD0"/>
    <w:rsid w:val="0009273D"/>
    <w:rsid w:val="00092F92"/>
    <w:rsid w:val="0009333C"/>
    <w:rsid w:val="000935AB"/>
    <w:rsid w:val="00093BBE"/>
    <w:rsid w:val="00093E5E"/>
    <w:rsid w:val="00094729"/>
    <w:rsid w:val="0009704F"/>
    <w:rsid w:val="000A0ED4"/>
    <w:rsid w:val="000A0F11"/>
    <w:rsid w:val="000A125A"/>
    <w:rsid w:val="000A227E"/>
    <w:rsid w:val="000A228F"/>
    <w:rsid w:val="000A35C9"/>
    <w:rsid w:val="000A4367"/>
    <w:rsid w:val="000A57CD"/>
    <w:rsid w:val="000A6A07"/>
    <w:rsid w:val="000A7A12"/>
    <w:rsid w:val="000B143D"/>
    <w:rsid w:val="000B19C1"/>
    <w:rsid w:val="000B2FF3"/>
    <w:rsid w:val="000B3758"/>
    <w:rsid w:val="000B4627"/>
    <w:rsid w:val="000B5CEF"/>
    <w:rsid w:val="000B7681"/>
    <w:rsid w:val="000B7B42"/>
    <w:rsid w:val="000C02B7"/>
    <w:rsid w:val="000C0AFB"/>
    <w:rsid w:val="000C2814"/>
    <w:rsid w:val="000C37B9"/>
    <w:rsid w:val="000C3BEE"/>
    <w:rsid w:val="000C451B"/>
    <w:rsid w:val="000C5342"/>
    <w:rsid w:val="000C706A"/>
    <w:rsid w:val="000D07F5"/>
    <w:rsid w:val="000D2221"/>
    <w:rsid w:val="000D2887"/>
    <w:rsid w:val="000D2E85"/>
    <w:rsid w:val="000D39B0"/>
    <w:rsid w:val="000D4ECA"/>
    <w:rsid w:val="000D5A46"/>
    <w:rsid w:val="000D6D63"/>
    <w:rsid w:val="000D706B"/>
    <w:rsid w:val="000D73F4"/>
    <w:rsid w:val="000D760C"/>
    <w:rsid w:val="000D76DD"/>
    <w:rsid w:val="000D7810"/>
    <w:rsid w:val="000E0081"/>
    <w:rsid w:val="000E07CF"/>
    <w:rsid w:val="000E2041"/>
    <w:rsid w:val="000E4FB9"/>
    <w:rsid w:val="000E5518"/>
    <w:rsid w:val="000E76A3"/>
    <w:rsid w:val="000E7DFC"/>
    <w:rsid w:val="000F240D"/>
    <w:rsid w:val="000F74F0"/>
    <w:rsid w:val="001008E1"/>
    <w:rsid w:val="00100B9D"/>
    <w:rsid w:val="00100BEF"/>
    <w:rsid w:val="0010284B"/>
    <w:rsid w:val="00102E17"/>
    <w:rsid w:val="00103863"/>
    <w:rsid w:val="0010501A"/>
    <w:rsid w:val="001057C5"/>
    <w:rsid w:val="00105F63"/>
    <w:rsid w:val="001138A0"/>
    <w:rsid w:val="0011498E"/>
    <w:rsid w:val="00115C61"/>
    <w:rsid w:val="00115DE3"/>
    <w:rsid w:val="00116F28"/>
    <w:rsid w:val="00116FCC"/>
    <w:rsid w:val="0011730D"/>
    <w:rsid w:val="00117946"/>
    <w:rsid w:val="00117A45"/>
    <w:rsid w:val="00117A50"/>
    <w:rsid w:val="00120DBF"/>
    <w:rsid w:val="00121BCC"/>
    <w:rsid w:val="001224AE"/>
    <w:rsid w:val="00123035"/>
    <w:rsid w:val="0012388C"/>
    <w:rsid w:val="001248A5"/>
    <w:rsid w:val="00127D30"/>
    <w:rsid w:val="00131FAD"/>
    <w:rsid w:val="00132BCD"/>
    <w:rsid w:val="001337D4"/>
    <w:rsid w:val="001340EA"/>
    <w:rsid w:val="001405AA"/>
    <w:rsid w:val="00141E02"/>
    <w:rsid w:val="001423F2"/>
    <w:rsid w:val="00147C12"/>
    <w:rsid w:val="00147EFC"/>
    <w:rsid w:val="00151189"/>
    <w:rsid w:val="001527A1"/>
    <w:rsid w:val="001530DC"/>
    <w:rsid w:val="00153960"/>
    <w:rsid w:val="001539AF"/>
    <w:rsid w:val="00154041"/>
    <w:rsid w:val="00154989"/>
    <w:rsid w:val="00154C2A"/>
    <w:rsid w:val="00154D21"/>
    <w:rsid w:val="00155A9F"/>
    <w:rsid w:val="0015643B"/>
    <w:rsid w:val="0015684F"/>
    <w:rsid w:val="00156CA4"/>
    <w:rsid w:val="00160262"/>
    <w:rsid w:val="001608E8"/>
    <w:rsid w:val="001611F9"/>
    <w:rsid w:val="0016186F"/>
    <w:rsid w:val="0016187F"/>
    <w:rsid w:val="00161BD2"/>
    <w:rsid w:val="0016281C"/>
    <w:rsid w:val="0016433A"/>
    <w:rsid w:val="0016453F"/>
    <w:rsid w:val="00166F7B"/>
    <w:rsid w:val="00167602"/>
    <w:rsid w:val="0016780A"/>
    <w:rsid w:val="0016795A"/>
    <w:rsid w:val="00167CFD"/>
    <w:rsid w:val="001706AD"/>
    <w:rsid w:val="001713FA"/>
    <w:rsid w:val="00171A13"/>
    <w:rsid w:val="00171A7C"/>
    <w:rsid w:val="00173EBF"/>
    <w:rsid w:val="001765DA"/>
    <w:rsid w:val="00180F27"/>
    <w:rsid w:val="001826ED"/>
    <w:rsid w:val="001842A2"/>
    <w:rsid w:val="001844C5"/>
    <w:rsid w:val="00184744"/>
    <w:rsid w:val="00185039"/>
    <w:rsid w:val="00185407"/>
    <w:rsid w:val="00186465"/>
    <w:rsid w:val="00186CED"/>
    <w:rsid w:val="00187E97"/>
    <w:rsid w:val="00187FA8"/>
    <w:rsid w:val="001908E5"/>
    <w:rsid w:val="001915A5"/>
    <w:rsid w:val="001922D0"/>
    <w:rsid w:val="00192D2D"/>
    <w:rsid w:val="00192F5E"/>
    <w:rsid w:val="001941BA"/>
    <w:rsid w:val="00195307"/>
    <w:rsid w:val="00197772"/>
    <w:rsid w:val="0019797E"/>
    <w:rsid w:val="001A1E2D"/>
    <w:rsid w:val="001A2FF4"/>
    <w:rsid w:val="001A3BCA"/>
    <w:rsid w:val="001A4EAA"/>
    <w:rsid w:val="001A51C8"/>
    <w:rsid w:val="001A5798"/>
    <w:rsid w:val="001A74D9"/>
    <w:rsid w:val="001A7CE0"/>
    <w:rsid w:val="001B422A"/>
    <w:rsid w:val="001B472B"/>
    <w:rsid w:val="001B4C58"/>
    <w:rsid w:val="001B4CA8"/>
    <w:rsid w:val="001C2A92"/>
    <w:rsid w:val="001C4380"/>
    <w:rsid w:val="001C4F3D"/>
    <w:rsid w:val="001D0CDC"/>
    <w:rsid w:val="001D1D82"/>
    <w:rsid w:val="001D2509"/>
    <w:rsid w:val="001D3D87"/>
    <w:rsid w:val="001D4CAD"/>
    <w:rsid w:val="001D5BDD"/>
    <w:rsid w:val="001D63A7"/>
    <w:rsid w:val="001E05A1"/>
    <w:rsid w:val="001E1182"/>
    <w:rsid w:val="001E1F58"/>
    <w:rsid w:val="001E2E34"/>
    <w:rsid w:val="001E3A42"/>
    <w:rsid w:val="001E53DC"/>
    <w:rsid w:val="001E5BD1"/>
    <w:rsid w:val="001E6FB6"/>
    <w:rsid w:val="001F027A"/>
    <w:rsid w:val="001F0E8B"/>
    <w:rsid w:val="001F119B"/>
    <w:rsid w:val="001F4C77"/>
    <w:rsid w:val="001F514E"/>
    <w:rsid w:val="00200944"/>
    <w:rsid w:val="00201C38"/>
    <w:rsid w:val="0020210F"/>
    <w:rsid w:val="00202387"/>
    <w:rsid w:val="0020244E"/>
    <w:rsid w:val="00202C90"/>
    <w:rsid w:val="00204C96"/>
    <w:rsid w:val="00206980"/>
    <w:rsid w:val="00207B34"/>
    <w:rsid w:val="002102C0"/>
    <w:rsid w:val="00213DE8"/>
    <w:rsid w:val="002140AE"/>
    <w:rsid w:val="00214306"/>
    <w:rsid w:val="00216118"/>
    <w:rsid w:val="002209AB"/>
    <w:rsid w:val="002209B3"/>
    <w:rsid w:val="002251E3"/>
    <w:rsid w:val="00226095"/>
    <w:rsid w:val="002262E6"/>
    <w:rsid w:val="00226D9C"/>
    <w:rsid w:val="00227A95"/>
    <w:rsid w:val="00227F6C"/>
    <w:rsid w:val="0023041C"/>
    <w:rsid w:val="00230AEC"/>
    <w:rsid w:val="0023104F"/>
    <w:rsid w:val="002315D3"/>
    <w:rsid w:val="002316BD"/>
    <w:rsid w:val="00233687"/>
    <w:rsid w:val="002336F3"/>
    <w:rsid w:val="00234BC5"/>
    <w:rsid w:val="0023557B"/>
    <w:rsid w:val="00235E36"/>
    <w:rsid w:val="002361DE"/>
    <w:rsid w:val="00236291"/>
    <w:rsid w:val="00236368"/>
    <w:rsid w:val="00237A29"/>
    <w:rsid w:val="00245366"/>
    <w:rsid w:val="00245FBF"/>
    <w:rsid w:val="00246526"/>
    <w:rsid w:val="002473FC"/>
    <w:rsid w:val="0025066C"/>
    <w:rsid w:val="00252E3C"/>
    <w:rsid w:val="00253320"/>
    <w:rsid w:val="002538AC"/>
    <w:rsid w:val="00256948"/>
    <w:rsid w:val="00261F4E"/>
    <w:rsid w:val="00262198"/>
    <w:rsid w:val="00262ABF"/>
    <w:rsid w:val="002635D8"/>
    <w:rsid w:val="002637A8"/>
    <w:rsid w:val="00264083"/>
    <w:rsid w:val="00264AF9"/>
    <w:rsid w:val="00266F6E"/>
    <w:rsid w:val="0027056C"/>
    <w:rsid w:val="00271F06"/>
    <w:rsid w:val="0027227F"/>
    <w:rsid w:val="00272559"/>
    <w:rsid w:val="0027357B"/>
    <w:rsid w:val="00274E83"/>
    <w:rsid w:val="00275EA0"/>
    <w:rsid w:val="00277426"/>
    <w:rsid w:val="002778F1"/>
    <w:rsid w:val="00277A51"/>
    <w:rsid w:val="002801BE"/>
    <w:rsid w:val="00282252"/>
    <w:rsid w:val="002828F3"/>
    <w:rsid w:val="00284D7D"/>
    <w:rsid w:val="0028519D"/>
    <w:rsid w:val="00285340"/>
    <w:rsid w:val="00285F1B"/>
    <w:rsid w:val="002862CD"/>
    <w:rsid w:val="0028653A"/>
    <w:rsid w:val="00286AC2"/>
    <w:rsid w:val="00291857"/>
    <w:rsid w:val="00292B81"/>
    <w:rsid w:val="0029322E"/>
    <w:rsid w:val="002932C8"/>
    <w:rsid w:val="00293EA4"/>
    <w:rsid w:val="00294A0A"/>
    <w:rsid w:val="002950CA"/>
    <w:rsid w:val="00296477"/>
    <w:rsid w:val="002974BC"/>
    <w:rsid w:val="002A217A"/>
    <w:rsid w:val="002A4E05"/>
    <w:rsid w:val="002A5E9D"/>
    <w:rsid w:val="002A5EC3"/>
    <w:rsid w:val="002A6BC2"/>
    <w:rsid w:val="002B18AE"/>
    <w:rsid w:val="002B20DD"/>
    <w:rsid w:val="002B5139"/>
    <w:rsid w:val="002B530A"/>
    <w:rsid w:val="002B6472"/>
    <w:rsid w:val="002B67D3"/>
    <w:rsid w:val="002B6898"/>
    <w:rsid w:val="002C1C93"/>
    <w:rsid w:val="002C276F"/>
    <w:rsid w:val="002C3257"/>
    <w:rsid w:val="002C3738"/>
    <w:rsid w:val="002C4B31"/>
    <w:rsid w:val="002C5066"/>
    <w:rsid w:val="002C726B"/>
    <w:rsid w:val="002C7817"/>
    <w:rsid w:val="002D0512"/>
    <w:rsid w:val="002D13C4"/>
    <w:rsid w:val="002D377C"/>
    <w:rsid w:val="002D3959"/>
    <w:rsid w:val="002D4AAC"/>
    <w:rsid w:val="002D5BF5"/>
    <w:rsid w:val="002D6323"/>
    <w:rsid w:val="002D65C4"/>
    <w:rsid w:val="002D6C33"/>
    <w:rsid w:val="002E0B3D"/>
    <w:rsid w:val="002E0C2D"/>
    <w:rsid w:val="002E1AB0"/>
    <w:rsid w:val="002E413F"/>
    <w:rsid w:val="002E43EF"/>
    <w:rsid w:val="002F045A"/>
    <w:rsid w:val="002F1182"/>
    <w:rsid w:val="002F2C54"/>
    <w:rsid w:val="002F6753"/>
    <w:rsid w:val="002F6C08"/>
    <w:rsid w:val="002F71A3"/>
    <w:rsid w:val="002F769C"/>
    <w:rsid w:val="002F7F47"/>
    <w:rsid w:val="0030039D"/>
    <w:rsid w:val="0030066F"/>
    <w:rsid w:val="00300715"/>
    <w:rsid w:val="0030125B"/>
    <w:rsid w:val="00302720"/>
    <w:rsid w:val="00302C29"/>
    <w:rsid w:val="0030326F"/>
    <w:rsid w:val="003033A6"/>
    <w:rsid w:val="003033AF"/>
    <w:rsid w:val="00304F19"/>
    <w:rsid w:val="00305121"/>
    <w:rsid w:val="0031005C"/>
    <w:rsid w:val="003103E0"/>
    <w:rsid w:val="00310701"/>
    <w:rsid w:val="00311510"/>
    <w:rsid w:val="00312969"/>
    <w:rsid w:val="003129A4"/>
    <w:rsid w:val="003138AC"/>
    <w:rsid w:val="00315106"/>
    <w:rsid w:val="00315980"/>
    <w:rsid w:val="00315DEF"/>
    <w:rsid w:val="003166CB"/>
    <w:rsid w:val="00316F7F"/>
    <w:rsid w:val="00317622"/>
    <w:rsid w:val="00317D29"/>
    <w:rsid w:val="00320162"/>
    <w:rsid w:val="003204AE"/>
    <w:rsid w:val="0032087E"/>
    <w:rsid w:val="003218E8"/>
    <w:rsid w:val="00321CA9"/>
    <w:rsid w:val="00322F5C"/>
    <w:rsid w:val="00324CBA"/>
    <w:rsid w:val="0032620F"/>
    <w:rsid w:val="00330300"/>
    <w:rsid w:val="00330DCE"/>
    <w:rsid w:val="00330E27"/>
    <w:rsid w:val="00331E11"/>
    <w:rsid w:val="00332ABE"/>
    <w:rsid w:val="00334761"/>
    <w:rsid w:val="00334ED2"/>
    <w:rsid w:val="00335D41"/>
    <w:rsid w:val="003363C4"/>
    <w:rsid w:val="00336708"/>
    <w:rsid w:val="0033794B"/>
    <w:rsid w:val="00337EBC"/>
    <w:rsid w:val="0034033E"/>
    <w:rsid w:val="0034038C"/>
    <w:rsid w:val="00340391"/>
    <w:rsid w:val="0034091A"/>
    <w:rsid w:val="00341DCD"/>
    <w:rsid w:val="00343E78"/>
    <w:rsid w:val="0034504D"/>
    <w:rsid w:val="0034563E"/>
    <w:rsid w:val="003463DA"/>
    <w:rsid w:val="00350103"/>
    <w:rsid w:val="003504CC"/>
    <w:rsid w:val="003518D6"/>
    <w:rsid w:val="00351C0E"/>
    <w:rsid w:val="0035460C"/>
    <w:rsid w:val="003556BD"/>
    <w:rsid w:val="00355E39"/>
    <w:rsid w:val="003624D6"/>
    <w:rsid w:val="00362877"/>
    <w:rsid w:val="00364E6D"/>
    <w:rsid w:val="00365147"/>
    <w:rsid w:val="0037016E"/>
    <w:rsid w:val="00370776"/>
    <w:rsid w:val="00370E55"/>
    <w:rsid w:val="00372908"/>
    <w:rsid w:val="00372E20"/>
    <w:rsid w:val="00374416"/>
    <w:rsid w:val="00376457"/>
    <w:rsid w:val="0037694D"/>
    <w:rsid w:val="00376E4F"/>
    <w:rsid w:val="00380042"/>
    <w:rsid w:val="00380C3D"/>
    <w:rsid w:val="0038115F"/>
    <w:rsid w:val="003811F8"/>
    <w:rsid w:val="00381917"/>
    <w:rsid w:val="00383020"/>
    <w:rsid w:val="003836D3"/>
    <w:rsid w:val="00383750"/>
    <w:rsid w:val="00383A53"/>
    <w:rsid w:val="00383B18"/>
    <w:rsid w:val="00391882"/>
    <w:rsid w:val="0039194A"/>
    <w:rsid w:val="00392E30"/>
    <w:rsid w:val="00393110"/>
    <w:rsid w:val="003952CA"/>
    <w:rsid w:val="0039584A"/>
    <w:rsid w:val="003975FD"/>
    <w:rsid w:val="003A0593"/>
    <w:rsid w:val="003A32DE"/>
    <w:rsid w:val="003A4CF2"/>
    <w:rsid w:val="003A58E3"/>
    <w:rsid w:val="003A6C4A"/>
    <w:rsid w:val="003A7890"/>
    <w:rsid w:val="003B0804"/>
    <w:rsid w:val="003B38CD"/>
    <w:rsid w:val="003B3CAA"/>
    <w:rsid w:val="003B4479"/>
    <w:rsid w:val="003B5848"/>
    <w:rsid w:val="003B5A88"/>
    <w:rsid w:val="003B60CC"/>
    <w:rsid w:val="003B6B72"/>
    <w:rsid w:val="003C1628"/>
    <w:rsid w:val="003C1896"/>
    <w:rsid w:val="003C1B25"/>
    <w:rsid w:val="003C2443"/>
    <w:rsid w:val="003C299D"/>
    <w:rsid w:val="003C31B6"/>
    <w:rsid w:val="003C31E0"/>
    <w:rsid w:val="003C33E2"/>
    <w:rsid w:val="003C5784"/>
    <w:rsid w:val="003C5DA3"/>
    <w:rsid w:val="003D0104"/>
    <w:rsid w:val="003D2793"/>
    <w:rsid w:val="003D4BCD"/>
    <w:rsid w:val="003E01D8"/>
    <w:rsid w:val="003E10B0"/>
    <w:rsid w:val="003E129B"/>
    <w:rsid w:val="003E2100"/>
    <w:rsid w:val="003E2135"/>
    <w:rsid w:val="003E2BDB"/>
    <w:rsid w:val="003E45FA"/>
    <w:rsid w:val="003E53CA"/>
    <w:rsid w:val="003E5BA6"/>
    <w:rsid w:val="003E5ED5"/>
    <w:rsid w:val="003E7547"/>
    <w:rsid w:val="003E7F08"/>
    <w:rsid w:val="003F0285"/>
    <w:rsid w:val="003F0CB7"/>
    <w:rsid w:val="003F2BC8"/>
    <w:rsid w:val="003F567B"/>
    <w:rsid w:val="003F6921"/>
    <w:rsid w:val="003F6F5B"/>
    <w:rsid w:val="00400F8F"/>
    <w:rsid w:val="0040342D"/>
    <w:rsid w:val="00403FB9"/>
    <w:rsid w:val="00405E1C"/>
    <w:rsid w:val="00405F7B"/>
    <w:rsid w:val="004118D4"/>
    <w:rsid w:val="0041192D"/>
    <w:rsid w:val="0041275D"/>
    <w:rsid w:val="00413BB9"/>
    <w:rsid w:val="00413EE1"/>
    <w:rsid w:val="00413FA2"/>
    <w:rsid w:val="00414FF7"/>
    <w:rsid w:val="00417FB8"/>
    <w:rsid w:val="0042128E"/>
    <w:rsid w:val="0042210E"/>
    <w:rsid w:val="00423E0A"/>
    <w:rsid w:val="0042465A"/>
    <w:rsid w:val="0042488E"/>
    <w:rsid w:val="00426853"/>
    <w:rsid w:val="00427549"/>
    <w:rsid w:val="00432B60"/>
    <w:rsid w:val="004333E6"/>
    <w:rsid w:val="00434D17"/>
    <w:rsid w:val="004356EC"/>
    <w:rsid w:val="00436A8C"/>
    <w:rsid w:val="00440698"/>
    <w:rsid w:val="00441C34"/>
    <w:rsid w:val="0044670A"/>
    <w:rsid w:val="004474DE"/>
    <w:rsid w:val="00447B07"/>
    <w:rsid w:val="00447BC6"/>
    <w:rsid w:val="00447F28"/>
    <w:rsid w:val="00450600"/>
    <w:rsid w:val="004540E2"/>
    <w:rsid w:val="00454454"/>
    <w:rsid w:val="0045453B"/>
    <w:rsid w:val="00456C4C"/>
    <w:rsid w:val="00456FA1"/>
    <w:rsid w:val="00460F29"/>
    <w:rsid w:val="00461A25"/>
    <w:rsid w:val="004627B8"/>
    <w:rsid w:val="00463053"/>
    <w:rsid w:val="00464351"/>
    <w:rsid w:val="00464C3F"/>
    <w:rsid w:val="0046648C"/>
    <w:rsid w:val="00467924"/>
    <w:rsid w:val="004712A5"/>
    <w:rsid w:val="00471E03"/>
    <w:rsid w:val="0047266F"/>
    <w:rsid w:val="00474DBC"/>
    <w:rsid w:val="004756EB"/>
    <w:rsid w:val="00476846"/>
    <w:rsid w:val="00476D6B"/>
    <w:rsid w:val="0048018F"/>
    <w:rsid w:val="00484918"/>
    <w:rsid w:val="00484DBF"/>
    <w:rsid w:val="004861E6"/>
    <w:rsid w:val="0049013A"/>
    <w:rsid w:val="00490708"/>
    <w:rsid w:val="00491121"/>
    <w:rsid w:val="00491349"/>
    <w:rsid w:val="00492025"/>
    <w:rsid w:val="0049287A"/>
    <w:rsid w:val="00492C16"/>
    <w:rsid w:val="00495999"/>
    <w:rsid w:val="0049795D"/>
    <w:rsid w:val="004A014F"/>
    <w:rsid w:val="004A0678"/>
    <w:rsid w:val="004A1EA9"/>
    <w:rsid w:val="004A48A3"/>
    <w:rsid w:val="004A5B01"/>
    <w:rsid w:val="004A6479"/>
    <w:rsid w:val="004A7877"/>
    <w:rsid w:val="004B0D92"/>
    <w:rsid w:val="004B0EC0"/>
    <w:rsid w:val="004B24C1"/>
    <w:rsid w:val="004B32B2"/>
    <w:rsid w:val="004B585A"/>
    <w:rsid w:val="004B5A51"/>
    <w:rsid w:val="004B66F1"/>
    <w:rsid w:val="004C04CB"/>
    <w:rsid w:val="004C0FE0"/>
    <w:rsid w:val="004C3B7B"/>
    <w:rsid w:val="004C3EA0"/>
    <w:rsid w:val="004C407D"/>
    <w:rsid w:val="004C4395"/>
    <w:rsid w:val="004C55BF"/>
    <w:rsid w:val="004C5E05"/>
    <w:rsid w:val="004C6A51"/>
    <w:rsid w:val="004D17D3"/>
    <w:rsid w:val="004D19CD"/>
    <w:rsid w:val="004D1F2C"/>
    <w:rsid w:val="004D327F"/>
    <w:rsid w:val="004D46F2"/>
    <w:rsid w:val="004D5D22"/>
    <w:rsid w:val="004D5FC3"/>
    <w:rsid w:val="004D6863"/>
    <w:rsid w:val="004D73B2"/>
    <w:rsid w:val="004D74CD"/>
    <w:rsid w:val="004D7A91"/>
    <w:rsid w:val="004E26D2"/>
    <w:rsid w:val="004E2F5B"/>
    <w:rsid w:val="004E3990"/>
    <w:rsid w:val="004E3DE0"/>
    <w:rsid w:val="004F32CC"/>
    <w:rsid w:val="004F368D"/>
    <w:rsid w:val="004F3D69"/>
    <w:rsid w:val="004F68DA"/>
    <w:rsid w:val="004F7169"/>
    <w:rsid w:val="004F7620"/>
    <w:rsid w:val="00500D66"/>
    <w:rsid w:val="005036A6"/>
    <w:rsid w:val="00503AE0"/>
    <w:rsid w:val="00505041"/>
    <w:rsid w:val="00506107"/>
    <w:rsid w:val="00510C01"/>
    <w:rsid w:val="00511E3E"/>
    <w:rsid w:val="0051335C"/>
    <w:rsid w:val="00514C8E"/>
    <w:rsid w:val="005163FF"/>
    <w:rsid w:val="00517F35"/>
    <w:rsid w:val="00523982"/>
    <w:rsid w:val="00523A57"/>
    <w:rsid w:val="00523AAE"/>
    <w:rsid w:val="00523ED3"/>
    <w:rsid w:val="00524C38"/>
    <w:rsid w:val="00530C55"/>
    <w:rsid w:val="00530CAF"/>
    <w:rsid w:val="00531DBF"/>
    <w:rsid w:val="005337FC"/>
    <w:rsid w:val="00533982"/>
    <w:rsid w:val="00534BAE"/>
    <w:rsid w:val="00534E26"/>
    <w:rsid w:val="005419D0"/>
    <w:rsid w:val="00544955"/>
    <w:rsid w:val="00545759"/>
    <w:rsid w:val="00545BE0"/>
    <w:rsid w:val="00547A99"/>
    <w:rsid w:val="00550C38"/>
    <w:rsid w:val="00552154"/>
    <w:rsid w:val="00554C6A"/>
    <w:rsid w:val="00556629"/>
    <w:rsid w:val="0055684D"/>
    <w:rsid w:val="0056174A"/>
    <w:rsid w:val="00562907"/>
    <w:rsid w:val="00562E85"/>
    <w:rsid w:val="0056332F"/>
    <w:rsid w:val="005638B9"/>
    <w:rsid w:val="00566412"/>
    <w:rsid w:val="00567189"/>
    <w:rsid w:val="00567D12"/>
    <w:rsid w:val="005733B7"/>
    <w:rsid w:val="00573A88"/>
    <w:rsid w:val="005746F2"/>
    <w:rsid w:val="00576CA0"/>
    <w:rsid w:val="00576E48"/>
    <w:rsid w:val="00581C39"/>
    <w:rsid w:val="00581E62"/>
    <w:rsid w:val="005834A4"/>
    <w:rsid w:val="00584E88"/>
    <w:rsid w:val="00584F6B"/>
    <w:rsid w:val="00585645"/>
    <w:rsid w:val="005903B6"/>
    <w:rsid w:val="00592B20"/>
    <w:rsid w:val="00592F31"/>
    <w:rsid w:val="00593CFA"/>
    <w:rsid w:val="00593D8B"/>
    <w:rsid w:val="005947E4"/>
    <w:rsid w:val="00596C57"/>
    <w:rsid w:val="005971BC"/>
    <w:rsid w:val="00597B05"/>
    <w:rsid w:val="005A0247"/>
    <w:rsid w:val="005A126E"/>
    <w:rsid w:val="005A4207"/>
    <w:rsid w:val="005A452F"/>
    <w:rsid w:val="005A5286"/>
    <w:rsid w:val="005A59C8"/>
    <w:rsid w:val="005A6283"/>
    <w:rsid w:val="005A703F"/>
    <w:rsid w:val="005B0855"/>
    <w:rsid w:val="005B0B9C"/>
    <w:rsid w:val="005B0F30"/>
    <w:rsid w:val="005B140D"/>
    <w:rsid w:val="005B1D82"/>
    <w:rsid w:val="005B25C0"/>
    <w:rsid w:val="005B67D4"/>
    <w:rsid w:val="005C1409"/>
    <w:rsid w:val="005C1483"/>
    <w:rsid w:val="005C1FEA"/>
    <w:rsid w:val="005C3495"/>
    <w:rsid w:val="005C3785"/>
    <w:rsid w:val="005C3D29"/>
    <w:rsid w:val="005C4342"/>
    <w:rsid w:val="005C4709"/>
    <w:rsid w:val="005C5345"/>
    <w:rsid w:val="005C5FDA"/>
    <w:rsid w:val="005C732E"/>
    <w:rsid w:val="005C738B"/>
    <w:rsid w:val="005C7D19"/>
    <w:rsid w:val="005D16E1"/>
    <w:rsid w:val="005D1D68"/>
    <w:rsid w:val="005D73E2"/>
    <w:rsid w:val="005E13EA"/>
    <w:rsid w:val="005E15E0"/>
    <w:rsid w:val="005E2116"/>
    <w:rsid w:val="005E3889"/>
    <w:rsid w:val="005E3D4C"/>
    <w:rsid w:val="005E3DFC"/>
    <w:rsid w:val="005E3E29"/>
    <w:rsid w:val="005E5F1A"/>
    <w:rsid w:val="005E60AF"/>
    <w:rsid w:val="005E62AC"/>
    <w:rsid w:val="005E7B4E"/>
    <w:rsid w:val="005F18A1"/>
    <w:rsid w:val="005F1DEA"/>
    <w:rsid w:val="005F2AD8"/>
    <w:rsid w:val="005F4932"/>
    <w:rsid w:val="005F56FC"/>
    <w:rsid w:val="005F5BAD"/>
    <w:rsid w:val="005F6007"/>
    <w:rsid w:val="005F62FA"/>
    <w:rsid w:val="00600759"/>
    <w:rsid w:val="00602272"/>
    <w:rsid w:val="00602FCB"/>
    <w:rsid w:val="0060593B"/>
    <w:rsid w:val="006063F0"/>
    <w:rsid w:val="00607FC9"/>
    <w:rsid w:val="00610058"/>
    <w:rsid w:val="00610413"/>
    <w:rsid w:val="00610955"/>
    <w:rsid w:val="00611130"/>
    <w:rsid w:val="00611766"/>
    <w:rsid w:val="0061214E"/>
    <w:rsid w:val="0061490C"/>
    <w:rsid w:val="00614A08"/>
    <w:rsid w:val="00616861"/>
    <w:rsid w:val="0061E91F"/>
    <w:rsid w:val="006213C7"/>
    <w:rsid w:val="00622165"/>
    <w:rsid w:val="00622B29"/>
    <w:rsid w:val="00622FE1"/>
    <w:rsid w:val="0062521C"/>
    <w:rsid w:val="0062614F"/>
    <w:rsid w:val="00630A2B"/>
    <w:rsid w:val="00630BA2"/>
    <w:rsid w:val="0063283F"/>
    <w:rsid w:val="00632DC7"/>
    <w:rsid w:val="00633896"/>
    <w:rsid w:val="00633EBC"/>
    <w:rsid w:val="006343C2"/>
    <w:rsid w:val="00634511"/>
    <w:rsid w:val="0063496C"/>
    <w:rsid w:val="00635332"/>
    <w:rsid w:val="006357FB"/>
    <w:rsid w:val="00637239"/>
    <w:rsid w:val="006406FC"/>
    <w:rsid w:val="00640D0E"/>
    <w:rsid w:val="00643427"/>
    <w:rsid w:val="00643431"/>
    <w:rsid w:val="00643C04"/>
    <w:rsid w:val="0064407B"/>
    <w:rsid w:val="00644301"/>
    <w:rsid w:val="00646122"/>
    <w:rsid w:val="006466F5"/>
    <w:rsid w:val="006467E1"/>
    <w:rsid w:val="006468EB"/>
    <w:rsid w:val="006509E0"/>
    <w:rsid w:val="00652AA0"/>
    <w:rsid w:val="00653CC2"/>
    <w:rsid w:val="00653E16"/>
    <w:rsid w:val="00655BB9"/>
    <w:rsid w:val="00656F68"/>
    <w:rsid w:val="00657220"/>
    <w:rsid w:val="006574A3"/>
    <w:rsid w:val="006576C2"/>
    <w:rsid w:val="00660F13"/>
    <w:rsid w:val="0066104B"/>
    <w:rsid w:val="00661419"/>
    <w:rsid w:val="00663B91"/>
    <w:rsid w:val="00665038"/>
    <w:rsid w:val="006655EE"/>
    <w:rsid w:val="006655F7"/>
    <w:rsid w:val="00667C10"/>
    <w:rsid w:val="00667EF4"/>
    <w:rsid w:val="00672B85"/>
    <w:rsid w:val="00673A37"/>
    <w:rsid w:val="00673B97"/>
    <w:rsid w:val="00674E59"/>
    <w:rsid w:val="00675896"/>
    <w:rsid w:val="0067662F"/>
    <w:rsid w:val="00676FCA"/>
    <w:rsid w:val="00677177"/>
    <w:rsid w:val="0068056B"/>
    <w:rsid w:val="006824C2"/>
    <w:rsid w:val="00683854"/>
    <w:rsid w:val="0068389C"/>
    <w:rsid w:val="00683E8B"/>
    <w:rsid w:val="0068612E"/>
    <w:rsid w:val="006873E7"/>
    <w:rsid w:val="00687858"/>
    <w:rsid w:val="00687C92"/>
    <w:rsid w:val="006903B7"/>
    <w:rsid w:val="00692CF9"/>
    <w:rsid w:val="006936E6"/>
    <w:rsid w:val="00693E51"/>
    <w:rsid w:val="0069433E"/>
    <w:rsid w:val="0069534E"/>
    <w:rsid w:val="006956C3"/>
    <w:rsid w:val="00695FD1"/>
    <w:rsid w:val="00696365"/>
    <w:rsid w:val="0069669C"/>
    <w:rsid w:val="00696B00"/>
    <w:rsid w:val="00697618"/>
    <w:rsid w:val="006A0011"/>
    <w:rsid w:val="006A0137"/>
    <w:rsid w:val="006A050E"/>
    <w:rsid w:val="006A1200"/>
    <w:rsid w:val="006A23E1"/>
    <w:rsid w:val="006A2C5A"/>
    <w:rsid w:val="006A4F4E"/>
    <w:rsid w:val="006A5E68"/>
    <w:rsid w:val="006B14DB"/>
    <w:rsid w:val="006B21C4"/>
    <w:rsid w:val="006B3470"/>
    <w:rsid w:val="006B5EFD"/>
    <w:rsid w:val="006C2070"/>
    <w:rsid w:val="006C2DB0"/>
    <w:rsid w:val="006C458F"/>
    <w:rsid w:val="006C4A1A"/>
    <w:rsid w:val="006C4DA7"/>
    <w:rsid w:val="006C4EB2"/>
    <w:rsid w:val="006C53AF"/>
    <w:rsid w:val="006C5EB9"/>
    <w:rsid w:val="006C6C51"/>
    <w:rsid w:val="006C7902"/>
    <w:rsid w:val="006C7DAD"/>
    <w:rsid w:val="006D0393"/>
    <w:rsid w:val="006D083A"/>
    <w:rsid w:val="006D1A83"/>
    <w:rsid w:val="006D2E5C"/>
    <w:rsid w:val="006D330D"/>
    <w:rsid w:val="006D39B5"/>
    <w:rsid w:val="006D5D1E"/>
    <w:rsid w:val="006D7FDC"/>
    <w:rsid w:val="006E0EF5"/>
    <w:rsid w:val="006E0F4C"/>
    <w:rsid w:val="006E1CFE"/>
    <w:rsid w:val="006E26A6"/>
    <w:rsid w:val="006E2CFC"/>
    <w:rsid w:val="006E31A2"/>
    <w:rsid w:val="006E3239"/>
    <w:rsid w:val="006E4C93"/>
    <w:rsid w:val="006E6D10"/>
    <w:rsid w:val="006E7CDB"/>
    <w:rsid w:val="006F0273"/>
    <w:rsid w:val="006F10C4"/>
    <w:rsid w:val="006F128E"/>
    <w:rsid w:val="006F1BDE"/>
    <w:rsid w:val="006F2EA2"/>
    <w:rsid w:val="006F40E9"/>
    <w:rsid w:val="006F4660"/>
    <w:rsid w:val="006F5603"/>
    <w:rsid w:val="006F5CE5"/>
    <w:rsid w:val="006F6757"/>
    <w:rsid w:val="006F6977"/>
    <w:rsid w:val="00701400"/>
    <w:rsid w:val="00701A88"/>
    <w:rsid w:val="007037CF"/>
    <w:rsid w:val="00703A8B"/>
    <w:rsid w:val="00703BB8"/>
    <w:rsid w:val="0070460A"/>
    <w:rsid w:val="00704B37"/>
    <w:rsid w:val="007073C9"/>
    <w:rsid w:val="00712A8B"/>
    <w:rsid w:val="00713FEB"/>
    <w:rsid w:val="00714B40"/>
    <w:rsid w:val="007157FD"/>
    <w:rsid w:val="00716583"/>
    <w:rsid w:val="007167C0"/>
    <w:rsid w:val="00717BBA"/>
    <w:rsid w:val="007203C3"/>
    <w:rsid w:val="00720481"/>
    <w:rsid w:val="00720C00"/>
    <w:rsid w:val="00721642"/>
    <w:rsid w:val="00721BC7"/>
    <w:rsid w:val="00723264"/>
    <w:rsid w:val="00723C0C"/>
    <w:rsid w:val="0072510B"/>
    <w:rsid w:val="00727C18"/>
    <w:rsid w:val="00727E2F"/>
    <w:rsid w:val="00733193"/>
    <w:rsid w:val="0073449A"/>
    <w:rsid w:val="00735504"/>
    <w:rsid w:val="00737CBA"/>
    <w:rsid w:val="00741B29"/>
    <w:rsid w:val="00741E28"/>
    <w:rsid w:val="00743251"/>
    <w:rsid w:val="007432AA"/>
    <w:rsid w:val="00743723"/>
    <w:rsid w:val="00743730"/>
    <w:rsid w:val="00743B39"/>
    <w:rsid w:val="00743FD9"/>
    <w:rsid w:val="00744407"/>
    <w:rsid w:val="007444A7"/>
    <w:rsid w:val="00744955"/>
    <w:rsid w:val="00752B8A"/>
    <w:rsid w:val="00752FF8"/>
    <w:rsid w:val="00754C17"/>
    <w:rsid w:val="00755631"/>
    <w:rsid w:val="0075732A"/>
    <w:rsid w:val="00760262"/>
    <w:rsid w:val="007619BE"/>
    <w:rsid w:val="0076292D"/>
    <w:rsid w:val="0076310C"/>
    <w:rsid w:val="007659B9"/>
    <w:rsid w:val="00766009"/>
    <w:rsid w:val="00766705"/>
    <w:rsid w:val="00766BD9"/>
    <w:rsid w:val="00766F80"/>
    <w:rsid w:val="00767423"/>
    <w:rsid w:val="0076744F"/>
    <w:rsid w:val="00767BCE"/>
    <w:rsid w:val="00767EFC"/>
    <w:rsid w:val="007707DE"/>
    <w:rsid w:val="00770ADD"/>
    <w:rsid w:val="00770B5D"/>
    <w:rsid w:val="00774F7A"/>
    <w:rsid w:val="007752F1"/>
    <w:rsid w:val="00776768"/>
    <w:rsid w:val="00777AFC"/>
    <w:rsid w:val="00777F3F"/>
    <w:rsid w:val="00780B25"/>
    <w:rsid w:val="00782292"/>
    <w:rsid w:val="00782D61"/>
    <w:rsid w:val="00782FC2"/>
    <w:rsid w:val="00784E40"/>
    <w:rsid w:val="00785133"/>
    <w:rsid w:val="007863C0"/>
    <w:rsid w:val="00786A44"/>
    <w:rsid w:val="00787D99"/>
    <w:rsid w:val="00791024"/>
    <w:rsid w:val="00791B76"/>
    <w:rsid w:val="007920EE"/>
    <w:rsid w:val="007921C6"/>
    <w:rsid w:val="007924CA"/>
    <w:rsid w:val="0079370F"/>
    <w:rsid w:val="00793D59"/>
    <w:rsid w:val="00794818"/>
    <w:rsid w:val="00795161"/>
    <w:rsid w:val="00796D7C"/>
    <w:rsid w:val="007A0BE3"/>
    <w:rsid w:val="007A1D35"/>
    <w:rsid w:val="007A2573"/>
    <w:rsid w:val="007A353B"/>
    <w:rsid w:val="007A3B9C"/>
    <w:rsid w:val="007A586B"/>
    <w:rsid w:val="007A5AC2"/>
    <w:rsid w:val="007A5F48"/>
    <w:rsid w:val="007A67F8"/>
    <w:rsid w:val="007A7A04"/>
    <w:rsid w:val="007A7D88"/>
    <w:rsid w:val="007B047A"/>
    <w:rsid w:val="007B106C"/>
    <w:rsid w:val="007B11FD"/>
    <w:rsid w:val="007B1A4E"/>
    <w:rsid w:val="007B26BB"/>
    <w:rsid w:val="007B32ED"/>
    <w:rsid w:val="007B392F"/>
    <w:rsid w:val="007B3D05"/>
    <w:rsid w:val="007B5186"/>
    <w:rsid w:val="007B5503"/>
    <w:rsid w:val="007B7184"/>
    <w:rsid w:val="007B7E26"/>
    <w:rsid w:val="007C0275"/>
    <w:rsid w:val="007C224E"/>
    <w:rsid w:val="007C4435"/>
    <w:rsid w:val="007C5DFA"/>
    <w:rsid w:val="007C6BB3"/>
    <w:rsid w:val="007D14B4"/>
    <w:rsid w:val="007D2731"/>
    <w:rsid w:val="007D3AD7"/>
    <w:rsid w:val="007D62C1"/>
    <w:rsid w:val="007D7D64"/>
    <w:rsid w:val="007E24F6"/>
    <w:rsid w:val="007E50E0"/>
    <w:rsid w:val="007E5997"/>
    <w:rsid w:val="007E7E01"/>
    <w:rsid w:val="007F762D"/>
    <w:rsid w:val="007F7B2F"/>
    <w:rsid w:val="00800A4F"/>
    <w:rsid w:val="00800F64"/>
    <w:rsid w:val="00801759"/>
    <w:rsid w:val="00801FB7"/>
    <w:rsid w:val="00802F0B"/>
    <w:rsid w:val="00804922"/>
    <w:rsid w:val="008059CB"/>
    <w:rsid w:val="00805CD9"/>
    <w:rsid w:val="00805E41"/>
    <w:rsid w:val="00810A67"/>
    <w:rsid w:val="00811ED0"/>
    <w:rsid w:val="0081315B"/>
    <w:rsid w:val="00815C9D"/>
    <w:rsid w:val="008161A3"/>
    <w:rsid w:val="00817190"/>
    <w:rsid w:val="008172BF"/>
    <w:rsid w:val="00820F3C"/>
    <w:rsid w:val="0082281D"/>
    <w:rsid w:val="00822A6B"/>
    <w:rsid w:val="00822C15"/>
    <w:rsid w:val="00824275"/>
    <w:rsid w:val="00824336"/>
    <w:rsid w:val="00825934"/>
    <w:rsid w:val="00826132"/>
    <w:rsid w:val="0082767A"/>
    <w:rsid w:val="00832144"/>
    <w:rsid w:val="00833CF7"/>
    <w:rsid w:val="00834201"/>
    <w:rsid w:val="008351FA"/>
    <w:rsid w:val="008353AE"/>
    <w:rsid w:val="00837D30"/>
    <w:rsid w:val="008409F0"/>
    <w:rsid w:val="00843160"/>
    <w:rsid w:val="00843D76"/>
    <w:rsid w:val="00843DB9"/>
    <w:rsid w:val="00845601"/>
    <w:rsid w:val="00845B05"/>
    <w:rsid w:val="00845B82"/>
    <w:rsid w:val="00846D59"/>
    <w:rsid w:val="008473C9"/>
    <w:rsid w:val="008512C8"/>
    <w:rsid w:val="008524B9"/>
    <w:rsid w:val="00852EDE"/>
    <w:rsid w:val="00854B2F"/>
    <w:rsid w:val="00855C5C"/>
    <w:rsid w:val="00857D1F"/>
    <w:rsid w:val="0086069B"/>
    <w:rsid w:val="00861774"/>
    <w:rsid w:val="00862032"/>
    <w:rsid w:val="00862042"/>
    <w:rsid w:val="0086233C"/>
    <w:rsid w:val="00865CFA"/>
    <w:rsid w:val="00867E00"/>
    <w:rsid w:val="008715B3"/>
    <w:rsid w:val="00871D80"/>
    <w:rsid w:val="00872E4A"/>
    <w:rsid w:val="0087311B"/>
    <w:rsid w:val="008740FA"/>
    <w:rsid w:val="00874B0A"/>
    <w:rsid w:val="00875490"/>
    <w:rsid w:val="00880762"/>
    <w:rsid w:val="00880F33"/>
    <w:rsid w:val="00881605"/>
    <w:rsid w:val="00881FD8"/>
    <w:rsid w:val="00883CE7"/>
    <w:rsid w:val="00884BC3"/>
    <w:rsid w:val="0088605B"/>
    <w:rsid w:val="00886330"/>
    <w:rsid w:val="0088662E"/>
    <w:rsid w:val="0088723C"/>
    <w:rsid w:val="00890007"/>
    <w:rsid w:val="0089232A"/>
    <w:rsid w:val="008938F7"/>
    <w:rsid w:val="00893C96"/>
    <w:rsid w:val="00894FC3"/>
    <w:rsid w:val="00896C78"/>
    <w:rsid w:val="008A0336"/>
    <w:rsid w:val="008A187F"/>
    <w:rsid w:val="008A3305"/>
    <w:rsid w:val="008A3C96"/>
    <w:rsid w:val="008A40F4"/>
    <w:rsid w:val="008A5F3F"/>
    <w:rsid w:val="008A6FF7"/>
    <w:rsid w:val="008B05FA"/>
    <w:rsid w:val="008B0BBA"/>
    <w:rsid w:val="008B1627"/>
    <w:rsid w:val="008B4019"/>
    <w:rsid w:val="008B44CC"/>
    <w:rsid w:val="008B505F"/>
    <w:rsid w:val="008B65C9"/>
    <w:rsid w:val="008C00AD"/>
    <w:rsid w:val="008C1D9F"/>
    <w:rsid w:val="008C2D4A"/>
    <w:rsid w:val="008C3A72"/>
    <w:rsid w:val="008C5562"/>
    <w:rsid w:val="008C629C"/>
    <w:rsid w:val="008C6A05"/>
    <w:rsid w:val="008C74DD"/>
    <w:rsid w:val="008C7DBB"/>
    <w:rsid w:val="008D200B"/>
    <w:rsid w:val="008D236D"/>
    <w:rsid w:val="008D3900"/>
    <w:rsid w:val="008D3D07"/>
    <w:rsid w:val="008D46F2"/>
    <w:rsid w:val="008D4DA5"/>
    <w:rsid w:val="008D5A27"/>
    <w:rsid w:val="008D6E1D"/>
    <w:rsid w:val="008D6EDB"/>
    <w:rsid w:val="008E2677"/>
    <w:rsid w:val="008E3025"/>
    <w:rsid w:val="008E3119"/>
    <w:rsid w:val="008E36FE"/>
    <w:rsid w:val="008E48BC"/>
    <w:rsid w:val="008E5B27"/>
    <w:rsid w:val="008F1333"/>
    <w:rsid w:val="008F3763"/>
    <w:rsid w:val="008F39B4"/>
    <w:rsid w:val="008F3E79"/>
    <w:rsid w:val="008F4162"/>
    <w:rsid w:val="008F5232"/>
    <w:rsid w:val="008F58E0"/>
    <w:rsid w:val="008F59BB"/>
    <w:rsid w:val="008F7010"/>
    <w:rsid w:val="00903E02"/>
    <w:rsid w:val="00904F5E"/>
    <w:rsid w:val="009053B3"/>
    <w:rsid w:val="00905A19"/>
    <w:rsid w:val="009110D5"/>
    <w:rsid w:val="00911B48"/>
    <w:rsid w:val="00913175"/>
    <w:rsid w:val="0091483F"/>
    <w:rsid w:val="00914C6C"/>
    <w:rsid w:val="00916EDB"/>
    <w:rsid w:val="00917D72"/>
    <w:rsid w:val="00920861"/>
    <w:rsid w:val="009208F5"/>
    <w:rsid w:val="00922A2A"/>
    <w:rsid w:val="00922B13"/>
    <w:rsid w:val="00923E8D"/>
    <w:rsid w:val="00923ED9"/>
    <w:rsid w:val="0092403A"/>
    <w:rsid w:val="009242EF"/>
    <w:rsid w:val="0092446A"/>
    <w:rsid w:val="00924616"/>
    <w:rsid w:val="00924728"/>
    <w:rsid w:val="00924AB9"/>
    <w:rsid w:val="00925CA9"/>
    <w:rsid w:val="0092615F"/>
    <w:rsid w:val="0092790A"/>
    <w:rsid w:val="00931255"/>
    <w:rsid w:val="00932291"/>
    <w:rsid w:val="00933159"/>
    <w:rsid w:val="00933B1B"/>
    <w:rsid w:val="0093408E"/>
    <w:rsid w:val="00934464"/>
    <w:rsid w:val="00934E5B"/>
    <w:rsid w:val="00936D41"/>
    <w:rsid w:val="0094014D"/>
    <w:rsid w:val="00940467"/>
    <w:rsid w:val="00942973"/>
    <w:rsid w:val="0094441B"/>
    <w:rsid w:val="0094646A"/>
    <w:rsid w:val="00947507"/>
    <w:rsid w:val="00947526"/>
    <w:rsid w:val="009522F4"/>
    <w:rsid w:val="00952DDF"/>
    <w:rsid w:val="00952EC4"/>
    <w:rsid w:val="00960BCD"/>
    <w:rsid w:val="00961037"/>
    <w:rsid w:val="0096146A"/>
    <w:rsid w:val="00963C5F"/>
    <w:rsid w:val="00965C00"/>
    <w:rsid w:val="00966729"/>
    <w:rsid w:val="009702B4"/>
    <w:rsid w:val="009707A4"/>
    <w:rsid w:val="00970A69"/>
    <w:rsid w:val="00972423"/>
    <w:rsid w:val="00972F5F"/>
    <w:rsid w:val="009751C8"/>
    <w:rsid w:val="009812D4"/>
    <w:rsid w:val="009812E3"/>
    <w:rsid w:val="00982653"/>
    <w:rsid w:val="0098378D"/>
    <w:rsid w:val="009873F4"/>
    <w:rsid w:val="00990D6B"/>
    <w:rsid w:val="00991997"/>
    <w:rsid w:val="009920D8"/>
    <w:rsid w:val="009930DC"/>
    <w:rsid w:val="0099319C"/>
    <w:rsid w:val="009936E8"/>
    <w:rsid w:val="00994196"/>
    <w:rsid w:val="00994D5D"/>
    <w:rsid w:val="009968B5"/>
    <w:rsid w:val="00997616"/>
    <w:rsid w:val="009A0335"/>
    <w:rsid w:val="009A0548"/>
    <w:rsid w:val="009A075B"/>
    <w:rsid w:val="009A08A2"/>
    <w:rsid w:val="009A19ED"/>
    <w:rsid w:val="009A371F"/>
    <w:rsid w:val="009A3928"/>
    <w:rsid w:val="009A4869"/>
    <w:rsid w:val="009A5B92"/>
    <w:rsid w:val="009A63AC"/>
    <w:rsid w:val="009A69E2"/>
    <w:rsid w:val="009B110E"/>
    <w:rsid w:val="009B22D9"/>
    <w:rsid w:val="009B38BE"/>
    <w:rsid w:val="009B4556"/>
    <w:rsid w:val="009B4642"/>
    <w:rsid w:val="009B5C1F"/>
    <w:rsid w:val="009B682F"/>
    <w:rsid w:val="009C2345"/>
    <w:rsid w:val="009C2920"/>
    <w:rsid w:val="009C2DB7"/>
    <w:rsid w:val="009C30FE"/>
    <w:rsid w:val="009C375A"/>
    <w:rsid w:val="009C3D0F"/>
    <w:rsid w:val="009C50CF"/>
    <w:rsid w:val="009C685B"/>
    <w:rsid w:val="009D4173"/>
    <w:rsid w:val="009D54DD"/>
    <w:rsid w:val="009D5581"/>
    <w:rsid w:val="009D6232"/>
    <w:rsid w:val="009E1B19"/>
    <w:rsid w:val="009E1CF9"/>
    <w:rsid w:val="009E1D6D"/>
    <w:rsid w:val="009E4ED5"/>
    <w:rsid w:val="009E67BE"/>
    <w:rsid w:val="009E6BE7"/>
    <w:rsid w:val="009E79B6"/>
    <w:rsid w:val="009E7F55"/>
    <w:rsid w:val="009F2A76"/>
    <w:rsid w:val="009F35E2"/>
    <w:rsid w:val="009F36E8"/>
    <w:rsid w:val="009F438B"/>
    <w:rsid w:val="009F601D"/>
    <w:rsid w:val="009F65F9"/>
    <w:rsid w:val="009F68BA"/>
    <w:rsid w:val="00A06277"/>
    <w:rsid w:val="00A06325"/>
    <w:rsid w:val="00A06403"/>
    <w:rsid w:val="00A079DC"/>
    <w:rsid w:val="00A07D58"/>
    <w:rsid w:val="00A10016"/>
    <w:rsid w:val="00A1037A"/>
    <w:rsid w:val="00A10BAB"/>
    <w:rsid w:val="00A111C2"/>
    <w:rsid w:val="00A11EB6"/>
    <w:rsid w:val="00A12E48"/>
    <w:rsid w:val="00A12FDF"/>
    <w:rsid w:val="00A13D43"/>
    <w:rsid w:val="00A17C39"/>
    <w:rsid w:val="00A20488"/>
    <w:rsid w:val="00A21440"/>
    <w:rsid w:val="00A215A9"/>
    <w:rsid w:val="00A21745"/>
    <w:rsid w:val="00A22803"/>
    <w:rsid w:val="00A238AA"/>
    <w:rsid w:val="00A23F8F"/>
    <w:rsid w:val="00A259B8"/>
    <w:rsid w:val="00A31779"/>
    <w:rsid w:val="00A31F3B"/>
    <w:rsid w:val="00A32BCB"/>
    <w:rsid w:val="00A33577"/>
    <w:rsid w:val="00A338E7"/>
    <w:rsid w:val="00A35CAA"/>
    <w:rsid w:val="00A36E7F"/>
    <w:rsid w:val="00A37F80"/>
    <w:rsid w:val="00A40098"/>
    <w:rsid w:val="00A41E65"/>
    <w:rsid w:val="00A42075"/>
    <w:rsid w:val="00A4217B"/>
    <w:rsid w:val="00A426F9"/>
    <w:rsid w:val="00A4343C"/>
    <w:rsid w:val="00A43517"/>
    <w:rsid w:val="00A43C99"/>
    <w:rsid w:val="00A43E0A"/>
    <w:rsid w:val="00A455F6"/>
    <w:rsid w:val="00A45613"/>
    <w:rsid w:val="00A46247"/>
    <w:rsid w:val="00A462A9"/>
    <w:rsid w:val="00A46C2F"/>
    <w:rsid w:val="00A47F07"/>
    <w:rsid w:val="00A52791"/>
    <w:rsid w:val="00A52BB5"/>
    <w:rsid w:val="00A530C7"/>
    <w:rsid w:val="00A55968"/>
    <w:rsid w:val="00A55F5B"/>
    <w:rsid w:val="00A5652A"/>
    <w:rsid w:val="00A60185"/>
    <w:rsid w:val="00A6078B"/>
    <w:rsid w:val="00A611EE"/>
    <w:rsid w:val="00A61372"/>
    <w:rsid w:val="00A62062"/>
    <w:rsid w:val="00A622EC"/>
    <w:rsid w:val="00A62508"/>
    <w:rsid w:val="00A62720"/>
    <w:rsid w:val="00A64C79"/>
    <w:rsid w:val="00A661EA"/>
    <w:rsid w:val="00A66263"/>
    <w:rsid w:val="00A6775C"/>
    <w:rsid w:val="00A70A6C"/>
    <w:rsid w:val="00A72DF9"/>
    <w:rsid w:val="00A7672A"/>
    <w:rsid w:val="00A7706C"/>
    <w:rsid w:val="00A77EFF"/>
    <w:rsid w:val="00A8087E"/>
    <w:rsid w:val="00A82476"/>
    <w:rsid w:val="00A828B6"/>
    <w:rsid w:val="00A82E43"/>
    <w:rsid w:val="00A830E5"/>
    <w:rsid w:val="00A836A9"/>
    <w:rsid w:val="00A83DF5"/>
    <w:rsid w:val="00A84BF3"/>
    <w:rsid w:val="00A85CDE"/>
    <w:rsid w:val="00A86D1A"/>
    <w:rsid w:val="00A87135"/>
    <w:rsid w:val="00A87BEB"/>
    <w:rsid w:val="00A93280"/>
    <w:rsid w:val="00A93C73"/>
    <w:rsid w:val="00A951EA"/>
    <w:rsid w:val="00A95307"/>
    <w:rsid w:val="00A961A6"/>
    <w:rsid w:val="00A96E64"/>
    <w:rsid w:val="00A973E1"/>
    <w:rsid w:val="00A97F71"/>
    <w:rsid w:val="00AA043A"/>
    <w:rsid w:val="00AA1C65"/>
    <w:rsid w:val="00AA2548"/>
    <w:rsid w:val="00AA3B6E"/>
    <w:rsid w:val="00AA4660"/>
    <w:rsid w:val="00AA4D04"/>
    <w:rsid w:val="00AA5670"/>
    <w:rsid w:val="00AA58C4"/>
    <w:rsid w:val="00AB0261"/>
    <w:rsid w:val="00AB11C8"/>
    <w:rsid w:val="00AB2248"/>
    <w:rsid w:val="00AB2784"/>
    <w:rsid w:val="00AB2B77"/>
    <w:rsid w:val="00AB3F81"/>
    <w:rsid w:val="00AB4AD1"/>
    <w:rsid w:val="00AB71BB"/>
    <w:rsid w:val="00AC0735"/>
    <w:rsid w:val="00AC08A8"/>
    <w:rsid w:val="00AC3683"/>
    <w:rsid w:val="00AC618C"/>
    <w:rsid w:val="00AC6998"/>
    <w:rsid w:val="00AC6D5A"/>
    <w:rsid w:val="00AC72DD"/>
    <w:rsid w:val="00AD20F6"/>
    <w:rsid w:val="00AD2EAE"/>
    <w:rsid w:val="00AD3BEA"/>
    <w:rsid w:val="00AD56C8"/>
    <w:rsid w:val="00AD58F2"/>
    <w:rsid w:val="00AD5A12"/>
    <w:rsid w:val="00AD7F54"/>
    <w:rsid w:val="00AE06EC"/>
    <w:rsid w:val="00AE20E9"/>
    <w:rsid w:val="00AE4419"/>
    <w:rsid w:val="00AE5401"/>
    <w:rsid w:val="00AE5712"/>
    <w:rsid w:val="00AE5E21"/>
    <w:rsid w:val="00AE5F76"/>
    <w:rsid w:val="00AF002A"/>
    <w:rsid w:val="00AF2385"/>
    <w:rsid w:val="00AF3686"/>
    <w:rsid w:val="00AF4BD2"/>
    <w:rsid w:val="00AF4C08"/>
    <w:rsid w:val="00AF5EA3"/>
    <w:rsid w:val="00AF5FEC"/>
    <w:rsid w:val="00AF6573"/>
    <w:rsid w:val="00AF65FE"/>
    <w:rsid w:val="00AF7690"/>
    <w:rsid w:val="00B006A5"/>
    <w:rsid w:val="00B016A1"/>
    <w:rsid w:val="00B01C4C"/>
    <w:rsid w:val="00B01DF6"/>
    <w:rsid w:val="00B0512A"/>
    <w:rsid w:val="00B05263"/>
    <w:rsid w:val="00B0529F"/>
    <w:rsid w:val="00B05A72"/>
    <w:rsid w:val="00B05D52"/>
    <w:rsid w:val="00B062B7"/>
    <w:rsid w:val="00B07112"/>
    <w:rsid w:val="00B12981"/>
    <w:rsid w:val="00B138D3"/>
    <w:rsid w:val="00B1418B"/>
    <w:rsid w:val="00B149A0"/>
    <w:rsid w:val="00B151A0"/>
    <w:rsid w:val="00B1520C"/>
    <w:rsid w:val="00B152B3"/>
    <w:rsid w:val="00B1560E"/>
    <w:rsid w:val="00B20F84"/>
    <w:rsid w:val="00B21195"/>
    <w:rsid w:val="00B21CFE"/>
    <w:rsid w:val="00B2283D"/>
    <w:rsid w:val="00B22B3D"/>
    <w:rsid w:val="00B22B57"/>
    <w:rsid w:val="00B23433"/>
    <w:rsid w:val="00B23AEE"/>
    <w:rsid w:val="00B24B22"/>
    <w:rsid w:val="00B25310"/>
    <w:rsid w:val="00B25CA7"/>
    <w:rsid w:val="00B269C6"/>
    <w:rsid w:val="00B31574"/>
    <w:rsid w:val="00B32F8F"/>
    <w:rsid w:val="00B41675"/>
    <w:rsid w:val="00B41E1E"/>
    <w:rsid w:val="00B42940"/>
    <w:rsid w:val="00B42C1C"/>
    <w:rsid w:val="00B43EF4"/>
    <w:rsid w:val="00B4690F"/>
    <w:rsid w:val="00B46A3B"/>
    <w:rsid w:val="00B47C42"/>
    <w:rsid w:val="00B510B1"/>
    <w:rsid w:val="00B51E6D"/>
    <w:rsid w:val="00B51FB6"/>
    <w:rsid w:val="00B52C29"/>
    <w:rsid w:val="00B5409F"/>
    <w:rsid w:val="00B54DE9"/>
    <w:rsid w:val="00B553EC"/>
    <w:rsid w:val="00B55870"/>
    <w:rsid w:val="00B60059"/>
    <w:rsid w:val="00B60423"/>
    <w:rsid w:val="00B630D8"/>
    <w:rsid w:val="00B673F6"/>
    <w:rsid w:val="00B70036"/>
    <w:rsid w:val="00B70807"/>
    <w:rsid w:val="00B71E96"/>
    <w:rsid w:val="00B73914"/>
    <w:rsid w:val="00B756E6"/>
    <w:rsid w:val="00B77732"/>
    <w:rsid w:val="00B80D6D"/>
    <w:rsid w:val="00B81345"/>
    <w:rsid w:val="00B81EE8"/>
    <w:rsid w:val="00B8237F"/>
    <w:rsid w:val="00B8347B"/>
    <w:rsid w:val="00B83DEC"/>
    <w:rsid w:val="00B843BA"/>
    <w:rsid w:val="00B844F0"/>
    <w:rsid w:val="00B8748A"/>
    <w:rsid w:val="00B9154F"/>
    <w:rsid w:val="00B91ABF"/>
    <w:rsid w:val="00B91D9E"/>
    <w:rsid w:val="00B9245D"/>
    <w:rsid w:val="00B93DD0"/>
    <w:rsid w:val="00B94F62"/>
    <w:rsid w:val="00B95413"/>
    <w:rsid w:val="00B97732"/>
    <w:rsid w:val="00BA0849"/>
    <w:rsid w:val="00BA56D7"/>
    <w:rsid w:val="00BA65A8"/>
    <w:rsid w:val="00BA6A97"/>
    <w:rsid w:val="00BA6D19"/>
    <w:rsid w:val="00BA7461"/>
    <w:rsid w:val="00BA7CD3"/>
    <w:rsid w:val="00BA7DA9"/>
    <w:rsid w:val="00BB09F8"/>
    <w:rsid w:val="00BB1305"/>
    <w:rsid w:val="00BB156E"/>
    <w:rsid w:val="00BB19E5"/>
    <w:rsid w:val="00BB37EB"/>
    <w:rsid w:val="00BB44CC"/>
    <w:rsid w:val="00BB4A3F"/>
    <w:rsid w:val="00BC01B5"/>
    <w:rsid w:val="00BC0AAB"/>
    <w:rsid w:val="00BC112C"/>
    <w:rsid w:val="00BC3028"/>
    <w:rsid w:val="00BC35AE"/>
    <w:rsid w:val="00BC39F4"/>
    <w:rsid w:val="00BC3A70"/>
    <w:rsid w:val="00BC4215"/>
    <w:rsid w:val="00BC4ACD"/>
    <w:rsid w:val="00BC51A4"/>
    <w:rsid w:val="00BD0396"/>
    <w:rsid w:val="00BD1A6F"/>
    <w:rsid w:val="00BD3124"/>
    <w:rsid w:val="00BD3A5F"/>
    <w:rsid w:val="00BD44A3"/>
    <w:rsid w:val="00BD5B71"/>
    <w:rsid w:val="00BD6A0B"/>
    <w:rsid w:val="00BD6BDA"/>
    <w:rsid w:val="00BD7F80"/>
    <w:rsid w:val="00BE0B2A"/>
    <w:rsid w:val="00BE219A"/>
    <w:rsid w:val="00BE45CC"/>
    <w:rsid w:val="00BE567C"/>
    <w:rsid w:val="00BE5FCD"/>
    <w:rsid w:val="00BE6D3C"/>
    <w:rsid w:val="00BE7852"/>
    <w:rsid w:val="00BF09B4"/>
    <w:rsid w:val="00BF1A87"/>
    <w:rsid w:val="00BF21A7"/>
    <w:rsid w:val="00BF2A9D"/>
    <w:rsid w:val="00BF2AF7"/>
    <w:rsid w:val="00BF3731"/>
    <w:rsid w:val="00BF4E58"/>
    <w:rsid w:val="00BF5132"/>
    <w:rsid w:val="00BF6D87"/>
    <w:rsid w:val="00BF7CEE"/>
    <w:rsid w:val="00C00394"/>
    <w:rsid w:val="00C00A33"/>
    <w:rsid w:val="00C00DB5"/>
    <w:rsid w:val="00C024D0"/>
    <w:rsid w:val="00C03033"/>
    <w:rsid w:val="00C037A3"/>
    <w:rsid w:val="00C03880"/>
    <w:rsid w:val="00C03B25"/>
    <w:rsid w:val="00C03C2B"/>
    <w:rsid w:val="00C05E4D"/>
    <w:rsid w:val="00C072DC"/>
    <w:rsid w:val="00C0788F"/>
    <w:rsid w:val="00C07FE7"/>
    <w:rsid w:val="00C135CF"/>
    <w:rsid w:val="00C135D8"/>
    <w:rsid w:val="00C13CE9"/>
    <w:rsid w:val="00C1612C"/>
    <w:rsid w:val="00C163A6"/>
    <w:rsid w:val="00C16FAF"/>
    <w:rsid w:val="00C17786"/>
    <w:rsid w:val="00C2625D"/>
    <w:rsid w:val="00C266BB"/>
    <w:rsid w:val="00C2683F"/>
    <w:rsid w:val="00C26D24"/>
    <w:rsid w:val="00C2706A"/>
    <w:rsid w:val="00C30D41"/>
    <w:rsid w:val="00C3184D"/>
    <w:rsid w:val="00C32443"/>
    <w:rsid w:val="00C33F0D"/>
    <w:rsid w:val="00C34A50"/>
    <w:rsid w:val="00C35856"/>
    <w:rsid w:val="00C37525"/>
    <w:rsid w:val="00C41DA7"/>
    <w:rsid w:val="00C4264C"/>
    <w:rsid w:val="00C42F45"/>
    <w:rsid w:val="00C43084"/>
    <w:rsid w:val="00C45677"/>
    <w:rsid w:val="00C463F3"/>
    <w:rsid w:val="00C4714E"/>
    <w:rsid w:val="00C50941"/>
    <w:rsid w:val="00C51715"/>
    <w:rsid w:val="00C5236D"/>
    <w:rsid w:val="00C5504F"/>
    <w:rsid w:val="00C55991"/>
    <w:rsid w:val="00C55BF3"/>
    <w:rsid w:val="00C60A1A"/>
    <w:rsid w:val="00C63376"/>
    <w:rsid w:val="00C635A4"/>
    <w:rsid w:val="00C63806"/>
    <w:rsid w:val="00C64BF3"/>
    <w:rsid w:val="00C659F2"/>
    <w:rsid w:val="00C6662B"/>
    <w:rsid w:val="00C66CB4"/>
    <w:rsid w:val="00C70511"/>
    <w:rsid w:val="00C72561"/>
    <w:rsid w:val="00C726B6"/>
    <w:rsid w:val="00C74F97"/>
    <w:rsid w:val="00C74FBA"/>
    <w:rsid w:val="00C76A08"/>
    <w:rsid w:val="00C803D7"/>
    <w:rsid w:val="00C8110A"/>
    <w:rsid w:val="00C81815"/>
    <w:rsid w:val="00C8276E"/>
    <w:rsid w:val="00C8291D"/>
    <w:rsid w:val="00C82A84"/>
    <w:rsid w:val="00C833BC"/>
    <w:rsid w:val="00C83AD1"/>
    <w:rsid w:val="00C842AC"/>
    <w:rsid w:val="00C85222"/>
    <w:rsid w:val="00C85B7B"/>
    <w:rsid w:val="00C8632E"/>
    <w:rsid w:val="00C87FAD"/>
    <w:rsid w:val="00C90851"/>
    <w:rsid w:val="00C916F8"/>
    <w:rsid w:val="00C92AD5"/>
    <w:rsid w:val="00C93152"/>
    <w:rsid w:val="00C93FD9"/>
    <w:rsid w:val="00C94529"/>
    <w:rsid w:val="00C96688"/>
    <w:rsid w:val="00C97429"/>
    <w:rsid w:val="00CA0723"/>
    <w:rsid w:val="00CA0CAE"/>
    <w:rsid w:val="00CA0E80"/>
    <w:rsid w:val="00CA2780"/>
    <w:rsid w:val="00CA29C8"/>
    <w:rsid w:val="00CA42A8"/>
    <w:rsid w:val="00CA4542"/>
    <w:rsid w:val="00CA4C69"/>
    <w:rsid w:val="00CA65C9"/>
    <w:rsid w:val="00CA6F53"/>
    <w:rsid w:val="00CA76E6"/>
    <w:rsid w:val="00CB0F7B"/>
    <w:rsid w:val="00CB1690"/>
    <w:rsid w:val="00CB2196"/>
    <w:rsid w:val="00CB3887"/>
    <w:rsid w:val="00CB3CE9"/>
    <w:rsid w:val="00CB5402"/>
    <w:rsid w:val="00CB6D76"/>
    <w:rsid w:val="00CC23EB"/>
    <w:rsid w:val="00CC27E7"/>
    <w:rsid w:val="00CC2B33"/>
    <w:rsid w:val="00CC3231"/>
    <w:rsid w:val="00CC3850"/>
    <w:rsid w:val="00CC4365"/>
    <w:rsid w:val="00CC6449"/>
    <w:rsid w:val="00CD10E7"/>
    <w:rsid w:val="00CD11B0"/>
    <w:rsid w:val="00CD275A"/>
    <w:rsid w:val="00CD3D81"/>
    <w:rsid w:val="00CD3FCF"/>
    <w:rsid w:val="00CD5064"/>
    <w:rsid w:val="00CD5E0E"/>
    <w:rsid w:val="00CD7598"/>
    <w:rsid w:val="00CD7E84"/>
    <w:rsid w:val="00CE4158"/>
    <w:rsid w:val="00CE5704"/>
    <w:rsid w:val="00CE71C2"/>
    <w:rsid w:val="00CE7639"/>
    <w:rsid w:val="00CF0ABA"/>
    <w:rsid w:val="00CF2242"/>
    <w:rsid w:val="00CF2E7E"/>
    <w:rsid w:val="00CF338C"/>
    <w:rsid w:val="00CF37E3"/>
    <w:rsid w:val="00CF383A"/>
    <w:rsid w:val="00CF3F14"/>
    <w:rsid w:val="00CF3F1A"/>
    <w:rsid w:val="00CF42D5"/>
    <w:rsid w:val="00CF4EDA"/>
    <w:rsid w:val="00CF562A"/>
    <w:rsid w:val="00CF5929"/>
    <w:rsid w:val="00CF6B47"/>
    <w:rsid w:val="00D00281"/>
    <w:rsid w:val="00D00651"/>
    <w:rsid w:val="00D01E11"/>
    <w:rsid w:val="00D01E65"/>
    <w:rsid w:val="00D021CB"/>
    <w:rsid w:val="00D05D44"/>
    <w:rsid w:val="00D064C3"/>
    <w:rsid w:val="00D06B32"/>
    <w:rsid w:val="00D07CDD"/>
    <w:rsid w:val="00D07EDF"/>
    <w:rsid w:val="00D10C4C"/>
    <w:rsid w:val="00D10F1A"/>
    <w:rsid w:val="00D11302"/>
    <w:rsid w:val="00D116F8"/>
    <w:rsid w:val="00D129B9"/>
    <w:rsid w:val="00D12D29"/>
    <w:rsid w:val="00D13BD0"/>
    <w:rsid w:val="00D15280"/>
    <w:rsid w:val="00D16009"/>
    <w:rsid w:val="00D17596"/>
    <w:rsid w:val="00D20146"/>
    <w:rsid w:val="00D20F1C"/>
    <w:rsid w:val="00D22640"/>
    <w:rsid w:val="00D269F4"/>
    <w:rsid w:val="00D26D3A"/>
    <w:rsid w:val="00D27E01"/>
    <w:rsid w:val="00D31A8A"/>
    <w:rsid w:val="00D32C6B"/>
    <w:rsid w:val="00D35B00"/>
    <w:rsid w:val="00D37DDB"/>
    <w:rsid w:val="00D40771"/>
    <w:rsid w:val="00D40774"/>
    <w:rsid w:val="00D41BD7"/>
    <w:rsid w:val="00D42750"/>
    <w:rsid w:val="00D42AFE"/>
    <w:rsid w:val="00D441B2"/>
    <w:rsid w:val="00D45C91"/>
    <w:rsid w:val="00D45EE3"/>
    <w:rsid w:val="00D502F9"/>
    <w:rsid w:val="00D50618"/>
    <w:rsid w:val="00D509E9"/>
    <w:rsid w:val="00D53B1C"/>
    <w:rsid w:val="00D55B36"/>
    <w:rsid w:val="00D60BDA"/>
    <w:rsid w:val="00D61714"/>
    <w:rsid w:val="00D620BE"/>
    <w:rsid w:val="00D622B9"/>
    <w:rsid w:val="00D64825"/>
    <w:rsid w:val="00D64974"/>
    <w:rsid w:val="00D652C8"/>
    <w:rsid w:val="00D656FF"/>
    <w:rsid w:val="00D65E08"/>
    <w:rsid w:val="00D70645"/>
    <w:rsid w:val="00D70963"/>
    <w:rsid w:val="00D72A97"/>
    <w:rsid w:val="00D73238"/>
    <w:rsid w:val="00D7378E"/>
    <w:rsid w:val="00D74472"/>
    <w:rsid w:val="00D74B8B"/>
    <w:rsid w:val="00D74F28"/>
    <w:rsid w:val="00D74FCA"/>
    <w:rsid w:val="00D769FB"/>
    <w:rsid w:val="00D7765D"/>
    <w:rsid w:val="00D82448"/>
    <w:rsid w:val="00D83615"/>
    <w:rsid w:val="00D83954"/>
    <w:rsid w:val="00D83AAD"/>
    <w:rsid w:val="00D84735"/>
    <w:rsid w:val="00D84DD1"/>
    <w:rsid w:val="00D8558F"/>
    <w:rsid w:val="00D86A48"/>
    <w:rsid w:val="00D913F3"/>
    <w:rsid w:val="00D93245"/>
    <w:rsid w:val="00D960DE"/>
    <w:rsid w:val="00D97037"/>
    <w:rsid w:val="00DA1B12"/>
    <w:rsid w:val="00DA1C2D"/>
    <w:rsid w:val="00DA3D4B"/>
    <w:rsid w:val="00DA4F90"/>
    <w:rsid w:val="00DA54C9"/>
    <w:rsid w:val="00DA599B"/>
    <w:rsid w:val="00DA5D75"/>
    <w:rsid w:val="00DA6739"/>
    <w:rsid w:val="00DA6B32"/>
    <w:rsid w:val="00DA6CAE"/>
    <w:rsid w:val="00DA7D1E"/>
    <w:rsid w:val="00DB1220"/>
    <w:rsid w:val="00DB126B"/>
    <w:rsid w:val="00DB1A9E"/>
    <w:rsid w:val="00DB31D6"/>
    <w:rsid w:val="00DB3296"/>
    <w:rsid w:val="00DB4005"/>
    <w:rsid w:val="00DB429C"/>
    <w:rsid w:val="00DB44AD"/>
    <w:rsid w:val="00DB44E2"/>
    <w:rsid w:val="00DB61F1"/>
    <w:rsid w:val="00DB6575"/>
    <w:rsid w:val="00DB6F6C"/>
    <w:rsid w:val="00DC30C9"/>
    <w:rsid w:val="00DC325B"/>
    <w:rsid w:val="00DC34EB"/>
    <w:rsid w:val="00DC4E2E"/>
    <w:rsid w:val="00DC78C0"/>
    <w:rsid w:val="00DD0721"/>
    <w:rsid w:val="00DD22A1"/>
    <w:rsid w:val="00DD22BB"/>
    <w:rsid w:val="00DD35A4"/>
    <w:rsid w:val="00DD3E3B"/>
    <w:rsid w:val="00DD4807"/>
    <w:rsid w:val="00DD528E"/>
    <w:rsid w:val="00DD6E15"/>
    <w:rsid w:val="00DD70A7"/>
    <w:rsid w:val="00DE1526"/>
    <w:rsid w:val="00DE18A4"/>
    <w:rsid w:val="00DE2562"/>
    <w:rsid w:val="00DE2C10"/>
    <w:rsid w:val="00DE4B51"/>
    <w:rsid w:val="00DE5D7D"/>
    <w:rsid w:val="00DE650A"/>
    <w:rsid w:val="00DE6872"/>
    <w:rsid w:val="00DF14C9"/>
    <w:rsid w:val="00DF1E5B"/>
    <w:rsid w:val="00DF2057"/>
    <w:rsid w:val="00DF2275"/>
    <w:rsid w:val="00DF234D"/>
    <w:rsid w:val="00DF3F5E"/>
    <w:rsid w:val="00DF5461"/>
    <w:rsid w:val="00DF5653"/>
    <w:rsid w:val="00E00FD2"/>
    <w:rsid w:val="00E02020"/>
    <w:rsid w:val="00E02BB7"/>
    <w:rsid w:val="00E0596E"/>
    <w:rsid w:val="00E06CFE"/>
    <w:rsid w:val="00E06D17"/>
    <w:rsid w:val="00E06F66"/>
    <w:rsid w:val="00E10435"/>
    <w:rsid w:val="00E1364C"/>
    <w:rsid w:val="00E2111A"/>
    <w:rsid w:val="00E21678"/>
    <w:rsid w:val="00E21A61"/>
    <w:rsid w:val="00E270CE"/>
    <w:rsid w:val="00E27FCD"/>
    <w:rsid w:val="00E344AA"/>
    <w:rsid w:val="00E34D99"/>
    <w:rsid w:val="00E356E5"/>
    <w:rsid w:val="00E36304"/>
    <w:rsid w:val="00E36F81"/>
    <w:rsid w:val="00E376FF"/>
    <w:rsid w:val="00E378A8"/>
    <w:rsid w:val="00E40B9B"/>
    <w:rsid w:val="00E41ABD"/>
    <w:rsid w:val="00E41D7A"/>
    <w:rsid w:val="00E44AFB"/>
    <w:rsid w:val="00E44FE9"/>
    <w:rsid w:val="00E4566C"/>
    <w:rsid w:val="00E45765"/>
    <w:rsid w:val="00E5098C"/>
    <w:rsid w:val="00E50D6D"/>
    <w:rsid w:val="00E54ECD"/>
    <w:rsid w:val="00E5576E"/>
    <w:rsid w:val="00E56A41"/>
    <w:rsid w:val="00E574EF"/>
    <w:rsid w:val="00E57CD8"/>
    <w:rsid w:val="00E57E07"/>
    <w:rsid w:val="00E60213"/>
    <w:rsid w:val="00E6327C"/>
    <w:rsid w:val="00E64127"/>
    <w:rsid w:val="00E65004"/>
    <w:rsid w:val="00E65678"/>
    <w:rsid w:val="00E65888"/>
    <w:rsid w:val="00E661B2"/>
    <w:rsid w:val="00E728ED"/>
    <w:rsid w:val="00E733E9"/>
    <w:rsid w:val="00E74CAB"/>
    <w:rsid w:val="00E74D29"/>
    <w:rsid w:val="00E75067"/>
    <w:rsid w:val="00E75093"/>
    <w:rsid w:val="00E806FF"/>
    <w:rsid w:val="00E83C74"/>
    <w:rsid w:val="00E83CEE"/>
    <w:rsid w:val="00E84BF7"/>
    <w:rsid w:val="00E84CB8"/>
    <w:rsid w:val="00E863DC"/>
    <w:rsid w:val="00E91E38"/>
    <w:rsid w:val="00E91F18"/>
    <w:rsid w:val="00E9226D"/>
    <w:rsid w:val="00E93E6A"/>
    <w:rsid w:val="00E95A41"/>
    <w:rsid w:val="00E960D0"/>
    <w:rsid w:val="00E96424"/>
    <w:rsid w:val="00EA0223"/>
    <w:rsid w:val="00EA1A2C"/>
    <w:rsid w:val="00EA24AE"/>
    <w:rsid w:val="00EA293E"/>
    <w:rsid w:val="00EA2A91"/>
    <w:rsid w:val="00EA2E20"/>
    <w:rsid w:val="00EA416C"/>
    <w:rsid w:val="00EA5941"/>
    <w:rsid w:val="00EA663B"/>
    <w:rsid w:val="00EA6E13"/>
    <w:rsid w:val="00EA7327"/>
    <w:rsid w:val="00EB0865"/>
    <w:rsid w:val="00EB1B35"/>
    <w:rsid w:val="00EB4E40"/>
    <w:rsid w:val="00EB59ED"/>
    <w:rsid w:val="00EB5F9A"/>
    <w:rsid w:val="00EB60CE"/>
    <w:rsid w:val="00EB7D53"/>
    <w:rsid w:val="00EC0880"/>
    <w:rsid w:val="00EC37F0"/>
    <w:rsid w:val="00EC596B"/>
    <w:rsid w:val="00EC68E3"/>
    <w:rsid w:val="00EC7104"/>
    <w:rsid w:val="00ED0635"/>
    <w:rsid w:val="00ED1271"/>
    <w:rsid w:val="00ED2E2A"/>
    <w:rsid w:val="00ED50D6"/>
    <w:rsid w:val="00ED5AAF"/>
    <w:rsid w:val="00ED5EEB"/>
    <w:rsid w:val="00EE09B0"/>
    <w:rsid w:val="00EE13C5"/>
    <w:rsid w:val="00EE1A11"/>
    <w:rsid w:val="00EE2396"/>
    <w:rsid w:val="00EE3146"/>
    <w:rsid w:val="00EE33EC"/>
    <w:rsid w:val="00EE3825"/>
    <w:rsid w:val="00EE3B84"/>
    <w:rsid w:val="00EE4306"/>
    <w:rsid w:val="00EE454F"/>
    <w:rsid w:val="00EE4A10"/>
    <w:rsid w:val="00EF04CF"/>
    <w:rsid w:val="00EF50BB"/>
    <w:rsid w:val="00EF5270"/>
    <w:rsid w:val="00EF573B"/>
    <w:rsid w:val="00EF5C72"/>
    <w:rsid w:val="00EF619D"/>
    <w:rsid w:val="00EF65E8"/>
    <w:rsid w:val="00EF71E4"/>
    <w:rsid w:val="00EF74C5"/>
    <w:rsid w:val="00F00192"/>
    <w:rsid w:val="00F00BDE"/>
    <w:rsid w:val="00F01DF6"/>
    <w:rsid w:val="00F027B8"/>
    <w:rsid w:val="00F0340D"/>
    <w:rsid w:val="00F03496"/>
    <w:rsid w:val="00F035F2"/>
    <w:rsid w:val="00F051E7"/>
    <w:rsid w:val="00F059A6"/>
    <w:rsid w:val="00F0706F"/>
    <w:rsid w:val="00F12F32"/>
    <w:rsid w:val="00F14244"/>
    <w:rsid w:val="00F14A04"/>
    <w:rsid w:val="00F152E5"/>
    <w:rsid w:val="00F16889"/>
    <w:rsid w:val="00F17E30"/>
    <w:rsid w:val="00F217C7"/>
    <w:rsid w:val="00F231D5"/>
    <w:rsid w:val="00F23756"/>
    <w:rsid w:val="00F2464C"/>
    <w:rsid w:val="00F2523A"/>
    <w:rsid w:val="00F25569"/>
    <w:rsid w:val="00F25BD8"/>
    <w:rsid w:val="00F25E67"/>
    <w:rsid w:val="00F25FFA"/>
    <w:rsid w:val="00F310D2"/>
    <w:rsid w:val="00F31E11"/>
    <w:rsid w:val="00F337BF"/>
    <w:rsid w:val="00F33CEE"/>
    <w:rsid w:val="00F35467"/>
    <w:rsid w:val="00F36F3D"/>
    <w:rsid w:val="00F37C48"/>
    <w:rsid w:val="00F40326"/>
    <w:rsid w:val="00F424D7"/>
    <w:rsid w:val="00F47553"/>
    <w:rsid w:val="00F477BD"/>
    <w:rsid w:val="00F50333"/>
    <w:rsid w:val="00F50C71"/>
    <w:rsid w:val="00F51457"/>
    <w:rsid w:val="00F52284"/>
    <w:rsid w:val="00F53491"/>
    <w:rsid w:val="00F54656"/>
    <w:rsid w:val="00F55386"/>
    <w:rsid w:val="00F55FC2"/>
    <w:rsid w:val="00F56411"/>
    <w:rsid w:val="00F56ECC"/>
    <w:rsid w:val="00F5752D"/>
    <w:rsid w:val="00F60181"/>
    <w:rsid w:val="00F60D5F"/>
    <w:rsid w:val="00F61182"/>
    <w:rsid w:val="00F657D7"/>
    <w:rsid w:val="00F65A1C"/>
    <w:rsid w:val="00F66F50"/>
    <w:rsid w:val="00F72B88"/>
    <w:rsid w:val="00F73BA4"/>
    <w:rsid w:val="00F73C5F"/>
    <w:rsid w:val="00F747D6"/>
    <w:rsid w:val="00F749E2"/>
    <w:rsid w:val="00F7628B"/>
    <w:rsid w:val="00F77432"/>
    <w:rsid w:val="00F81162"/>
    <w:rsid w:val="00F81630"/>
    <w:rsid w:val="00F819B4"/>
    <w:rsid w:val="00F82FF8"/>
    <w:rsid w:val="00F8330D"/>
    <w:rsid w:val="00F84305"/>
    <w:rsid w:val="00F8437D"/>
    <w:rsid w:val="00F8485C"/>
    <w:rsid w:val="00F87149"/>
    <w:rsid w:val="00F87FAA"/>
    <w:rsid w:val="00F87FFE"/>
    <w:rsid w:val="00F906CE"/>
    <w:rsid w:val="00F9138D"/>
    <w:rsid w:val="00F91D34"/>
    <w:rsid w:val="00F934C2"/>
    <w:rsid w:val="00F954C9"/>
    <w:rsid w:val="00F96538"/>
    <w:rsid w:val="00F9691F"/>
    <w:rsid w:val="00FA1936"/>
    <w:rsid w:val="00FA4CD4"/>
    <w:rsid w:val="00FA4CF0"/>
    <w:rsid w:val="00FA61AA"/>
    <w:rsid w:val="00FA69A4"/>
    <w:rsid w:val="00FA73A1"/>
    <w:rsid w:val="00FA75A6"/>
    <w:rsid w:val="00FA764F"/>
    <w:rsid w:val="00FB1279"/>
    <w:rsid w:val="00FB1495"/>
    <w:rsid w:val="00FB20C8"/>
    <w:rsid w:val="00FB61B2"/>
    <w:rsid w:val="00FB6B39"/>
    <w:rsid w:val="00FB7506"/>
    <w:rsid w:val="00FC058C"/>
    <w:rsid w:val="00FC1759"/>
    <w:rsid w:val="00FC20F8"/>
    <w:rsid w:val="00FC2B1C"/>
    <w:rsid w:val="00FC385E"/>
    <w:rsid w:val="00FC40B4"/>
    <w:rsid w:val="00FD1694"/>
    <w:rsid w:val="00FD2134"/>
    <w:rsid w:val="00FD5E17"/>
    <w:rsid w:val="00FD7636"/>
    <w:rsid w:val="00FE1800"/>
    <w:rsid w:val="00FE19E4"/>
    <w:rsid w:val="00FE1ACD"/>
    <w:rsid w:val="00FE3229"/>
    <w:rsid w:val="00FE3EC5"/>
    <w:rsid w:val="00FE4485"/>
    <w:rsid w:val="00FE720F"/>
    <w:rsid w:val="00FE74C3"/>
    <w:rsid w:val="00FF215C"/>
    <w:rsid w:val="00FF38FD"/>
    <w:rsid w:val="00FF3B16"/>
    <w:rsid w:val="00FF48B1"/>
    <w:rsid w:val="00FF49E8"/>
    <w:rsid w:val="00FF5C77"/>
    <w:rsid w:val="00FF672F"/>
    <w:rsid w:val="00FF709D"/>
    <w:rsid w:val="00FF7D67"/>
    <w:rsid w:val="019A44BF"/>
    <w:rsid w:val="01F2776F"/>
    <w:rsid w:val="0272D063"/>
    <w:rsid w:val="027FECA9"/>
    <w:rsid w:val="02F3D57E"/>
    <w:rsid w:val="03B38207"/>
    <w:rsid w:val="055E8392"/>
    <w:rsid w:val="05678ABA"/>
    <w:rsid w:val="0569D6CF"/>
    <w:rsid w:val="05FC12D1"/>
    <w:rsid w:val="0707D8BA"/>
    <w:rsid w:val="07201667"/>
    <w:rsid w:val="0775CD5B"/>
    <w:rsid w:val="08E38E33"/>
    <w:rsid w:val="099C64DB"/>
    <w:rsid w:val="0A67BD1B"/>
    <w:rsid w:val="0ACF66DE"/>
    <w:rsid w:val="0ADBFF36"/>
    <w:rsid w:val="0B7030EB"/>
    <w:rsid w:val="0BC7F566"/>
    <w:rsid w:val="0C8179F4"/>
    <w:rsid w:val="0CB7A87D"/>
    <w:rsid w:val="0E19E77D"/>
    <w:rsid w:val="0E9DAB2F"/>
    <w:rsid w:val="0EEEF987"/>
    <w:rsid w:val="0F319FE8"/>
    <w:rsid w:val="1061EFF6"/>
    <w:rsid w:val="110102C5"/>
    <w:rsid w:val="12377496"/>
    <w:rsid w:val="127B49E7"/>
    <w:rsid w:val="12A589FA"/>
    <w:rsid w:val="12DF01B2"/>
    <w:rsid w:val="136A10D2"/>
    <w:rsid w:val="14781CDE"/>
    <w:rsid w:val="15E38E1E"/>
    <w:rsid w:val="162AC671"/>
    <w:rsid w:val="16B72DDA"/>
    <w:rsid w:val="178937D3"/>
    <w:rsid w:val="180D1FDC"/>
    <w:rsid w:val="194730C9"/>
    <w:rsid w:val="1967AC1E"/>
    <w:rsid w:val="196F7627"/>
    <w:rsid w:val="19FBD4B7"/>
    <w:rsid w:val="19FE0280"/>
    <w:rsid w:val="1A7892DE"/>
    <w:rsid w:val="1A8B3863"/>
    <w:rsid w:val="1AE23CC5"/>
    <w:rsid w:val="1B69BF2E"/>
    <w:rsid w:val="1B91D3A9"/>
    <w:rsid w:val="1BB2C854"/>
    <w:rsid w:val="1C0632D7"/>
    <w:rsid w:val="1C572646"/>
    <w:rsid w:val="1C9FBB9E"/>
    <w:rsid w:val="1D91CF31"/>
    <w:rsid w:val="1DF61C16"/>
    <w:rsid w:val="1E27F0A7"/>
    <w:rsid w:val="1E9C09EF"/>
    <w:rsid w:val="1FD95862"/>
    <w:rsid w:val="21057E1F"/>
    <w:rsid w:val="21077676"/>
    <w:rsid w:val="21824DB5"/>
    <w:rsid w:val="2188D260"/>
    <w:rsid w:val="21CEA66A"/>
    <w:rsid w:val="2233BF84"/>
    <w:rsid w:val="224E6D41"/>
    <w:rsid w:val="2260C8C3"/>
    <w:rsid w:val="22E18EC7"/>
    <w:rsid w:val="233A509F"/>
    <w:rsid w:val="2374FFAE"/>
    <w:rsid w:val="23E2C0B2"/>
    <w:rsid w:val="2467DFA2"/>
    <w:rsid w:val="248509EA"/>
    <w:rsid w:val="258D773F"/>
    <w:rsid w:val="261CCACB"/>
    <w:rsid w:val="26679703"/>
    <w:rsid w:val="26EE405D"/>
    <w:rsid w:val="271A2F2C"/>
    <w:rsid w:val="27350DB8"/>
    <w:rsid w:val="2795FBE2"/>
    <w:rsid w:val="27C2B163"/>
    <w:rsid w:val="28921304"/>
    <w:rsid w:val="28CA98D9"/>
    <w:rsid w:val="293279CD"/>
    <w:rsid w:val="29718D82"/>
    <w:rsid w:val="29BAF735"/>
    <w:rsid w:val="29E3DDDA"/>
    <w:rsid w:val="2A574A1E"/>
    <w:rsid w:val="2AFA2C8D"/>
    <w:rsid w:val="2C0D7FE2"/>
    <w:rsid w:val="2C35FBEB"/>
    <w:rsid w:val="2C412EA8"/>
    <w:rsid w:val="2CD9CE68"/>
    <w:rsid w:val="2CE7C99E"/>
    <w:rsid w:val="2E25E92E"/>
    <w:rsid w:val="2E895087"/>
    <w:rsid w:val="2EBF26DE"/>
    <w:rsid w:val="2FF05BBB"/>
    <w:rsid w:val="307C3FBC"/>
    <w:rsid w:val="30FF75DB"/>
    <w:rsid w:val="32383F81"/>
    <w:rsid w:val="32489196"/>
    <w:rsid w:val="3248C841"/>
    <w:rsid w:val="32A273CE"/>
    <w:rsid w:val="34EC7368"/>
    <w:rsid w:val="35104A7B"/>
    <w:rsid w:val="356CBD1E"/>
    <w:rsid w:val="35753CC1"/>
    <w:rsid w:val="35B57879"/>
    <w:rsid w:val="35DFB211"/>
    <w:rsid w:val="36271539"/>
    <w:rsid w:val="369641E6"/>
    <w:rsid w:val="36A91EC6"/>
    <w:rsid w:val="36DF54DB"/>
    <w:rsid w:val="36E4CDFA"/>
    <w:rsid w:val="37320B83"/>
    <w:rsid w:val="378E39A6"/>
    <w:rsid w:val="3805B17A"/>
    <w:rsid w:val="38793955"/>
    <w:rsid w:val="387E738F"/>
    <w:rsid w:val="39926950"/>
    <w:rsid w:val="39A55A40"/>
    <w:rsid w:val="3A6051A2"/>
    <w:rsid w:val="3A6A2717"/>
    <w:rsid w:val="3AF145D4"/>
    <w:rsid w:val="3B363C4E"/>
    <w:rsid w:val="3B7EBF87"/>
    <w:rsid w:val="3C9553DD"/>
    <w:rsid w:val="3CB364B8"/>
    <w:rsid w:val="3D14B789"/>
    <w:rsid w:val="3D660032"/>
    <w:rsid w:val="3D938677"/>
    <w:rsid w:val="3E1268D6"/>
    <w:rsid w:val="3E3051BB"/>
    <w:rsid w:val="3E5A4713"/>
    <w:rsid w:val="3EFFCBA2"/>
    <w:rsid w:val="3F6BC6C7"/>
    <w:rsid w:val="3FB02466"/>
    <w:rsid w:val="3FFDF6C6"/>
    <w:rsid w:val="406F0235"/>
    <w:rsid w:val="41281739"/>
    <w:rsid w:val="41849718"/>
    <w:rsid w:val="43B075E1"/>
    <w:rsid w:val="43F665F2"/>
    <w:rsid w:val="446CFDDD"/>
    <w:rsid w:val="456D0E2A"/>
    <w:rsid w:val="458E9092"/>
    <w:rsid w:val="45EE80C5"/>
    <w:rsid w:val="461CC9C7"/>
    <w:rsid w:val="46CEBE2F"/>
    <w:rsid w:val="46DDB40B"/>
    <w:rsid w:val="46DE02E3"/>
    <w:rsid w:val="4714745D"/>
    <w:rsid w:val="47BACCA5"/>
    <w:rsid w:val="47C3D6F4"/>
    <w:rsid w:val="48002D3A"/>
    <w:rsid w:val="481F64B5"/>
    <w:rsid w:val="48ABCD54"/>
    <w:rsid w:val="491B68FD"/>
    <w:rsid w:val="498368F5"/>
    <w:rsid w:val="49BF2565"/>
    <w:rsid w:val="4A614937"/>
    <w:rsid w:val="4A98258D"/>
    <w:rsid w:val="4AB129E7"/>
    <w:rsid w:val="4B4A4A28"/>
    <w:rsid w:val="4CACB459"/>
    <w:rsid w:val="4DDE3463"/>
    <w:rsid w:val="4E108492"/>
    <w:rsid w:val="4E170FE7"/>
    <w:rsid w:val="4E8AD932"/>
    <w:rsid w:val="4EB1409A"/>
    <w:rsid w:val="4F9ABF5A"/>
    <w:rsid w:val="4FACE0AB"/>
    <w:rsid w:val="4FD7DE81"/>
    <w:rsid w:val="50D3022B"/>
    <w:rsid w:val="50E3CDAA"/>
    <w:rsid w:val="51033EC5"/>
    <w:rsid w:val="51209DE0"/>
    <w:rsid w:val="517A004C"/>
    <w:rsid w:val="51AAFDFA"/>
    <w:rsid w:val="51B9EF5D"/>
    <w:rsid w:val="522D3DD6"/>
    <w:rsid w:val="552ACE48"/>
    <w:rsid w:val="55648528"/>
    <w:rsid w:val="55C99E29"/>
    <w:rsid w:val="55CAD14F"/>
    <w:rsid w:val="563C31F5"/>
    <w:rsid w:val="576F12D9"/>
    <w:rsid w:val="57A586E0"/>
    <w:rsid w:val="57A79C07"/>
    <w:rsid w:val="58774BE1"/>
    <w:rsid w:val="58D3BAD7"/>
    <w:rsid w:val="58E95B39"/>
    <w:rsid w:val="5924E994"/>
    <w:rsid w:val="59322D18"/>
    <w:rsid w:val="59410896"/>
    <w:rsid w:val="59921D35"/>
    <w:rsid w:val="59A6DC14"/>
    <w:rsid w:val="5A1B1F97"/>
    <w:rsid w:val="5A5B7A53"/>
    <w:rsid w:val="5A8463AF"/>
    <w:rsid w:val="5B42DBAF"/>
    <w:rsid w:val="5B56C9A3"/>
    <w:rsid w:val="5C26BFD5"/>
    <w:rsid w:val="5C6B8A2B"/>
    <w:rsid w:val="5CA99785"/>
    <w:rsid w:val="5CD0183A"/>
    <w:rsid w:val="5D0D6841"/>
    <w:rsid w:val="5DF76B4B"/>
    <w:rsid w:val="5EBEB438"/>
    <w:rsid w:val="5F2D3D6A"/>
    <w:rsid w:val="600431A0"/>
    <w:rsid w:val="6039CDF3"/>
    <w:rsid w:val="60AF7255"/>
    <w:rsid w:val="60C64985"/>
    <w:rsid w:val="613B370F"/>
    <w:rsid w:val="618FD2E0"/>
    <w:rsid w:val="6274FE7F"/>
    <w:rsid w:val="62A0B368"/>
    <w:rsid w:val="632EABC7"/>
    <w:rsid w:val="637F8089"/>
    <w:rsid w:val="64A3EBAA"/>
    <w:rsid w:val="653ECDC1"/>
    <w:rsid w:val="6552A3E1"/>
    <w:rsid w:val="65AA03F8"/>
    <w:rsid w:val="65E02428"/>
    <w:rsid w:val="666AE42D"/>
    <w:rsid w:val="669D03BC"/>
    <w:rsid w:val="67073D78"/>
    <w:rsid w:val="67AB1ABC"/>
    <w:rsid w:val="6868E936"/>
    <w:rsid w:val="6A6D8A3A"/>
    <w:rsid w:val="6A8DBF23"/>
    <w:rsid w:val="6B0AE21B"/>
    <w:rsid w:val="6B6B5B68"/>
    <w:rsid w:val="6B7CFB29"/>
    <w:rsid w:val="6B8E26AC"/>
    <w:rsid w:val="6BB9A705"/>
    <w:rsid w:val="6BD71E66"/>
    <w:rsid w:val="6BDE5BEB"/>
    <w:rsid w:val="6C65AB2F"/>
    <w:rsid w:val="6D13ACBD"/>
    <w:rsid w:val="6DA4CC31"/>
    <w:rsid w:val="6E49F188"/>
    <w:rsid w:val="6E4C1B45"/>
    <w:rsid w:val="6F3377CF"/>
    <w:rsid w:val="6FA2266A"/>
    <w:rsid w:val="6FC3908C"/>
    <w:rsid w:val="7073CF21"/>
    <w:rsid w:val="7098D2C6"/>
    <w:rsid w:val="70A9B1CF"/>
    <w:rsid w:val="70BDA5F8"/>
    <w:rsid w:val="7189E98A"/>
    <w:rsid w:val="71B12792"/>
    <w:rsid w:val="71CE714B"/>
    <w:rsid w:val="71DEC1F8"/>
    <w:rsid w:val="725C7C81"/>
    <w:rsid w:val="729C39E9"/>
    <w:rsid w:val="73B501B7"/>
    <w:rsid w:val="73BD956A"/>
    <w:rsid w:val="73CD4C9D"/>
    <w:rsid w:val="744C6A07"/>
    <w:rsid w:val="74E19179"/>
    <w:rsid w:val="74E6A3D6"/>
    <w:rsid w:val="7579743F"/>
    <w:rsid w:val="75F02951"/>
    <w:rsid w:val="75F3C532"/>
    <w:rsid w:val="7660FF21"/>
    <w:rsid w:val="773C0BB0"/>
    <w:rsid w:val="78176E31"/>
    <w:rsid w:val="785D9D40"/>
    <w:rsid w:val="788D23A6"/>
    <w:rsid w:val="789478B9"/>
    <w:rsid w:val="799AAB4F"/>
    <w:rsid w:val="79C41505"/>
    <w:rsid w:val="79DFE6A8"/>
    <w:rsid w:val="7AD41BF0"/>
    <w:rsid w:val="7B1B9ADC"/>
    <w:rsid w:val="7B98BBD2"/>
    <w:rsid w:val="7BFCC8F0"/>
    <w:rsid w:val="7C0314EE"/>
    <w:rsid w:val="7C7A0177"/>
    <w:rsid w:val="7CFBD3E9"/>
    <w:rsid w:val="7D3F9C87"/>
    <w:rsid w:val="7DA74FAC"/>
    <w:rsid w:val="7F44EE0D"/>
    <w:rsid w:val="7F7CCD2F"/>
    <w:rsid w:val="7F881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763CD7"/>
  <w15:docId w15:val="{56802769-620C-4C3E-B300-7153E09B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990"/>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7"/>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8"/>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ind w:left="720" w:hanging="360"/>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9"/>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10"/>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externalref">
    <w:name w:val="externalref"/>
    <w:basedOn w:val="DefaultParagraphFont"/>
    <w:rsid w:val="002932C8"/>
  </w:style>
  <w:style w:type="character" w:customStyle="1" w:styleId="refsource">
    <w:name w:val="refsource"/>
    <w:basedOn w:val="DefaultParagraphFont"/>
    <w:rsid w:val="00293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1170">
      <w:bodyDiv w:val="1"/>
      <w:marLeft w:val="0"/>
      <w:marRight w:val="0"/>
      <w:marTop w:val="0"/>
      <w:marBottom w:val="0"/>
      <w:divBdr>
        <w:top w:val="none" w:sz="0" w:space="0" w:color="auto"/>
        <w:left w:val="none" w:sz="0" w:space="0" w:color="auto"/>
        <w:bottom w:val="none" w:sz="0" w:space="0" w:color="auto"/>
        <w:right w:val="none" w:sz="0" w:space="0" w:color="auto"/>
      </w:divBdr>
    </w:div>
    <w:div w:id="365525467">
      <w:bodyDiv w:val="1"/>
      <w:marLeft w:val="0"/>
      <w:marRight w:val="0"/>
      <w:marTop w:val="0"/>
      <w:marBottom w:val="0"/>
      <w:divBdr>
        <w:top w:val="none" w:sz="0" w:space="0" w:color="auto"/>
        <w:left w:val="none" w:sz="0" w:space="0" w:color="auto"/>
        <w:bottom w:val="none" w:sz="0" w:space="0" w:color="auto"/>
        <w:right w:val="none" w:sz="0" w:space="0" w:color="auto"/>
      </w:divBdr>
      <w:divsChild>
        <w:div w:id="2052996054">
          <w:marLeft w:val="0"/>
          <w:marRight w:val="0"/>
          <w:marTop w:val="0"/>
          <w:marBottom w:val="0"/>
          <w:divBdr>
            <w:top w:val="none" w:sz="0" w:space="0" w:color="auto"/>
            <w:left w:val="none" w:sz="0" w:space="0" w:color="auto"/>
            <w:bottom w:val="none" w:sz="0" w:space="0" w:color="auto"/>
            <w:right w:val="none" w:sz="0" w:space="0" w:color="auto"/>
          </w:divBdr>
        </w:div>
      </w:divsChild>
    </w:div>
    <w:div w:id="372996382">
      <w:bodyDiv w:val="1"/>
      <w:marLeft w:val="0"/>
      <w:marRight w:val="0"/>
      <w:marTop w:val="0"/>
      <w:marBottom w:val="0"/>
      <w:divBdr>
        <w:top w:val="none" w:sz="0" w:space="0" w:color="auto"/>
        <w:left w:val="none" w:sz="0" w:space="0" w:color="auto"/>
        <w:bottom w:val="none" w:sz="0" w:space="0" w:color="auto"/>
        <w:right w:val="none" w:sz="0" w:space="0" w:color="auto"/>
      </w:divBdr>
      <w:divsChild>
        <w:div w:id="160629190">
          <w:marLeft w:val="0"/>
          <w:marRight w:val="0"/>
          <w:marTop w:val="0"/>
          <w:marBottom w:val="0"/>
          <w:divBdr>
            <w:top w:val="none" w:sz="0" w:space="0" w:color="auto"/>
            <w:left w:val="none" w:sz="0" w:space="0" w:color="auto"/>
            <w:bottom w:val="none" w:sz="0" w:space="0" w:color="auto"/>
            <w:right w:val="none" w:sz="0" w:space="0" w:color="auto"/>
          </w:divBdr>
          <w:divsChild>
            <w:div w:id="591401762">
              <w:marLeft w:val="0"/>
              <w:marRight w:val="0"/>
              <w:marTop w:val="0"/>
              <w:marBottom w:val="0"/>
              <w:divBdr>
                <w:top w:val="none" w:sz="0" w:space="0" w:color="auto"/>
                <w:left w:val="none" w:sz="0" w:space="0" w:color="auto"/>
                <w:bottom w:val="none" w:sz="0" w:space="0" w:color="auto"/>
                <w:right w:val="none" w:sz="0" w:space="0" w:color="auto"/>
              </w:divBdr>
            </w:div>
          </w:divsChild>
        </w:div>
        <w:div w:id="647244437">
          <w:marLeft w:val="0"/>
          <w:marRight w:val="0"/>
          <w:marTop w:val="0"/>
          <w:marBottom w:val="0"/>
          <w:divBdr>
            <w:top w:val="none" w:sz="0" w:space="0" w:color="auto"/>
            <w:left w:val="none" w:sz="0" w:space="0" w:color="auto"/>
            <w:bottom w:val="none" w:sz="0" w:space="0" w:color="auto"/>
            <w:right w:val="none" w:sz="0" w:space="0" w:color="auto"/>
          </w:divBdr>
        </w:div>
        <w:div w:id="1577981227">
          <w:marLeft w:val="45"/>
          <w:marRight w:val="45"/>
          <w:marTop w:val="15"/>
          <w:marBottom w:val="0"/>
          <w:divBdr>
            <w:top w:val="none" w:sz="0" w:space="0" w:color="auto"/>
            <w:left w:val="none" w:sz="0" w:space="0" w:color="auto"/>
            <w:bottom w:val="none" w:sz="0" w:space="0" w:color="auto"/>
            <w:right w:val="none" w:sz="0" w:space="0" w:color="auto"/>
          </w:divBdr>
          <w:divsChild>
            <w:div w:id="1620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79897116">
      <w:bodyDiv w:val="1"/>
      <w:marLeft w:val="0"/>
      <w:marRight w:val="0"/>
      <w:marTop w:val="0"/>
      <w:marBottom w:val="0"/>
      <w:divBdr>
        <w:top w:val="none" w:sz="0" w:space="0" w:color="auto"/>
        <w:left w:val="none" w:sz="0" w:space="0" w:color="auto"/>
        <w:bottom w:val="none" w:sz="0" w:space="0" w:color="auto"/>
        <w:right w:val="none" w:sz="0" w:space="0" w:color="auto"/>
      </w:divBdr>
    </w:div>
    <w:div w:id="829752914">
      <w:bodyDiv w:val="1"/>
      <w:marLeft w:val="0"/>
      <w:marRight w:val="0"/>
      <w:marTop w:val="0"/>
      <w:marBottom w:val="0"/>
      <w:divBdr>
        <w:top w:val="none" w:sz="0" w:space="0" w:color="auto"/>
        <w:left w:val="none" w:sz="0" w:space="0" w:color="auto"/>
        <w:bottom w:val="none" w:sz="0" w:space="0" w:color="auto"/>
        <w:right w:val="none" w:sz="0" w:space="0" w:color="auto"/>
      </w:divBdr>
    </w:div>
    <w:div w:id="912080005">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215310588">
      <w:bodyDiv w:val="1"/>
      <w:marLeft w:val="0"/>
      <w:marRight w:val="0"/>
      <w:marTop w:val="0"/>
      <w:marBottom w:val="0"/>
      <w:divBdr>
        <w:top w:val="none" w:sz="0" w:space="0" w:color="auto"/>
        <w:left w:val="none" w:sz="0" w:space="0" w:color="auto"/>
        <w:bottom w:val="none" w:sz="0" w:space="0" w:color="auto"/>
        <w:right w:val="none" w:sz="0" w:space="0" w:color="auto"/>
      </w:divBdr>
    </w:div>
    <w:div w:id="1334264421">
      <w:bodyDiv w:val="1"/>
      <w:marLeft w:val="0"/>
      <w:marRight w:val="0"/>
      <w:marTop w:val="0"/>
      <w:marBottom w:val="0"/>
      <w:divBdr>
        <w:top w:val="none" w:sz="0" w:space="0" w:color="auto"/>
        <w:left w:val="none" w:sz="0" w:space="0" w:color="auto"/>
        <w:bottom w:val="none" w:sz="0" w:space="0" w:color="auto"/>
        <w:right w:val="none" w:sz="0" w:space="0" w:color="auto"/>
      </w:divBdr>
    </w:div>
    <w:div w:id="1337028384">
      <w:bodyDiv w:val="1"/>
      <w:marLeft w:val="0"/>
      <w:marRight w:val="0"/>
      <w:marTop w:val="0"/>
      <w:marBottom w:val="0"/>
      <w:divBdr>
        <w:top w:val="none" w:sz="0" w:space="0" w:color="auto"/>
        <w:left w:val="none" w:sz="0" w:space="0" w:color="auto"/>
        <w:bottom w:val="none" w:sz="0" w:space="0" w:color="auto"/>
        <w:right w:val="none" w:sz="0" w:space="0" w:color="auto"/>
      </w:divBdr>
      <w:divsChild>
        <w:div w:id="1603759711">
          <w:marLeft w:val="0"/>
          <w:marRight w:val="0"/>
          <w:marTop w:val="0"/>
          <w:marBottom w:val="0"/>
          <w:divBdr>
            <w:top w:val="none" w:sz="0" w:space="0" w:color="auto"/>
            <w:left w:val="none" w:sz="0" w:space="0" w:color="auto"/>
            <w:bottom w:val="none" w:sz="0" w:space="0" w:color="auto"/>
            <w:right w:val="none" w:sz="0" w:space="0" w:color="auto"/>
          </w:divBdr>
          <w:divsChild>
            <w:div w:id="2702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4116">
      <w:bodyDiv w:val="1"/>
      <w:marLeft w:val="0"/>
      <w:marRight w:val="0"/>
      <w:marTop w:val="0"/>
      <w:marBottom w:val="0"/>
      <w:divBdr>
        <w:top w:val="none" w:sz="0" w:space="0" w:color="auto"/>
        <w:left w:val="none" w:sz="0" w:space="0" w:color="auto"/>
        <w:bottom w:val="none" w:sz="0" w:space="0" w:color="auto"/>
        <w:right w:val="none" w:sz="0" w:space="0" w:color="auto"/>
      </w:divBdr>
    </w:div>
    <w:div w:id="1867134709">
      <w:bodyDiv w:val="1"/>
      <w:marLeft w:val="0"/>
      <w:marRight w:val="0"/>
      <w:marTop w:val="0"/>
      <w:marBottom w:val="0"/>
      <w:divBdr>
        <w:top w:val="none" w:sz="0" w:space="0" w:color="auto"/>
        <w:left w:val="none" w:sz="0" w:space="0" w:color="auto"/>
        <w:bottom w:val="none" w:sz="0" w:space="0" w:color="auto"/>
        <w:right w:val="none" w:sz="0" w:space="0" w:color="auto"/>
      </w:divBdr>
    </w:div>
    <w:div w:id="1895923683">
      <w:bodyDiv w:val="1"/>
      <w:marLeft w:val="0"/>
      <w:marRight w:val="0"/>
      <w:marTop w:val="0"/>
      <w:marBottom w:val="0"/>
      <w:divBdr>
        <w:top w:val="none" w:sz="0" w:space="0" w:color="auto"/>
        <w:left w:val="none" w:sz="0" w:space="0" w:color="auto"/>
        <w:bottom w:val="none" w:sz="0" w:space="0" w:color="auto"/>
        <w:right w:val="none" w:sz="0" w:space="0" w:color="auto"/>
      </w:divBdr>
    </w:div>
    <w:div w:id="2110927072">
      <w:bodyDiv w:val="1"/>
      <w:marLeft w:val="0"/>
      <w:marRight w:val="0"/>
      <w:marTop w:val="0"/>
      <w:marBottom w:val="0"/>
      <w:divBdr>
        <w:top w:val="none" w:sz="0" w:space="0" w:color="auto"/>
        <w:left w:val="none" w:sz="0" w:space="0" w:color="auto"/>
        <w:bottom w:val="none" w:sz="0" w:space="0" w:color="auto"/>
        <w:right w:val="none" w:sz="0" w:space="0" w:color="auto"/>
      </w:divBdr>
      <w:divsChild>
        <w:div w:id="1003514821">
          <w:marLeft w:val="0"/>
          <w:marRight w:val="0"/>
          <w:marTop w:val="0"/>
          <w:marBottom w:val="0"/>
          <w:divBdr>
            <w:top w:val="none" w:sz="0" w:space="0" w:color="auto"/>
            <w:left w:val="none" w:sz="0" w:space="0" w:color="auto"/>
            <w:bottom w:val="none" w:sz="0" w:space="0" w:color="auto"/>
            <w:right w:val="none" w:sz="0" w:space="0" w:color="auto"/>
          </w:divBdr>
          <w:divsChild>
            <w:div w:id="1433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ajorprojects.planning.nsw.gov.au/index.pl?action=view_job&amp;job_id=8445" TargetMode="External"/><Relationship Id="rId18" Type="http://schemas.openxmlformats.org/officeDocument/2006/relationships/hyperlink" Target="http://www.iesc.environment.gov.au/system/files/resources/012fa918-ee79-4131-9c8d-02c9b2de65cf/files/iesc-information-guidelines-may-2018.pdf" TargetMode="External"/><Relationship Id="rId3" Type="http://schemas.openxmlformats.org/officeDocument/2006/relationships/settings" Target="settings.xml"/><Relationship Id="rId21" Type="http://schemas.openxmlformats.org/officeDocument/2006/relationships/hyperlink" Target="https://www.environment.nsw.gov.au/resources/water/ThirlmereReport2012.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x.doi.org/10.1016/j.jhydrol.2017.07.057" TargetMode="External"/><Relationship Id="rId25" Type="http://schemas.openxmlformats.org/officeDocument/2006/relationships/theme" Target="theme/theme1.xm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dx.doi.org/10.1007/s13762-016-1068-2" TargetMode="External"/><Relationship Id="rId20" Type="http://schemas.openxmlformats.org/officeDocument/2006/relationships/hyperlink" Target="http://www.iahrapd2016.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007/s13762-016-1018-z" TargetMode="External"/><Relationship Id="rId23" Type="http://schemas.openxmlformats.org/officeDocument/2006/relationships/hyperlink" Target="https://doi.org/10.1111/gwat.12003" TargetMode="External"/><Relationship Id="rId10" Type="http://schemas.openxmlformats.org/officeDocument/2006/relationships/footer" Target="footer2.xml"/><Relationship Id="rId19" Type="http://schemas.openxmlformats.org/officeDocument/2006/relationships/hyperlink" Target="https://www.environment.nsw.gov.au/water/ThirlmereLakesInquiry.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aterquality.gov.au/anz-guidelines" TargetMode="External"/><Relationship Id="rId22" Type="http://schemas.openxmlformats.org/officeDocument/2006/relationships/hyperlink" Target="https://www.environment.gov.au/system/.../pomaderris-brunnea-recovery-plan.do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54033A30.dotm</Template>
  <TotalTime>1</TotalTime>
  <Pages>15</Pages>
  <Words>8074</Words>
  <Characters>46024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53991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Tahmoor South coal mining project IESC 2019-101: Tahmoor South Coal Project (EPBC 2017/8084; SSD 8445) – Expansion</dc:title>
  <dc:subject/>
  <dc:creator>IESC</dc:creator>
  <cp:keywords/>
  <dc:description/>
  <cp:lastModifiedBy>Bec Durack</cp:lastModifiedBy>
  <cp:revision>2</cp:revision>
  <dcterms:created xsi:type="dcterms:W3CDTF">2019-03-25T00:37:00Z</dcterms:created>
  <dcterms:modified xsi:type="dcterms:W3CDTF">2019-03-25T00:37:00Z</dcterms:modified>
</cp:coreProperties>
</file>