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6F5B5B" w14:textId="101558AE" w:rsidR="00714B40" w:rsidRPr="00BF21A7" w:rsidRDefault="00714B40" w:rsidP="00714B40">
      <w:pPr>
        <w:pStyle w:val="Header"/>
        <w:suppressLineNumbers/>
        <w:ind w:hanging="1418"/>
        <w:sectPr w:rsidR="00714B40" w:rsidRPr="00BF21A7" w:rsidSect="00264083">
          <w:headerReference w:type="even" r:id="rId11"/>
          <w:headerReference w:type="default" r:id="rId12"/>
          <w:footerReference w:type="default" r:id="rId13"/>
          <w:headerReference w:type="first" r:id="rId14"/>
          <w:footerReference w:type="first" r:id="rId15"/>
          <w:pgSz w:w="11906" w:h="16838"/>
          <w:pgMar w:top="142" w:right="1440" w:bottom="1440" w:left="1440" w:header="425" w:footer="425" w:gutter="0"/>
          <w:lnNumType w:countBy="1" w:restart="continuous"/>
          <w:pgNumType w:start="1"/>
          <w:cols w:space="708"/>
          <w:titlePg/>
          <w:docGrid w:linePitch="360"/>
        </w:sectPr>
      </w:pPr>
    </w:p>
    <w:p w14:paraId="788F5085" w14:textId="6F4566A6" w:rsidR="001765DA" w:rsidRPr="00E13C4C" w:rsidRDefault="00F027B8" w:rsidP="009E7F55">
      <w:pPr>
        <w:pStyle w:val="Heading1"/>
        <w:suppressLineNumbers/>
      </w:pPr>
      <w:r w:rsidRPr="00E13C4C">
        <w:t>Advi</w:t>
      </w:r>
      <w:r w:rsidR="001765DA" w:rsidRPr="00E13C4C">
        <w:t>ce to decision maker on coal mining</w:t>
      </w:r>
      <w:r w:rsidR="00E21678" w:rsidRPr="00E13C4C">
        <w:t xml:space="preserve"> project </w:t>
      </w:r>
    </w:p>
    <w:p w14:paraId="2D10FD52" w14:textId="1ACE2E4B" w:rsidR="004861E6" w:rsidRPr="00E13C4C" w:rsidRDefault="00D10C4C" w:rsidP="009E7F55">
      <w:pPr>
        <w:pStyle w:val="Heading2"/>
        <w:suppressLineNumbers/>
      </w:pPr>
      <w:r w:rsidRPr="00E13C4C">
        <w:t xml:space="preserve">IESC </w:t>
      </w:r>
      <w:r w:rsidR="00C43084" w:rsidRPr="00E13C4C">
        <w:t>20</w:t>
      </w:r>
      <w:r w:rsidR="007F14A7" w:rsidRPr="00E13C4C">
        <w:t>20</w:t>
      </w:r>
      <w:r w:rsidR="00CC27E7" w:rsidRPr="00E13C4C">
        <w:t>-</w:t>
      </w:r>
      <w:r w:rsidRPr="00E13C4C">
        <w:t>0</w:t>
      </w:r>
      <w:r w:rsidR="007F14A7" w:rsidRPr="00E13C4C">
        <w:t>120</w:t>
      </w:r>
      <w:r w:rsidR="001765DA" w:rsidRPr="00E13C4C">
        <w:t>:</w:t>
      </w:r>
      <w:r w:rsidR="002974BC" w:rsidRPr="00E13C4C">
        <w:t xml:space="preserve"> </w:t>
      </w:r>
      <w:r w:rsidR="007F14A7" w:rsidRPr="00E13C4C">
        <w:t>Russell Vale Colliery Re</w:t>
      </w:r>
      <w:r w:rsidR="00301E75" w:rsidRPr="00E13C4C">
        <w:t>v</w:t>
      </w:r>
      <w:r w:rsidR="007F14A7" w:rsidRPr="00E13C4C">
        <w:t>ised Underground Expansion Project, NSW</w:t>
      </w:r>
      <w:r w:rsidR="009B0FC3" w:rsidRPr="00E13C4C">
        <w:t xml:space="preserve"> </w:t>
      </w:r>
      <w:r w:rsidR="00D83AAD" w:rsidRPr="00E13C4C">
        <w:t>(EPBC</w:t>
      </w:r>
      <w:r w:rsidR="007B047A" w:rsidRPr="00E13C4C">
        <w:t xml:space="preserve"> </w:t>
      </w:r>
      <w:r w:rsidR="007F14A7" w:rsidRPr="00E13C4C">
        <w:t>2020</w:t>
      </w:r>
      <w:r w:rsidR="009110D5" w:rsidRPr="00E13C4C">
        <w:t>/</w:t>
      </w:r>
      <w:r w:rsidR="007F14A7" w:rsidRPr="00E13C4C">
        <w:t>8702</w:t>
      </w:r>
      <w:r w:rsidR="00D83AAD" w:rsidRPr="00E13C4C">
        <w:t xml:space="preserve">) </w:t>
      </w:r>
      <w:r w:rsidR="00C803D7" w:rsidRPr="00E13C4C">
        <w:t>–</w:t>
      </w:r>
      <w:r w:rsidR="007F14A7" w:rsidRPr="00E13C4C">
        <w:t xml:space="preserve"> </w:t>
      </w:r>
      <w:r w:rsidR="00C803D7" w:rsidRPr="00E13C4C">
        <w:t>Expansion</w:t>
      </w:r>
    </w:p>
    <w:tbl>
      <w:tblPr>
        <w:tblW w:w="9640" w:type="dxa"/>
        <w:tblInd w:w="-284" w:type="dxa"/>
        <w:tblBorders>
          <w:insideH w:val="single" w:sz="4" w:space="0" w:color="auto"/>
        </w:tblBorders>
        <w:tblCellMar>
          <w:top w:w="113" w:type="dxa"/>
          <w:bottom w:w="113" w:type="dxa"/>
        </w:tblCellMar>
        <w:tblLook w:val="01E0" w:firstRow="1" w:lastRow="1" w:firstColumn="1" w:lastColumn="1" w:noHBand="0" w:noVBand="0"/>
      </w:tblPr>
      <w:tblGrid>
        <w:gridCol w:w="1810"/>
        <w:gridCol w:w="7830"/>
      </w:tblGrid>
      <w:tr w:rsidR="007F14A7" w:rsidRPr="00E13C4C" w14:paraId="09C5E40B" w14:textId="77777777" w:rsidTr="00784E40">
        <w:trPr>
          <w:trHeight w:val="563"/>
        </w:trPr>
        <w:tc>
          <w:tcPr>
            <w:tcW w:w="1810" w:type="dxa"/>
            <w:tcBorders>
              <w:top w:val="single" w:sz="4" w:space="0" w:color="auto"/>
              <w:bottom w:val="single" w:sz="4" w:space="0" w:color="auto"/>
            </w:tcBorders>
          </w:tcPr>
          <w:p w14:paraId="7FD30821" w14:textId="77777777" w:rsidR="001765DA" w:rsidRPr="00E13C4C" w:rsidRDefault="001765DA" w:rsidP="00277A51">
            <w:pPr>
              <w:pStyle w:val="Heading6"/>
              <w:suppressLineNumbers/>
            </w:pPr>
            <w:r w:rsidRPr="00E13C4C">
              <w:t>Requesting agency</w:t>
            </w:r>
          </w:p>
        </w:tc>
        <w:tc>
          <w:tcPr>
            <w:tcW w:w="7830" w:type="dxa"/>
            <w:tcBorders>
              <w:top w:val="single" w:sz="4" w:space="0" w:color="auto"/>
              <w:bottom w:val="single" w:sz="4" w:space="0" w:color="auto"/>
            </w:tcBorders>
          </w:tcPr>
          <w:p w14:paraId="3B7A82FF" w14:textId="2C4C4420" w:rsidR="007F14A7" w:rsidRPr="00E13C4C" w:rsidRDefault="00B1520C" w:rsidP="007F14A7">
            <w:pPr>
              <w:pStyle w:val="Tabletext"/>
              <w:suppressLineNumbers/>
            </w:pPr>
            <w:r w:rsidRPr="00E13C4C">
              <w:t xml:space="preserve">The </w:t>
            </w:r>
            <w:r w:rsidR="00C43084" w:rsidRPr="00E13C4C">
              <w:t xml:space="preserve">Australian Government </w:t>
            </w:r>
            <w:r w:rsidR="001765DA" w:rsidRPr="00E13C4C">
              <w:t xml:space="preserve">Department of </w:t>
            </w:r>
            <w:r w:rsidR="00426849" w:rsidRPr="00E13C4C">
              <w:t xml:space="preserve">Agriculture, Water and </w:t>
            </w:r>
            <w:r w:rsidR="00616861" w:rsidRPr="00E13C4C">
              <w:t>the</w:t>
            </w:r>
            <w:r w:rsidR="001765DA" w:rsidRPr="00E13C4C">
              <w:t xml:space="preserve"> Environment</w:t>
            </w:r>
            <w:r w:rsidR="00F7628B" w:rsidRPr="00E13C4C">
              <w:t xml:space="preserve"> </w:t>
            </w:r>
          </w:p>
          <w:p w14:paraId="31BBB971" w14:textId="4E04EF5E" w:rsidR="003E2BDB" w:rsidRPr="00E13C4C" w:rsidRDefault="003E2BDB" w:rsidP="00277A51">
            <w:pPr>
              <w:pStyle w:val="Tabletext"/>
              <w:suppressLineNumbers/>
            </w:pPr>
          </w:p>
        </w:tc>
      </w:tr>
      <w:tr w:rsidR="007F14A7" w:rsidRPr="00E13C4C" w14:paraId="36793B1A" w14:textId="77777777" w:rsidTr="00784E40">
        <w:trPr>
          <w:trHeight w:val="19"/>
        </w:trPr>
        <w:tc>
          <w:tcPr>
            <w:tcW w:w="1810" w:type="dxa"/>
            <w:tcBorders>
              <w:top w:val="single" w:sz="4" w:space="0" w:color="auto"/>
              <w:bottom w:val="single" w:sz="4" w:space="0" w:color="auto"/>
            </w:tcBorders>
          </w:tcPr>
          <w:p w14:paraId="07CA321F" w14:textId="77777777" w:rsidR="001765DA" w:rsidRPr="00E13C4C" w:rsidRDefault="001765DA" w:rsidP="00277A51">
            <w:pPr>
              <w:pStyle w:val="Heading6"/>
              <w:suppressLineNumbers/>
            </w:pPr>
            <w:r w:rsidRPr="00E13C4C">
              <w:t>Date of request</w:t>
            </w:r>
          </w:p>
        </w:tc>
        <w:tc>
          <w:tcPr>
            <w:tcW w:w="7830" w:type="dxa"/>
            <w:tcBorders>
              <w:top w:val="single" w:sz="4" w:space="0" w:color="auto"/>
              <w:bottom w:val="single" w:sz="4" w:space="0" w:color="auto"/>
            </w:tcBorders>
          </w:tcPr>
          <w:p w14:paraId="72F1849C" w14:textId="488A4F44" w:rsidR="001765DA" w:rsidRPr="00E13C4C" w:rsidRDefault="007F14A7" w:rsidP="00277A51">
            <w:pPr>
              <w:pStyle w:val="Tabletext"/>
              <w:suppressLineNumbers/>
            </w:pPr>
            <w:r w:rsidRPr="00E13C4C">
              <w:t xml:space="preserve">23 December </w:t>
            </w:r>
            <w:r w:rsidR="00716583" w:rsidRPr="00E13C4C">
              <w:t>20</w:t>
            </w:r>
            <w:r w:rsidRPr="00E13C4C">
              <w:t>20</w:t>
            </w:r>
          </w:p>
        </w:tc>
      </w:tr>
      <w:tr w:rsidR="007F14A7" w:rsidRPr="00E13C4C" w14:paraId="2535881E" w14:textId="77777777" w:rsidTr="00784E40">
        <w:trPr>
          <w:trHeight w:val="19"/>
        </w:trPr>
        <w:tc>
          <w:tcPr>
            <w:tcW w:w="1810" w:type="dxa"/>
            <w:tcBorders>
              <w:top w:val="single" w:sz="4" w:space="0" w:color="auto"/>
              <w:bottom w:val="single" w:sz="4" w:space="0" w:color="auto"/>
            </w:tcBorders>
          </w:tcPr>
          <w:p w14:paraId="63DD139C" w14:textId="77777777" w:rsidR="00185039" w:rsidRPr="00E13C4C" w:rsidRDefault="00185039" w:rsidP="00277A51">
            <w:pPr>
              <w:pStyle w:val="Heading6"/>
              <w:suppressLineNumbers/>
            </w:pPr>
            <w:r w:rsidRPr="00E13C4C">
              <w:t>Date request accepted</w:t>
            </w:r>
          </w:p>
        </w:tc>
        <w:tc>
          <w:tcPr>
            <w:tcW w:w="7830" w:type="dxa"/>
            <w:tcBorders>
              <w:top w:val="single" w:sz="4" w:space="0" w:color="auto"/>
              <w:bottom w:val="single" w:sz="4" w:space="0" w:color="auto"/>
            </w:tcBorders>
          </w:tcPr>
          <w:p w14:paraId="3346263C" w14:textId="4743D2BC" w:rsidR="00185039" w:rsidRPr="00E13C4C" w:rsidRDefault="007F14A7" w:rsidP="00277A51">
            <w:pPr>
              <w:pStyle w:val="Tabletext"/>
              <w:suppressLineNumbers/>
            </w:pPr>
            <w:r w:rsidRPr="00E13C4C">
              <w:t>23 December 2020</w:t>
            </w:r>
          </w:p>
        </w:tc>
      </w:tr>
      <w:tr w:rsidR="00062A46" w:rsidRPr="00E13C4C" w14:paraId="5BD3ED13" w14:textId="77777777" w:rsidTr="00784E40">
        <w:trPr>
          <w:trHeight w:val="19"/>
        </w:trPr>
        <w:tc>
          <w:tcPr>
            <w:tcW w:w="1810" w:type="dxa"/>
            <w:tcBorders>
              <w:top w:val="single" w:sz="4" w:space="0" w:color="auto"/>
              <w:bottom w:val="single" w:sz="4" w:space="0" w:color="auto"/>
            </w:tcBorders>
          </w:tcPr>
          <w:p w14:paraId="11B3A2D8" w14:textId="77777777" w:rsidR="00062A46" w:rsidRPr="00E13C4C" w:rsidRDefault="00062A46" w:rsidP="00277A51">
            <w:pPr>
              <w:pStyle w:val="Heading6"/>
              <w:suppressLineNumbers/>
            </w:pPr>
            <w:r w:rsidRPr="00E13C4C">
              <w:t xml:space="preserve">Advice stage </w:t>
            </w:r>
          </w:p>
        </w:tc>
        <w:tc>
          <w:tcPr>
            <w:tcW w:w="7830" w:type="dxa"/>
            <w:tcBorders>
              <w:top w:val="single" w:sz="4" w:space="0" w:color="auto"/>
              <w:bottom w:val="single" w:sz="4" w:space="0" w:color="auto"/>
            </w:tcBorders>
          </w:tcPr>
          <w:p w14:paraId="337AF7EF" w14:textId="2E97C351" w:rsidR="00301E75" w:rsidRPr="00E13C4C" w:rsidRDefault="00301E75" w:rsidP="00301E75">
            <w:pPr>
              <w:pStyle w:val="Tabletext"/>
              <w:suppressLineNumbers/>
              <w:rPr>
                <w:lang w:eastAsia="en-AU"/>
              </w:rPr>
            </w:pPr>
            <w:r w:rsidRPr="00E13C4C">
              <w:rPr>
                <w:lang w:eastAsia="en-AU"/>
              </w:rPr>
              <w:t xml:space="preserve">Public Environment Report </w:t>
            </w:r>
          </w:p>
          <w:p w14:paraId="6863E84E" w14:textId="617D0F92" w:rsidR="00062A46" w:rsidRPr="00E13C4C" w:rsidRDefault="00062A46" w:rsidP="00277A51">
            <w:pPr>
              <w:pStyle w:val="Tabletext"/>
              <w:suppressLineNumbers/>
              <w:rPr>
                <w:lang w:eastAsia="en-AU"/>
              </w:rPr>
            </w:pPr>
          </w:p>
        </w:tc>
      </w:tr>
    </w:tbl>
    <w:p w14:paraId="3F18E609" w14:textId="51C82449" w:rsidR="00C60A1A" w:rsidRPr="00E13C4C" w:rsidRDefault="00C60A1A" w:rsidP="00C60A1A">
      <w:pPr>
        <w:pStyle w:val="Heading3"/>
        <w:spacing w:before="0" w:after="0"/>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7E6E6"/>
        <w:tblLook w:val="0000" w:firstRow="0" w:lastRow="0" w:firstColumn="0" w:lastColumn="0" w:noHBand="0" w:noVBand="0"/>
      </w:tblPr>
      <w:tblGrid>
        <w:gridCol w:w="9640"/>
      </w:tblGrid>
      <w:tr w:rsidR="00C60A1A" w:rsidRPr="00E13C4C" w14:paraId="20C5ECEF" w14:textId="77777777" w:rsidTr="00426849">
        <w:trPr>
          <w:trHeight w:val="416"/>
        </w:trPr>
        <w:tc>
          <w:tcPr>
            <w:tcW w:w="9640" w:type="dxa"/>
            <w:shd w:val="clear" w:color="auto" w:fill="E7E6E6"/>
          </w:tcPr>
          <w:p w14:paraId="04390E56" w14:textId="77777777" w:rsidR="00C60A1A" w:rsidRPr="00E13C4C" w:rsidRDefault="00C60A1A" w:rsidP="002A2A5C">
            <w:pPr>
              <w:pStyle w:val="NEWNormalTNR12"/>
              <w:spacing w:before="120" w:after="120" w:line="276" w:lineRule="auto"/>
              <w:ind w:left="34"/>
              <w:rPr>
                <w:rFonts w:ascii="Arial" w:hAnsi="Arial" w:cs="Arial"/>
                <w:sz w:val="20"/>
                <w:szCs w:val="20"/>
              </w:rPr>
            </w:pPr>
            <w:r w:rsidRPr="00E13C4C">
              <w:rPr>
                <w:rFonts w:ascii="Arial" w:hAnsi="Arial" w:cs="Arial"/>
                <w:sz w:val="20"/>
                <w:szCs w:val="20"/>
              </w:rPr>
              <w:t>The Independent Expert Scientific Committee on Coal Seam Gas and Large Coal Mining Development (the IESC) provides independent, expert, scientific advice to the Australian and state government regulators on the potential impacts of coal seam gas and large coal mining proposals on water resources. The advice is designed to ensure that decisions by regulators on coal seam gas or large coal mining developments are informed by the best available science.</w:t>
            </w:r>
          </w:p>
          <w:p w14:paraId="1BE7A587" w14:textId="398C9983" w:rsidR="00C60A1A" w:rsidRPr="00E13C4C" w:rsidRDefault="00C60A1A" w:rsidP="00426849">
            <w:pPr>
              <w:pStyle w:val="NEWNormalTNR12"/>
              <w:spacing w:before="120" w:after="120" w:line="276" w:lineRule="auto"/>
              <w:ind w:left="34"/>
              <w:rPr>
                <w:rFonts w:asciiTheme="minorHAnsi" w:hAnsiTheme="minorHAnsi"/>
                <w:sz w:val="20"/>
                <w:szCs w:val="20"/>
              </w:rPr>
            </w:pPr>
            <w:r w:rsidRPr="00E13C4C">
              <w:rPr>
                <w:rFonts w:ascii="Arial" w:hAnsi="Arial" w:cs="Arial"/>
                <w:sz w:val="20"/>
                <w:szCs w:val="20"/>
              </w:rPr>
              <w:t xml:space="preserve">The IESC was requested by the Australian Government Department of </w:t>
            </w:r>
            <w:r w:rsidR="00426849" w:rsidRPr="00E13C4C">
              <w:rPr>
                <w:rFonts w:ascii="Arial" w:hAnsi="Arial" w:cs="Arial"/>
                <w:sz w:val="20"/>
                <w:szCs w:val="20"/>
              </w:rPr>
              <w:t xml:space="preserve">Agriculture, Water and </w:t>
            </w:r>
            <w:r w:rsidRPr="00E13C4C">
              <w:rPr>
                <w:rFonts w:ascii="Arial" w:hAnsi="Arial" w:cs="Arial"/>
                <w:sz w:val="20"/>
                <w:szCs w:val="20"/>
              </w:rPr>
              <w:t xml:space="preserve">the Environment to provide advice on </w:t>
            </w:r>
            <w:r w:rsidR="00301E75" w:rsidRPr="00E13C4C">
              <w:rPr>
                <w:rFonts w:ascii="Arial" w:hAnsi="Arial" w:cs="Arial"/>
                <w:sz w:val="20"/>
                <w:szCs w:val="20"/>
              </w:rPr>
              <w:t xml:space="preserve">Wollongong Coal Limited’s Russell Vale Colliery Revised Underground </w:t>
            </w:r>
            <w:r w:rsidR="00630E0D" w:rsidRPr="00E13C4C">
              <w:rPr>
                <w:rFonts w:ascii="Arial" w:hAnsi="Arial" w:cs="Arial"/>
                <w:sz w:val="20"/>
                <w:szCs w:val="20"/>
              </w:rPr>
              <w:t>Expansion</w:t>
            </w:r>
            <w:r w:rsidR="00301E75" w:rsidRPr="00E13C4C">
              <w:rPr>
                <w:rFonts w:ascii="Arial" w:hAnsi="Arial" w:cs="Arial"/>
                <w:sz w:val="20"/>
                <w:szCs w:val="20"/>
              </w:rPr>
              <w:t xml:space="preserve"> Project </w:t>
            </w:r>
            <w:r w:rsidRPr="00E13C4C">
              <w:rPr>
                <w:rFonts w:ascii="Arial" w:hAnsi="Arial" w:cs="Arial"/>
                <w:sz w:val="20"/>
                <w:szCs w:val="20"/>
              </w:rPr>
              <w:t xml:space="preserve">in </w:t>
            </w:r>
            <w:r w:rsidR="00301E75" w:rsidRPr="00E13C4C">
              <w:rPr>
                <w:rFonts w:ascii="Arial" w:hAnsi="Arial" w:cs="Arial"/>
                <w:sz w:val="20"/>
                <w:szCs w:val="20"/>
              </w:rPr>
              <w:t>New South Wales</w:t>
            </w:r>
            <w:r w:rsidRPr="00E13C4C">
              <w:rPr>
                <w:rFonts w:ascii="Arial" w:hAnsi="Arial" w:cs="Arial"/>
                <w:sz w:val="20"/>
                <w:szCs w:val="20"/>
              </w:rPr>
              <w:t>. This document provides the IESC’s advice in response to the requesting agency’s questions. These questions are directed at matters specific to the project to be considered during the requesting agency’s assessment process. This advice draws upon the available assessment docume</w:t>
            </w:r>
            <w:r w:rsidR="00F424D7" w:rsidRPr="00E13C4C">
              <w:rPr>
                <w:rFonts w:ascii="Arial" w:hAnsi="Arial" w:cs="Arial"/>
                <w:sz w:val="20"/>
                <w:szCs w:val="20"/>
              </w:rPr>
              <w:t xml:space="preserve">ntation, data and methodologies, </w:t>
            </w:r>
            <w:r w:rsidRPr="00E13C4C">
              <w:rPr>
                <w:rFonts w:ascii="Arial" w:hAnsi="Arial" w:cs="Arial"/>
                <w:sz w:val="20"/>
                <w:szCs w:val="20"/>
              </w:rPr>
              <w:t>together with the expert deliberations of the IESC</w:t>
            </w:r>
            <w:r w:rsidR="001E2E34" w:rsidRPr="00E13C4C">
              <w:rPr>
                <w:rFonts w:ascii="Arial" w:hAnsi="Arial" w:cs="Arial"/>
                <w:sz w:val="20"/>
                <w:szCs w:val="20"/>
              </w:rPr>
              <w:t>,</w:t>
            </w:r>
            <w:r w:rsidRPr="00E13C4C">
              <w:rPr>
                <w:rFonts w:ascii="Arial" w:hAnsi="Arial" w:cs="Arial"/>
                <w:sz w:val="20"/>
                <w:szCs w:val="20"/>
              </w:rPr>
              <w:t xml:space="preserve"> and is assessed against the IESC Information Guidelines (</w:t>
            </w:r>
            <w:r w:rsidR="001E2E34" w:rsidRPr="00E13C4C">
              <w:rPr>
                <w:rFonts w:ascii="Arial" w:hAnsi="Arial" w:cs="Arial"/>
                <w:sz w:val="20"/>
                <w:szCs w:val="20"/>
              </w:rPr>
              <w:t>IESC, 2018</w:t>
            </w:r>
            <w:r w:rsidRPr="00E13C4C">
              <w:rPr>
                <w:rFonts w:ascii="Arial" w:hAnsi="Arial" w:cs="Arial"/>
                <w:sz w:val="20"/>
                <w:szCs w:val="20"/>
              </w:rPr>
              <w:t>).</w:t>
            </w:r>
          </w:p>
        </w:tc>
      </w:tr>
    </w:tbl>
    <w:p w14:paraId="7FEA122C" w14:textId="77777777" w:rsidR="00C60A1A" w:rsidRPr="00E13C4C" w:rsidRDefault="00C60A1A" w:rsidP="00C60A1A"/>
    <w:p w14:paraId="6C3ACB97" w14:textId="77777777" w:rsidR="00787D99" w:rsidRPr="00E13C4C" w:rsidRDefault="00787D99" w:rsidP="00D622B9">
      <w:pPr>
        <w:pStyle w:val="Heading3"/>
      </w:pPr>
      <w:r w:rsidRPr="00E13C4C">
        <w:t xml:space="preserve">Summary </w:t>
      </w:r>
    </w:p>
    <w:p w14:paraId="4ACC5901" w14:textId="5A24F363" w:rsidR="009D512C" w:rsidRPr="00E13C4C" w:rsidRDefault="009D512C" w:rsidP="009D512C">
      <w:r w:rsidRPr="00E13C4C">
        <w:t xml:space="preserve">The proposed Russell Vale Colliery Underground Expansion Project (the </w:t>
      </w:r>
      <w:r w:rsidR="00552376" w:rsidRPr="00E13C4C">
        <w:t>“</w:t>
      </w:r>
      <w:r w:rsidRPr="00E13C4C">
        <w:t>project</w:t>
      </w:r>
      <w:r w:rsidR="00552376" w:rsidRPr="00E13C4C">
        <w:t>”</w:t>
      </w:r>
      <w:r w:rsidRPr="00E13C4C">
        <w:t xml:space="preserve">) is an extension to the existing Russell Vale Colliery, and is located approximately 8 kilometres north of Wollongong, New South Wales. The current proposal is for bord-and-pillar extraction east of Cataract Reservoir, involving only first workings in the Wongawilli Seam and extracting up to 3.7 million tonnes of run-of-mine coal over a five-year period. The project is located within the Cataract Reservoir catchment. Cataract Reservoir is a source of drinking water for Sydney and lies within the Metropolitan Special Area, a restricted-access area designated to protect Sydney’s drinking-water catchments. The project is on the Woronora Plateau which supports groundwater-dependent ecosystems (GDEs) such as Coastal Upland Swamps in the </w:t>
      </w:r>
      <w:r w:rsidRPr="00E13C4C">
        <w:lastRenderedPageBreak/>
        <w:t xml:space="preserve">Sydney Basin Bioregion. These swamps are listed as Endangered Ecological Communities (EECs) under the </w:t>
      </w:r>
      <w:r w:rsidRPr="00E13C4C">
        <w:rPr>
          <w:i/>
          <w:iCs/>
        </w:rPr>
        <w:t>Environment Protection and Biodiversity Conservation Act 1999</w:t>
      </w:r>
      <w:r w:rsidRPr="00E13C4C">
        <w:t xml:space="preserve"> (EPBC Act) and the New South Wales </w:t>
      </w:r>
      <w:r w:rsidRPr="00E13C4C">
        <w:rPr>
          <w:i/>
          <w:iCs/>
        </w:rPr>
        <w:t>Threatened Species Conservation Act 1995</w:t>
      </w:r>
      <w:r w:rsidRPr="00E13C4C">
        <w:t xml:space="preserve"> (TSC Act). </w:t>
      </w:r>
    </w:p>
    <w:p w14:paraId="5FD5C8A4" w14:textId="3C794881" w:rsidR="00822485" w:rsidRPr="00E13C4C" w:rsidRDefault="009D512C" w:rsidP="00822485">
      <w:r w:rsidRPr="00E13C4C">
        <w:t>The IESC previously provided advice on this proposal</w:t>
      </w:r>
      <w:r w:rsidR="00A20F9E" w:rsidRPr="00E13C4C">
        <w:t xml:space="preserve"> on </w:t>
      </w:r>
      <w:bookmarkStart w:id="0" w:name="_Hlk61964617"/>
      <w:r w:rsidR="00A20F9E" w:rsidRPr="00E13C4C">
        <w:t>3 December 2019 (IESC-018</w:t>
      </w:r>
      <w:bookmarkEnd w:id="0"/>
      <w:r w:rsidR="00A20F9E" w:rsidRPr="00E13C4C">
        <w:t>)</w:t>
      </w:r>
      <w:r w:rsidRPr="00E13C4C">
        <w:t xml:space="preserve"> and </w:t>
      </w:r>
      <w:r w:rsidR="00A20F9E" w:rsidRPr="00E13C4C">
        <w:t>5 March 2020 (IESC-112) for the New South Wales</w:t>
      </w:r>
      <w:r w:rsidR="0011387E" w:rsidRPr="00E13C4C">
        <w:t xml:space="preserve"> Department of Planning, Industry and Environment</w:t>
      </w:r>
      <w:r w:rsidRPr="00E13C4C">
        <w:t xml:space="preserve">. As part of the previous </w:t>
      </w:r>
      <w:r w:rsidR="00A20F9E" w:rsidRPr="00E13C4C">
        <w:t>IE</w:t>
      </w:r>
      <w:r w:rsidR="005326D0" w:rsidRPr="00E13C4C">
        <w:t>S</w:t>
      </w:r>
      <w:r w:rsidR="00A20F9E" w:rsidRPr="00E13C4C">
        <w:t>C-112</w:t>
      </w:r>
      <w:r w:rsidRPr="00E13C4C">
        <w:t xml:space="preserve"> advice</w:t>
      </w:r>
      <w:r w:rsidR="00A20F9E" w:rsidRPr="00E13C4C">
        <w:t>, it was recommended</w:t>
      </w:r>
      <w:r w:rsidRPr="00E13C4C">
        <w:t xml:space="preserve"> </w:t>
      </w:r>
      <w:r w:rsidR="7DDCE453" w:rsidRPr="00E13C4C">
        <w:t xml:space="preserve">that </w:t>
      </w:r>
      <w:r w:rsidR="0011387E" w:rsidRPr="00E13C4C">
        <w:t xml:space="preserve">the quantitative </w:t>
      </w:r>
      <w:r w:rsidR="00630E0D" w:rsidRPr="00E13C4C">
        <w:t>assessment</w:t>
      </w:r>
      <w:r w:rsidR="0011387E" w:rsidRPr="00E13C4C">
        <w:t xml:space="preserve"> of the risk of pillar failure be independently peer-reviewed by a recognised expert in multi-seam geomechanical stability</w:t>
      </w:r>
      <w:r w:rsidRPr="00E13C4C">
        <w:t>.</w:t>
      </w:r>
      <w:r w:rsidR="0011387E" w:rsidRPr="00E13C4C">
        <w:t xml:space="preserve"> For this assessment</w:t>
      </w:r>
      <w:r w:rsidR="137FD8B1" w:rsidRPr="00E13C4C">
        <w:t>,</w:t>
      </w:r>
      <w:r w:rsidR="0011387E" w:rsidRPr="00E13C4C">
        <w:t xml:space="preserve"> a</w:t>
      </w:r>
      <w:r w:rsidRPr="00E13C4C">
        <w:t xml:space="preserve"> peer review </w:t>
      </w:r>
      <w:r w:rsidR="00957D9F" w:rsidRPr="00E13C4C">
        <w:t xml:space="preserve">by </w:t>
      </w:r>
      <w:r w:rsidR="00C25AA4" w:rsidRPr="00E13C4C">
        <w:t>Prof</w:t>
      </w:r>
      <w:r w:rsidR="001B329B" w:rsidRPr="00E13C4C">
        <w:t>essor</w:t>
      </w:r>
      <w:r w:rsidR="00C25AA4" w:rsidRPr="00E13C4C">
        <w:t xml:space="preserve"> </w:t>
      </w:r>
      <w:r w:rsidR="00957D9F" w:rsidRPr="00E13C4C">
        <w:t xml:space="preserve">Bruce </w:t>
      </w:r>
      <w:proofErr w:type="spellStart"/>
      <w:r w:rsidR="00957D9F" w:rsidRPr="00E13C4C">
        <w:t>Hebblewhite</w:t>
      </w:r>
      <w:proofErr w:type="spellEnd"/>
      <w:r w:rsidR="00957D9F" w:rsidRPr="00E13C4C">
        <w:t xml:space="preserve"> (</w:t>
      </w:r>
      <w:r w:rsidR="002C57FE" w:rsidRPr="00E13C4C">
        <w:t>Umwelt 2020, Appendix D</w:t>
      </w:r>
      <w:r w:rsidR="0011387E" w:rsidRPr="00E13C4C">
        <w:t>) has been presented and</w:t>
      </w:r>
      <w:r w:rsidRPr="00E13C4C">
        <w:t xml:space="preserve"> </w:t>
      </w:r>
      <w:r w:rsidR="0011387E" w:rsidRPr="00E13C4C">
        <w:t xml:space="preserve">the </w:t>
      </w:r>
      <w:r w:rsidRPr="00E13C4C">
        <w:t xml:space="preserve">project has been reviewed by the Independent Advisory Panel for Underground Mining Advice (IAPUMA). </w:t>
      </w:r>
      <w:r w:rsidR="00822485" w:rsidRPr="00E13C4C">
        <w:t xml:space="preserve">Both reviews </w:t>
      </w:r>
      <w:r w:rsidR="4C992131" w:rsidRPr="00E13C4C">
        <w:t>propose</w:t>
      </w:r>
      <w:r w:rsidR="00822485" w:rsidRPr="00E13C4C">
        <w:t xml:space="preserve"> a number of recommendations which</w:t>
      </w:r>
      <w:r w:rsidR="6849621F" w:rsidRPr="00E13C4C">
        <w:t>, if adopted,</w:t>
      </w:r>
      <w:r w:rsidR="00822485" w:rsidRPr="00E13C4C">
        <w:t xml:space="preserve"> the IESC considers </w:t>
      </w:r>
      <w:r w:rsidR="7B426A0F" w:rsidRPr="00E13C4C">
        <w:t>will help support</w:t>
      </w:r>
      <w:r w:rsidR="00822485" w:rsidRPr="00E13C4C">
        <w:t xml:space="preserve"> the proponent’s </w:t>
      </w:r>
      <w:r w:rsidR="002F5969" w:rsidRPr="00E13C4C">
        <w:t>predictions</w:t>
      </w:r>
      <w:r w:rsidR="00822485" w:rsidRPr="00E13C4C">
        <w:t xml:space="preserve"> that there will be </w:t>
      </w:r>
      <w:r w:rsidR="00ED52CC" w:rsidRPr="00E13C4C">
        <w:t xml:space="preserve">negligible </w:t>
      </w:r>
      <w:r w:rsidR="00822485" w:rsidRPr="00E13C4C">
        <w:t>impacts as a result of the project on water-dependent assets, including listed EECs (Coastal Upland Swamps in the Sydney Basin Bioregion) and creeks feeding Sydney’s drinking water supply.</w:t>
      </w:r>
    </w:p>
    <w:p w14:paraId="63086558" w14:textId="2F51FBF5" w:rsidR="003C3F64" w:rsidRPr="00E13C4C" w:rsidRDefault="003C3F64" w:rsidP="003C3F64">
      <w:pPr>
        <w:keepNext/>
      </w:pPr>
      <w:r w:rsidRPr="00E13C4C">
        <w:rPr>
          <w:u w:val="single"/>
        </w:rPr>
        <w:t>Key potential impacts</w:t>
      </w:r>
      <w:r w:rsidRPr="00E13C4C">
        <w:t xml:space="preserve"> from this project are:</w:t>
      </w:r>
    </w:p>
    <w:p w14:paraId="0DC0A77B" w14:textId="02F95154" w:rsidR="000F0D95" w:rsidRPr="00E13C4C" w:rsidRDefault="5557BE98" w:rsidP="000F0D95">
      <w:pPr>
        <w:pStyle w:val="ListParagraph"/>
        <w:numPr>
          <w:ilvl w:val="0"/>
          <w:numId w:val="7"/>
        </w:numPr>
        <w:rPr>
          <w:rFonts w:eastAsia="Calibri"/>
          <w:color w:val="000000"/>
          <w:sz w:val="24"/>
          <w:szCs w:val="24"/>
          <w:lang w:eastAsia="en-AU"/>
        </w:rPr>
      </w:pPr>
      <w:r w:rsidRPr="00E13C4C">
        <w:rPr>
          <w:rFonts w:eastAsia="Calibri"/>
          <w:color w:val="000000" w:themeColor="text1"/>
          <w:lang w:eastAsia="en-AU"/>
        </w:rPr>
        <w:t>a</w:t>
      </w:r>
      <w:r w:rsidR="024E46A6" w:rsidRPr="00E13C4C">
        <w:rPr>
          <w:rFonts w:eastAsia="Calibri"/>
          <w:color w:val="000000" w:themeColor="text1"/>
          <w:lang w:eastAsia="en-AU"/>
        </w:rPr>
        <w:t xml:space="preserve">ltered water regimes (including </w:t>
      </w:r>
      <w:r w:rsidR="001C7FB6" w:rsidRPr="00E13C4C">
        <w:rPr>
          <w:rFonts w:eastAsia="Calibri"/>
          <w:color w:val="000000" w:themeColor="text1"/>
          <w:lang w:eastAsia="en-AU"/>
        </w:rPr>
        <w:t>drying</w:t>
      </w:r>
      <w:r w:rsidR="567B8651" w:rsidRPr="00E13C4C">
        <w:rPr>
          <w:rFonts w:eastAsia="Calibri"/>
          <w:color w:val="000000" w:themeColor="text1"/>
          <w:lang w:eastAsia="en-AU"/>
        </w:rPr>
        <w:t>)</w:t>
      </w:r>
      <w:r w:rsidR="001C7FB6" w:rsidRPr="00E13C4C">
        <w:rPr>
          <w:rFonts w:eastAsia="Calibri"/>
          <w:color w:val="000000" w:themeColor="text1"/>
          <w:lang w:eastAsia="en-AU"/>
        </w:rPr>
        <w:t xml:space="preserve"> </w:t>
      </w:r>
      <w:r w:rsidR="4B02F2A4" w:rsidRPr="00E13C4C">
        <w:rPr>
          <w:rFonts w:eastAsia="Calibri"/>
          <w:color w:val="000000" w:themeColor="text1"/>
          <w:lang w:eastAsia="en-AU"/>
        </w:rPr>
        <w:t>with</w:t>
      </w:r>
      <w:r w:rsidR="001C7FB6" w:rsidRPr="00E13C4C">
        <w:rPr>
          <w:rFonts w:eastAsia="Calibri"/>
          <w:color w:val="000000" w:themeColor="text1"/>
          <w:lang w:eastAsia="en-AU"/>
        </w:rPr>
        <w:t xml:space="preserve"> </w:t>
      </w:r>
      <w:r w:rsidR="000F0D95" w:rsidRPr="00E13C4C">
        <w:rPr>
          <w:rFonts w:eastAsia="Calibri"/>
          <w:color w:val="000000" w:themeColor="text1"/>
          <w:lang w:eastAsia="en-AU"/>
        </w:rPr>
        <w:t>irreversible</w:t>
      </w:r>
      <w:r w:rsidR="001C7FB6" w:rsidRPr="00E13C4C">
        <w:rPr>
          <w:rFonts w:eastAsia="Calibri"/>
          <w:color w:val="000000" w:themeColor="text1"/>
          <w:lang w:eastAsia="en-AU"/>
        </w:rPr>
        <w:t xml:space="preserve"> effects on</w:t>
      </w:r>
      <w:r w:rsidR="000F0D95" w:rsidRPr="00E13C4C">
        <w:rPr>
          <w:rFonts w:eastAsia="Calibri"/>
          <w:color w:val="000000" w:themeColor="text1"/>
          <w:lang w:eastAsia="en-AU"/>
        </w:rPr>
        <w:t xml:space="preserve"> EPBC Act-listed swamps</w:t>
      </w:r>
      <w:r w:rsidR="00921C78" w:rsidRPr="00E13C4C">
        <w:rPr>
          <w:rFonts w:eastAsia="Calibri"/>
          <w:color w:val="000000" w:themeColor="text1"/>
          <w:lang w:eastAsia="en-AU"/>
        </w:rPr>
        <w:t>;</w:t>
      </w:r>
      <w:r w:rsidR="000F0D95" w:rsidRPr="00E13C4C">
        <w:rPr>
          <w:rFonts w:eastAsia="Calibri"/>
          <w:color w:val="000000" w:themeColor="text1"/>
          <w:lang w:eastAsia="en-AU"/>
        </w:rPr>
        <w:t xml:space="preserve"> </w:t>
      </w:r>
    </w:p>
    <w:p w14:paraId="730E072B" w14:textId="2A9D5F03" w:rsidR="001C7FB6" w:rsidRPr="00E13C4C" w:rsidRDefault="38EDD104" w:rsidP="0465A4A0">
      <w:pPr>
        <w:pStyle w:val="ListParagraph"/>
        <w:numPr>
          <w:ilvl w:val="0"/>
          <w:numId w:val="7"/>
        </w:numPr>
        <w:rPr>
          <w:rFonts w:eastAsia="Arial"/>
        </w:rPr>
      </w:pPr>
      <w:r w:rsidRPr="00E13C4C">
        <w:t xml:space="preserve">long-term effects on </w:t>
      </w:r>
      <w:r w:rsidR="003C3F64" w:rsidRPr="00E13C4C">
        <w:t xml:space="preserve">Bellambi </w:t>
      </w:r>
      <w:r w:rsidR="00994BC1" w:rsidRPr="00E13C4C">
        <w:t xml:space="preserve">Gully </w:t>
      </w:r>
      <w:r w:rsidR="003C3F64" w:rsidRPr="00E13C4C">
        <w:t xml:space="preserve">Creek </w:t>
      </w:r>
      <w:r w:rsidR="4A263520" w:rsidRPr="00E13C4C">
        <w:t xml:space="preserve">and </w:t>
      </w:r>
      <w:r w:rsidR="2AEFD4A7" w:rsidRPr="00E13C4C">
        <w:t>nearshore marine</w:t>
      </w:r>
      <w:r w:rsidR="4A263520" w:rsidRPr="00E13C4C">
        <w:t xml:space="preserve"> environments downstream </w:t>
      </w:r>
      <w:r w:rsidR="034A8FBB" w:rsidRPr="00E13C4C">
        <w:t>from</w:t>
      </w:r>
      <w:r w:rsidR="003C3F64" w:rsidRPr="00E13C4C">
        <w:t xml:space="preserve"> the discharge of adit water </w:t>
      </w:r>
      <w:r w:rsidR="26C2721C" w:rsidRPr="00E13C4C">
        <w:t>that</w:t>
      </w:r>
      <w:r w:rsidR="003C3F64" w:rsidRPr="00E13C4C">
        <w:t xml:space="preserve"> exceeds ANZG (2018) default guideline values for freshwater aquatic ecosystems for </w:t>
      </w:r>
      <w:r w:rsidR="000F0D95" w:rsidRPr="00E13C4C">
        <w:t>some metals and metalloids</w:t>
      </w:r>
      <w:r w:rsidR="001C7FB6" w:rsidRPr="00E13C4C">
        <w:t>; and</w:t>
      </w:r>
      <w:r w:rsidR="000F0D95" w:rsidRPr="00E13C4C">
        <w:t xml:space="preserve"> </w:t>
      </w:r>
    </w:p>
    <w:p w14:paraId="4DDF4D40" w14:textId="4B9BE9EB" w:rsidR="001C7FB6" w:rsidRPr="00E13C4C" w:rsidRDefault="001C7FB6" w:rsidP="001C7FB6">
      <w:pPr>
        <w:pStyle w:val="ListParagraph"/>
        <w:numPr>
          <w:ilvl w:val="0"/>
          <w:numId w:val="7"/>
        </w:numPr>
      </w:pPr>
      <w:r w:rsidRPr="00E13C4C">
        <w:t xml:space="preserve">long-term impacts on groundwater levels and quality post-mining where discharge from </w:t>
      </w:r>
      <w:proofErr w:type="spellStart"/>
      <w:r w:rsidRPr="00E13C4C">
        <w:t>adits</w:t>
      </w:r>
      <w:proofErr w:type="spellEnd"/>
      <w:r w:rsidRPr="00E13C4C">
        <w:t xml:space="preserve"> may occur in perpetuity.</w:t>
      </w:r>
    </w:p>
    <w:p w14:paraId="6D15FD4D" w14:textId="233DDF66" w:rsidR="004E26D2" w:rsidRPr="00E13C4C" w:rsidRDefault="004E26D2" w:rsidP="004E26D2">
      <w:pPr>
        <w:pStyle w:val="ListBullet"/>
        <w:numPr>
          <w:ilvl w:val="0"/>
          <w:numId w:val="0"/>
        </w:numPr>
        <w:rPr>
          <w:lang w:val="en-AU"/>
        </w:rPr>
      </w:pPr>
      <w:r w:rsidRPr="00E13C4C">
        <w:rPr>
          <w:lang w:val="en-AU"/>
        </w:rPr>
        <w:t>The IESC has identified key areas in which additional work is required to address the key potential impacts, as detailed in this advice. These are summarised below.</w:t>
      </w:r>
    </w:p>
    <w:p w14:paraId="2012518F" w14:textId="203CDFCE" w:rsidR="00D37408" w:rsidRPr="00E13C4C" w:rsidRDefault="00D37408" w:rsidP="00D37408">
      <w:pPr>
        <w:pStyle w:val="ListParagraph"/>
        <w:numPr>
          <w:ilvl w:val="0"/>
          <w:numId w:val="8"/>
        </w:numPr>
      </w:pPr>
      <w:r w:rsidRPr="00E13C4C">
        <w:rPr>
          <w:rFonts w:eastAsia="Calibri"/>
          <w:color w:val="000000" w:themeColor="text1"/>
          <w:lang w:eastAsia="en-AU"/>
        </w:rPr>
        <w:t xml:space="preserve">Further work to assess the status of pillar stability in seven of the 14 goaf areas. </w:t>
      </w:r>
    </w:p>
    <w:p w14:paraId="52A0DED3" w14:textId="2A6EBE50" w:rsidR="00D37408" w:rsidRPr="00E13C4C" w:rsidRDefault="00D37408" w:rsidP="00D37408">
      <w:pPr>
        <w:pStyle w:val="ListParagraph"/>
        <w:numPr>
          <w:ilvl w:val="0"/>
          <w:numId w:val="8"/>
        </w:numPr>
      </w:pPr>
      <w:r w:rsidRPr="00E13C4C">
        <w:t xml:space="preserve">Swamp-specific ecological monitoring should commence at least two years before mining resumes to establish baseline data, then continue during the life of the mine and for a suitable period afterwards until the risk of any further ground movements can be demonstrated to be negligible. </w:t>
      </w:r>
    </w:p>
    <w:p w14:paraId="58A9B8AA" w14:textId="3944C815" w:rsidR="00D37408" w:rsidRPr="00E13C4C" w:rsidRDefault="00D37408" w:rsidP="00D37408">
      <w:pPr>
        <w:pStyle w:val="ListParagraph"/>
        <w:numPr>
          <w:ilvl w:val="0"/>
          <w:numId w:val="8"/>
        </w:numPr>
        <w:rPr>
          <w:lang w:eastAsia="en-AU"/>
        </w:rPr>
      </w:pPr>
      <w:r w:rsidRPr="00E13C4C">
        <w:t>Swamp</w:t>
      </w:r>
      <w:r w:rsidRPr="00E13C4C">
        <w:rPr>
          <w:rFonts w:eastAsia="Calibri"/>
          <w:lang w:eastAsia="en-AU"/>
        </w:rPr>
        <w:t xml:space="preserve">-specific water balances for potentially impacted swamps and multiple corresponding reference ones should be calculated based on monitoring data collected over an adequate time period. These multiple reference swamps are needed to differentiate changes caused by mining from those associated with natural climatic variability and will be required to demonstrate negligible impact from the project. </w:t>
      </w:r>
    </w:p>
    <w:p w14:paraId="7A507064" w14:textId="71E22F30" w:rsidR="003C3F64" w:rsidRPr="00E13C4C" w:rsidRDefault="003C3F64" w:rsidP="00477414">
      <w:pPr>
        <w:pStyle w:val="ListParagraph"/>
        <w:numPr>
          <w:ilvl w:val="0"/>
          <w:numId w:val="8"/>
        </w:numPr>
        <w:jc w:val="both"/>
      </w:pPr>
      <w:r w:rsidRPr="00E13C4C">
        <w:t>Further monitoring of the adit water quality to address the potential risks associated with the discharge of either untreated or treated water</w:t>
      </w:r>
      <w:r w:rsidR="66A01A84" w:rsidRPr="00E13C4C">
        <w:t xml:space="preserve"> into</w:t>
      </w:r>
      <w:r w:rsidRPr="00E13C4C">
        <w:t xml:space="preserve"> Bellambi Gully Creek.</w:t>
      </w:r>
      <w:r w:rsidR="677547A5" w:rsidRPr="00E13C4C">
        <w:t xml:space="preserve"> This monitoring should occur at more than one site downstream of the release point</w:t>
      </w:r>
      <w:r w:rsidR="00A67AEF" w:rsidRPr="00E13C4C">
        <w:rPr>
          <w:color w:val="FF0000"/>
        </w:rPr>
        <w:t xml:space="preserve"> </w:t>
      </w:r>
      <w:r w:rsidR="677547A5" w:rsidRPr="00E13C4C">
        <w:t xml:space="preserve">and </w:t>
      </w:r>
      <w:r w:rsidR="002E128C" w:rsidRPr="00E13C4C">
        <w:t xml:space="preserve">should </w:t>
      </w:r>
      <w:r w:rsidR="677547A5" w:rsidRPr="00E13C4C">
        <w:t>include analysis of se</w:t>
      </w:r>
      <w:r w:rsidR="3A7EBF98" w:rsidRPr="00E13C4C">
        <w:t>diment-bound contaminants.</w:t>
      </w:r>
      <w:r w:rsidR="677547A5" w:rsidRPr="00E13C4C">
        <w:t xml:space="preserve"> </w:t>
      </w:r>
    </w:p>
    <w:p w14:paraId="54047BF2" w14:textId="6C2860E8" w:rsidR="003C3F64" w:rsidRPr="00E13C4C" w:rsidRDefault="003C3F64" w:rsidP="00477414">
      <w:pPr>
        <w:pStyle w:val="ListParagraph"/>
        <w:numPr>
          <w:ilvl w:val="0"/>
          <w:numId w:val="8"/>
        </w:numPr>
      </w:pPr>
      <w:r w:rsidRPr="00E13C4C">
        <w:t xml:space="preserve">Groundwater and surface water monitoring focusing on the multi-seam extraction areas should </w:t>
      </w:r>
      <w:r w:rsidR="00BC6F6D" w:rsidRPr="00E13C4C">
        <w:t>quantify</w:t>
      </w:r>
      <w:r w:rsidRPr="00E13C4C">
        <w:t xml:space="preserve"> the drawdown response </w:t>
      </w:r>
      <w:r w:rsidR="72BD0E65" w:rsidRPr="00E13C4C">
        <w:t>during</w:t>
      </w:r>
      <w:r w:rsidRPr="00E13C4C">
        <w:t xml:space="preserve"> mining and for a long enough period after mining ceases to confirm that no delayed significant impacts occur</w:t>
      </w:r>
      <w:r w:rsidR="00ED52CC" w:rsidRPr="00E13C4C">
        <w:t xml:space="preserve"> on aquatic environments</w:t>
      </w:r>
      <w:r w:rsidRPr="00E13C4C">
        <w:t xml:space="preserve">, or, if they do, until recovery is complete. </w:t>
      </w:r>
      <w:r w:rsidR="00EB435C" w:rsidRPr="00E13C4C">
        <w:t xml:space="preserve">These monitoring data should be assimilated into updated models. </w:t>
      </w:r>
    </w:p>
    <w:p w14:paraId="641A968C" w14:textId="02751DE9" w:rsidR="004268FC" w:rsidRPr="00E13C4C" w:rsidRDefault="004268FC" w:rsidP="004268FC">
      <w:pPr>
        <w:pStyle w:val="ListParagraph"/>
        <w:numPr>
          <w:ilvl w:val="0"/>
          <w:numId w:val="0"/>
        </w:numPr>
        <w:ind w:left="720"/>
      </w:pPr>
    </w:p>
    <w:p w14:paraId="620931E8" w14:textId="77777777" w:rsidR="004268FC" w:rsidRPr="00E13C4C" w:rsidRDefault="004268FC" w:rsidP="004268FC">
      <w:pPr>
        <w:pStyle w:val="ListParagraph"/>
        <w:numPr>
          <w:ilvl w:val="0"/>
          <w:numId w:val="0"/>
        </w:numPr>
        <w:ind w:left="720"/>
      </w:pPr>
    </w:p>
    <w:p w14:paraId="16832C26" w14:textId="77777777" w:rsidR="00291857" w:rsidRPr="00E13C4C" w:rsidRDefault="00291857" w:rsidP="00291857">
      <w:pPr>
        <w:rPr>
          <w:b/>
        </w:rPr>
      </w:pPr>
      <w:r w:rsidRPr="00E13C4C">
        <w:rPr>
          <w:b/>
        </w:rPr>
        <w:t>Context</w:t>
      </w:r>
    </w:p>
    <w:p w14:paraId="53375F01" w14:textId="77777777" w:rsidR="003C3F64" w:rsidRPr="00E13C4C" w:rsidRDefault="003C3F64" w:rsidP="003C3F64">
      <w:r w:rsidRPr="00E13C4C">
        <w:t xml:space="preserve">Mining has occurred at the project site since the 1880s using various underground mining methods. The original underground proposal in 2009 sought a major expansion in the Wonga West area (a total of seven longwall panels) and the Wonga East area (a total of 11 longwall panels). At the existing mine, multi-seam extraction had led to subsidence and cracking, with the full extent of environmental consequences unclear. As the implications of these uncertainties for catchment water quality and quantity were a major issue, the original proposal was reviewed in 2014 by the NSW Planning Assessment Commission (PAC). They concluded that there was insufficient information available to make a planning decision. The project was then amended, proposing extraction from eight longwalls east of Cataract Reservoir. This proposal was reviewed by the PAC in 2016 which concluded that social and economic benefits of the project were likely outweighed by potential environmental impacts. The project was then significantly revised to the current proposal for bord-and-pillar mining east of Cataract Reservoir, involving only first workings in the Wongawilli Seam. </w:t>
      </w:r>
    </w:p>
    <w:p w14:paraId="0E449A5C" w14:textId="774C00EA" w:rsidR="003C3F64" w:rsidRPr="00E13C4C" w:rsidRDefault="003C3F64" w:rsidP="003C3F64">
      <w:r w:rsidRPr="00E13C4C">
        <w:t>The project will require the construction of a coal processing plant; however, no coal washing will occur at the site. Existing water management infrastructure will be used</w:t>
      </w:r>
      <w:r w:rsidR="6FFC8259" w:rsidRPr="00E13C4C">
        <w:t>,</w:t>
      </w:r>
      <w:r w:rsidRPr="00E13C4C">
        <w:t xml:space="preserve"> with some minor changes to the water management system. Discharges of treated mine-affected water will continue </w:t>
      </w:r>
      <w:r w:rsidR="1D3E6ACC" w:rsidRPr="00E13C4C">
        <w:t>in</w:t>
      </w:r>
      <w:r w:rsidRPr="00E13C4C">
        <w:t>to Bellambi Gully Creek and will be managed under the existing environment protection licence</w:t>
      </w:r>
      <w:r w:rsidR="00632D9B" w:rsidRPr="00E13C4C">
        <w:t>,</w:t>
      </w:r>
      <w:r w:rsidRPr="00E13C4C">
        <w:t xml:space="preserve"> EPL 12040.</w:t>
      </w:r>
    </w:p>
    <w:p w14:paraId="1954DD8F" w14:textId="77777777" w:rsidR="00CA17BF" w:rsidRPr="00E13C4C" w:rsidRDefault="003C3F64" w:rsidP="00D622B9">
      <w:r w:rsidRPr="00E13C4C">
        <w:t xml:space="preserve">The IESC previously provided advice to the Australian Government Department of the Environment and the New South Wales Department of Planning and Environment on the project on 11 September 2014. Further advice was provided to the New South Wales PAC on 11 March 2015. Advice was also provided to the Australian Government Department of the Environment on the Russell Vale Longwall 6 Project (23 September 2014), which was approved by the NSW PAC and the Department of the Environment. The IESC provided advice to the New South Wales Department of Planning, Industry and Environment on 3 December 2019 </w:t>
      </w:r>
      <w:r w:rsidR="003E7D56" w:rsidRPr="00E13C4C">
        <w:t xml:space="preserve">and </w:t>
      </w:r>
      <w:r w:rsidR="003E7D56" w:rsidRPr="00E13C4C">
        <w:rPr>
          <w:iCs/>
        </w:rPr>
        <w:t xml:space="preserve">5 March 2020 </w:t>
      </w:r>
      <w:r w:rsidRPr="00E13C4C">
        <w:t>on the current revised project plan</w:t>
      </w:r>
      <w:r w:rsidR="003E7D56" w:rsidRPr="00E13C4C">
        <w:t>.</w:t>
      </w:r>
      <w:r w:rsidR="00103E1E" w:rsidRPr="00E13C4C">
        <w:t xml:space="preserve"> </w:t>
      </w:r>
    </w:p>
    <w:p w14:paraId="56B71220" w14:textId="59B895BA" w:rsidR="00103E1E" w:rsidRPr="00E13C4C" w:rsidRDefault="00103E1E" w:rsidP="00D622B9">
      <w:r w:rsidRPr="00E13C4C">
        <w:t xml:space="preserve">The project </w:t>
      </w:r>
      <w:r w:rsidR="00D13C05" w:rsidRPr="00E13C4C">
        <w:t xml:space="preserve">was approved by the NSW Independent Planning Commission under the </w:t>
      </w:r>
      <w:r w:rsidR="00D13C05" w:rsidRPr="00E13C4C">
        <w:rPr>
          <w:i/>
          <w:iCs/>
        </w:rPr>
        <w:t>NSW Environmental Planning and Assessment Act 1979</w:t>
      </w:r>
      <w:r w:rsidR="00D13C05" w:rsidRPr="00E13C4C">
        <w:t xml:space="preserve"> on 8 December 2020.</w:t>
      </w:r>
    </w:p>
    <w:p w14:paraId="3F8A6CF9" w14:textId="25F5CB7C" w:rsidR="007203C3" w:rsidRPr="00E13C4C" w:rsidRDefault="00D84735" w:rsidP="00D622B9">
      <w:pPr>
        <w:pStyle w:val="Heading3"/>
      </w:pPr>
      <w:r w:rsidRPr="00E13C4C">
        <w:br/>
      </w:r>
      <w:r w:rsidR="00766009" w:rsidRPr="00E13C4C">
        <w:t>Response to questions</w:t>
      </w:r>
    </w:p>
    <w:p w14:paraId="3C834F98" w14:textId="7AD9E62F" w:rsidR="007203C3" w:rsidRPr="00E13C4C" w:rsidRDefault="007203C3" w:rsidP="095DE5CB">
      <w:pPr>
        <w:pStyle w:val="Default"/>
        <w:spacing w:after="200" w:line="276" w:lineRule="auto"/>
        <w:rPr>
          <w:rFonts w:ascii="Arial" w:eastAsia="Times New Roman" w:hAnsi="Arial" w:cs="Arial"/>
          <w:color w:val="auto"/>
          <w:sz w:val="20"/>
          <w:szCs w:val="20"/>
          <w:lang w:eastAsia="en-US"/>
        </w:rPr>
      </w:pPr>
      <w:r w:rsidRPr="00E13C4C">
        <w:rPr>
          <w:rFonts w:ascii="Arial" w:eastAsia="Times New Roman" w:hAnsi="Arial" w:cs="Arial"/>
          <w:color w:val="auto"/>
          <w:sz w:val="20"/>
          <w:szCs w:val="20"/>
          <w:lang w:eastAsia="en-US"/>
        </w:rPr>
        <w:t xml:space="preserve">The </w:t>
      </w:r>
      <w:r w:rsidR="00CF562A" w:rsidRPr="00E13C4C">
        <w:rPr>
          <w:rFonts w:ascii="Arial" w:eastAsia="Times New Roman" w:hAnsi="Arial" w:cs="Arial"/>
          <w:color w:val="auto"/>
          <w:sz w:val="20"/>
          <w:szCs w:val="20"/>
          <w:lang w:eastAsia="en-US"/>
        </w:rPr>
        <w:t>IESC</w:t>
      </w:r>
      <w:r w:rsidRPr="00E13C4C">
        <w:rPr>
          <w:rFonts w:ascii="Arial" w:eastAsia="Times New Roman" w:hAnsi="Arial" w:cs="Arial"/>
          <w:color w:val="auto"/>
          <w:sz w:val="20"/>
          <w:szCs w:val="20"/>
          <w:lang w:eastAsia="en-US"/>
        </w:rPr>
        <w:t xml:space="preserve">’s advice, in response to the </w:t>
      </w:r>
      <w:r w:rsidR="00E57CD8" w:rsidRPr="00E13C4C">
        <w:rPr>
          <w:rFonts w:ascii="Arial" w:eastAsia="Times New Roman" w:hAnsi="Arial" w:cs="Arial"/>
          <w:color w:val="auto"/>
          <w:sz w:val="20"/>
          <w:szCs w:val="20"/>
          <w:lang w:eastAsia="en-US"/>
        </w:rPr>
        <w:t>requesting agency</w:t>
      </w:r>
      <w:r w:rsidRPr="00E13C4C">
        <w:rPr>
          <w:rFonts w:ascii="Arial" w:eastAsia="Times New Roman" w:hAnsi="Arial" w:cs="Arial"/>
          <w:color w:val="auto"/>
          <w:sz w:val="20"/>
          <w:szCs w:val="20"/>
          <w:lang w:eastAsia="en-US"/>
        </w:rPr>
        <w:t>’s</w:t>
      </w:r>
      <w:r w:rsidR="00D441B2" w:rsidRPr="00E13C4C">
        <w:rPr>
          <w:rFonts w:ascii="Arial" w:eastAsia="Times New Roman" w:hAnsi="Arial" w:cs="Arial"/>
          <w:color w:val="auto"/>
          <w:sz w:val="20"/>
          <w:szCs w:val="20"/>
          <w:lang w:eastAsia="en-US"/>
        </w:rPr>
        <w:t xml:space="preserve"> </w:t>
      </w:r>
      <w:r w:rsidRPr="00E13C4C">
        <w:rPr>
          <w:rFonts w:ascii="Arial" w:eastAsia="Times New Roman" w:hAnsi="Arial" w:cs="Arial"/>
          <w:color w:val="auto"/>
          <w:sz w:val="20"/>
          <w:szCs w:val="20"/>
          <w:lang w:eastAsia="en-US"/>
        </w:rPr>
        <w:t xml:space="preserve">specific questions is provided below. </w:t>
      </w:r>
    </w:p>
    <w:p w14:paraId="49763D7B" w14:textId="77D1E7EA" w:rsidR="007203C3" w:rsidRPr="00E13C4C" w:rsidRDefault="007203C3" w:rsidP="00301E75">
      <w:pPr>
        <w:pStyle w:val="Question"/>
        <w:shd w:val="clear" w:color="auto" w:fill="E7E6E6"/>
        <w:rPr>
          <w:lang w:eastAsia="en-AU"/>
        </w:rPr>
      </w:pPr>
      <w:r w:rsidRPr="00E13C4C">
        <w:t xml:space="preserve">Question 1: </w:t>
      </w:r>
      <w:r w:rsidR="00301E75" w:rsidRPr="00E13C4C">
        <w:t>Can the Committee provide comment on whether the information provided in the PER adequately addresses the outstanding information required by the IESC advice of 5 March 2020?</w:t>
      </w:r>
    </w:p>
    <w:p w14:paraId="31C88985" w14:textId="1455E623" w:rsidR="00CA17BF" w:rsidRPr="00E13C4C" w:rsidRDefault="00CA17BF" w:rsidP="00CA17BF">
      <w:pPr>
        <w:pStyle w:val="ListNumber"/>
        <w:numPr>
          <w:ilvl w:val="0"/>
          <w:numId w:val="0"/>
        </w:numPr>
        <w:ind w:left="369" w:hanging="369"/>
        <w:rPr>
          <w:u w:val="single"/>
        </w:rPr>
      </w:pPr>
      <w:r w:rsidRPr="00E13C4C">
        <w:rPr>
          <w:u w:val="single"/>
        </w:rPr>
        <w:t xml:space="preserve">Quantitative </w:t>
      </w:r>
      <w:r w:rsidR="7E098941" w:rsidRPr="00E13C4C">
        <w:rPr>
          <w:u w:val="single"/>
        </w:rPr>
        <w:t>a</w:t>
      </w:r>
      <w:r w:rsidRPr="00E13C4C">
        <w:rPr>
          <w:u w:val="single"/>
        </w:rPr>
        <w:t>ssessment</w:t>
      </w:r>
      <w:r w:rsidR="00D64C5F" w:rsidRPr="00E13C4C">
        <w:rPr>
          <w:u w:val="single"/>
        </w:rPr>
        <w:t xml:space="preserve"> of </w:t>
      </w:r>
      <w:r w:rsidR="111D9391" w:rsidRPr="00E13C4C">
        <w:rPr>
          <w:u w:val="single"/>
        </w:rPr>
        <w:t>g</w:t>
      </w:r>
      <w:r w:rsidR="00D64C5F" w:rsidRPr="00E13C4C">
        <w:rPr>
          <w:u w:val="single"/>
        </w:rPr>
        <w:t xml:space="preserve">eomechanical </w:t>
      </w:r>
      <w:r w:rsidR="7E919E8D" w:rsidRPr="00E13C4C">
        <w:rPr>
          <w:u w:val="single"/>
        </w:rPr>
        <w:t>s</w:t>
      </w:r>
      <w:r w:rsidR="00D64C5F" w:rsidRPr="00E13C4C">
        <w:rPr>
          <w:u w:val="single"/>
        </w:rPr>
        <w:t>tability</w:t>
      </w:r>
    </w:p>
    <w:p w14:paraId="0B7E4835" w14:textId="54D7574E" w:rsidR="00D64C5F" w:rsidRPr="00E13C4C" w:rsidRDefault="00822485" w:rsidP="0465A4A0">
      <w:pPr>
        <w:pStyle w:val="ListNumber"/>
        <w:rPr>
          <w:i/>
          <w:iCs/>
        </w:rPr>
      </w:pPr>
      <w:r w:rsidRPr="00E13C4C">
        <w:t xml:space="preserve">The advice provided by the IESC 2020-112 on 5 March 2020 (IESC 2020, p. 3) to the </w:t>
      </w:r>
      <w:r w:rsidR="0097618E" w:rsidRPr="00E13C4C">
        <w:t xml:space="preserve">NSW </w:t>
      </w:r>
      <w:r w:rsidRPr="00E13C4C">
        <w:t xml:space="preserve">Department of Planning, Industry and Environment recommended an independent review </w:t>
      </w:r>
      <w:r w:rsidRPr="00E13C4C">
        <w:rPr>
          <w:rFonts w:eastAsia="Arial"/>
          <w:color w:val="000000" w:themeColor="text1"/>
        </w:rPr>
        <w:t>of the quantitative assessment</w:t>
      </w:r>
      <w:r w:rsidRPr="00E13C4C">
        <w:t xml:space="preserve"> by a recognised expert in multi-seam geomechanical stability. The proponent has presented this peer review by a suitable expert (</w:t>
      </w:r>
      <w:r w:rsidR="00380A42" w:rsidRPr="00E13C4C">
        <w:t>Umwelt 2020, Appendix D</w:t>
      </w:r>
      <w:r w:rsidRPr="00E13C4C">
        <w:t xml:space="preserve">) who conducted a review of the quantitative assessment of the risk of pillar failure, and the advice from the Independent Advisory Panel for Underground Mining (IAPUM) which considered the project as part of the assessment for the NSW Independent Planning Commission. </w:t>
      </w:r>
      <w:r w:rsidR="00D64C5F" w:rsidRPr="00E13C4C">
        <w:t>The IESC is satisfied that the quantitative assessment of the current status of pillar stability in goafs 8-14 highlights the importance of understanding whether those pillars are sta</w:t>
      </w:r>
      <w:r w:rsidR="003216AF" w:rsidRPr="00E13C4C">
        <w:t>ble</w:t>
      </w:r>
      <w:r w:rsidR="00521C29" w:rsidRPr="00E13C4C">
        <w:t>. The approach</w:t>
      </w:r>
      <w:r w:rsidR="00D64C5F" w:rsidRPr="00E13C4C">
        <w:t xml:space="preserve"> adequately addresses the </w:t>
      </w:r>
      <w:r w:rsidR="00521C29" w:rsidRPr="00E13C4C">
        <w:t xml:space="preserve">risks of </w:t>
      </w:r>
      <w:r w:rsidR="1724C985" w:rsidRPr="00E13C4C">
        <w:t xml:space="preserve">potential </w:t>
      </w:r>
      <w:r w:rsidR="00D64C5F" w:rsidRPr="00E13C4C">
        <w:t>impacts to swamps</w:t>
      </w:r>
      <w:r w:rsidR="00EB435C" w:rsidRPr="00E13C4C">
        <w:t xml:space="preserve"> in these cases of potential </w:t>
      </w:r>
      <w:r w:rsidR="006F78B8" w:rsidRPr="00E13C4C">
        <w:t>pillar instability. However,</w:t>
      </w:r>
      <w:r w:rsidR="00985AA7" w:rsidRPr="00E13C4C">
        <w:t xml:space="preserve"> the IESC notes</w:t>
      </w:r>
      <w:r w:rsidR="003216AF" w:rsidRPr="00E13C4C">
        <w:t xml:space="preserve"> that</w:t>
      </w:r>
      <w:r w:rsidR="00985AA7" w:rsidRPr="00E13C4C">
        <w:t xml:space="preserve"> there is large uncertainty in the probability of catastrophic loss (P</w:t>
      </w:r>
      <w:r w:rsidR="00985AA7" w:rsidRPr="00E13C4C">
        <w:rPr>
          <w:vertAlign w:val="subscript"/>
        </w:rPr>
        <w:t>receptor affected</w:t>
      </w:r>
      <w:r w:rsidR="00985AA7" w:rsidRPr="00E13C4C">
        <w:t xml:space="preserve">) </w:t>
      </w:r>
      <w:r w:rsidR="00F664B1" w:rsidRPr="00E13C4C">
        <w:t>that could include</w:t>
      </w:r>
      <w:r w:rsidR="00985AA7" w:rsidRPr="00E13C4C">
        <w:t xml:space="preserve"> long-term drying effects</w:t>
      </w:r>
      <w:r w:rsidR="00F664B1" w:rsidRPr="00E13C4C">
        <w:t xml:space="preserve"> and increased vulnerability to bushfires</w:t>
      </w:r>
      <w:r w:rsidR="00985AA7" w:rsidRPr="00E13C4C">
        <w:t xml:space="preserve">. </w:t>
      </w:r>
    </w:p>
    <w:p w14:paraId="530A4611" w14:textId="77777777" w:rsidR="00E852E8" w:rsidRPr="00E13C4C" w:rsidRDefault="00E852E8" w:rsidP="00E852E8">
      <w:pPr>
        <w:pStyle w:val="ListNumber"/>
        <w:numPr>
          <w:ilvl w:val="0"/>
          <w:numId w:val="0"/>
        </w:numPr>
        <w:ind w:left="369"/>
        <w:rPr>
          <w:i/>
          <w:iCs/>
        </w:rPr>
      </w:pPr>
    </w:p>
    <w:p w14:paraId="376509B6" w14:textId="493DA24E" w:rsidR="003E7D56" w:rsidRPr="00E13C4C" w:rsidRDefault="00CA17BF" w:rsidP="00CA17BF">
      <w:pPr>
        <w:pStyle w:val="ListNumber"/>
        <w:numPr>
          <w:ilvl w:val="0"/>
          <w:numId w:val="0"/>
        </w:numPr>
        <w:rPr>
          <w:u w:val="single"/>
        </w:rPr>
      </w:pPr>
      <w:r w:rsidRPr="00E13C4C">
        <w:rPr>
          <w:u w:val="single"/>
        </w:rPr>
        <w:t xml:space="preserve">Groundwater and </w:t>
      </w:r>
      <w:r w:rsidR="11F2A264" w:rsidRPr="00E13C4C">
        <w:rPr>
          <w:u w:val="single"/>
        </w:rPr>
        <w:t>s</w:t>
      </w:r>
      <w:r w:rsidRPr="00E13C4C">
        <w:rPr>
          <w:u w:val="single"/>
        </w:rPr>
        <w:t xml:space="preserve">urface </w:t>
      </w:r>
      <w:r w:rsidR="53756941" w:rsidRPr="00E13C4C">
        <w:rPr>
          <w:u w:val="single"/>
        </w:rPr>
        <w:t>w</w:t>
      </w:r>
      <w:r w:rsidRPr="00E13C4C">
        <w:rPr>
          <w:u w:val="single"/>
        </w:rPr>
        <w:t xml:space="preserve">ater </w:t>
      </w:r>
      <w:r w:rsidR="7C598A3F" w:rsidRPr="00E13C4C">
        <w:rPr>
          <w:u w:val="single"/>
        </w:rPr>
        <w:t>m</w:t>
      </w:r>
      <w:r w:rsidRPr="00E13C4C">
        <w:rPr>
          <w:u w:val="single"/>
        </w:rPr>
        <w:t>onitoring</w:t>
      </w:r>
    </w:p>
    <w:p w14:paraId="59BCEF7A" w14:textId="5C8860CD" w:rsidR="00671F13" w:rsidRPr="00E13C4C" w:rsidRDefault="00222DDE" w:rsidP="007964C4">
      <w:pPr>
        <w:pStyle w:val="ListNumber"/>
      </w:pPr>
      <w:r w:rsidRPr="00E13C4C">
        <w:t>The</w:t>
      </w:r>
      <w:r w:rsidR="00B56AA9" w:rsidRPr="00E13C4C">
        <w:t xml:space="preserve"> IESC </w:t>
      </w:r>
      <w:r w:rsidR="000541EA" w:rsidRPr="00E13C4C">
        <w:t xml:space="preserve">2020-112 </w:t>
      </w:r>
      <w:r w:rsidR="00B56AA9" w:rsidRPr="00E13C4C">
        <w:t>advice (IESC</w:t>
      </w:r>
      <w:r w:rsidR="000541EA" w:rsidRPr="00E13C4C">
        <w:t xml:space="preserve"> 2020, p. 4</w:t>
      </w:r>
      <w:r w:rsidR="00B56AA9" w:rsidRPr="00E13C4C">
        <w:t>) recommended that g</w:t>
      </w:r>
      <w:r w:rsidR="0038049A" w:rsidRPr="00E13C4C">
        <w:t>roundwater and surface water monitoring should focus on multi-seam extraction areas</w:t>
      </w:r>
      <w:r w:rsidR="00791B41" w:rsidRPr="00E13C4C">
        <w:t xml:space="preserve">, and the </w:t>
      </w:r>
      <w:r w:rsidR="00254007" w:rsidRPr="00E13C4C">
        <w:t>IESC reaffirms t</w:t>
      </w:r>
      <w:r w:rsidR="0012431B" w:rsidRPr="00E13C4C">
        <w:t>his guidance</w:t>
      </w:r>
      <w:r w:rsidR="00254007" w:rsidRPr="00E13C4C">
        <w:t>.</w:t>
      </w:r>
      <w:r w:rsidR="00A86D2D" w:rsidRPr="00E13C4C">
        <w:t xml:space="preserve"> </w:t>
      </w:r>
      <w:r w:rsidR="002D5C83" w:rsidRPr="00E13C4C">
        <w:t>Further discussion on the adequacy of the proposed groundwater and surface water mitigation, management and monitoring measures is provided in Paragraph</w:t>
      </w:r>
      <w:r w:rsidR="008E3AAB" w:rsidRPr="00E13C4C">
        <w:t xml:space="preserve">s </w:t>
      </w:r>
      <w:r w:rsidR="00A87540" w:rsidRPr="00E13C4C">
        <w:t>1</w:t>
      </w:r>
      <w:r w:rsidR="00C73BDB" w:rsidRPr="00E13C4C">
        <w:t>1</w:t>
      </w:r>
      <w:r w:rsidR="008E3AAB" w:rsidRPr="00E13C4C">
        <w:t xml:space="preserve"> and </w:t>
      </w:r>
      <w:r w:rsidR="00A8228F" w:rsidRPr="00E13C4C">
        <w:t>1</w:t>
      </w:r>
      <w:r w:rsidR="00C73BDB" w:rsidRPr="00E13C4C">
        <w:t>2</w:t>
      </w:r>
      <w:r w:rsidR="002D5C83" w:rsidRPr="00E13C4C">
        <w:t>.</w:t>
      </w:r>
      <w:r w:rsidR="003715E4" w:rsidRPr="00E13C4C">
        <w:t xml:space="preserve"> This discussion notes that th</w:t>
      </w:r>
      <w:r w:rsidR="30FDB134" w:rsidRPr="00E13C4C">
        <w:t>ese</w:t>
      </w:r>
      <w:r w:rsidR="003715E4" w:rsidRPr="00E13C4C">
        <w:t xml:space="preserve"> monitoring data should be assimilated into updated models and used to improve the reliability of the groundwater and surface water predictions.</w:t>
      </w:r>
      <w:r w:rsidR="00D96FCF" w:rsidRPr="00E13C4C">
        <w:t xml:space="preserve"> </w:t>
      </w:r>
    </w:p>
    <w:p w14:paraId="33E59797" w14:textId="69CA8AA4" w:rsidR="00CA17BF" w:rsidRPr="00E13C4C" w:rsidRDefault="00CA17BF" w:rsidP="00CA17BF">
      <w:pPr>
        <w:pStyle w:val="ListNumber"/>
        <w:numPr>
          <w:ilvl w:val="0"/>
          <w:numId w:val="0"/>
        </w:numPr>
        <w:rPr>
          <w:u w:val="single"/>
        </w:rPr>
      </w:pPr>
      <w:r w:rsidRPr="00E13C4C">
        <w:rPr>
          <w:u w:val="single"/>
        </w:rPr>
        <w:t xml:space="preserve">Adit </w:t>
      </w:r>
      <w:r w:rsidR="0019660F" w:rsidRPr="00E13C4C">
        <w:rPr>
          <w:u w:val="single"/>
        </w:rPr>
        <w:t xml:space="preserve">discharge </w:t>
      </w:r>
      <w:r w:rsidRPr="00E13C4C">
        <w:rPr>
          <w:u w:val="single"/>
        </w:rPr>
        <w:t>water quality</w:t>
      </w:r>
    </w:p>
    <w:p w14:paraId="4FEF21C0" w14:textId="32FC46A5" w:rsidR="00CA17BF" w:rsidRPr="00E13C4C" w:rsidRDefault="0096747D" w:rsidP="00CA17BF">
      <w:pPr>
        <w:pStyle w:val="ListNumber"/>
      </w:pPr>
      <w:r w:rsidRPr="00E13C4C">
        <w:t>The proponent has not d</w:t>
      </w:r>
      <w:r w:rsidR="0093757B" w:rsidRPr="00E13C4C">
        <w:t>iscus</w:t>
      </w:r>
      <w:r w:rsidRPr="00E13C4C">
        <w:t>sed</w:t>
      </w:r>
      <w:r w:rsidR="0093757B" w:rsidRPr="00E13C4C">
        <w:t xml:space="preserve"> the potential long-term influence of </w:t>
      </w:r>
      <w:r w:rsidR="0097395E" w:rsidRPr="00E13C4C">
        <w:t xml:space="preserve">mixing between the reject material and the groundwater and water stored within the </w:t>
      </w:r>
      <w:r w:rsidR="0093757B" w:rsidRPr="00E13C4C">
        <w:t>adit</w:t>
      </w:r>
      <w:r w:rsidR="0097395E" w:rsidRPr="00E13C4C">
        <w:t>.</w:t>
      </w:r>
      <w:r w:rsidR="0093757B" w:rsidRPr="00E13C4C">
        <w:t xml:space="preserve"> </w:t>
      </w:r>
      <w:r w:rsidR="0097395E" w:rsidRPr="00E13C4C">
        <w:t xml:space="preserve">This is </w:t>
      </w:r>
      <w:r w:rsidRPr="00E13C4C">
        <w:t xml:space="preserve">presumably </w:t>
      </w:r>
      <w:r w:rsidR="6992F278" w:rsidRPr="00E13C4C">
        <w:t>because</w:t>
      </w:r>
      <w:r w:rsidRPr="00E13C4C">
        <w:t xml:space="preserve"> the results of the geochemical analysis of the </w:t>
      </w:r>
      <w:r w:rsidR="00135512" w:rsidRPr="00E13C4C">
        <w:t>reject material</w:t>
      </w:r>
      <w:r w:rsidR="0093757B" w:rsidRPr="00E13C4C">
        <w:t xml:space="preserve"> </w:t>
      </w:r>
      <w:r w:rsidR="00135512" w:rsidRPr="00E13C4C">
        <w:t xml:space="preserve">indicate a negligible content of </w:t>
      </w:r>
      <w:proofErr w:type="spellStart"/>
      <w:r w:rsidR="00135512" w:rsidRPr="00E13C4C">
        <w:t>sulfur</w:t>
      </w:r>
      <w:proofErr w:type="spellEnd"/>
      <w:r w:rsidR="002E1B8F" w:rsidRPr="00E13C4C">
        <w:t xml:space="preserve"> and</w:t>
      </w:r>
      <w:r w:rsidR="00135512" w:rsidRPr="00E13C4C">
        <w:t xml:space="preserve"> moderate acid</w:t>
      </w:r>
      <w:r w:rsidR="30BDCB57" w:rsidRPr="00E13C4C">
        <w:t>-</w:t>
      </w:r>
      <w:r w:rsidR="00135512" w:rsidRPr="00E13C4C">
        <w:t>neutralisation capacity</w:t>
      </w:r>
      <w:r w:rsidR="002E1B8F" w:rsidRPr="00E13C4C">
        <w:t xml:space="preserve">. However, the laboratory results </w:t>
      </w:r>
      <w:r w:rsidR="00733401" w:rsidRPr="00E13C4C">
        <w:t xml:space="preserve">also </w:t>
      </w:r>
      <w:r w:rsidR="002E1B8F" w:rsidRPr="00E13C4C">
        <w:t>suggest that metals, including aluminium</w:t>
      </w:r>
      <w:r w:rsidR="006D035E" w:rsidRPr="00E13C4C">
        <w:t xml:space="preserve">, </w:t>
      </w:r>
      <w:r w:rsidR="008F7E60" w:rsidRPr="00E13C4C">
        <w:t xml:space="preserve">antimony, </w:t>
      </w:r>
      <w:r w:rsidR="002E1B8F" w:rsidRPr="00E13C4C">
        <w:t>arsenic</w:t>
      </w:r>
      <w:r w:rsidR="006D035E" w:rsidRPr="00E13C4C">
        <w:t xml:space="preserve">, </w:t>
      </w:r>
      <w:r w:rsidR="00104815" w:rsidRPr="00E13C4C">
        <w:t>molybdenum and selenium</w:t>
      </w:r>
      <w:r w:rsidR="4FB0952E" w:rsidRPr="00E13C4C">
        <w:t>,</w:t>
      </w:r>
      <w:r w:rsidR="00104815" w:rsidRPr="00E13C4C">
        <w:t xml:space="preserve"> </w:t>
      </w:r>
      <w:r w:rsidR="00DE6290" w:rsidRPr="00E13C4C">
        <w:t xml:space="preserve">may leach from the reject material </w:t>
      </w:r>
      <w:bookmarkStart w:id="1" w:name="_Hlk63252907"/>
      <w:r w:rsidR="00DE6290" w:rsidRPr="00E13C4C">
        <w:t>(</w:t>
      </w:r>
      <w:r w:rsidR="00B53B38" w:rsidRPr="00E13C4C">
        <w:t xml:space="preserve">Umwelt 2020, </w:t>
      </w:r>
      <w:r w:rsidR="00DE6290" w:rsidRPr="00E13C4C">
        <w:t>Appendix 1</w:t>
      </w:r>
      <w:r w:rsidR="00B53B38" w:rsidRPr="00E13C4C">
        <w:t xml:space="preserve"> of Appendix L</w:t>
      </w:r>
      <w:r w:rsidR="00DE6290" w:rsidRPr="00E13C4C">
        <w:t>, p</w:t>
      </w:r>
      <w:r w:rsidR="2E1A3BEC" w:rsidRPr="00E13C4C">
        <w:t>p</w:t>
      </w:r>
      <w:r w:rsidR="00DE6290" w:rsidRPr="00E13C4C">
        <w:t>. 4, 7, 10</w:t>
      </w:r>
      <w:bookmarkEnd w:id="1"/>
      <w:r w:rsidR="00DE6290" w:rsidRPr="00E13C4C">
        <w:t>).</w:t>
      </w:r>
      <w:r w:rsidR="00A20D58" w:rsidRPr="00E13C4C">
        <w:t xml:space="preserve"> </w:t>
      </w:r>
      <w:r w:rsidR="00CC19E6" w:rsidRPr="00E13C4C">
        <w:t xml:space="preserve">Further discussion of the potential long-term impacts on </w:t>
      </w:r>
      <w:r w:rsidR="000B1127" w:rsidRPr="00E13C4C">
        <w:t xml:space="preserve">the quality of </w:t>
      </w:r>
      <w:r w:rsidR="00CC19E6" w:rsidRPr="00E13C4C">
        <w:t>water resources</w:t>
      </w:r>
      <w:r w:rsidR="0097395E" w:rsidRPr="00E13C4C">
        <w:t xml:space="preserve"> and subsequent discharge</w:t>
      </w:r>
      <w:r w:rsidR="00F643B1" w:rsidRPr="00E13C4C">
        <w:t xml:space="preserve"> from the adit</w:t>
      </w:r>
      <w:r w:rsidR="006C37BD" w:rsidRPr="00E13C4C">
        <w:t>, including the adequacy of management measures,</w:t>
      </w:r>
      <w:r w:rsidR="00CC19E6" w:rsidRPr="00E13C4C">
        <w:t xml:space="preserve"> </w:t>
      </w:r>
      <w:r w:rsidR="006C37BD" w:rsidRPr="00E13C4C">
        <w:t>is provided in Paragraph</w:t>
      </w:r>
      <w:r w:rsidR="008E3AAB" w:rsidRPr="00E13C4C">
        <w:t>s</w:t>
      </w:r>
      <w:r w:rsidR="006C37BD" w:rsidRPr="00E13C4C">
        <w:t xml:space="preserve"> </w:t>
      </w:r>
      <w:r w:rsidR="00C73BDB" w:rsidRPr="00E13C4C">
        <w:t>6</w:t>
      </w:r>
      <w:r w:rsidR="006C37BD" w:rsidRPr="00E13C4C">
        <w:t xml:space="preserve"> and </w:t>
      </w:r>
      <w:r w:rsidR="008E3AAB" w:rsidRPr="00E13C4C">
        <w:t>1</w:t>
      </w:r>
      <w:r w:rsidR="00A87540" w:rsidRPr="00E13C4C">
        <w:t>3</w:t>
      </w:r>
      <w:r w:rsidR="006C37BD" w:rsidRPr="00E13C4C">
        <w:t>.</w:t>
      </w:r>
      <w:r w:rsidR="00FA7DFF" w:rsidRPr="00E13C4C">
        <w:t xml:space="preserve"> </w:t>
      </w:r>
    </w:p>
    <w:p w14:paraId="578CC42D" w14:textId="5F0E8B3D" w:rsidR="00CA17BF" w:rsidRPr="00E13C4C" w:rsidRDefault="00CA17BF" w:rsidP="00CA17BF">
      <w:pPr>
        <w:pStyle w:val="ListNumber"/>
        <w:numPr>
          <w:ilvl w:val="0"/>
          <w:numId w:val="0"/>
        </w:numPr>
        <w:ind w:left="369" w:hanging="369"/>
        <w:rPr>
          <w:u w:val="single"/>
        </w:rPr>
      </w:pPr>
      <w:r w:rsidRPr="00E13C4C">
        <w:rPr>
          <w:u w:val="single"/>
        </w:rPr>
        <w:t>Site</w:t>
      </w:r>
      <w:r w:rsidR="6C398977" w:rsidRPr="00E13C4C">
        <w:rPr>
          <w:u w:val="single"/>
        </w:rPr>
        <w:t>-</w:t>
      </w:r>
      <w:r w:rsidRPr="00E13C4C">
        <w:rPr>
          <w:u w:val="single"/>
        </w:rPr>
        <w:t>specific water balance</w:t>
      </w:r>
    </w:p>
    <w:p w14:paraId="484E10E9" w14:textId="1634F93C" w:rsidR="00615D76" w:rsidRPr="00E13C4C" w:rsidRDefault="6643172D" w:rsidP="00AF139E">
      <w:pPr>
        <w:pStyle w:val="ListNumber"/>
      </w:pPr>
      <w:r w:rsidRPr="00E13C4C">
        <w:t>The proponent has generally satisfied the IESC’s previous concerns about the underlying assumptions of the surface water balance model</w:t>
      </w:r>
      <w:r w:rsidR="7A9582E8" w:rsidRPr="00E13C4C">
        <w:t xml:space="preserve"> (Umwelt 2020,</w:t>
      </w:r>
      <w:r w:rsidR="00532DBC" w:rsidRPr="00E13C4C">
        <w:t xml:space="preserve"> Appendix M,</w:t>
      </w:r>
      <w:r w:rsidR="7A9582E8" w:rsidRPr="00E13C4C">
        <w:t xml:space="preserve"> p</w:t>
      </w:r>
      <w:r w:rsidR="7AD93161" w:rsidRPr="00E13C4C">
        <w:t>p</w:t>
      </w:r>
      <w:r w:rsidR="7A9582E8" w:rsidRPr="00E13C4C">
        <w:t>. 1</w:t>
      </w:r>
      <w:r w:rsidR="1E92007D" w:rsidRPr="00E13C4C">
        <w:t>1</w:t>
      </w:r>
      <w:r w:rsidR="051789AA" w:rsidRPr="00E13C4C">
        <w:t>,</w:t>
      </w:r>
      <w:r w:rsidR="7A9582E8" w:rsidRPr="00E13C4C">
        <w:t xml:space="preserve"> 1</w:t>
      </w:r>
      <w:r w:rsidR="1E92007D" w:rsidRPr="00E13C4C">
        <w:t>9</w:t>
      </w:r>
      <w:r w:rsidR="7A9582E8" w:rsidRPr="00E13C4C">
        <w:t>)</w:t>
      </w:r>
      <w:r w:rsidR="7147065B" w:rsidRPr="00E13C4C">
        <w:t xml:space="preserve">. </w:t>
      </w:r>
      <w:r w:rsidR="00615D76" w:rsidRPr="00E13C4C">
        <w:t>Given the importance of groundwater inflow</w:t>
      </w:r>
      <w:r w:rsidR="363E7B92" w:rsidRPr="00E13C4C">
        <w:t>s</w:t>
      </w:r>
      <w:r w:rsidR="00615D76" w:rsidRPr="00E13C4C">
        <w:t xml:space="preserve"> into underground workings, t</w:t>
      </w:r>
      <w:r w:rsidR="7147065B" w:rsidRPr="00E13C4C">
        <w:t xml:space="preserve">he </w:t>
      </w:r>
      <w:r w:rsidR="49846DAA" w:rsidRPr="00E13C4C">
        <w:t>IESC</w:t>
      </w:r>
      <w:r w:rsidR="00615D76" w:rsidRPr="00E13C4C">
        <w:t xml:space="preserve"> recommends that </w:t>
      </w:r>
      <w:r w:rsidR="4A4626BF" w:rsidRPr="00E13C4C">
        <w:t xml:space="preserve">when </w:t>
      </w:r>
      <w:r w:rsidR="00615D76" w:rsidRPr="00E13C4C">
        <w:t xml:space="preserve">new surface water and groundwater monitoring data </w:t>
      </w:r>
      <w:r w:rsidR="0092583F" w:rsidRPr="00E13C4C">
        <w:t>become available</w:t>
      </w:r>
      <w:r w:rsidR="2EA5187D" w:rsidRPr="00E13C4C">
        <w:t>,</w:t>
      </w:r>
      <w:r w:rsidR="0092583F" w:rsidRPr="00E13C4C">
        <w:t xml:space="preserve"> they </w:t>
      </w:r>
      <w:r w:rsidR="2FDE95EB" w:rsidRPr="00E13C4C">
        <w:t xml:space="preserve">should be </w:t>
      </w:r>
      <w:r w:rsidR="00615D76" w:rsidRPr="00E13C4C">
        <w:t>assimilated into updated surface water models</w:t>
      </w:r>
      <w:r w:rsidR="0FB104DB" w:rsidRPr="00E13C4C">
        <w:t xml:space="preserve"> and, where necessary,</w:t>
      </w:r>
      <w:r w:rsidR="00615D76" w:rsidRPr="00E13C4C">
        <w:t xml:space="preserve"> the predictions of site-specific water balance assessments are revised. </w:t>
      </w:r>
    </w:p>
    <w:p w14:paraId="719096A9" w14:textId="6C0A0DCA" w:rsidR="00D74FCA" w:rsidRPr="00E13C4C" w:rsidRDefault="007203C3" w:rsidP="00301E75">
      <w:pPr>
        <w:pStyle w:val="Question"/>
        <w:shd w:val="clear" w:color="auto" w:fill="E7E6E6"/>
      </w:pPr>
      <w:r w:rsidRPr="00E13C4C">
        <w:t>Question 2:</w:t>
      </w:r>
      <w:r w:rsidR="00301E75" w:rsidRPr="00E13C4C">
        <w:t xml:space="preserve"> Can the </w:t>
      </w:r>
      <w:r w:rsidR="003B2385" w:rsidRPr="00E13C4C">
        <w:t>C</w:t>
      </w:r>
      <w:r w:rsidR="00301E75" w:rsidRPr="00E13C4C">
        <w:t xml:space="preserve">ommittee provide comment on the adequacy of the assessment of adit water discharge to Bellambi Gully Creek, and any potential </w:t>
      </w:r>
      <w:proofErr w:type="gramStart"/>
      <w:r w:rsidR="00301E75" w:rsidRPr="00E13C4C">
        <w:t>long term</w:t>
      </w:r>
      <w:proofErr w:type="gramEnd"/>
      <w:r w:rsidR="00301E75" w:rsidRPr="00E13C4C">
        <w:t xml:space="preserve"> impacts of the proposed action in relation to subsidence and cumulative impacts with other proposed and existing projects?</w:t>
      </w:r>
    </w:p>
    <w:p w14:paraId="1EFA0990" w14:textId="611B77F8" w:rsidR="00654826" w:rsidRPr="00E13C4C" w:rsidRDefault="00654826" w:rsidP="00654826">
      <w:pPr>
        <w:pStyle w:val="ListNumber"/>
        <w:numPr>
          <w:ilvl w:val="0"/>
          <w:numId w:val="0"/>
        </w:numPr>
        <w:rPr>
          <w:u w:val="single"/>
        </w:rPr>
      </w:pPr>
      <w:r w:rsidRPr="00E13C4C">
        <w:rPr>
          <w:u w:val="single"/>
        </w:rPr>
        <w:t xml:space="preserve">Adit </w:t>
      </w:r>
      <w:r w:rsidR="0019660F" w:rsidRPr="00E13C4C">
        <w:rPr>
          <w:u w:val="single"/>
        </w:rPr>
        <w:t xml:space="preserve">discharge </w:t>
      </w:r>
      <w:r w:rsidRPr="00E13C4C">
        <w:rPr>
          <w:u w:val="single"/>
        </w:rPr>
        <w:t>water</w:t>
      </w:r>
    </w:p>
    <w:p w14:paraId="18F436C4" w14:textId="7F3FCC82" w:rsidR="00525550" w:rsidRPr="00E13C4C" w:rsidRDefault="254D1FBA" w:rsidP="002C6A21">
      <w:pPr>
        <w:pStyle w:val="ListNumber"/>
        <w:rPr>
          <w:rFonts w:eastAsia="Arial"/>
        </w:rPr>
      </w:pPr>
      <w:r w:rsidRPr="00E13C4C">
        <w:t xml:space="preserve">The </w:t>
      </w:r>
      <w:r w:rsidR="00521C29" w:rsidRPr="00E13C4C">
        <w:t>assessment of</w:t>
      </w:r>
      <w:r w:rsidR="598ADEB0" w:rsidRPr="00E13C4C">
        <w:t xml:space="preserve"> adit water discharge</w:t>
      </w:r>
      <w:r w:rsidR="00521C29" w:rsidRPr="00E13C4C">
        <w:t xml:space="preserve"> quality</w:t>
      </w:r>
      <w:r w:rsidR="598ADEB0" w:rsidRPr="00E13C4C">
        <w:t xml:space="preserve"> </w:t>
      </w:r>
      <w:r w:rsidRPr="00E13C4C">
        <w:t>was</w:t>
      </w:r>
      <w:r w:rsidR="598ADEB0" w:rsidRPr="00E13C4C">
        <w:t xml:space="preserve"> limited </w:t>
      </w:r>
      <w:r w:rsidR="00521C29" w:rsidRPr="00E13C4C">
        <w:t xml:space="preserve">to four physicochemical parameters (pH, </w:t>
      </w:r>
      <w:r w:rsidR="00E20AEA" w:rsidRPr="00E13C4C">
        <w:t>electrical conductivity</w:t>
      </w:r>
      <w:r w:rsidR="00521C29" w:rsidRPr="00E13C4C">
        <w:t xml:space="preserve">, </w:t>
      </w:r>
      <w:r w:rsidR="00E20AEA" w:rsidRPr="00E13C4C">
        <w:t>total suspended solids</w:t>
      </w:r>
      <w:r w:rsidR="00521C29" w:rsidRPr="00E13C4C">
        <w:t xml:space="preserve"> and turbidity). </w:t>
      </w:r>
      <w:r w:rsidR="2F6C6FA5" w:rsidRPr="00E13C4C">
        <w:t>However, t</w:t>
      </w:r>
      <w:r w:rsidR="1CC1993A" w:rsidRPr="00E13C4C">
        <w:t>he g</w:t>
      </w:r>
      <w:r w:rsidR="1A5FEDA3" w:rsidRPr="00E13C4C">
        <w:t xml:space="preserve">eochemical results of the reject material suggest that </w:t>
      </w:r>
      <w:r w:rsidR="4CAEAB78" w:rsidRPr="00E13C4C">
        <w:t xml:space="preserve">concentrations of multiple </w:t>
      </w:r>
      <w:r w:rsidR="1A5FEDA3" w:rsidRPr="00E13C4C">
        <w:t xml:space="preserve">soluble </w:t>
      </w:r>
      <w:r w:rsidR="00521C29" w:rsidRPr="00E13C4C">
        <w:t>metals</w:t>
      </w:r>
      <w:r w:rsidR="1A5FEDA3" w:rsidRPr="00E13C4C">
        <w:t xml:space="preserve"> may exceed the ANZG Guidelines (2018) </w:t>
      </w:r>
      <w:r w:rsidR="009C0385" w:rsidRPr="00E13C4C">
        <w:t xml:space="preserve">for </w:t>
      </w:r>
      <w:r w:rsidR="1A5FEDA3" w:rsidRPr="00E13C4C">
        <w:t xml:space="preserve">aquatic </w:t>
      </w:r>
      <w:r w:rsidR="009C0385" w:rsidRPr="00E13C4C">
        <w:t>ecosystem</w:t>
      </w:r>
      <w:r w:rsidR="1A5FEDA3" w:rsidRPr="00E13C4C">
        <w:t xml:space="preserve"> protection (</w:t>
      </w:r>
      <w:r w:rsidR="00726903" w:rsidRPr="00E13C4C">
        <w:t>Umwelt 2020, Appendix 1 of Appendix L</w:t>
      </w:r>
      <w:r w:rsidR="1A5FEDA3" w:rsidRPr="00E13C4C">
        <w:t>, p</w:t>
      </w:r>
      <w:r w:rsidR="489E72DA" w:rsidRPr="00E13C4C">
        <w:t>p</w:t>
      </w:r>
      <w:r w:rsidR="1A5FEDA3" w:rsidRPr="00E13C4C">
        <w:t xml:space="preserve">. 4, 7, 10). </w:t>
      </w:r>
      <w:r w:rsidR="2F6C6FA5" w:rsidRPr="00E13C4C">
        <w:t>Furthermore, i</w:t>
      </w:r>
      <w:r w:rsidR="0FCE2821" w:rsidRPr="00E13C4C">
        <w:t>t</w:t>
      </w:r>
      <w:r w:rsidR="1A5FEDA3" w:rsidRPr="00E13C4C">
        <w:t xml:space="preserve"> is not clear </w:t>
      </w:r>
      <w:r w:rsidR="151FF332" w:rsidRPr="00E13C4C">
        <w:t>how</w:t>
      </w:r>
      <w:r w:rsidR="00521C29" w:rsidRPr="00E13C4C">
        <w:t xml:space="preserve"> the discharge will be </w:t>
      </w:r>
      <w:r w:rsidR="1FB8236B" w:rsidRPr="00E13C4C">
        <w:t>treat</w:t>
      </w:r>
      <w:r w:rsidR="00521C29" w:rsidRPr="00E13C4C">
        <w:t xml:space="preserve">ed, other than </w:t>
      </w:r>
      <w:r w:rsidR="001E72B8" w:rsidRPr="00E13C4C">
        <w:t xml:space="preserve">potentially </w:t>
      </w:r>
      <w:r w:rsidR="643F6CDE" w:rsidRPr="00E13C4C">
        <w:t xml:space="preserve">involving </w:t>
      </w:r>
      <w:r w:rsidR="00521C29" w:rsidRPr="00E13C4C">
        <w:t>coagulation</w:t>
      </w:r>
      <w:r w:rsidR="001E72B8" w:rsidRPr="00E13C4C">
        <w:t xml:space="preserve"> of solids</w:t>
      </w:r>
      <w:r w:rsidR="00521C29" w:rsidRPr="00E13C4C">
        <w:t xml:space="preserve">. </w:t>
      </w:r>
      <w:r w:rsidR="1A5FEDA3" w:rsidRPr="00E13C4C">
        <w:t>The emplaced reject material may become a long-term source of contaminants (e.g. metals or metalloid</w:t>
      </w:r>
      <w:r w:rsidR="486E8FA9" w:rsidRPr="00E13C4C">
        <w:t>s</w:t>
      </w:r>
      <w:r w:rsidR="1A5FEDA3" w:rsidRPr="00E13C4C">
        <w:t>)</w:t>
      </w:r>
      <w:r w:rsidR="31ACB91C" w:rsidRPr="00E13C4C">
        <w:t>. S</w:t>
      </w:r>
      <w:r w:rsidR="1A5FEDA3" w:rsidRPr="00E13C4C">
        <w:t>hould treatment of the water cease after mining operations</w:t>
      </w:r>
      <w:r w:rsidR="29A34B33" w:rsidRPr="00E13C4C">
        <w:t>,</w:t>
      </w:r>
      <w:r w:rsidR="1A5FEDA3" w:rsidRPr="00E13C4C">
        <w:t xml:space="preserve"> the</w:t>
      </w:r>
      <w:r w:rsidR="64AE3588" w:rsidRPr="00E13C4C">
        <w:t>se</w:t>
      </w:r>
      <w:r w:rsidR="1A5FEDA3" w:rsidRPr="00E13C4C">
        <w:t xml:space="preserve"> contaminants may impact the ecological values of Bellambi Gully</w:t>
      </w:r>
      <w:r w:rsidR="7937F868" w:rsidRPr="00E13C4C">
        <w:t xml:space="preserve"> Creek</w:t>
      </w:r>
      <w:r w:rsidR="2F2D4CB6" w:rsidRPr="00E13C4C">
        <w:t xml:space="preserve"> and nearshore marine environments downstream</w:t>
      </w:r>
      <w:r w:rsidR="298CBD76" w:rsidRPr="00E13C4C">
        <w:t xml:space="preserve"> over the long</w:t>
      </w:r>
      <w:r w:rsidR="0C4812C2" w:rsidRPr="00E13C4C">
        <w:t xml:space="preserve"> </w:t>
      </w:r>
      <w:r w:rsidR="298CBD76" w:rsidRPr="00E13C4C">
        <w:t>term (decades)</w:t>
      </w:r>
      <w:r w:rsidR="1A5FEDA3" w:rsidRPr="00E13C4C">
        <w:t>.</w:t>
      </w:r>
    </w:p>
    <w:p w14:paraId="4E8E21C9" w14:textId="1863C477" w:rsidR="008F7B26" w:rsidRPr="00E13C4C" w:rsidRDefault="00EB2009" w:rsidP="008F7B26">
      <w:pPr>
        <w:pStyle w:val="ListNumber"/>
      </w:pPr>
      <w:r w:rsidRPr="00E13C4C">
        <w:t>Timing and frequency of flows in Bellambi Gully</w:t>
      </w:r>
      <w:r w:rsidR="00F27D85" w:rsidRPr="00E13C4C">
        <w:t xml:space="preserve"> Creek</w:t>
      </w:r>
      <w:r w:rsidRPr="00E13C4C">
        <w:t xml:space="preserve"> have not been provided</w:t>
      </w:r>
      <w:r w:rsidR="00743F3B" w:rsidRPr="00E13C4C">
        <w:t>, nor has the influence of the timing</w:t>
      </w:r>
      <w:r w:rsidR="00FA5F59" w:rsidRPr="00E13C4C">
        <w:t>,</w:t>
      </w:r>
      <w:r w:rsidR="00743F3B" w:rsidRPr="00E13C4C">
        <w:t xml:space="preserve"> frequency</w:t>
      </w:r>
      <w:r w:rsidR="00FA5F59" w:rsidRPr="00E13C4C">
        <w:t>, magnitude and duration</w:t>
      </w:r>
      <w:r w:rsidR="00743F3B" w:rsidRPr="00E13C4C">
        <w:t xml:space="preserve"> of release</w:t>
      </w:r>
      <w:r w:rsidR="00FA5F59" w:rsidRPr="00E13C4C">
        <w:t>s from LDP2</w:t>
      </w:r>
      <w:r w:rsidR="00743F3B" w:rsidRPr="00E13C4C">
        <w:t xml:space="preserve"> on th</w:t>
      </w:r>
      <w:r w:rsidR="00FA5F59" w:rsidRPr="00E13C4C">
        <w:t>is creek’s</w:t>
      </w:r>
      <w:r w:rsidR="00743F3B" w:rsidRPr="00E13C4C">
        <w:t xml:space="preserve"> flow</w:t>
      </w:r>
      <w:r w:rsidR="00FA5F59" w:rsidRPr="00E13C4C">
        <w:t xml:space="preserve"> regime. </w:t>
      </w:r>
      <w:r w:rsidR="00D81533" w:rsidRPr="00E13C4C">
        <w:t>Th</w:t>
      </w:r>
      <w:r w:rsidR="2069A700" w:rsidRPr="00E13C4C">
        <w:t>ese</w:t>
      </w:r>
      <w:r w:rsidR="00F55DBC" w:rsidRPr="00E13C4C">
        <w:t xml:space="preserve"> data</w:t>
      </w:r>
      <w:r w:rsidR="00D81533" w:rsidRPr="00E13C4C">
        <w:t xml:space="preserve"> would help inform</w:t>
      </w:r>
      <w:r w:rsidR="0097618E" w:rsidRPr="00E13C4C">
        <w:t xml:space="preserve"> the</w:t>
      </w:r>
      <w:r w:rsidR="00D81533" w:rsidRPr="00E13C4C">
        <w:t xml:space="preserve"> potential risks associated with</w:t>
      </w:r>
      <w:r w:rsidR="0097618E" w:rsidRPr="00E13C4C">
        <w:t xml:space="preserve"> the</w:t>
      </w:r>
      <w:r w:rsidR="00D81533" w:rsidRPr="00E13C4C">
        <w:t xml:space="preserve"> discharge of either untreated or treated water from the adit to Bellambi Gully Creek.</w:t>
      </w:r>
      <w:r w:rsidRPr="00E13C4C">
        <w:t xml:space="preserve"> Changes to the flow regimes may have direct effects on native biota (e.g. </w:t>
      </w:r>
      <w:r w:rsidR="73F72B96" w:rsidRPr="00E13C4C">
        <w:t xml:space="preserve">inundation of </w:t>
      </w:r>
      <w:r w:rsidRPr="00E13C4C">
        <w:t xml:space="preserve">potential breeding and nursery habitats of native fish) and the water </w:t>
      </w:r>
      <w:r w:rsidR="00B444CB" w:rsidRPr="00E13C4C">
        <w:t xml:space="preserve">and sediment </w:t>
      </w:r>
      <w:r w:rsidRPr="00E13C4C">
        <w:t>quality of the receiving environments.</w:t>
      </w:r>
    </w:p>
    <w:p w14:paraId="07F9979C" w14:textId="77777777" w:rsidR="008F7B26" w:rsidRPr="00E13C4C" w:rsidRDefault="008F7B26" w:rsidP="00822485">
      <w:pPr>
        <w:pStyle w:val="ListNumber"/>
        <w:numPr>
          <w:ilvl w:val="0"/>
          <w:numId w:val="0"/>
        </w:numPr>
        <w:ind w:left="369" w:hanging="369"/>
        <w:rPr>
          <w:u w:val="single"/>
        </w:rPr>
      </w:pPr>
    </w:p>
    <w:p w14:paraId="037B6C44" w14:textId="77777777" w:rsidR="008F7B26" w:rsidRPr="00E13C4C" w:rsidRDefault="008F7B26" w:rsidP="00822485">
      <w:pPr>
        <w:pStyle w:val="ListNumber"/>
        <w:numPr>
          <w:ilvl w:val="0"/>
          <w:numId w:val="0"/>
        </w:numPr>
        <w:ind w:left="369" w:hanging="369"/>
        <w:rPr>
          <w:u w:val="single"/>
        </w:rPr>
      </w:pPr>
    </w:p>
    <w:p w14:paraId="19326374" w14:textId="0D39F512" w:rsidR="00822485" w:rsidRPr="00E13C4C" w:rsidRDefault="008D3832" w:rsidP="00822485">
      <w:pPr>
        <w:pStyle w:val="ListNumber"/>
        <w:numPr>
          <w:ilvl w:val="0"/>
          <w:numId w:val="0"/>
        </w:numPr>
        <w:ind w:left="369" w:hanging="369"/>
        <w:rPr>
          <w:u w:val="single"/>
        </w:rPr>
      </w:pPr>
      <w:r w:rsidRPr="00E13C4C">
        <w:rPr>
          <w:u w:val="single"/>
        </w:rPr>
        <w:t>Cumulative and l</w:t>
      </w:r>
      <w:r w:rsidR="006D7B2B" w:rsidRPr="00E13C4C">
        <w:rPr>
          <w:u w:val="single"/>
        </w:rPr>
        <w:t>ong-term</w:t>
      </w:r>
      <w:r w:rsidR="00822485" w:rsidRPr="00E13C4C">
        <w:rPr>
          <w:u w:val="single"/>
        </w:rPr>
        <w:t xml:space="preserve"> impacts</w:t>
      </w:r>
    </w:p>
    <w:p w14:paraId="42DE35EC" w14:textId="05829839" w:rsidR="0026541F" w:rsidRPr="00E13C4C" w:rsidRDefault="25D9B949" w:rsidP="006D7B2B">
      <w:pPr>
        <w:pStyle w:val="ListNumber"/>
      </w:pPr>
      <w:r w:rsidRPr="00E13C4C">
        <w:t xml:space="preserve">It </w:t>
      </w:r>
      <w:r w:rsidR="76258B02" w:rsidRPr="00E13C4C">
        <w:t>is</w:t>
      </w:r>
      <w:r w:rsidRPr="00E13C4C">
        <w:t xml:space="preserve"> acknowledged by the proponent </w:t>
      </w:r>
      <w:r w:rsidR="15FD81F3" w:rsidRPr="00E13C4C">
        <w:t xml:space="preserve">that </w:t>
      </w:r>
      <w:r w:rsidRPr="00E13C4C">
        <w:t>there are cumulative impacts associated with the existing approved operations at Russell Vale Colliery, Cordeaux workings and Bulli Colliery and their residual impacts and recovery post</w:t>
      </w:r>
      <w:r w:rsidR="492F02F5" w:rsidRPr="00E13C4C">
        <w:t>-</w:t>
      </w:r>
      <w:r w:rsidRPr="00E13C4C">
        <w:t xml:space="preserve">closure (Umwelt 2020, p. 172). These cumulative impacts were included in the groundwater assessment which was considered </w:t>
      </w:r>
      <w:r w:rsidR="00EE371A" w:rsidRPr="00E13C4C">
        <w:t xml:space="preserve">in </w:t>
      </w:r>
      <w:r w:rsidRPr="00E13C4C">
        <w:t>the IESC advice (IESC 2020, p. 4)</w:t>
      </w:r>
      <w:r w:rsidR="71903FA7" w:rsidRPr="00E13C4C">
        <w:t>. This advice</w:t>
      </w:r>
      <w:r w:rsidRPr="00E13C4C">
        <w:t xml:space="preserve"> highlighted that the proponent did not </w:t>
      </w:r>
      <w:r w:rsidR="7EFD3DE2" w:rsidRPr="00E13C4C">
        <w:t>asses</w:t>
      </w:r>
      <w:r w:rsidR="3EB2B23F" w:rsidRPr="00E13C4C">
        <w:t>s</w:t>
      </w:r>
      <w:r w:rsidRPr="00E13C4C">
        <w:t xml:space="preserve"> the predictions of cumulative water losses and the influences of </w:t>
      </w:r>
      <w:r w:rsidR="004726D7" w:rsidRPr="00E13C4C">
        <w:t xml:space="preserve">discharge from </w:t>
      </w:r>
      <w:proofErr w:type="spellStart"/>
      <w:r w:rsidRPr="00E13C4C">
        <w:t>adits</w:t>
      </w:r>
      <w:proofErr w:type="spellEnd"/>
      <w:r w:rsidRPr="00E13C4C">
        <w:t xml:space="preserve"> on long-term groundwater levels</w:t>
      </w:r>
      <w:r w:rsidR="2881758E" w:rsidRPr="00E13C4C">
        <w:t>,</w:t>
      </w:r>
      <w:r w:rsidRPr="00E13C4C">
        <w:t xml:space="preserve"> flow and </w:t>
      </w:r>
      <w:r w:rsidR="3413209F" w:rsidRPr="00E13C4C">
        <w:t xml:space="preserve">water </w:t>
      </w:r>
      <w:r w:rsidRPr="00E13C4C">
        <w:t xml:space="preserve">quality. </w:t>
      </w:r>
      <w:r w:rsidR="0F1AC9B6" w:rsidRPr="00E13C4C">
        <w:t>T</w:t>
      </w:r>
      <w:r w:rsidR="10855453" w:rsidRPr="00E13C4C">
        <w:t xml:space="preserve">he </w:t>
      </w:r>
      <w:r w:rsidR="2EE80BF2" w:rsidRPr="00E13C4C">
        <w:t xml:space="preserve">subsequent </w:t>
      </w:r>
      <w:r w:rsidR="52C1C7FE" w:rsidRPr="00E13C4C">
        <w:t xml:space="preserve">limited </w:t>
      </w:r>
      <w:r w:rsidR="10855453" w:rsidRPr="00E13C4C">
        <w:t>assessment of the cumulative and long-term impacts</w:t>
      </w:r>
      <w:r w:rsidR="51315B3C" w:rsidRPr="00E13C4C">
        <w:t xml:space="preserve"> of the project</w:t>
      </w:r>
      <w:r w:rsidR="6C53A626" w:rsidRPr="00E13C4C">
        <w:t xml:space="preserve"> (Umwelt 2020, Section 8.4)</w:t>
      </w:r>
      <w:r w:rsidR="0014712A" w:rsidRPr="00E13C4C">
        <w:t xml:space="preserve"> </w:t>
      </w:r>
      <w:r w:rsidR="1CBCAD0A" w:rsidRPr="00E13C4C">
        <w:t>sh</w:t>
      </w:r>
      <w:r w:rsidR="10855453" w:rsidRPr="00E13C4C">
        <w:t>ould be further strengthened through a</w:t>
      </w:r>
      <w:r w:rsidR="10855453" w:rsidRPr="00E13C4C">
        <w:rPr>
          <w:rFonts w:eastAsia="Calibri"/>
          <w:lang w:eastAsia="en-AU"/>
        </w:rPr>
        <w:t xml:space="preserve"> </w:t>
      </w:r>
      <w:r w:rsidR="00EE371A" w:rsidRPr="00E13C4C">
        <w:rPr>
          <w:rFonts w:eastAsia="Calibri"/>
          <w:lang w:eastAsia="en-AU"/>
        </w:rPr>
        <w:t xml:space="preserve">comprehensive </w:t>
      </w:r>
      <w:r w:rsidR="10855453" w:rsidRPr="00E13C4C">
        <w:rPr>
          <w:rFonts w:eastAsia="Calibri"/>
          <w:lang w:eastAsia="en-AU"/>
        </w:rPr>
        <w:t>risk assessment</w:t>
      </w:r>
      <w:r w:rsidR="0881A22F" w:rsidRPr="00E13C4C">
        <w:rPr>
          <w:rFonts w:eastAsia="Calibri"/>
          <w:lang w:eastAsia="en-AU"/>
        </w:rPr>
        <w:t>. W</w:t>
      </w:r>
      <w:r w:rsidR="7DA8A418" w:rsidRPr="00E13C4C">
        <w:rPr>
          <w:rFonts w:eastAsia="Calibri"/>
          <w:lang w:eastAsia="en-AU"/>
        </w:rPr>
        <w:t xml:space="preserve">here possible, </w:t>
      </w:r>
      <w:r w:rsidR="00660A14" w:rsidRPr="00E13C4C">
        <w:rPr>
          <w:rFonts w:eastAsia="Calibri"/>
          <w:lang w:eastAsia="en-AU"/>
        </w:rPr>
        <w:t xml:space="preserve">this risk assessment should </w:t>
      </w:r>
      <w:r w:rsidR="7DA8A418" w:rsidRPr="00E13C4C">
        <w:rPr>
          <w:rFonts w:eastAsia="Calibri"/>
          <w:lang w:eastAsia="en-AU"/>
        </w:rPr>
        <w:t>draw on</w:t>
      </w:r>
      <w:r w:rsidR="10855453" w:rsidRPr="00E13C4C">
        <w:rPr>
          <w:rFonts w:eastAsia="Calibri"/>
          <w:lang w:eastAsia="en-AU"/>
        </w:rPr>
        <w:t xml:space="preserve"> reliable baseline data against which to judge the effectiveness of proposed mitigation and management plans</w:t>
      </w:r>
      <w:r w:rsidR="1649F628" w:rsidRPr="00E13C4C">
        <w:rPr>
          <w:rFonts w:eastAsia="Calibri"/>
          <w:lang w:eastAsia="en-AU"/>
        </w:rPr>
        <w:t xml:space="preserve"> in addressing cumulative and long-term impacts</w:t>
      </w:r>
      <w:r w:rsidR="10855453" w:rsidRPr="00E13C4C">
        <w:rPr>
          <w:rFonts w:eastAsia="Calibri"/>
          <w:lang w:eastAsia="en-AU"/>
        </w:rPr>
        <w:t>.</w:t>
      </w:r>
    </w:p>
    <w:p w14:paraId="49C1CAAD" w14:textId="36948FE8" w:rsidR="00301E75" w:rsidRPr="00E13C4C" w:rsidRDefault="00301E75" w:rsidP="006D7B2B">
      <w:pPr>
        <w:pStyle w:val="Question"/>
        <w:shd w:val="clear" w:color="auto" w:fill="E7E6E6"/>
      </w:pPr>
      <w:r w:rsidRPr="00E13C4C">
        <w:t>Question 3: Can the Committee provide comment on the adequacy of the proposed mitigation, management and monitoring measures?</w:t>
      </w:r>
    </w:p>
    <w:p w14:paraId="5DCB5F90" w14:textId="162E5A5B" w:rsidR="001A6142" w:rsidRPr="00E13C4C" w:rsidRDefault="25D9B949" w:rsidP="005A7D2D">
      <w:pPr>
        <w:pStyle w:val="ListNumber"/>
        <w:rPr>
          <w:rFonts w:eastAsia="Arial"/>
          <w:u w:val="single"/>
        </w:rPr>
      </w:pPr>
      <w:bookmarkStart w:id="2" w:name="_Hlk62027913"/>
      <w:r w:rsidRPr="00E13C4C">
        <w:t>As outlined within the NSW Consent Conditions</w:t>
      </w:r>
      <w:r w:rsidR="1C478149" w:rsidRPr="00E13C4C">
        <w:t>,</w:t>
      </w:r>
      <w:r w:rsidRPr="00E13C4C">
        <w:t xml:space="preserve"> mitigation, management and monitoring measures are to be detailed in management plans. The proponent has not provided management plans for consideration; however, some mitigation measures have been identified in the</w:t>
      </w:r>
      <w:r w:rsidR="00552376" w:rsidRPr="00E13C4C">
        <w:t xml:space="preserve"> Public Environment Report</w:t>
      </w:r>
      <w:r w:rsidRPr="00E13C4C">
        <w:t xml:space="preserve"> </w:t>
      </w:r>
      <w:r w:rsidR="00552376" w:rsidRPr="00E13C4C">
        <w:t>(</w:t>
      </w:r>
      <w:r w:rsidRPr="00E13C4C">
        <w:t>PER</w:t>
      </w:r>
      <w:r w:rsidR="00552376" w:rsidRPr="00E13C4C">
        <w:t>)</w:t>
      </w:r>
      <w:r w:rsidRPr="00E13C4C">
        <w:t xml:space="preserve">. </w:t>
      </w:r>
      <w:r w:rsidR="2C871D97" w:rsidRPr="00E13C4C">
        <w:t>T</w:t>
      </w:r>
      <w:r w:rsidR="4F36DC04" w:rsidRPr="00E13C4C">
        <w:t xml:space="preserve">he IESC </w:t>
      </w:r>
      <w:r w:rsidR="33246C84" w:rsidRPr="00E13C4C">
        <w:t>provides</w:t>
      </w:r>
      <w:r w:rsidR="008D3832" w:rsidRPr="00E13C4C">
        <w:t xml:space="preserve"> some general</w:t>
      </w:r>
      <w:r w:rsidR="33246C84" w:rsidRPr="00E13C4C">
        <w:t xml:space="preserve"> recommendations </w:t>
      </w:r>
      <w:r w:rsidR="640499D1" w:rsidRPr="00E13C4C">
        <w:t>below to support</w:t>
      </w:r>
      <w:r w:rsidR="33246C84" w:rsidRPr="00E13C4C">
        <w:t xml:space="preserve"> the proposed </w:t>
      </w:r>
      <w:r w:rsidR="69F1ED1E" w:rsidRPr="00E13C4C">
        <w:t xml:space="preserve">monitoring and </w:t>
      </w:r>
      <w:r w:rsidR="33246C84" w:rsidRPr="00E13C4C">
        <w:t>mitigation measures that the proponent has presented within the PER (Umwelt 2020)</w:t>
      </w:r>
      <w:r w:rsidR="640499D1" w:rsidRPr="00E13C4C">
        <w:t>.</w:t>
      </w:r>
    </w:p>
    <w:bookmarkEnd w:id="2"/>
    <w:p w14:paraId="66C84899" w14:textId="77777777" w:rsidR="00822485" w:rsidRPr="00E13C4C" w:rsidRDefault="00822485" w:rsidP="00822485">
      <w:pPr>
        <w:pStyle w:val="ListNumber"/>
        <w:numPr>
          <w:ilvl w:val="0"/>
          <w:numId w:val="0"/>
        </w:numPr>
        <w:ind w:left="369" w:hanging="369"/>
        <w:rPr>
          <w:u w:val="single"/>
        </w:rPr>
      </w:pPr>
      <w:r w:rsidRPr="00E13C4C">
        <w:rPr>
          <w:u w:val="single"/>
        </w:rPr>
        <w:t>Subsidence</w:t>
      </w:r>
    </w:p>
    <w:p w14:paraId="2C960035" w14:textId="15E0F215" w:rsidR="00822485" w:rsidRPr="00E13C4C" w:rsidRDefault="25D9B949" w:rsidP="005A7D2D">
      <w:pPr>
        <w:pStyle w:val="ListNumber"/>
        <w:rPr>
          <w:rFonts w:eastAsia="Arial"/>
        </w:rPr>
      </w:pPr>
      <w:r w:rsidRPr="00E13C4C">
        <w:t>The PER present</w:t>
      </w:r>
      <w:r w:rsidR="57ED5BED" w:rsidRPr="00E13C4C">
        <w:t>s</w:t>
      </w:r>
      <w:r w:rsidRPr="00E13C4C">
        <w:t xml:space="preserve"> a subsidence monitoring framework (Umwelt 2020, p.139-140). Whilst the IESC commends the use of g</w:t>
      </w:r>
      <w:r w:rsidRPr="00E13C4C">
        <w:rPr>
          <w:rFonts w:eastAsia="Arial"/>
        </w:rPr>
        <w:t>lobal navigation satellite systems</w:t>
      </w:r>
      <w:r w:rsidRPr="00E13C4C">
        <w:t xml:space="preserve"> (GNSS) and i</w:t>
      </w:r>
      <w:r w:rsidRPr="00E13C4C">
        <w:rPr>
          <w:rFonts w:eastAsia="Arial"/>
        </w:rPr>
        <w:t>nterferometric synthetic aperture radar</w:t>
      </w:r>
      <w:r w:rsidRPr="00E13C4C">
        <w:t xml:space="preserve"> (</w:t>
      </w:r>
      <w:proofErr w:type="spellStart"/>
      <w:r w:rsidRPr="00E13C4C">
        <w:t>InSAR</w:t>
      </w:r>
      <w:proofErr w:type="spellEnd"/>
      <w:r w:rsidRPr="00E13C4C">
        <w:t xml:space="preserve">), only the broad approach is provided (Umwelt 2020, Figure 9.1, p. 141), and details on the location and number of GNSS units used and the frequency, spatial resolution and methods for </w:t>
      </w:r>
      <w:proofErr w:type="spellStart"/>
      <w:r w:rsidRPr="00E13C4C">
        <w:t>InSAR</w:t>
      </w:r>
      <w:proofErr w:type="spellEnd"/>
      <w:r w:rsidRPr="00E13C4C">
        <w:t xml:space="preserve"> data processing are not given. It is acknowledged that the specifics would be provided in the Subsidence Monitoring Plan at the post-approval stage as outlined in the NSW Development Consent. This Consent provides Performance Measures (NSW DPI 2020, Part C1, p. 21) that outline that there are to be negligible subsidence impacts or environmental consequences to watercourses and swamps. The IESC cannot comment on the adequacy of the proposed mitigation, management and monitoring measures without </w:t>
      </w:r>
      <w:r w:rsidR="4E50ED72" w:rsidRPr="00E13C4C">
        <w:t xml:space="preserve">access to </w:t>
      </w:r>
      <w:r w:rsidRPr="00E13C4C">
        <w:t xml:space="preserve">the Subsidence Monitoring Plan, Trigger Action Response Plans (TARPs) and the adaptive management measures documentation. It is recommended </w:t>
      </w:r>
      <w:r w:rsidR="3EE74408" w:rsidRPr="00E13C4C">
        <w:t xml:space="preserve">that </w:t>
      </w:r>
      <w:r w:rsidRPr="00E13C4C">
        <w:t>the following measures be included.</w:t>
      </w:r>
    </w:p>
    <w:p w14:paraId="1192B6F1" w14:textId="39CFC6F6" w:rsidR="00822485" w:rsidRPr="00E13C4C" w:rsidRDefault="25D9B949" w:rsidP="00822485">
      <w:pPr>
        <w:pStyle w:val="ListNumber2"/>
        <w:numPr>
          <w:ilvl w:val="1"/>
          <w:numId w:val="11"/>
        </w:numPr>
      </w:pPr>
      <w:r w:rsidRPr="00E13C4C">
        <w:t xml:space="preserve">The IESC commends the suggested full-time (continuous) high-accuracy ground-based system, backed up by accurate aerial or satellite-based remote sensing on a regular basis (Umwelt 2020, Appendix D, p. 2). It is recommended that the resolution and methods proposed for </w:t>
      </w:r>
      <w:proofErr w:type="spellStart"/>
      <w:r w:rsidRPr="00E13C4C">
        <w:t>InSAR</w:t>
      </w:r>
      <w:proofErr w:type="spellEnd"/>
      <w:r w:rsidRPr="00E13C4C">
        <w:t xml:space="preserve"> monitoring and GNSS position data are reviewed and confirmed as suitable by an organisation with the required expertise</w:t>
      </w:r>
      <w:r w:rsidR="76F4F487" w:rsidRPr="00E13C4C">
        <w:t xml:space="preserve"> (</w:t>
      </w:r>
      <w:r w:rsidR="60B322FC" w:rsidRPr="00E13C4C">
        <w:t>e.g.</w:t>
      </w:r>
      <w:r w:rsidRPr="00E13C4C">
        <w:t xml:space="preserve"> Geoscience Australia</w:t>
      </w:r>
      <w:r w:rsidR="1B8BEFD1" w:rsidRPr="00E13C4C">
        <w:t>)</w:t>
      </w:r>
      <w:r w:rsidRPr="00E13C4C">
        <w:t xml:space="preserve">. Spatial resolution and methods used by the proponent should </w:t>
      </w:r>
      <w:r w:rsidR="77E3133D" w:rsidRPr="00E13C4C">
        <w:t xml:space="preserve">ensure that </w:t>
      </w:r>
      <w:r w:rsidRPr="00E13C4C">
        <w:t>the vertical and horizontal</w:t>
      </w:r>
      <w:r w:rsidR="00EE371A" w:rsidRPr="00E13C4C">
        <w:t xml:space="preserve"> resolutions </w:t>
      </w:r>
      <w:r w:rsidRPr="00E13C4C">
        <w:t xml:space="preserve">are sufficient for </w:t>
      </w:r>
      <w:r w:rsidR="0BDDB96B" w:rsidRPr="00E13C4C">
        <w:t xml:space="preserve">quantifying subsidence within and near </w:t>
      </w:r>
      <w:r w:rsidRPr="00E13C4C">
        <w:t>swamps</w:t>
      </w:r>
      <w:r w:rsidR="2950DF13" w:rsidRPr="00E13C4C">
        <w:t xml:space="preserve"> with sufficient accuracy and precision to detect potential impacts and </w:t>
      </w:r>
      <w:r w:rsidR="2D7E419E" w:rsidRPr="00E13C4C">
        <w:t>initiate TARPs</w:t>
      </w:r>
      <w:r w:rsidRPr="00E13C4C">
        <w:t>. Furthermore</w:t>
      </w:r>
      <w:r w:rsidR="60B322FC" w:rsidRPr="00E13C4C">
        <w:t>,</w:t>
      </w:r>
      <w:r w:rsidRPr="00E13C4C">
        <w:t xml:space="preserve"> it should include an adequate time-series of pre-mining baseline data</w:t>
      </w:r>
      <w:r w:rsidR="0CD0B437" w:rsidRPr="00E13C4C">
        <w:t>, again</w:t>
      </w:r>
      <w:r w:rsidR="000B3290" w:rsidRPr="00E13C4C">
        <w:t>,</w:t>
      </w:r>
      <w:r w:rsidR="0CD0B437" w:rsidRPr="00E13C4C">
        <w:t xml:space="preserve"> of suitable spatial resolution</w:t>
      </w:r>
      <w:r w:rsidRPr="00E13C4C">
        <w:t xml:space="preserve">. </w:t>
      </w:r>
    </w:p>
    <w:p w14:paraId="4480EC2E" w14:textId="495540DF" w:rsidR="00822485" w:rsidRPr="00E13C4C" w:rsidRDefault="25D9B949" w:rsidP="00822485">
      <w:pPr>
        <w:pStyle w:val="ListNumber2"/>
        <w:numPr>
          <w:ilvl w:val="1"/>
          <w:numId w:val="11"/>
        </w:numPr>
      </w:pPr>
      <w:r w:rsidRPr="00E13C4C">
        <w:t>All the existing monitoring systems on Mt Ousley Road and the closure across Cataract Creek should be retained</w:t>
      </w:r>
      <w:r w:rsidR="001478D9" w:rsidRPr="00E13C4C">
        <w:t>.</w:t>
      </w:r>
      <w:r w:rsidRPr="00E13C4C">
        <w:t xml:space="preserve"> </w:t>
      </w:r>
      <w:r w:rsidR="001478D9" w:rsidRPr="00E13C4C">
        <w:t>T</w:t>
      </w:r>
      <w:r w:rsidR="62136002" w:rsidRPr="00E13C4C">
        <w:t xml:space="preserve">he IESC </w:t>
      </w:r>
      <w:r w:rsidRPr="00E13C4C">
        <w:t>note</w:t>
      </w:r>
      <w:r w:rsidR="18187AF7" w:rsidRPr="00E13C4C">
        <w:t>s</w:t>
      </w:r>
      <w:r w:rsidRPr="00E13C4C">
        <w:t xml:space="preserve"> that the proponent has stated that only some will be retained. It is essential that all monitoring sites on Cataract Creek are maintained to enable impacts and risks to the aquatic systems to be identified and mitigated though TARPs.</w:t>
      </w:r>
    </w:p>
    <w:p w14:paraId="48EA34E6" w14:textId="14B27299" w:rsidR="00822485" w:rsidRPr="00E13C4C" w:rsidRDefault="25D9B949" w:rsidP="3B7FE8AF">
      <w:pPr>
        <w:pStyle w:val="ListNumber2"/>
        <w:numPr>
          <w:ilvl w:val="1"/>
          <w:numId w:val="11"/>
        </w:numPr>
        <w:rPr>
          <w:rFonts w:eastAsia="Arial"/>
        </w:rPr>
      </w:pPr>
      <w:r w:rsidRPr="00E13C4C">
        <w:t xml:space="preserve">The monitoring sites should include the four swamps CCUS1, CCUS6, CCUS20 and CCUS21 because they have already experienced more than 10mm/m tensile strain and are noted as the most vulnerable to being negatively impacted by an increase in strain (Umwelt 2020, Appendix </w:t>
      </w:r>
      <w:r w:rsidR="00E15B83" w:rsidRPr="00E13C4C">
        <w:t>A of Appendix J</w:t>
      </w:r>
      <w:r w:rsidRPr="00E13C4C">
        <w:t xml:space="preserve">, p. 29). There is </w:t>
      </w:r>
      <w:r w:rsidR="213598EC" w:rsidRPr="00E13C4C">
        <w:t xml:space="preserve">only </w:t>
      </w:r>
      <w:r w:rsidRPr="00E13C4C">
        <w:t xml:space="preserve">one monitoring point for CCUS1, while both CCUS20 and CCUS 21 have separate monitoring points within a close proximity. </w:t>
      </w:r>
      <w:r w:rsidR="1FB0EC3A" w:rsidRPr="00E13C4C">
        <w:t>To adequately capture spatial variability, a</w:t>
      </w:r>
      <w:r w:rsidR="3CCC49DA" w:rsidRPr="00E13C4C">
        <w:t>dditional</w:t>
      </w:r>
      <w:r w:rsidRPr="00E13C4C">
        <w:t xml:space="preserve"> monitoring </w:t>
      </w:r>
      <w:r w:rsidR="743F10DE" w:rsidRPr="00E13C4C">
        <w:t>point</w:t>
      </w:r>
      <w:r w:rsidRPr="00E13C4C">
        <w:t>s</w:t>
      </w:r>
      <w:r w:rsidR="103BC2EF" w:rsidRPr="00E13C4C">
        <w:t xml:space="preserve"> </w:t>
      </w:r>
      <w:r w:rsidR="75F4CBEB" w:rsidRPr="00E13C4C">
        <w:t>in</w:t>
      </w:r>
      <w:r w:rsidR="103BC2EF" w:rsidRPr="00E13C4C">
        <w:t xml:space="preserve"> potentially impacted swamps</w:t>
      </w:r>
      <w:r w:rsidR="0080765A" w:rsidRPr="00E13C4C">
        <w:t xml:space="preserve"> and</w:t>
      </w:r>
      <w:r w:rsidR="54C30C62" w:rsidRPr="00E13C4C">
        <w:t xml:space="preserve"> </w:t>
      </w:r>
      <w:r w:rsidR="0080765A" w:rsidRPr="00E13C4C">
        <w:t>reference s</w:t>
      </w:r>
      <w:r w:rsidR="00915D4A" w:rsidRPr="00E13C4C">
        <w:t>wamps</w:t>
      </w:r>
      <w:r w:rsidR="00E16708" w:rsidRPr="00E13C4C">
        <w:t xml:space="preserve"> (</w:t>
      </w:r>
      <w:r w:rsidR="00915D4A" w:rsidRPr="00E13C4C">
        <w:t>i.e. those unl</w:t>
      </w:r>
      <w:r w:rsidR="00E16708" w:rsidRPr="00E13C4C">
        <w:t>ikely to be affected by the project)</w:t>
      </w:r>
      <w:r w:rsidR="53B4AFB3" w:rsidRPr="00E13C4C">
        <w:t xml:space="preserve"> </w:t>
      </w:r>
      <w:r w:rsidR="48ABE12F" w:rsidRPr="00E13C4C">
        <w:t>are needed</w:t>
      </w:r>
      <w:r w:rsidRPr="00E13C4C">
        <w:t xml:space="preserve">, with particular focus on the 15 swamps above </w:t>
      </w:r>
      <w:r w:rsidR="068B227A" w:rsidRPr="00E13C4C">
        <w:t xml:space="preserve">the seven unconfirmed collapsed goaf areas </w:t>
      </w:r>
      <w:r w:rsidRPr="00E13C4C">
        <w:t>(</w:t>
      </w:r>
      <w:r w:rsidR="00A67AEF" w:rsidRPr="00E13C4C">
        <w:t xml:space="preserve">see </w:t>
      </w:r>
      <w:r w:rsidRPr="00E13C4C">
        <w:t>Paragraph 1</w:t>
      </w:r>
      <w:r w:rsidR="108E030E" w:rsidRPr="00E13C4C">
        <w:t>5</w:t>
      </w:r>
      <w:r w:rsidRPr="00E13C4C">
        <w:t xml:space="preserve">). </w:t>
      </w:r>
    </w:p>
    <w:p w14:paraId="5BFC3ED5" w14:textId="627A05B4" w:rsidR="00822485" w:rsidRPr="00E13C4C" w:rsidRDefault="00822485" w:rsidP="00822485">
      <w:pPr>
        <w:pStyle w:val="ListNumber2"/>
        <w:numPr>
          <w:ilvl w:val="1"/>
          <w:numId w:val="11"/>
        </w:numPr>
      </w:pPr>
      <w:r w:rsidRPr="00E13C4C">
        <w:t>The proponent should confirm that there are no remaining standing pillars in</w:t>
      </w:r>
      <w:r w:rsidR="008B76A4" w:rsidRPr="00E13C4C">
        <w:t xml:space="preserve"> </w:t>
      </w:r>
      <w:r w:rsidRPr="00E13C4C">
        <w:t>goafs</w:t>
      </w:r>
      <w:r w:rsidR="008B76A4" w:rsidRPr="00E13C4C">
        <w:t xml:space="preserve"> 8-14</w:t>
      </w:r>
      <w:r w:rsidRPr="00E13C4C">
        <w:t xml:space="preserve">. </w:t>
      </w:r>
      <w:r w:rsidR="008B76A4" w:rsidRPr="00E13C4C">
        <w:t>T</w:t>
      </w:r>
      <w:r w:rsidRPr="00E13C4C">
        <w:t>his would require the proponent to confirm the status through observation of the development roadway conditions driven below the edges of the extracted goaf areas (NSW DPI 2020, C 10 g (i). p. 22). The process for confirming the status of the Bulli Seam goaf areas is to include detailed underground geotechnical mapping of the observed changes in vertical and horizontal stress conditions (Umwelt 2020, Appendix D</w:t>
      </w:r>
      <w:r w:rsidR="00B21C93" w:rsidRPr="00E13C4C">
        <w:t xml:space="preserve"> of Appendix J</w:t>
      </w:r>
      <w:r w:rsidRPr="00E13C4C">
        <w:t>, p. 7).</w:t>
      </w:r>
    </w:p>
    <w:p w14:paraId="7E434C63" w14:textId="7CDC016E" w:rsidR="00822485" w:rsidRPr="00E13C4C" w:rsidRDefault="00353D50" w:rsidP="00A42B76">
      <w:pPr>
        <w:pStyle w:val="ListNumber2"/>
        <w:numPr>
          <w:ilvl w:val="1"/>
          <w:numId w:val="11"/>
        </w:numPr>
      </w:pPr>
      <w:r w:rsidRPr="00E13C4C">
        <w:t xml:space="preserve">The IESC supports </w:t>
      </w:r>
      <w:r w:rsidR="008B76A4" w:rsidRPr="00E13C4C">
        <w:t xml:space="preserve">the conservative guide used in </w:t>
      </w:r>
      <w:r w:rsidR="001F00E8" w:rsidRPr="00E13C4C">
        <w:t>Umwelt 2020 (Appendix D,</w:t>
      </w:r>
      <w:r w:rsidR="008B76A4" w:rsidRPr="00E13C4C">
        <w:t xml:space="preserve"> Table 1, p.3) of 100 mm</w:t>
      </w:r>
      <w:r w:rsidR="00BF5031" w:rsidRPr="00E13C4C">
        <w:t xml:space="preserve"> as a threshold</w:t>
      </w:r>
      <w:r w:rsidR="008B76A4" w:rsidRPr="00E13C4C">
        <w:t xml:space="preserve"> to calculate the risk of vertical subsidence causing catastrophic loss of a single swamp. </w:t>
      </w:r>
      <w:r w:rsidR="00822485" w:rsidRPr="00E13C4C">
        <w:t>This threshold could be revised based on new monitoring data collected for the swamps</w:t>
      </w:r>
      <w:r w:rsidR="008B76A4" w:rsidRPr="00E13C4C">
        <w:t xml:space="preserve"> that acknowledges swamp-specific characteristics and cumulative effects of drying.  </w:t>
      </w:r>
    </w:p>
    <w:p w14:paraId="6E6F5B99" w14:textId="7A137CD0" w:rsidR="004734A2" w:rsidRPr="00E13C4C" w:rsidRDefault="25D9B949" w:rsidP="00822485">
      <w:pPr>
        <w:pStyle w:val="ListNumber2"/>
        <w:numPr>
          <w:ilvl w:val="1"/>
          <w:numId w:val="11"/>
        </w:numPr>
      </w:pPr>
      <w:r w:rsidRPr="00E13C4C">
        <w:t xml:space="preserve">The proponent has stated that the monitoring systems will provide early warning of increased subsidence prior to mining below the goaf edges and allow time for adaptive management practices that may be required (Umwelt 2020, p. 139). The proponent should </w:t>
      </w:r>
      <w:r w:rsidR="0FFD7D41" w:rsidRPr="00E13C4C">
        <w:t>describ</w:t>
      </w:r>
      <w:r w:rsidRPr="00E13C4C">
        <w:t xml:space="preserve">e the adaptive management practices </w:t>
      </w:r>
      <w:r w:rsidR="621E86F0" w:rsidRPr="00E13C4C">
        <w:t xml:space="preserve">that are </w:t>
      </w:r>
      <w:r w:rsidRPr="00E13C4C">
        <w:t>intended to be implemented</w:t>
      </w:r>
      <w:r w:rsidR="00353D50" w:rsidRPr="00E13C4C">
        <w:t xml:space="preserve"> and comment on their likely effectiveness</w:t>
      </w:r>
      <w:r w:rsidRPr="00E13C4C">
        <w:t xml:space="preserve">. </w:t>
      </w:r>
    </w:p>
    <w:p w14:paraId="76D6740A" w14:textId="6DD8E60F" w:rsidR="00822485" w:rsidRPr="00E13C4C" w:rsidRDefault="25D9B949" w:rsidP="00822485">
      <w:pPr>
        <w:pStyle w:val="ListNumber2"/>
        <w:numPr>
          <w:ilvl w:val="1"/>
          <w:numId w:val="11"/>
        </w:numPr>
      </w:pPr>
      <w:r w:rsidRPr="00E13C4C">
        <w:t>The IESC recommends that the regular subsidence observations collected from the monitoring site locations be used to inform TARPs. The TARPs should consider practical options for changes to the mine plan and cease</w:t>
      </w:r>
      <w:r w:rsidR="0D75FFFF" w:rsidRPr="00E13C4C">
        <w:t>-</w:t>
      </w:r>
      <w:r w:rsidRPr="00E13C4C">
        <w:t>to</w:t>
      </w:r>
      <w:r w:rsidR="47C5F010" w:rsidRPr="00E13C4C">
        <w:t>-</w:t>
      </w:r>
      <w:r w:rsidRPr="00E13C4C">
        <w:t>work</w:t>
      </w:r>
      <w:r w:rsidR="18CB03A8" w:rsidRPr="00E13C4C">
        <w:t xml:space="preserve"> triggers</w:t>
      </w:r>
      <w:r w:rsidRPr="00E13C4C">
        <w:t>.</w:t>
      </w:r>
    </w:p>
    <w:p w14:paraId="1C2E8A10" w14:textId="71AA1535" w:rsidR="00822485" w:rsidRPr="00E13C4C" w:rsidRDefault="25D9B949" w:rsidP="00822485">
      <w:pPr>
        <w:pStyle w:val="ListNumber2"/>
        <w:numPr>
          <w:ilvl w:val="1"/>
          <w:numId w:val="11"/>
        </w:numPr>
      </w:pPr>
      <w:r w:rsidRPr="00E13C4C">
        <w:t>The IESC 2019-108 advice (IESC 2019, p. 6) recommended that a</w:t>
      </w:r>
      <w:r w:rsidR="54367D4B" w:rsidRPr="00E13C4C">
        <w:t>n extraction</w:t>
      </w:r>
      <w:r w:rsidRPr="00E13C4C">
        <w:t xml:space="preserve"> plan be provided for </w:t>
      </w:r>
      <w:r w:rsidR="5F1DA1A0" w:rsidRPr="00E13C4C">
        <w:t xml:space="preserve">each </w:t>
      </w:r>
      <w:r w:rsidRPr="00E13C4C">
        <w:t>consecutive section of bord-and-pillar extraction. Each extraction plan should review all subsidence monitoring data from previous sections to confirm that no ground movements have occurred from the project before the next section is commenced. The review should also assess pillar stability nearby, including in overlying historic workings.</w:t>
      </w:r>
    </w:p>
    <w:p w14:paraId="407346FA" w14:textId="3D7A7AF8" w:rsidR="00822485" w:rsidRPr="00E13C4C" w:rsidRDefault="25D9B949" w:rsidP="00822485">
      <w:pPr>
        <w:pStyle w:val="ListNumber2"/>
        <w:numPr>
          <w:ilvl w:val="1"/>
          <w:numId w:val="11"/>
        </w:numPr>
      </w:pPr>
      <w:r w:rsidRPr="00E13C4C">
        <w:t>As recommended by the IAPUM, the design of the bord</w:t>
      </w:r>
      <w:r w:rsidR="60B322FC" w:rsidRPr="00E13C4C">
        <w:t>-</w:t>
      </w:r>
      <w:r w:rsidRPr="00E13C4C">
        <w:t>and</w:t>
      </w:r>
      <w:r w:rsidR="60B322FC" w:rsidRPr="00E13C4C">
        <w:t>-</w:t>
      </w:r>
      <w:r w:rsidRPr="00E13C4C">
        <w:t>pillar workings under longwall panels in the Balgownie Seam should not be reduced from 24.5</w:t>
      </w:r>
      <w:r w:rsidR="3D783770" w:rsidRPr="00E13C4C">
        <w:t xml:space="preserve"> </w:t>
      </w:r>
      <w:r w:rsidRPr="00E13C4C">
        <w:t xml:space="preserve">m to 19.5 m unless based </w:t>
      </w:r>
      <w:r w:rsidR="1D38833F" w:rsidRPr="00E13C4C">
        <w:t xml:space="preserve">on appropriate </w:t>
      </w:r>
      <w:r w:rsidRPr="00E13C4C">
        <w:t>site-specific studies that include reliably estimating pillar load (Umwelt 2020, Appendix A</w:t>
      </w:r>
      <w:r w:rsidR="00FE1BC6" w:rsidRPr="00E13C4C">
        <w:t xml:space="preserve"> of Appendix D</w:t>
      </w:r>
      <w:r w:rsidRPr="00E13C4C">
        <w:t>, p. 15).</w:t>
      </w:r>
    </w:p>
    <w:p w14:paraId="3B83D4FC" w14:textId="21DB48EF" w:rsidR="00AE4705" w:rsidRPr="00E13C4C" w:rsidRDefault="00AE4705" w:rsidP="002C6216">
      <w:pPr>
        <w:pStyle w:val="ListNumber"/>
        <w:numPr>
          <w:ilvl w:val="0"/>
          <w:numId w:val="0"/>
        </w:numPr>
        <w:rPr>
          <w:u w:val="single"/>
        </w:rPr>
      </w:pPr>
      <w:r w:rsidRPr="00E13C4C">
        <w:rPr>
          <w:u w:val="single"/>
        </w:rPr>
        <w:t>Groundwater</w:t>
      </w:r>
    </w:p>
    <w:p w14:paraId="46DCE9FD" w14:textId="06C53561" w:rsidR="00332A05" w:rsidRPr="00E13C4C" w:rsidRDefault="0BFDE24B" w:rsidP="00805B6F">
      <w:pPr>
        <w:pStyle w:val="ListNumber"/>
      </w:pPr>
      <w:r w:rsidRPr="00E13C4C">
        <w:t xml:space="preserve">Groundwater quality monitoring </w:t>
      </w:r>
      <w:r w:rsidR="48F9BF8B" w:rsidRPr="00E13C4C">
        <w:t xml:space="preserve">has been undertaken </w:t>
      </w:r>
      <w:r w:rsidR="7A2D2539" w:rsidRPr="00E13C4C">
        <w:t xml:space="preserve">by the proponent </w:t>
      </w:r>
      <w:r w:rsidR="1D314009" w:rsidRPr="00E13C4C">
        <w:t>for a suite of physico-chemical parameters and metals/metalloids</w:t>
      </w:r>
      <w:r w:rsidR="60B322FC" w:rsidRPr="00E13C4C">
        <w:t>;</w:t>
      </w:r>
      <w:r w:rsidR="1D314009" w:rsidRPr="00E13C4C">
        <w:t xml:space="preserve"> </w:t>
      </w:r>
      <w:r w:rsidR="48F9BF8B" w:rsidRPr="00E13C4C">
        <w:t>however</w:t>
      </w:r>
      <w:r w:rsidR="60B322FC" w:rsidRPr="00E13C4C">
        <w:t>,</w:t>
      </w:r>
      <w:r w:rsidR="48F9BF8B" w:rsidRPr="00E13C4C">
        <w:t xml:space="preserve"> the IESC notes that </w:t>
      </w:r>
      <w:r w:rsidR="1D314009" w:rsidRPr="00E13C4C">
        <w:t>monitoring was limited to</w:t>
      </w:r>
      <w:r w:rsidR="4478CAD6" w:rsidRPr="00E13C4C">
        <w:t xml:space="preserve"> 11 sites from</w:t>
      </w:r>
      <w:r w:rsidR="1D314009" w:rsidRPr="00E13C4C">
        <w:t xml:space="preserve"> </w:t>
      </w:r>
      <w:r w:rsidR="48F9BF8B" w:rsidRPr="00E13C4C">
        <w:t>January 2020 to October 2020</w:t>
      </w:r>
      <w:r w:rsidR="3BC9CFF1" w:rsidRPr="00E13C4C">
        <w:t xml:space="preserve"> </w:t>
      </w:r>
      <w:r w:rsidR="48F9BF8B" w:rsidRPr="00E13C4C">
        <w:t xml:space="preserve">(Umwelt 2020, </w:t>
      </w:r>
      <w:r w:rsidR="006D3E75" w:rsidRPr="00E13C4C">
        <w:t xml:space="preserve">Appendix J, </w:t>
      </w:r>
      <w:r w:rsidR="48F9BF8B" w:rsidRPr="00E13C4C">
        <w:t>Table 5, pp. 8-9).</w:t>
      </w:r>
      <w:r w:rsidR="189B2C30" w:rsidRPr="00E13C4C">
        <w:t xml:space="preserve"> </w:t>
      </w:r>
      <w:r w:rsidR="7BB67B39" w:rsidRPr="00E13C4C">
        <w:t xml:space="preserve"> </w:t>
      </w:r>
      <w:r w:rsidR="741543A5" w:rsidRPr="00E13C4C">
        <w:t>Only the combined data from the 11 sites w</w:t>
      </w:r>
      <w:r w:rsidR="0041386F" w:rsidRPr="00E13C4C">
        <w:t>ere</w:t>
      </w:r>
      <w:r w:rsidR="741543A5" w:rsidRPr="00E13C4C">
        <w:t xml:space="preserve"> reported. </w:t>
      </w:r>
      <w:r w:rsidR="4478CAD6" w:rsidRPr="00E13C4C">
        <w:t xml:space="preserve">The proponent should </w:t>
      </w:r>
      <w:r w:rsidR="73068FB2" w:rsidRPr="00E13C4C">
        <w:t>provide</w:t>
      </w:r>
      <w:r w:rsidR="4478CAD6" w:rsidRPr="00E13C4C">
        <w:t xml:space="preserve"> the locations of these sites</w:t>
      </w:r>
      <w:r w:rsidR="41349DA2" w:rsidRPr="00E13C4C">
        <w:t xml:space="preserve"> and the site-specific data</w:t>
      </w:r>
      <w:r w:rsidR="4478CAD6" w:rsidRPr="00E13C4C">
        <w:t xml:space="preserve"> </w:t>
      </w:r>
      <w:r w:rsidR="73068FB2" w:rsidRPr="00E13C4C">
        <w:t>and</w:t>
      </w:r>
      <w:r w:rsidR="4478CAD6" w:rsidRPr="00E13C4C">
        <w:t xml:space="preserve"> </w:t>
      </w:r>
      <w:r w:rsidR="73068FB2" w:rsidRPr="00E13C4C">
        <w:rPr>
          <w:rFonts w:eastAsia="Calibri"/>
          <w:lang w:eastAsia="en-AU"/>
        </w:rPr>
        <w:t xml:space="preserve">continue groundwater baseline monitoring to ensure that seasonal variations in metal and metalloid </w:t>
      </w:r>
      <w:r w:rsidR="4DA39098" w:rsidRPr="00E13C4C">
        <w:rPr>
          <w:rFonts w:eastAsia="Calibri"/>
          <w:lang w:eastAsia="en-AU"/>
        </w:rPr>
        <w:t>concentrations</w:t>
      </w:r>
      <w:r w:rsidR="73068FB2" w:rsidRPr="00E13C4C">
        <w:rPr>
          <w:rFonts w:eastAsia="Calibri"/>
          <w:lang w:eastAsia="en-AU"/>
        </w:rPr>
        <w:t xml:space="preserve"> are captured.</w:t>
      </w:r>
    </w:p>
    <w:p w14:paraId="2C2FF4A3" w14:textId="7A00B2D1" w:rsidR="002C6216" w:rsidRPr="00E13C4C" w:rsidRDefault="3007EDBB" w:rsidP="00805B6F">
      <w:pPr>
        <w:pStyle w:val="ListNumber"/>
      </w:pPr>
      <w:r w:rsidRPr="00E13C4C">
        <w:rPr>
          <w:rFonts w:eastAsia="Calibri"/>
          <w:lang w:eastAsia="en-AU"/>
        </w:rPr>
        <w:t xml:space="preserve">The proponent has provided a preliminary </w:t>
      </w:r>
      <w:r w:rsidR="582368A4" w:rsidRPr="00E13C4C">
        <w:rPr>
          <w:rFonts w:eastAsia="Calibri"/>
          <w:lang w:eastAsia="en-AU"/>
        </w:rPr>
        <w:t>ground</w:t>
      </w:r>
      <w:r w:rsidRPr="00E13C4C">
        <w:rPr>
          <w:rFonts w:eastAsia="Calibri"/>
          <w:lang w:eastAsia="en-AU"/>
        </w:rPr>
        <w:t xml:space="preserve">water monitoring framework which includes commitments to monitor groundwater </w:t>
      </w:r>
      <w:r w:rsidR="043C622E" w:rsidRPr="00E13C4C">
        <w:rPr>
          <w:rFonts w:eastAsia="Calibri"/>
          <w:lang w:eastAsia="en-AU"/>
        </w:rPr>
        <w:t>levels and</w:t>
      </w:r>
      <w:r w:rsidRPr="00E13C4C">
        <w:rPr>
          <w:rFonts w:eastAsia="Calibri"/>
          <w:lang w:eastAsia="en-AU"/>
        </w:rPr>
        <w:t xml:space="preserve"> gradients near swamps, existing groundwater sites and new sites targeted at the initial mine workings (Umwelt 2020, Table 9.2, p</w:t>
      </w:r>
      <w:r w:rsidR="05840AE4" w:rsidRPr="00E13C4C">
        <w:rPr>
          <w:rFonts w:eastAsia="Calibri"/>
          <w:lang w:eastAsia="en-AU"/>
        </w:rPr>
        <w:t>p</w:t>
      </w:r>
      <w:r w:rsidRPr="00E13C4C">
        <w:rPr>
          <w:rFonts w:eastAsia="Calibri"/>
          <w:lang w:eastAsia="en-AU"/>
        </w:rPr>
        <w:t xml:space="preserve">. 152-155). Commitments have also been made by the proponent to establish a regional groundwater monitoring network to monitor </w:t>
      </w:r>
      <w:r w:rsidR="20619E8D" w:rsidRPr="00E13C4C">
        <w:rPr>
          <w:rFonts w:eastAsia="Calibri"/>
          <w:lang w:eastAsia="en-AU"/>
        </w:rPr>
        <w:t>potential</w:t>
      </w:r>
      <w:r w:rsidRPr="00E13C4C">
        <w:rPr>
          <w:rFonts w:eastAsia="Calibri"/>
          <w:lang w:eastAsia="en-AU"/>
        </w:rPr>
        <w:t xml:space="preserve"> long-term drawdown</w:t>
      </w:r>
      <w:r w:rsidR="00DC3A92" w:rsidRPr="00E13C4C">
        <w:rPr>
          <w:rFonts w:eastAsia="Calibri"/>
          <w:lang w:eastAsia="en-AU"/>
        </w:rPr>
        <w:t xml:space="preserve"> and recovery of groundwater levels</w:t>
      </w:r>
      <w:r w:rsidRPr="00E13C4C">
        <w:rPr>
          <w:rFonts w:eastAsia="Calibri"/>
          <w:lang w:eastAsia="en-AU"/>
        </w:rPr>
        <w:t xml:space="preserve">. </w:t>
      </w:r>
      <w:r w:rsidR="0685D4FD" w:rsidRPr="00E13C4C">
        <w:rPr>
          <w:rFonts w:eastAsia="Calibri"/>
          <w:lang w:eastAsia="en-AU"/>
        </w:rPr>
        <w:t xml:space="preserve">The IESC </w:t>
      </w:r>
      <w:r w:rsidR="365EA658" w:rsidRPr="00E13C4C">
        <w:rPr>
          <w:rFonts w:eastAsia="Calibri"/>
          <w:lang w:eastAsia="en-AU"/>
        </w:rPr>
        <w:t>recommends</w:t>
      </w:r>
      <w:r w:rsidR="0685D4FD" w:rsidRPr="00E13C4C">
        <w:rPr>
          <w:rFonts w:eastAsia="Calibri"/>
          <w:lang w:eastAsia="en-AU"/>
        </w:rPr>
        <w:t xml:space="preserve"> the following</w:t>
      </w:r>
      <w:r w:rsidR="365EA658" w:rsidRPr="00E13C4C">
        <w:rPr>
          <w:rFonts w:eastAsia="Calibri"/>
          <w:lang w:eastAsia="en-AU"/>
        </w:rPr>
        <w:t xml:space="preserve"> additions</w:t>
      </w:r>
      <w:r w:rsidR="57FD7722" w:rsidRPr="00E13C4C">
        <w:rPr>
          <w:rFonts w:eastAsia="Calibri"/>
          <w:lang w:eastAsia="en-AU"/>
        </w:rPr>
        <w:t>.</w:t>
      </w:r>
    </w:p>
    <w:p w14:paraId="7489C625" w14:textId="39448FAD" w:rsidR="002C6216" w:rsidRPr="00E13C4C" w:rsidRDefault="00DC3A92" w:rsidP="3B7FE8AF">
      <w:pPr>
        <w:pStyle w:val="ListNumber2"/>
        <w:rPr>
          <w:lang w:eastAsia="en-AU"/>
        </w:rPr>
      </w:pPr>
      <w:r w:rsidRPr="00E13C4C">
        <w:rPr>
          <w:rFonts w:eastAsia="Calibri"/>
          <w:lang w:eastAsia="en-AU"/>
        </w:rPr>
        <w:t xml:space="preserve">Additional groundwater monitoring bores are required below the Scarborough Sandstone to the coal measures. These could include </w:t>
      </w:r>
      <w:r w:rsidR="00A42B76" w:rsidRPr="00E13C4C">
        <w:rPr>
          <w:rFonts w:eastAsia="Calibri"/>
          <w:lang w:eastAsia="en-AU"/>
        </w:rPr>
        <w:t>v</w:t>
      </w:r>
      <w:r w:rsidR="009C0D11" w:rsidRPr="00E13C4C">
        <w:rPr>
          <w:rFonts w:eastAsia="Calibri"/>
          <w:lang w:eastAsia="en-AU"/>
        </w:rPr>
        <w:t xml:space="preserve">ibrating </w:t>
      </w:r>
      <w:r w:rsidR="00A42B76" w:rsidRPr="00E13C4C">
        <w:rPr>
          <w:rFonts w:eastAsia="Calibri"/>
          <w:lang w:eastAsia="en-AU"/>
        </w:rPr>
        <w:t>w</w:t>
      </w:r>
      <w:r w:rsidR="009C0D11" w:rsidRPr="00E13C4C">
        <w:rPr>
          <w:rFonts w:eastAsia="Calibri"/>
          <w:lang w:eastAsia="en-AU"/>
        </w:rPr>
        <w:t xml:space="preserve">ire </w:t>
      </w:r>
      <w:r w:rsidR="00A42B76" w:rsidRPr="00E13C4C">
        <w:rPr>
          <w:rFonts w:eastAsia="Calibri"/>
          <w:lang w:eastAsia="en-AU"/>
        </w:rPr>
        <w:t>p</w:t>
      </w:r>
      <w:r w:rsidR="009C0D11" w:rsidRPr="00E13C4C">
        <w:rPr>
          <w:rFonts w:eastAsia="Calibri"/>
          <w:lang w:eastAsia="en-AU"/>
        </w:rPr>
        <w:t>iezometers</w:t>
      </w:r>
      <w:r w:rsidRPr="00E13C4C">
        <w:rPr>
          <w:rFonts w:eastAsia="Calibri"/>
          <w:lang w:eastAsia="en-AU"/>
        </w:rPr>
        <w:t xml:space="preserve"> with multiple points of groundwater level monitoring, and open holes for downhole geophysical logging of strata in addition to groundwater level monitoring. This would also enable testing of hydraulic properties </w:t>
      </w:r>
      <w:r w:rsidR="2F3EF5B5" w:rsidRPr="00E13C4C">
        <w:rPr>
          <w:rFonts w:eastAsia="Calibri"/>
          <w:lang w:eastAsia="en-AU"/>
        </w:rPr>
        <w:t>(</w:t>
      </w:r>
      <w:r w:rsidRPr="00E13C4C">
        <w:rPr>
          <w:rFonts w:eastAsia="Calibri"/>
          <w:lang w:eastAsia="en-AU"/>
        </w:rPr>
        <w:t xml:space="preserve">e.g. </w:t>
      </w:r>
      <w:r w:rsidR="3E3A4083" w:rsidRPr="00E13C4C">
        <w:rPr>
          <w:rFonts w:eastAsia="Calibri"/>
          <w:lang w:eastAsia="en-AU"/>
        </w:rPr>
        <w:t>hydraulic conductivity and specific storage</w:t>
      </w:r>
      <w:r w:rsidR="2FDEC11C" w:rsidRPr="00E13C4C">
        <w:rPr>
          <w:rFonts w:eastAsia="Calibri"/>
          <w:lang w:eastAsia="en-AU"/>
        </w:rPr>
        <w:t>)</w:t>
      </w:r>
      <w:r w:rsidRPr="00E13C4C">
        <w:rPr>
          <w:rFonts w:eastAsia="Calibri"/>
          <w:lang w:eastAsia="en-AU"/>
        </w:rPr>
        <w:t xml:space="preserve"> at the new bore holes to improve estimates of groundwater losses </w:t>
      </w:r>
      <w:r w:rsidR="009C0D11" w:rsidRPr="00E13C4C">
        <w:rPr>
          <w:rFonts w:eastAsia="Calibri"/>
          <w:lang w:eastAsia="en-AU"/>
        </w:rPr>
        <w:t>to the coal seam</w:t>
      </w:r>
      <w:r w:rsidR="00A42B76" w:rsidRPr="00E13C4C">
        <w:rPr>
          <w:rFonts w:eastAsia="Calibri"/>
          <w:lang w:eastAsia="en-AU"/>
        </w:rPr>
        <w:t xml:space="preserve"> by improving the groundwater model</w:t>
      </w:r>
      <w:r w:rsidR="009C0D11" w:rsidRPr="00E13C4C">
        <w:rPr>
          <w:rFonts w:eastAsia="Calibri"/>
          <w:lang w:eastAsia="en-AU"/>
        </w:rPr>
        <w:t xml:space="preserve">. </w:t>
      </w:r>
    </w:p>
    <w:p w14:paraId="0D51EB52" w14:textId="16D2EC56" w:rsidR="002D5C83" w:rsidRPr="00E13C4C" w:rsidRDefault="365EA658" w:rsidP="002D5C83">
      <w:pPr>
        <w:pStyle w:val="ListNumber2"/>
      </w:pPr>
      <w:r w:rsidRPr="00E13C4C">
        <w:t>T</w:t>
      </w:r>
      <w:r w:rsidR="26D74655" w:rsidRPr="00E13C4C">
        <w:t>o identify potential changes in connectivity between aquifers and/or surface waters, the pumping rates of mine inflows should be regularly measured and compared to predicted inflow rates</w:t>
      </w:r>
      <w:r w:rsidR="60659A34" w:rsidRPr="00E13C4C">
        <w:t xml:space="preserve"> and rainfall data</w:t>
      </w:r>
      <w:r w:rsidR="002B11C8" w:rsidRPr="00E13C4C">
        <w:t xml:space="preserve"> and considering changes to water storage within the goafs</w:t>
      </w:r>
      <w:r w:rsidRPr="00E13C4C">
        <w:t>.</w:t>
      </w:r>
    </w:p>
    <w:p w14:paraId="22035548" w14:textId="77777777" w:rsidR="006A087D" w:rsidRPr="00E13C4C" w:rsidRDefault="365EA658" w:rsidP="004B2645">
      <w:pPr>
        <w:pStyle w:val="ListNumber2"/>
      </w:pPr>
      <w:r w:rsidRPr="00E13C4C">
        <w:t>T</w:t>
      </w:r>
      <w:r w:rsidR="26D74655" w:rsidRPr="00E13C4C">
        <w:t>he proponent should develop a program for regular review of groundwater and surface water monitoring data which includes updating of relevant models.</w:t>
      </w:r>
      <w:r w:rsidR="569721BC" w:rsidRPr="00E13C4C">
        <w:t xml:space="preserve"> </w:t>
      </w:r>
      <w:r w:rsidR="26EF0471" w:rsidRPr="00E13C4C">
        <w:t xml:space="preserve">To facilitate relevant mitigation </w:t>
      </w:r>
      <w:r w:rsidR="3A9D4938" w:rsidRPr="00E13C4C">
        <w:t xml:space="preserve">and monitoring </w:t>
      </w:r>
      <w:r w:rsidR="26EF0471" w:rsidRPr="00E13C4C">
        <w:t>measures, t</w:t>
      </w:r>
      <w:r w:rsidR="569721BC" w:rsidRPr="00E13C4C">
        <w:t xml:space="preserve">he proponent should provide the adaptive management practices intended to be implemented. The IESC recommends that the </w:t>
      </w:r>
      <w:r w:rsidR="58578B82" w:rsidRPr="00E13C4C">
        <w:t>data</w:t>
      </w:r>
      <w:r w:rsidR="569721BC" w:rsidRPr="00E13C4C">
        <w:t xml:space="preserve"> collected from the monitoring site locations be used to inform TARPs and adaptive management practices</w:t>
      </w:r>
      <w:r w:rsidR="00E37E67" w:rsidRPr="00E13C4C">
        <w:t xml:space="preserve"> where feasible (e.g. adjustment of mine layout)</w:t>
      </w:r>
      <w:r w:rsidR="569721BC" w:rsidRPr="00E13C4C">
        <w:t>.</w:t>
      </w:r>
    </w:p>
    <w:p w14:paraId="190BEB79" w14:textId="20B38508" w:rsidR="00B935A3" w:rsidRPr="00E13C4C" w:rsidRDefault="00B935A3" w:rsidP="00B935A3">
      <w:pPr>
        <w:pStyle w:val="ListNumber"/>
        <w:numPr>
          <w:ilvl w:val="0"/>
          <w:numId w:val="0"/>
        </w:numPr>
        <w:rPr>
          <w:u w:val="single"/>
        </w:rPr>
      </w:pPr>
      <w:r w:rsidRPr="00E13C4C">
        <w:rPr>
          <w:u w:val="single"/>
        </w:rPr>
        <w:t xml:space="preserve">Surface </w:t>
      </w:r>
      <w:r w:rsidR="782724FF" w:rsidRPr="00E13C4C">
        <w:rPr>
          <w:u w:val="single"/>
        </w:rPr>
        <w:t>w</w:t>
      </w:r>
      <w:r w:rsidRPr="00E13C4C">
        <w:rPr>
          <w:u w:val="single"/>
        </w:rPr>
        <w:t>ater</w:t>
      </w:r>
    </w:p>
    <w:p w14:paraId="1F908BED" w14:textId="736A73B8" w:rsidR="001E2AAD" w:rsidRPr="00E13C4C" w:rsidRDefault="3CE2B570" w:rsidP="001E2AAD">
      <w:pPr>
        <w:pStyle w:val="ListNumber"/>
      </w:pPr>
      <w:r w:rsidRPr="00E13C4C">
        <w:rPr>
          <w:rFonts w:eastAsia="Calibri"/>
          <w:lang w:eastAsia="en-AU"/>
        </w:rPr>
        <w:t xml:space="preserve">The proponent has provided a preliminary </w:t>
      </w:r>
      <w:r w:rsidR="582368A4" w:rsidRPr="00E13C4C">
        <w:rPr>
          <w:rFonts w:eastAsia="Calibri"/>
          <w:lang w:eastAsia="en-AU"/>
        </w:rPr>
        <w:t xml:space="preserve">surface </w:t>
      </w:r>
      <w:r w:rsidRPr="00E13C4C">
        <w:rPr>
          <w:rFonts w:eastAsia="Calibri"/>
          <w:lang w:eastAsia="en-AU"/>
        </w:rPr>
        <w:t xml:space="preserve">water monitoring framework which includes commitments to monitor Cataract Creek and </w:t>
      </w:r>
      <w:r w:rsidR="3D724917" w:rsidRPr="00E13C4C">
        <w:rPr>
          <w:rFonts w:eastAsia="Calibri"/>
          <w:lang w:eastAsia="en-AU"/>
        </w:rPr>
        <w:t xml:space="preserve">its </w:t>
      </w:r>
      <w:r w:rsidRPr="00E13C4C">
        <w:rPr>
          <w:rFonts w:eastAsia="Calibri"/>
          <w:lang w:eastAsia="en-AU"/>
        </w:rPr>
        <w:t xml:space="preserve">tributaries, Cataract River, </w:t>
      </w:r>
      <w:r w:rsidR="433189F0" w:rsidRPr="00E13C4C">
        <w:rPr>
          <w:rFonts w:eastAsia="Calibri"/>
          <w:lang w:eastAsia="en-AU"/>
        </w:rPr>
        <w:t>s</w:t>
      </w:r>
      <w:r w:rsidRPr="00E13C4C">
        <w:rPr>
          <w:rFonts w:eastAsia="Calibri"/>
          <w:lang w:eastAsia="en-AU"/>
        </w:rPr>
        <w:t xml:space="preserve">wamps and Bellambi Gully </w:t>
      </w:r>
      <w:r w:rsidR="5F0E78D1" w:rsidRPr="00E13C4C">
        <w:rPr>
          <w:rFonts w:eastAsia="Calibri"/>
          <w:lang w:eastAsia="en-AU"/>
        </w:rPr>
        <w:t xml:space="preserve">Creek </w:t>
      </w:r>
      <w:r w:rsidRPr="00E13C4C">
        <w:rPr>
          <w:rFonts w:eastAsia="Calibri"/>
          <w:lang w:eastAsia="en-AU"/>
        </w:rPr>
        <w:t xml:space="preserve">in accordance with EPL 12040 (Umwelt 2020, Table 9.2, pp. 149-152). </w:t>
      </w:r>
      <w:r w:rsidR="0A39DBC0" w:rsidRPr="00E13C4C">
        <w:rPr>
          <w:rFonts w:eastAsia="Calibri"/>
          <w:lang w:eastAsia="en-AU"/>
        </w:rPr>
        <w:t xml:space="preserve">The IESC </w:t>
      </w:r>
      <w:r w:rsidR="582368A4" w:rsidRPr="00E13C4C">
        <w:rPr>
          <w:rFonts w:eastAsia="Calibri"/>
          <w:lang w:eastAsia="en-AU"/>
        </w:rPr>
        <w:t xml:space="preserve">recommends </w:t>
      </w:r>
      <w:r w:rsidR="0A39DBC0" w:rsidRPr="00E13C4C">
        <w:rPr>
          <w:rFonts w:eastAsia="Calibri"/>
          <w:lang w:eastAsia="en-AU"/>
        </w:rPr>
        <w:t>the following</w:t>
      </w:r>
      <w:r w:rsidR="582368A4" w:rsidRPr="00E13C4C">
        <w:rPr>
          <w:rFonts w:eastAsia="Calibri"/>
          <w:lang w:eastAsia="en-AU"/>
        </w:rPr>
        <w:t xml:space="preserve"> additions to this framework.</w:t>
      </w:r>
    </w:p>
    <w:p w14:paraId="7C9D87E0" w14:textId="776982A8" w:rsidR="007D13BF" w:rsidRPr="00E13C4C" w:rsidRDefault="582368A4" w:rsidP="001E2AAD">
      <w:pPr>
        <w:pStyle w:val="ListNumber2"/>
      </w:pPr>
      <w:r w:rsidRPr="00E13C4C">
        <w:rPr>
          <w:rFonts w:eastAsia="Calibri"/>
          <w:lang w:eastAsia="en-AU"/>
        </w:rPr>
        <w:t>B</w:t>
      </w:r>
      <w:r w:rsidR="0A39DBC0" w:rsidRPr="00E13C4C">
        <w:rPr>
          <w:rFonts w:eastAsia="Calibri"/>
          <w:lang w:eastAsia="en-AU"/>
        </w:rPr>
        <w:t>aseline monitoring of Bellambi Gully Creek for a full suite of analytes was undertaken between January and October 2020 from upstream and downstream locations of the Pit Top (EPL monitoring location 12 and 11 respectively</w:t>
      </w:r>
      <w:r w:rsidR="76931CA3" w:rsidRPr="00E13C4C">
        <w:rPr>
          <w:rFonts w:eastAsia="Calibri"/>
          <w:lang w:eastAsia="en-AU"/>
        </w:rPr>
        <w:t>) (Umwelt 2020</w:t>
      </w:r>
      <w:r w:rsidR="0B5F8ED7" w:rsidRPr="00E13C4C">
        <w:rPr>
          <w:rFonts w:eastAsia="Calibri"/>
          <w:lang w:eastAsia="en-AU"/>
        </w:rPr>
        <w:t>,</w:t>
      </w:r>
      <w:r w:rsidR="007A65C4" w:rsidRPr="00E13C4C">
        <w:rPr>
          <w:rFonts w:eastAsia="Calibri"/>
          <w:lang w:eastAsia="en-AU"/>
        </w:rPr>
        <w:t xml:space="preserve"> Appendix J,</w:t>
      </w:r>
      <w:r w:rsidR="0B5F8ED7" w:rsidRPr="00E13C4C">
        <w:rPr>
          <w:rFonts w:eastAsia="Calibri"/>
          <w:lang w:eastAsia="en-AU"/>
        </w:rPr>
        <w:t xml:space="preserve"> Figure 1, p. 2</w:t>
      </w:r>
      <w:r w:rsidR="76931CA3" w:rsidRPr="00E13C4C">
        <w:rPr>
          <w:rFonts w:eastAsia="Calibri"/>
          <w:lang w:eastAsia="en-AU"/>
        </w:rPr>
        <w:t>)</w:t>
      </w:r>
      <w:r w:rsidR="0A39DBC0" w:rsidRPr="00E13C4C">
        <w:rPr>
          <w:rFonts w:eastAsia="Calibri"/>
          <w:lang w:eastAsia="en-AU"/>
        </w:rPr>
        <w:t xml:space="preserve">. Baseline monitoring of Bellambi </w:t>
      </w:r>
      <w:r w:rsidR="65502F76" w:rsidRPr="00E13C4C">
        <w:rPr>
          <w:rFonts w:eastAsia="Calibri"/>
          <w:lang w:eastAsia="en-AU"/>
        </w:rPr>
        <w:t xml:space="preserve">Gully </w:t>
      </w:r>
      <w:r w:rsidR="0A39DBC0" w:rsidRPr="00E13C4C">
        <w:rPr>
          <w:rFonts w:eastAsia="Calibri"/>
          <w:lang w:eastAsia="en-AU"/>
        </w:rPr>
        <w:t>Creek should continue</w:t>
      </w:r>
      <w:r w:rsidR="00447B8D" w:rsidRPr="00E13C4C">
        <w:rPr>
          <w:rFonts w:eastAsia="Calibri"/>
          <w:lang w:eastAsia="en-AU"/>
        </w:rPr>
        <w:t xml:space="preserve"> </w:t>
      </w:r>
      <w:r w:rsidR="0A39DBC0" w:rsidRPr="00E13C4C">
        <w:rPr>
          <w:rFonts w:eastAsia="Calibri"/>
          <w:lang w:eastAsia="en-AU"/>
        </w:rPr>
        <w:t xml:space="preserve">to ensure that seasonal variations in nutrient, sediment and metal/metalloid </w:t>
      </w:r>
      <w:r w:rsidR="0A7C39CF" w:rsidRPr="00E13C4C">
        <w:rPr>
          <w:rFonts w:eastAsia="Calibri"/>
          <w:lang w:eastAsia="en-AU"/>
        </w:rPr>
        <w:t>concentrations</w:t>
      </w:r>
      <w:r w:rsidR="0A39DBC0" w:rsidRPr="00E13C4C">
        <w:rPr>
          <w:rFonts w:eastAsia="Calibri"/>
          <w:lang w:eastAsia="en-AU"/>
        </w:rPr>
        <w:t xml:space="preserve"> are captured. </w:t>
      </w:r>
      <w:r w:rsidR="00447B8D" w:rsidRPr="00E13C4C">
        <w:rPr>
          <w:rFonts w:eastAsia="Calibri"/>
          <w:lang w:eastAsia="en-AU"/>
        </w:rPr>
        <w:t xml:space="preserve">The IESC recommends additional upstream and downstream </w:t>
      </w:r>
      <w:r w:rsidR="000233C2" w:rsidRPr="00E13C4C">
        <w:rPr>
          <w:rFonts w:eastAsia="Calibri"/>
          <w:lang w:eastAsia="en-AU"/>
        </w:rPr>
        <w:t xml:space="preserve">monitoring </w:t>
      </w:r>
      <w:r w:rsidR="00447B8D" w:rsidRPr="00E13C4C">
        <w:rPr>
          <w:rFonts w:eastAsia="Calibri"/>
          <w:lang w:eastAsia="en-AU"/>
        </w:rPr>
        <w:t>sites to better capture spatial variability and also the inclusion of benthic sediment sampling to assess the risk of sediment-bound contaminants (</w:t>
      </w:r>
      <w:proofErr w:type="gramStart"/>
      <w:r w:rsidR="000233C2" w:rsidRPr="00E13C4C">
        <w:rPr>
          <w:rFonts w:eastAsia="Calibri"/>
          <w:lang w:eastAsia="en-AU"/>
        </w:rPr>
        <w:t>e</w:t>
      </w:r>
      <w:r w:rsidR="00447B8D" w:rsidRPr="00E13C4C">
        <w:rPr>
          <w:rFonts w:eastAsia="Calibri"/>
          <w:lang w:eastAsia="en-AU"/>
        </w:rPr>
        <w:t>.</w:t>
      </w:r>
      <w:r w:rsidR="000233C2" w:rsidRPr="00E13C4C">
        <w:rPr>
          <w:rFonts w:eastAsia="Calibri"/>
          <w:lang w:eastAsia="en-AU"/>
        </w:rPr>
        <w:t>g</w:t>
      </w:r>
      <w:r w:rsidR="00447B8D" w:rsidRPr="00E13C4C">
        <w:rPr>
          <w:rFonts w:eastAsia="Calibri"/>
          <w:lang w:eastAsia="en-AU"/>
        </w:rPr>
        <w:t>.</w:t>
      </w:r>
      <w:proofErr w:type="gramEnd"/>
      <w:r w:rsidR="00447B8D" w:rsidRPr="00E13C4C">
        <w:rPr>
          <w:rFonts w:eastAsia="Calibri"/>
          <w:lang w:eastAsia="en-AU"/>
        </w:rPr>
        <w:t xml:space="preserve"> metals) to downstream and nearshore receiving environments (Bellambi Beach).</w:t>
      </w:r>
    </w:p>
    <w:p w14:paraId="24269ACF" w14:textId="561F3E6C" w:rsidR="00D559F4" w:rsidRPr="00E13C4C" w:rsidRDefault="484CE518" w:rsidP="00D559F4">
      <w:pPr>
        <w:pStyle w:val="ListNumber2"/>
      </w:pPr>
      <w:r w:rsidRPr="00E13C4C">
        <w:t xml:space="preserve">EPL 12040 (NSW </w:t>
      </w:r>
      <w:r w:rsidR="1F777632" w:rsidRPr="00E13C4C">
        <w:t>DPIE</w:t>
      </w:r>
      <w:r w:rsidRPr="00E13C4C">
        <w:t xml:space="preserve"> 20</w:t>
      </w:r>
      <w:r w:rsidR="1F777632" w:rsidRPr="00E13C4C">
        <w:t>20</w:t>
      </w:r>
      <w:r w:rsidRPr="00E13C4C">
        <w:t>) specifies discharge limits for pH, electrical conductivity (EC), total suspended solids (TSS) and turbidity in Bellambi Gully Creek. Discharges from LDP 1 and LDP 2, which are currently undertaken in accordance with EPL 12040, should include monitoring for a broad suite of metals, and the results should be compared with the ANZG Guidelines (2018) for</w:t>
      </w:r>
      <w:r w:rsidR="00447B8D" w:rsidRPr="00E13C4C">
        <w:t xml:space="preserve"> aquatic ecosystem</w:t>
      </w:r>
      <w:r w:rsidRPr="00E13C4C">
        <w:t xml:space="preserve"> protection</w:t>
      </w:r>
      <w:r w:rsidR="582368A4" w:rsidRPr="00E13C4C">
        <w:t>.</w:t>
      </w:r>
    </w:p>
    <w:p w14:paraId="6E9EAFCF" w14:textId="26DC2CDC" w:rsidR="00D559F4" w:rsidRPr="00E13C4C" w:rsidRDefault="00C61C28" w:rsidP="00D559F4">
      <w:pPr>
        <w:pStyle w:val="ListNumber2"/>
      </w:pPr>
      <w:r w:rsidRPr="00E13C4C">
        <w:t xml:space="preserve">Given that there are already exceedances of several water quality guidelines downstream of LDP2 discharges into Bellambi Gully Creek, and to better interpret the source of these exceedances, the IESC recommends </w:t>
      </w:r>
      <w:r w:rsidR="1C6E4432" w:rsidRPr="00E13C4C">
        <w:t>undertaking</w:t>
      </w:r>
      <w:r w:rsidRPr="00E13C4C">
        <w:t xml:space="preserve"> direct toxicity assessment of the LDP2 discharge prior to release.</w:t>
      </w:r>
    </w:p>
    <w:p w14:paraId="54EE56F6" w14:textId="56F8F141" w:rsidR="00C6117C" w:rsidRPr="00E13C4C" w:rsidRDefault="00C6117C" w:rsidP="002C6216">
      <w:pPr>
        <w:pStyle w:val="ListNumber"/>
        <w:numPr>
          <w:ilvl w:val="0"/>
          <w:numId w:val="0"/>
        </w:numPr>
        <w:rPr>
          <w:u w:val="single"/>
        </w:rPr>
      </w:pPr>
      <w:r w:rsidRPr="00E13C4C">
        <w:rPr>
          <w:u w:val="single"/>
        </w:rPr>
        <w:t xml:space="preserve">Adit </w:t>
      </w:r>
      <w:r w:rsidR="0019660F" w:rsidRPr="00E13C4C">
        <w:rPr>
          <w:u w:val="single"/>
        </w:rPr>
        <w:t xml:space="preserve">discharge </w:t>
      </w:r>
      <w:r w:rsidRPr="00E13C4C">
        <w:rPr>
          <w:u w:val="single"/>
        </w:rPr>
        <w:t>water</w:t>
      </w:r>
    </w:p>
    <w:p w14:paraId="7A7AA56E" w14:textId="01A383B8" w:rsidR="00B25D85" w:rsidRPr="00E13C4C" w:rsidRDefault="24E7D3CA" w:rsidP="004B7B09">
      <w:pPr>
        <w:pStyle w:val="ListNumber"/>
        <w:rPr>
          <w:rFonts w:eastAsia="Arial"/>
        </w:rPr>
      </w:pPr>
      <w:r w:rsidRPr="00E13C4C">
        <w:t xml:space="preserve">The conditions of development consent (MP09_0013) include </w:t>
      </w:r>
      <w:r w:rsidR="065BF407" w:rsidRPr="00E13C4C">
        <w:t xml:space="preserve">a </w:t>
      </w:r>
      <w:r w:rsidR="4702BA16" w:rsidRPr="00E13C4C">
        <w:t>requirement</w:t>
      </w:r>
      <w:r w:rsidR="065BF407" w:rsidRPr="00E13C4C">
        <w:t xml:space="preserve"> </w:t>
      </w:r>
      <w:r w:rsidR="3CC7497D" w:rsidRPr="00E13C4C">
        <w:t>for</w:t>
      </w:r>
      <w:r w:rsidR="065BF407" w:rsidRPr="00E13C4C">
        <w:t xml:space="preserve"> </w:t>
      </w:r>
      <w:r w:rsidRPr="00E13C4C">
        <w:t xml:space="preserve">an </w:t>
      </w:r>
      <w:r w:rsidR="065BF407" w:rsidRPr="00E13C4C">
        <w:t>A</w:t>
      </w:r>
      <w:r w:rsidRPr="00E13C4C">
        <w:t xml:space="preserve">dit </w:t>
      </w:r>
      <w:r w:rsidR="065BF407" w:rsidRPr="00E13C4C">
        <w:t>D</w:t>
      </w:r>
      <w:r w:rsidRPr="00E13C4C">
        <w:t xml:space="preserve">ischarge </w:t>
      </w:r>
      <w:r w:rsidR="065BF407" w:rsidRPr="00E13C4C">
        <w:t>W</w:t>
      </w:r>
      <w:r w:rsidRPr="00E13C4C">
        <w:t xml:space="preserve">ater </w:t>
      </w:r>
      <w:r w:rsidR="065BF407" w:rsidRPr="00E13C4C">
        <w:t>M</w:t>
      </w:r>
      <w:r w:rsidRPr="00E13C4C">
        <w:t xml:space="preserve">anagement </w:t>
      </w:r>
      <w:r w:rsidR="065BF407" w:rsidRPr="00E13C4C">
        <w:t>P</w:t>
      </w:r>
      <w:r w:rsidRPr="00E13C4C">
        <w:t>lan</w:t>
      </w:r>
      <w:r w:rsidR="065BF407" w:rsidRPr="00E13C4C">
        <w:t xml:space="preserve"> (ADWMP)</w:t>
      </w:r>
      <w:r w:rsidRPr="00E13C4C">
        <w:t xml:space="preserve"> which includes predictions of the volumes and discharge water quality from potential groundwater leakage points</w:t>
      </w:r>
      <w:r w:rsidR="608C8818" w:rsidRPr="00E13C4C">
        <w:t xml:space="preserve">. Additional </w:t>
      </w:r>
      <w:r w:rsidR="7AC8B6F2" w:rsidRPr="00E13C4C">
        <w:t>requirements</w:t>
      </w:r>
      <w:r w:rsidR="039B5056" w:rsidRPr="00E13C4C">
        <w:t xml:space="preserve"> which are stipulated in the development consent</w:t>
      </w:r>
      <w:r w:rsidR="446A0E61" w:rsidRPr="00E13C4C">
        <w:t xml:space="preserve"> and</w:t>
      </w:r>
      <w:r w:rsidR="7AC8B6F2" w:rsidRPr="00E13C4C">
        <w:t xml:space="preserve"> </w:t>
      </w:r>
      <w:r w:rsidR="7CB44556" w:rsidRPr="00E13C4C">
        <w:t xml:space="preserve">to be </w:t>
      </w:r>
      <w:r w:rsidR="7AC8B6F2" w:rsidRPr="00E13C4C">
        <w:t>include</w:t>
      </w:r>
      <w:r w:rsidR="7CB44556" w:rsidRPr="00E13C4C">
        <w:t xml:space="preserve">d in the ADWMP </w:t>
      </w:r>
      <w:r w:rsidR="0C7D1D48" w:rsidRPr="00E13C4C">
        <w:t>are</w:t>
      </w:r>
      <w:r w:rsidRPr="00E13C4C">
        <w:t xml:space="preserve"> timelines for discharges, </w:t>
      </w:r>
      <w:r w:rsidR="3CAFFB99" w:rsidRPr="00E13C4C">
        <w:t xml:space="preserve">options for treatment, discharge and beneficial reuse during and after mining operations, </w:t>
      </w:r>
      <w:r w:rsidR="7B46EE43" w:rsidRPr="00E13C4C">
        <w:t xml:space="preserve">and </w:t>
      </w:r>
      <w:r w:rsidRPr="00E13C4C">
        <w:t xml:space="preserve">avoidance, mitigation and monitoring measures to reduce potentially adverse impacts. </w:t>
      </w:r>
      <w:r w:rsidR="7CB44556" w:rsidRPr="00E13C4C">
        <w:t xml:space="preserve">Management of </w:t>
      </w:r>
      <w:r w:rsidR="582368A4" w:rsidRPr="00E13C4C">
        <w:t xml:space="preserve">discharges from the </w:t>
      </w:r>
      <w:r w:rsidR="7CB44556" w:rsidRPr="00E13C4C">
        <w:t xml:space="preserve">adit described in the PER </w:t>
      </w:r>
      <w:r w:rsidR="2BB7AC9B" w:rsidRPr="00E13C4C">
        <w:t>focuse</w:t>
      </w:r>
      <w:r w:rsidR="180FFDB3" w:rsidRPr="00E13C4C">
        <w:t>d</w:t>
      </w:r>
      <w:r w:rsidR="2BB7AC9B" w:rsidRPr="00E13C4C">
        <w:t xml:space="preserve"> on monitoring rather than mitigation</w:t>
      </w:r>
      <w:r w:rsidR="484CE518" w:rsidRPr="00E13C4C">
        <w:t xml:space="preserve"> </w:t>
      </w:r>
      <w:r w:rsidR="180FFDB3" w:rsidRPr="00E13C4C">
        <w:t>measures, the adequac</w:t>
      </w:r>
      <w:r w:rsidR="2B984816" w:rsidRPr="00E13C4C">
        <w:t>ies</w:t>
      </w:r>
      <w:r w:rsidR="180FFDB3" w:rsidRPr="00E13C4C">
        <w:t xml:space="preserve"> of which </w:t>
      </w:r>
      <w:r w:rsidR="2B984816" w:rsidRPr="00E13C4C">
        <w:t>are</w:t>
      </w:r>
      <w:r w:rsidR="180FFDB3" w:rsidRPr="00E13C4C">
        <w:t xml:space="preserve"> discussed in Paragraph </w:t>
      </w:r>
      <w:r w:rsidR="00C73BDB" w:rsidRPr="00E13C4C">
        <w:t>6</w:t>
      </w:r>
      <w:r w:rsidR="180FFDB3" w:rsidRPr="00E13C4C">
        <w:t>.</w:t>
      </w:r>
    </w:p>
    <w:p w14:paraId="0BDACEF5" w14:textId="77777777" w:rsidR="00822485" w:rsidRPr="00E13C4C" w:rsidRDefault="00822485" w:rsidP="00822485">
      <w:pPr>
        <w:pStyle w:val="ListNumber"/>
        <w:numPr>
          <w:ilvl w:val="0"/>
          <w:numId w:val="0"/>
        </w:numPr>
        <w:rPr>
          <w:u w:val="single"/>
        </w:rPr>
      </w:pPr>
      <w:r w:rsidRPr="00E13C4C">
        <w:rPr>
          <w:u w:val="single"/>
        </w:rPr>
        <w:t>Swamps</w:t>
      </w:r>
    </w:p>
    <w:p w14:paraId="624C7FC2" w14:textId="7C449963" w:rsidR="00822485" w:rsidRPr="00E13C4C" w:rsidRDefault="25D9B949" w:rsidP="00822485">
      <w:pPr>
        <w:pStyle w:val="ListNumber"/>
        <w:rPr>
          <w:rFonts w:eastAsia="Arial"/>
        </w:rPr>
      </w:pPr>
      <w:r w:rsidRPr="00E13C4C">
        <w:t>The proponent has not provided an Upland Swamp Monitoring Program (USMP). However, the PER includes the recommendation from the IESC 2019-108 advice to use nested monitoring bores and environmental water tracers to identify whether hydraulic connection exists between the perched aquifers upon which the swamps rely and the Upper Hawkesbury Sandstone aquifers (IESC 2019, p. 7).</w:t>
      </w:r>
    </w:p>
    <w:p w14:paraId="4FB57034" w14:textId="0D239693" w:rsidR="002C6216" w:rsidRPr="00E13C4C" w:rsidRDefault="25D9B949" w:rsidP="0465A4A0">
      <w:pPr>
        <w:pStyle w:val="ListNumber"/>
        <w:rPr>
          <w:rFonts w:eastAsia="Arial"/>
          <w:lang w:eastAsia="en-AU"/>
        </w:rPr>
      </w:pPr>
      <w:r w:rsidRPr="00E13C4C">
        <w:t>The IAPUM highlighted that an objective subsidence impact assessment has not been undertaken for all swamps (Umwelt 2020, Appendix A</w:t>
      </w:r>
      <w:r w:rsidR="0077118E" w:rsidRPr="00E13C4C">
        <w:t xml:space="preserve"> of Appendix J</w:t>
      </w:r>
      <w:r w:rsidRPr="00E13C4C">
        <w:t>, p.</w:t>
      </w:r>
      <w:r w:rsidR="0077118E" w:rsidRPr="00E13C4C">
        <w:t xml:space="preserve"> </w:t>
      </w:r>
      <w:r w:rsidRPr="00E13C4C">
        <w:t>21). Current monitoring design is focused on swamps CCUS1, CCUS6, CCUS20</w:t>
      </w:r>
      <w:r w:rsidR="698A5805" w:rsidRPr="00E13C4C">
        <w:t xml:space="preserve"> and</w:t>
      </w:r>
      <w:r w:rsidRPr="00E13C4C">
        <w:t xml:space="preserve"> CCUS21</w:t>
      </w:r>
      <w:r w:rsidR="5CF1F36B" w:rsidRPr="00E13C4C">
        <w:t xml:space="preserve"> because</w:t>
      </w:r>
      <w:r w:rsidRPr="00E13C4C">
        <w:t xml:space="preserve"> these swamps are considered most at risk of cumulative impacts (</w:t>
      </w:r>
      <w:r w:rsidR="000345B3" w:rsidRPr="00E13C4C">
        <w:t>Umwelt 2020</w:t>
      </w:r>
      <w:r w:rsidRPr="00E13C4C">
        <w:t>,</w:t>
      </w:r>
      <w:r w:rsidR="000345B3" w:rsidRPr="00E13C4C">
        <w:t xml:space="preserve"> Appendix G,</w:t>
      </w:r>
      <w:r w:rsidRPr="00E13C4C">
        <w:t xml:space="preserve"> p.32). However, as each swamp will differ in terms of biodiversity, ecological condition and water regime</w:t>
      </w:r>
      <w:r w:rsidR="6FF0EE69" w:rsidRPr="00E13C4C">
        <w:t>,</w:t>
      </w:r>
      <w:r w:rsidRPr="00E13C4C">
        <w:t xml:space="preserve"> it is important that monitoring is tailored for each swamp to capture swamp-specific differences in potential vulnerability and responses to any changes associated with subsidence. This tailored m</w:t>
      </w:r>
      <w:r w:rsidRPr="00E13C4C">
        <w:rPr>
          <w:rFonts w:eastAsia="Calibri"/>
          <w:lang w:eastAsia="en-AU"/>
        </w:rPr>
        <w:t xml:space="preserve">onitoring should be extended to include the 15 swamps </w:t>
      </w:r>
      <w:r w:rsidRPr="00E13C4C">
        <w:t xml:space="preserve">(CCUS10, CCUS11, CCUS12, CCUS13, CCUS14, CCUS22, CCUS24, CRUS1, CRUS2, CRUS3, CRUS6, CRUS7, BCUS4, BCUS7, BCUS11) </w:t>
      </w:r>
      <w:r w:rsidRPr="00E13C4C">
        <w:rPr>
          <w:rFonts w:eastAsia="Calibri"/>
          <w:lang w:eastAsia="en-AU"/>
        </w:rPr>
        <w:t xml:space="preserve">located over goafs 8-14 where the status </w:t>
      </w:r>
      <w:r w:rsidR="54A24C78" w:rsidRPr="00E13C4C">
        <w:rPr>
          <w:rFonts w:eastAsia="Calibri"/>
          <w:lang w:eastAsia="en-AU"/>
        </w:rPr>
        <w:t xml:space="preserve">of pillar </w:t>
      </w:r>
      <w:r w:rsidR="00C61C28" w:rsidRPr="00E13C4C">
        <w:rPr>
          <w:rFonts w:eastAsia="Calibri"/>
          <w:lang w:eastAsia="en-AU"/>
        </w:rPr>
        <w:t>stability</w:t>
      </w:r>
      <w:r w:rsidR="54A24C78" w:rsidRPr="00E13C4C">
        <w:rPr>
          <w:rFonts w:eastAsia="Calibri"/>
          <w:lang w:eastAsia="en-AU"/>
        </w:rPr>
        <w:t xml:space="preserve"> </w:t>
      </w:r>
      <w:r w:rsidRPr="00E13C4C">
        <w:rPr>
          <w:rFonts w:eastAsia="Calibri"/>
          <w:lang w:eastAsia="en-AU"/>
        </w:rPr>
        <w:t xml:space="preserve">is unconfirmed. </w:t>
      </w:r>
      <w:r w:rsidRPr="00E13C4C">
        <w:t xml:space="preserve">The IESC recommends swamp-specific ecological monitoring should commence </w:t>
      </w:r>
      <w:r w:rsidR="0ADDB831" w:rsidRPr="00E13C4C">
        <w:t xml:space="preserve">over at </w:t>
      </w:r>
      <w:r w:rsidR="6A23C697" w:rsidRPr="00E13C4C">
        <w:t xml:space="preserve">least </w:t>
      </w:r>
      <w:r w:rsidR="0ADDB831" w:rsidRPr="00E13C4C">
        <w:t>two years</w:t>
      </w:r>
      <w:r w:rsidRPr="00E13C4C">
        <w:t xml:space="preserve"> before mining </w:t>
      </w:r>
      <w:r w:rsidR="0096776C" w:rsidRPr="00E13C4C">
        <w:t xml:space="preserve">resumes </w:t>
      </w:r>
      <w:r w:rsidRPr="00E13C4C">
        <w:t xml:space="preserve">to establish baseline data, then continue during the life of the mine and for a suitable period afterwards until the risk of any further ground movements can be demonstrated to be negligible. Suitable </w:t>
      </w:r>
      <w:r w:rsidR="0510B001" w:rsidRPr="00E13C4C">
        <w:t xml:space="preserve">multiple </w:t>
      </w:r>
      <w:r w:rsidRPr="00E13C4C">
        <w:t>reference (</w:t>
      </w:r>
      <w:r w:rsidR="00C7333C" w:rsidRPr="00E13C4C">
        <w:t>i</w:t>
      </w:r>
      <w:r w:rsidR="5167E4B9" w:rsidRPr="00E13C4C">
        <w:t xml:space="preserve">.e. unaffected by </w:t>
      </w:r>
      <w:r w:rsidRPr="00E13C4C">
        <w:t>mining) swamps should be monitored at the same time to provide adequate comparative data that will allow potential swamp-specific responses to subsidence and other mine-associated activities to be discriminated from background temporal changes (e.g. droughts, inter-annual variation) and to allow</w:t>
      </w:r>
      <w:r w:rsidRPr="00E13C4C">
        <w:rPr>
          <w:rFonts w:eastAsia="Calibri"/>
          <w:lang w:eastAsia="en-AU"/>
        </w:rPr>
        <w:t xml:space="preserve"> for </w:t>
      </w:r>
      <w:r w:rsidRPr="00E13C4C">
        <w:t>time lags in the drying of the</w:t>
      </w:r>
      <w:r w:rsidRPr="00E13C4C">
        <w:rPr>
          <w:rFonts w:eastAsia="Calibri"/>
          <w:lang w:eastAsia="en-AU"/>
        </w:rPr>
        <w:t xml:space="preserve"> swamps to </w:t>
      </w:r>
      <w:r w:rsidRPr="00E13C4C">
        <w:t>be identified</w:t>
      </w:r>
      <w:r w:rsidR="3E3A4083" w:rsidRPr="00E13C4C">
        <w:rPr>
          <w:rFonts w:eastAsia="Calibri"/>
          <w:lang w:eastAsia="en-AU"/>
        </w:rPr>
        <w:t>.</w:t>
      </w:r>
    </w:p>
    <w:p w14:paraId="741FD574" w14:textId="632FD62F" w:rsidR="003633F7" w:rsidRPr="00E13C4C" w:rsidRDefault="2396037D" w:rsidP="003633F7">
      <w:pPr>
        <w:pStyle w:val="ListNumber"/>
      </w:pPr>
      <w:r w:rsidRPr="00E13C4C">
        <w:rPr>
          <w:rFonts w:eastAsia="Calibri"/>
          <w:lang w:eastAsia="en-AU"/>
        </w:rPr>
        <w:t xml:space="preserve">Swamp-specific water balances should be calculated based on monitoring data, including for </w:t>
      </w:r>
      <w:r w:rsidR="55E0F41A" w:rsidRPr="00E13C4C">
        <w:rPr>
          <w:rFonts w:eastAsia="Calibri"/>
          <w:lang w:eastAsia="en-AU"/>
        </w:rPr>
        <w:t xml:space="preserve">multiple </w:t>
      </w:r>
      <w:r w:rsidRPr="00E13C4C">
        <w:rPr>
          <w:rFonts w:eastAsia="Calibri"/>
          <w:lang w:eastAsia="en-AU"/>
        </w:rPr>
        <w:t xml:space="preserve">reference swamps. </w:t>
      </w:r>
      <w:r w:rsidR="76423B97" w:rsidRPr="00E13C4C">
        <w:rPr>
          <w:rFonts w:eastAsia="Calibri"/>
          <w:lang w:eastAsia="en-AU"/>
        </w:rPr>
        <w:t>The proponent should clearly identify the locations and condition of the reference s</w:t>
      </w:r>
      <w:r w:rsidR="00EA2897" w:rsidRPr="00E13C4C">
        <w:rPr>
          <w:rFonts w:eastAsia="Calibri"/>
          <w:lang w:eastAsia="en-AU"/>
        </w:rPr>
        <w:t>wamp</w:t>
      </w:r>
      <w:r w:rsidR="76423B97" w:rsidRPr="00E13C4C">
        <w:rPr>
          <w:rFonts w:eastAsia="Calibri"/>
          <w:lang w:eastAsia="en-AU"/>
        </w:rPr>
        <w:t>s previously used for floristic monitoring (</w:t>
      </w:r>
      <w:r w:rsidR="76423B97" w:rsidRPr="00E13C4C">
        <w:t>ACUS, BCUS12 and WACUS</w:t>
      </w:r>
      <w:r w:rsidR="76423B97" w:rsidRPr="00E13C4C">
        <w:rPr>
          <w:rFonts w:eastAsia="Calibri"/>
          <w:lang w:eastAsia="en-AU"/>
        </w:rPr>
        <w:t xml:space="preserve">) and </w:t>
      </w:r>
      <w:r w:rsidR="00C61C28" w:rsidRPr="00E13C4C">
        <w:rPr>
          <w:rFonts w:eastAsia="Calibri"/>
          <w:lang w:eastAsia="en-AU"/>
        </w:rPr>
        <w:t xml:space="preserve">include </w:t>
      </w:r>
      <w:r w:rsidR="76423B97" w:rsidRPr="00E13C4C">
        <w:rPr>
          <w:rFonts w:eastAsia="Calibri"/>
          <w:lang w:eastAsia="en-AU"/>
        </w:rPr>
        <w:t xml:space="preserve">further </w:t>
      </w:r>
      <w:r w:rsidR="00EA2897" w:rsidRPr="00E13C4C">
        <w:rPr>
          <w:rFonts w:eastAsia="Calibri"/>
          <w:lang w:eastAsia="en-AU"/>
        </w:rPr>
        <w:t xml:space="preserve">swamps </w:t>
      </w:r>
      <w:r w:rsidR="09DB819E" w:rsidRPr="00E13C4C">
        <w:rPr>
          <w:rFonts w:eastAsia="Calibri"/>
          <w:lang w:eastAsia="en-AU"/>
        </w:rPr>
        <w:t xml:space="preserve">with </w:t>
      </w:r>
      <w:r w:rsidR="76423B97" w:rsidRPr="00E13C4C">
        <w:t>similar topographi</w:t>
      </w:r>
      <w:r w:rsidR="46A1697C" w:rsidRPr="00E13C4C">
        <w:t>es</w:t>
      </w:r>
      <w:r w:rsidR="76423B97" w:rsidRPr="00E13C4C">
        <w:t xml:space="preserve"> near </w:t>
      </w:r>
      <w:r w:rsidR="6372446E" w:rsidRPr="00E13C4C">
        <w:t xml:space="preserve">the </w:t>
      </w:r>
      <w:r w:rsidR="76423B97" w:rsidRPr="00E13C4C">
        <w:t>eastern escarpment, but with no previous undermining.</w:t>
      </w:r>
      <w:r w:rsidR="00C61C28" w:rsidRPr="00E13C4C">
        <w:t xml:space="preserve"> </w:t>
      </w:r>
    </w:p>
    <w:p w14:paraId="5AAF46C0" w14:textId="316698CC" w:rsidR="00822485" w:rsidRPr="00E13C4C" w:rsidRDefault="00301E75" w:rsidP="00822485">
      <w:pPr>
        <w:pStyle w:val="Question"/>
        <w:shd w:val="clear" w:color="auto" w:fill="E7E6E6"/>
      </w:pPr>
      <w:r w:rsidRPr="00E13C4C">
        <w:t>Question 4: Note the NSW development consent at Appendix E to the PER. Does the IESC consider that any additional conditions would be required to adequately protect Commonwealth matters?</w:t>
      </w:r>
    </w:p>
    <w:p w14:paraId="343CE951" w14:textId="754F32B6" w:rsidR="00822485" w:rsidRPr="00E13C4C" w:rsidRDefault="25D9B949" w:rsidP="00822485">
      <w:pPr>
        <w:pStyle w:val="ListNumber"/>
      </w:pPr>
      <w:r w:rsidRPr="00E13C4C">
        <w:t>The NSW Development Consent include</w:t>
      </w:r>
      <w:r w:rsidR="006354D9" w:rsidRPr="00E13C4C">
        <w:t>s few</w:t>
      </w:r>
      <w:r w:rsidRPr="00E13C4C">
        <w:t xml:space="preserve"> quantitative limits</w:t>
      </w:r>
      <w:r w:rsidR="00F27517" w:rsidRPr="00E13C4C">
        <w:t>. The IESC considers that these should be provided</w:t>
      </w:r>
      <w:r w:rsidR="005712AB" w:rsidRPr="00E13C4C">
        <w:t>,</w:t>
      </w:r>
      <w:r w:rsidR="00F27517" w:rsidRPr="00E13C4C">
        <w:t xml:space="preserve"> for example</w:t>
      </w:r>
      <w:r w:rsidR="005712AB" w:rsidRPr="00E13C4C">
        <w:t>,</w:t>
      </w:r>
      <w:r w:rsidR="00F27517" w:rsidRPr="00E13C4C">
        <w:t xml:space="preserve"> to assess water and sediment quality exceedances.</w:t>
      </w:r>
      <w:r w:rsidRPr="00E13C4C">
        <w:t xml:space="preserve"> </w:t>
      </w:r>
      <w:r w:rsidR="005712AB" w:rsidRPr="00E13C4C">
        <w:t xml:space="preserve"> </w:t>
      </w:r>
    </w:p>
    <w:p w14:paraId="5A41FF3C" w14:textId="6FE59979" w:rsidR="005712AB" w:rsidRPr="00E13C4C" w:rsidRDefault="006354D9" w:rsidP="00822485">
      <w:pPr>
        <w:pStyle w:val="ListNumber"/>
      </w:pPr>
      <w:r w:rsidRPr="00E13C4C">
        <w:t>As an additional condition to better protect the EPBC Act-listed swamps, t</w:t>
      </w:r>
      <w:r w:rsidR="005712AB" w:rsidRPr="00E13C4C">
        <w:t xml:space="preserve">he IESC </w:t>
      </w:r>
      <w:r w:rsidRPr="00E13C4C">
        <w:t>considers</w:t>
      </w:r>
      <w:r w:rsidR="005712AB" w:rsidRPr="00E13C4C">
        <w:t xml:space="preserve"> that 100</w:t>
      </w:r>
      <w:r w:rsidR="006A087D" w:rsidRPr="00E13C4C">
        <w:t> </w:t>
      </w:r>
      <w:r w:rsidR="005712AB" w:rsidRPr="00E13C4C">
        <w:t>mm</w:t>
      </w:r>
      <w:r w:rsidRPr="00E13C4C">
        <w:t xml:space="preserve"> (see Paragraph 9e)</w:t>
      </w:r>
      <w:r w:rsidR="005712AB" w:rsidRPr="00E13C4C">
        <w:t xml:space="preserve"> vertical subsidence be used as a conservative threshold. </w:t>
      </w:r>
    </w:p>
    <w:p w14:paraId="09AF463A" w14:textId="2063DA7E" w:rsidR="00D74FCA" w:rsidRPr="00E13C4C" w:rsidRDefault="7D764E58" w:rsidP="00822485">
      <w:pPr>
        <w:pStyle w:val="ListNumber"/>
        <w:rPr>
          <w:rFonts w:eastAsia="Arial"/>
        </w:rPr>
      </w:pPr>
      <w:r w:rsidRPr="00E13C4C">
        <w:t xml:space="preserve">The Consent also requires the development of management plans (i.e. Surface Water Management Plan, Adit Discharge Plan, Subsidence Management Plan). </w:t>
      </w:r>
      <w:r w:rsidR="3E3A4083" w:rsidRPr="00E13C4C">
        <w:t>The proponent has stated that the required ma</w:t>
      </w:r>
      <w:r w:rsidR="5BB876BF" w:rsidRPr="00E13C4C">
        <w:t xml:space="preserve">nagement plans </w:t>
      </w:r>
      <w:r w:rsidR="3E3A4083" w:rsidRPr="00E13C4C">
        <w:t xml:space="preserve">will be provided at the </w:t>
      </w:r>
      <w:r w:rsidR="5BB876BF" w:rsidRPr="00E13C4C">
        <w:t>post</w:t>
      </w:r>
      <w:r w:rsidR="3884F149" w:rsidRPr="00E13C4C">
        <w:t>-</w:t>
      </w:r>
      <w:r w:rsidR="5BB876BF" w:rsidRPr="00E13C4C">
        <w:t xml:space="preserve">approval stage and </w:t>
      </w:r>
      <w:r w:rsidR="1506CAD4" w:rsidRPr="00E13C4C">
        <w:t xml:space="preserve">so </w:t>
      </w:r>
      <w:r w:rsidR="7678C8D7" w:rsidRPr="00E13C4C">
        <w:t xml:space="preserve">they </w:t>
      </w:r>
      <w:r w:rsidR="5BB876BF" w:rsidRPr="00E13C4C">
        <w:t>have not been provided for this assessment. It is for this reason that the IESC cannot provide advice on the</w:t>
      </w:r>
      <w:r w:rsidR="68CCB3F2" w:rsidRPr="00E13C4C">
        <w:t xml:space="preserve"> conditions and </w:t>
      </w:r>
      <w:r w:rsidR="5BB876BF" w:rsidRPr="00E13C4C">
        <w:t>the</w:t>
      </w:r>
      <w:r w:rsidR="68CCB3F2" w:rsidRPr="00E13C4C">
        <w:t xml:space="preserve"> </w:t>
      </w:r>
      <w:r w:rsidR="5BB876BF" w:rsidRPr="00E13C4C">
        <w:t>management plans.</w:t>
      </w:r>
      <w:r w:rsidR="3E3A4083" w:rsidRPr="00E13C4C">
        <w:t xml:space="preserve"> However, </w:t>
      </w:r>
      <w:r w:rsidR="4AA180FE" w:rsidRPr="00E13C4C">
        <w:t xml:space="preserve">the response to </w:t>
      </w:r>
      <w:r w:rsidR="3E3A4083" w:rsidRPr="00E13C4C">
        <w:t>Q</w:t>
      </w:r>
      <w:r w:rsidR="424401C1" w:rsidRPr="00E13C4C">
        <w:t xml:space="preserve">uestion 3 provides </w:t>
      </w:r>
      <w:r w:rsidR="006354D9" w:rsidRPr="00E13C4C">
        <w:t xml:space="preserve">some </w:t>
      </w:r>
      <w:r w:rsidR="5BB876BF" w:rsidRPr="00E13C4C">
        <w:t>recommendations</w:t>
      </w:r>
      <w:r w:rsidR="424401C1" w:rsidRPr="00E13C4C">
        <w:t xml:space="preserve"> on the </w:t>
      </w:r>
      <w:r w:rsidR="5BB876BF" w:rsidRPr="00E13C4C">
        <w:t>proposed</w:t>
      </w:r>
      <w:r w:rsidR="424401C1" w:rsidRPr="00E13C4C">
        <w:t xml:space="preserve"> mitigation and monitoring measures </w:t>
      </w:r>
      <w:r w:rsidR="4AB7BE44" w:rsidRPr="00E13C4C">
        <w:t xml:space="preserve">that </w:t>
      </w:r>
      <w:r w:rsidR="424401C1" w:rsidRPr="00E13C4C">
        <w:t>the proponent has presented within the PER</w:t>
      </w:r>
      <w:r w:rsidR="68CCB3F2" w:rsidRPr="00E13C4C">
        <w:t xml:space="preserve"> (Umwelt 2020)</w:t>
      </w:r>
      <w:r w:rsidR="424401C1" w:rsidRPr="00E13C4C">
        <w:t>. These could be used</w:t>
      </w:r>
      <w:r w:rsidR="68CCB3F2" w:rsidRPr="00E13C4C">
        <w:t>,</w:t>
      </w:r>
      <w:r w:rsidR="424401C1" w:rsidRPr="00E13C4C">
        <w:t xml:space="preserve"> if </w:t>
      </w:r>
      <w:r w:rsidR="68CCB3F2" w:rsidRPr="00E13C4C">
        <w:t>required by the Regulator,</w:t>
      </w:r>
      <w:r w:rsidR="424401C1" w:rsidRPr="00E13C4C">
        <w:t xml:space="preserve"> to support the conditions</w:t>
      </w:r>
      <w:r w:rsidR="5BB876BF" w:rsidRPr="00E13C4C">
        <w:t xml:space="preserve"> to adequately protect Commonwealth matters</w:t>
      </w:r>
      <w:r w:rsidR="424401C1" w:rsidRPr="00E13C4C">
        <w:t>.</w:t>
      </w:r>
    </w:p>
    <w:tbl>
      <w:tblPr>
        <w:tblW w:w="9968" w:type="dxa"/>
        <w:tblBorders>
          <w:insideH w:val="single" w:sz="4" w:space="0" w:color="auto"/>
        </w:tblBorders>
        <w:tblCellMar>
          <w:top w:w="113" w:type="dxa"/>
          <w:bottom w:w="113" w:type="dxa"/>
        </w:tblCellMar>
        <w:tblLook w:val="01E0" w:firstRow="1" w:lastRow="1" w:firstColumn="1" w:lastColumn="1" w:noHBand="0" w:noVBand="0"/>
      </w:tblPr>
      <w:tblGrid>
        <w:gridCol w:w="1809"/>
        <w:gridCol w:w="8159"/>
      </w:tblGrid>
      <w:tr w:rsidR="007203C3" w:rsidRPr="00E13C4C" w14:paraId="1B1C625B" w14:textId="77777777" w:rsidTr="0465A4A0">
        <w:trPr>
          <w:trHeight w:val="19"/>
        </w:trPr>
        <w:tc>
          <w:tcPr>
            <w:tcW w:w="1809" w:type="dxa"/>
            <w:tcBorders>
              <w:top w:val="single" w:sz="4" w:space="0" w:color="auto"/>
              <w:bottom w:val="single" w:sz="4" w:space="0" w:color="auto"/>
            </w:tcBorders>
          </w:tcPr>
          <w:p w14:paraId="3578C6C4" w14:textId="77777777" w:rsidR="007203C3" w:rsidRPr="00E13C4C" w:rsidRDefault="007203C3" w:rsidP="00D622B9">
            <w:pPr>
              <w:pStyle w:val="Heading6"/>
            </w:pPr>
            <w:r w:rsidRPr="00E13C4C">
              <w:t>Date of advice</w:t>
            </w:r>
          </w:p>
        </w:tc>
        <w:tc>
          <w:tcPr>
            <w:tcW w:w="8159" w:type="dxa"/>
            <w:tcBorders>
              <w:top w:val="single" w:sz="4" w:space="0" w:color="auto"/>
              <w:bottom w:val="single" w:sz="4" w:space="0" w:color="auto"/>
            </w:tcBorders>
          </w:tcPr>
          <w:p w14:paraId="756E14AF" w14:textId="2117A12D" w:rsidR="007203C3" w:rsidRPr="00E13C4C" w:rsidRDefault="005C1F6A" w:rsidP="009E79B6">
            <w:pPr>
              <w:pStyle w:val="Tabletext"/>
            </w:pPr>
            <w:r w:rsidRPr="00E13C4C">
              <w:t>8 February</w:t>
            </w:r>
            <w:r w:rsidR="007203C3" w:rsidRPr="00E13C4C">
              <w:t xml:space="preserve"> </w:t>
            </w:r>
            <w:r w:rsidRPr="00E13C4C">
              <w:t>2021</w:t>
            </w:r>
          </w:p>
        </w:tc>
      </w:tr>
      <w:tr w:rsidR="007203C3" w:rsidRPr="00E13C4C" w14:paraId="6BC9B9D8" w14:textId="77777777" w:rsidTr="0465A4A0">
        <w:trPr>
          <w:trHeight w:val="161"/>
        </w:trPr>
        <w:tc>
          <w:tcPr>
            <w:tcW w:w="1809" w:type="dxa"/>
            <w:tcBorders>
              <w:top w:val="single" w:sz="4" w:space="0" w:color="auto"/>
              <w:bottom w:val="single" w:sz="4" w:space="0" w:color="auto"/>
            </w:tcBorders>
          </w:tcPr>
          <w:p w14:paraId="2AF5FC60" w14:textId="2803A7CA" w:rsidR="007203C3" w:rsidRPr="00E13C4C" w:rsidRDefault="007203C3" w:rsidP="00D84735">
            <w:pPr>
              <w:pStyle w:val="Heading6"/>
            </w:pPr>
            <w:r w:rsidRPr="00E13C4C">
              <w:t xml:space="preserve">Source documentation </w:t>
            </w:r>
            <w:r w:rsidR="00D84735" w:rsidRPr="00E13C4C">
              <w:t>provided</w:t>
            </w:r>
            <w:r w:rsidRPr="00E13C4C">
              <w:t xml:space="preserve"> to the </w:t>
            </w:r>
            <w:r w:rsidR="00A83DF5" w:rsidRPr="00E13C4C">
              <w:t>IESC</w:t>
            </w:r>
            <w:r w:rsidRPr="00E13C4C">
              <w:t xml:space="preserve"> </w:t>
            </w:r>
            <w:r w:rsidR="00D84735" w:rsidRPr="00E13C4C">
              <w:t>for</w:t>
            </w:r>
            <w:r w:rsidRPr="00E13C4C">
              <w:t xml:space="preserve"> the formulation of this advice</w:t>
            </w:r>
          </w:p>
        </w:tc>
        <w:tc>
          <w:tcPr>
            <w:tcW w:w="8159" w:type="dxa"/>
            <w:tcBorders>
              <w:top w:val="single" w:sz="4" w:space="0" w:color="auto"/>
              <w:bottom w:val="single" w:sz="4" w:space="0" w:color="auto"/>
            </w:tcBorders>
          </w:tcPr>
          <w:p w14:paraId="06EA7651" w14:textId="28071289" w:rsidR="007203C3" w:rsidRPr="00E13C4C" w:rsidRDefault="003D0B24" w:rsidP="0063762B">
            <w:pPr>
              <w:spacing w:after="174" w:line="240" w:lineRule="auto"/>
              <w:ind w:left="626" w:hanging="626"/>
              <w:rPr>
                <w:szCs w:val="22"/>
              </w:rPr>
            </w:pPr>
            <w:r w:rsidRPr="00E13C4C">
              <w:rPr>
                <w:noProof/>
                <w:lang w:eastAsia="en-AU"/>
              </w:rPr>
              <w:t xml:space="preserve">Umwelt (2020). </w:t>
            </w:r>
            <w:r w:rsidRPr="00E13C4C">
              <w:rPr>
                <w:i/>
                <w:iCs/>
                <w:noProof/>
                <w:lang w:eastAsia="en-AU"/>
              </w:rPr>
              <w:t>Draft Public Environment Report. Russell Vale Colliery Revised Underground Expansion Project (EPBC 2020/8702)</w:t>
            </w:r>
            <w:r w:rsidRPr="00E13C4C">
              <w:rPr>
                <w:noProof/>
                <w:lang w:eastAsia="en-AU"/>
              </w:rPr>
              <w:t>. Final, December 2020. Umwelt (Australia) Pty Ltd, Report no. 3687/R17.</w:t>
            </w:r>
          </w:p>
        </w:tc>
      </w:tr>
      <w:tr w:rsidR="007203C3" w:rsidRPr="00E13C4C" w14:paraId="4E83E97E" w14:textId="77777777" w:rsidTr="0465A4A0">
        <w:trPr>
          <w:trHeight w:val="19"/>
        </w:trPr>
        <w:tc>
          <w:tcPr>
            <w:tcW w:w="1809" w:type="dxa"/>
            <w:tcBorders>
              <w:top w:val="single" w:sz="4" w:space="0" w:color="auto"/>
              <w:bottom w:val="single" w:sz="4" w:space="0" w:color="auto"/>
            </w:tcBorders>
          </w:tcPr>
          <w:p w14:paraId="34EB8B0E" w14:textId="77777777" w:rsidR="007203C3" w:rsidRPr="00E13C4C" w:rsidRDefault="007203C3" w:rsidP="00D622B9">
            <w:pPr>
              <w:pStyle w:val="Heading6"/>
            </w:pPr>
            <w:r w:rsidRPr="00E13C4C">
              <w:t xml:space="preserve">References cited within the </w:t>
            </w:r>
            <w:r w:rsidR="00A83DF5" w:rsidRPr="00E13C4C">
              <w:t>IESC</w:t>
            </w:r>
            <w:r w:rsidRPr="00E13C4C">
              <w:t>’s advice</w:t>
            </w:r>
          </w:p>
        </w:tc>
        <w:tc>
          <w:tcPr>
            <w:tcW w:w="8159" w:type="dxa"/>
            <w:tcBorders>
              <w:top w:val="single" w:sz="4" w:space="0" w:color="auto"/>
              <w:bottom w:val="single" w:sz="4" w:space="0" w:color="auto"/>
            </w:tcBorders>
          </w:tcPr>
          <w:p w14:paraId="42BB506D" w14:textId="25D7B8D1" w:rsidR="003D0B24" w:rsidRPr="00E13C4C" w:rsidRDefault="2D99050B" w:rsidP="003D0B24">
            <w:pPr>
              <w:spacing w:after="174" w:line="240" w:lineRule="auto"/>
              <w:ind w:left="626" w:hanging="626"/>
              <w:rPr>
                <w:noProof/>
                <w:lang w:eastAsia="en-AU"/>
              </w:rPr>
            </w:pPr>
            <w:r w:rsidRPr="00E13C4C">
              <w:rPr>
                <w:noProof/>
                <w:lang w:eastAsia="en-AU"/>
              </w:rPr>
              <w:t xml:space="preserve">ANZG 2018. </w:t>
            </w:r>
            <w:r w:rsidRPr="00E13C4C">
              <w:rPr>
                <w:i/>
                <w:iCs/>
                <w:noProof/>
                <w:lang w:eastAsia="en-AU"/>
              </w:rPr>
              <w:t>Australian and New Zealand guidelines for fresh and marine water quality.</w:t>
            </w:r>
            <w:r w:rsidRPr="00E13C4C">
              <w:rPr>
                <w:noProof/>
                <w:lang w:eastAsia="en-AU"/>
              </w:rPr>
              <w:t xml:space="preserve"> Australian and New Zealand Governments and Australian state and territory governments, Canberra ACT. Available [online]: </w:t>
            </w:r>
            <w:r w:rsidR="3E30BE2F" w:rsidRPr="00E13C4C">
              <w:rPr>
                <w:noProof/>
                <w:lang w:eastAsia="en-AU"/>
              </w:rPr>
              <w:t xml:space="preserve"> accessed January 2021.</w:t>
            </w:r>
          </w:p>
          <w:p w14:paraId="1F0F04E3" w14:textId="601CF779" w:rsidR="003D0B24" w:rsidRPr="00E13C4C" w:rsidRDefault="13EF15E2" w:rsidP="003D0B24">
            <w:pPr>
              <w:spacing w:after="174" w:line="240" w:lineRule="auto"/>
              <w:ind w:left="626" w:hanging="626"/>
            </w:pPr>
            <w:r w:rsidRPr="00E13C4C">
              <w:t xml:space="preserve">IESC 2019. </w:t>
            </w:r>
            <w:r w:rsidRPr="00E13C4C">
              <w:rPr>
                <w:i/>
                <w:iCs/>
              </w:rPr>
              <w:t>Advice to decision maker on coal mining project. IESC 2019-108: Russell Vale Colliery Underground Expansion Project (MP 09_0013) – Expansion [Online]</w:t>
            </w:r>
            <w:r w:rsidRPr="00E13C4C">
              <w:t>. Published 3 December 2019. Available</w:t>
            </w:r>
            <w:r w:rsidR="5B89EAB5" w:rsidRPr="00E13C4C">
              <w:t xml:space="preserve"> [online]</w:t>
            </w:r>
            <w:r w:rsidRPr="00E13C4C">
              <w:t xml:space="preserve">: </w:t>
            </w:r>
            <w:r w:rsidRPr="00E13C4C">
              <w:rPr>
                <w:u w:val="single"/>
              </w:rPr>
              <w:t xml:space="preserve">http://www.iesc.environment.gov.au/projectadvice/russell-vale-expansion-projectadvice-2019-108 </w:t>
            </w:r>
            <w:r w:rsidRPr="00E13C4C">
              <w:t>accessed January 2021.</w:t>
            </w:r>
          </w:p>
          <w:p w14:paraId="1E3B38D5" w14:textId="51446E62" w:rsidR="003D0B24" w:rsidRPr="00E13C4C" w:rsidRDefault="003D0B24" w:rsidP="003D0B24">
            <w:pPr>
              <w:spacing w:after="174" w:line="240" w:lineRule="auto"/>
              <w:ind w:left="626" w:hanging="626"/>
              <w:rPr>
                <w:noProof/>
                <w:lang w:eastAsia="en-AU"/>
              </w:rPr>
            </w:pPr>
            <w:r w:rsidRPr="00E13C4C">
              <w:t xml:space="preserve">IESC 2020. </w:t>
            </w:r>
            <w:r w:rsidRPr="00E13C4C">
              <w:rPr>
                <w:i/>
                <w:iCs/>
              </w:rPr>
              <w:t>Advice to decision maker on coal mining project. IESC 2019-108: Russell Vale Colliery Underground Expansion Project (MP 09_0013) – Expansion [Online]</w:t>
            </w:r>
            <w:r w:rsidRPr="00E13C4C">
              <w:t>. Published 5 March 2020. Available</w:t>
            </w:r>
            <w:r w:rsidR="00603F45" w:rsidRPr="00E13C4C">
              <w:t xml:space="preserve"> [online]</w:t>
            </w:r>
            <w:r w:rsidRPr="00E13C4C">
              <w:t xml:space="preserve">: </w:t>
            </w:r>
            <w:r w:rsidRPr="00E13C4C">
              <w:rPr>
                <w:u w:val="single"/>
              </w:rPr>
              <w:t>https://www.iesc.environment.gov.au/projectadvice/russell-vale-project-advice-2020-112</w:t>
            </w:r>
            <w:r w:rsidRPr="00E13C4C">
              <w:t xml:space="preserve"> accessed January 2021.</w:t>
            </w:r>
          </w:p>
          <w:p w14:paraId="4B426E07" w14:textId="5C832EC0" w:rsidR="00F657D7" w:rsidRPr="00E13C4C" w:rsidRDefault="003D0B24" w:rsidP="00266D5A">
            <w:pPr>
              <w:spacing w:after="174" w:line="240" w:lineRule="auto"/>
              <w:ind w:left="626" w:hanging="626"/>
              <w:rPr>
                <w:noProof/>
                <w:lang w:eastAsia="en-AU"/>
              </w:rPr>
            </w:pPr>
            <w:r w:rsidRPr="00E13C4C">
              <w:rPr>
                <w:noProof/>
                <w:lang w:eastAsia="en-AU"/>
              </w:rPr>
              <w:t xml:space="preserve">NSW DPIE (2020). </w:t>
            </w:r>
            <w:r w:rsidRPr="00E13C4C">
              <w:rPr>
                <w:i/>
                <w:iCs/>
                <w:noProof/>
                <w:lang w:eastAsia="en-AU"/>
              </w:rPr>
              <w:t>Development Consent, Wollongong Coal Limited MP09_0013</w:t>
            </w:r>
            <w:r w:rsidRPr="00E13C4C">
              <w:rPr>
                <w:noProof/>
                <w:lang w:eastAsia="en-AU"/>
              </w:rPr>
              <w:t>. The Independent Planning Commission of NSW. Russell Vale Revised Preferred Underground Expansion Project. 8 December 2020</w:t>
            </w:r>
          </w:p>
        </w:tc>
      </w:tr>
    </w:tbl>
    <w:p w14:paraId="35A176A4" w14:textId="77777777" w:rsidR="004118D4" w:rsidRPr="00E13C4C" w:rsidRDefault="004118D4" w:rsidP="00D622B9"/>
    <w:p w14:paraId="0E5152B0" w14:textId="77777777" w:rsidR="007203C3" w:rsidRPr="00BF21A7" w:rsidRDefault="00C37525" w:rsidP="00D622B9">
      <w:r w:rsidRPr="00E13C4C">
        <w:fldChar w:fldCharType="begin"/>
      </w:r>
      <w:r w:rsidRPr="00E13C4C">
        <w:instrText xml:space="preserve"> ADDIN </w:instrText>
      </w:r>
      <w:r w:rsidRPr="00E13C4C">
        <w:fldChar w:fldCharType="end"/>
      </w:r>
    </w:p>
    <w:sectPr w:rsidR="007203C3" w:rsidRPr="00BF21A7" w:rsidSect="005C1F6A">
      <w:type w:val="continuous"/>
      <w:pgSz w:w="11906" w:h="16838"/>
      <w:pgMar w:top="1440" w:right="1274" w:bottom="1440" w:left="1276" w:header="425" w:footer="42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D8EAE8" w14:textId="77777777" w:rsidR="00EB5FA8" w:rsidRDefault="00EB5FA8" w:rsidP="00D622B9">
      <w:r>
        <w:separator/>
      </w:r>
    </w:p>
  </w:endnote>
  <w:endnote w:type="continuationSeparator" w:id="0">
    <w:p w14:paraId="68126E6A" w14:textId="77777777" w:rsidR="00EB5FA8" w:rsidRDefault="00EB5FA8" w:rsidP="00D622B9">
      <w:r>
        <w:continuationSeparator/>
      </w:r>
    </w:p>
  </w:endnote>
  <w:endnote w:type="continuationNotice" w:id="1">
    <w:p w14:paraId="1C8B2D39" w14:textId="77777777" w:rsidR="00EB5FA8" w:rsidRDefault="00EB5F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F8577E" w14:textId="77777777" w:rsidR="00F27517" w:rsidRPr="00637239" w:rsidRDefault="00F27517" w:rsidP="003B5A88">
    <w:pPr>
      <w:pStyle w:val="Footer"/>
      <w:pBdr>
        <w:top w:val="single" w:sz="12" w:space="0" w:color="auto"/>
      </w:pBdr>
    </w:pPr>
  </w:p>
  <w:p w14:paraId="1F413905" w14:textId="61D58BF3" w:rsidR="00F27517" w:rsidRPr="005C1F6A" w:rsidRDefault="00F27517" w:rsidP="003B5A88">
    <w:pPr>
      <w:pStyle w:val="Footer"/>
      <w:pBdr>
        <w:top w:val="single" w:sz="12" w:space="0" w:color="auto"/>
      </w:pBdr>
      <w:rPr>
        <w:sz w:val="20"/>
      </w:rPr>
    </w:pPr>
    <w:r w:rsidRPr="005C1F6A">
      <w:rPr>
        <w:sz w:val="20"/>
      </w:rPr>
      <w:t xml:space="preserve">Russell Vale Colliery Revised Underground Expansion Project </w:t>
    </w:r>
    <w:r w:rsidRPr="00637239">
      <w:rPr>
        <w:sz w:val="20"/>
      </w:rPr>
      <w:t>Advice</w:t>
    </w:r>
    <w:r w:rsidRPr="00637239">
      <w:rPr>
        <w:color w:val="FF0000"/>
        <w:sz w:val="20"/>
      </w:rPr>
      <w:ptab w:relativeTo="margin" w:alignment="right" w:leader="none"/>
    </w:r>
    <w:r w:rsidR="005C1F6A">
      <w:rPr>
        <w:color w:val="FF0000"/>
        <w:sz w:val="20"/>
      </w:rPr>
      <w:t xml:space="preserve"> </w:t>
    </w:r>
    <w:r w:rsidR="005C1F6A" w:rsidRPr="005C1F6A">
      <w:rPr>
        <w:sz w:val="20"/>
      </w:rPr>
      <w:t>8 February 2021</w:t>
    </w:r>
  </w:p>
  <w:p w14:paraId="243529CB" w14:textId="77777777" w:rsidR="00F27517" w:rsidRPr="00637239" w:rsidRDefault="00F27517" w:rsidP="003B5A88">
    <w:pPr>
      <w:pStyle w:val="Footer"/>
      <w:pBdr>
        <w:top w:val="single" w:sz="12" w:space="0" w:color="auto"/>
      </w:pBdr>
      <w:jc w:val="center"/>
      <w:rPr>
        <w:sz w:val="20"/>
      </w:rPr>
    </w:pPr>
    <w:r w:rsidRPr="00637239">
      <w:rPr>
        <w:sz w:val="20"/>
      </w:rPr>
      <w:fldChar w:fldCharType="begin"/>
    </w:r>
    <w:r w:rsidRPr="00637239">
      <w:rPr>
        <w:sz w:val="20"/>
      </w:rPr>
      <w:instrText xml:space="preserve"> PAGE   \* MERGEFORMAT </w:instrText>
    </w:r>
    <w:r w:rsidRPr="00637239">
      <w:rPr>
        <w:sz w:val="20"/>
      </w:rPr>
      <w:fldChar w:fldCharType="separate"/>
    </w:r>
    <w:r>
      <w:rPr>
        <w:noProof/>
        <w:sz w:val="20"/>
      </w:rPr>
      <w:t>3</w:t>
    </w:r>
    <w:r w:rsidRPr="00637239">
      <w:rP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D6A9EF" w14:textId="77777777" w:rsidR="00F27517" w:rsidRPr="007B11FD" w:rsidRDefault="00F27517" w:rsidP="000F240D">
    <w:pPr>
      <w:pStyle w:val="Footer"/>
      <w:pBdr>
        <w:top w:val="single" w:sz="12" w:space="0" w:color="auto"/>
      </w:pBdr>
      <w:ind w:left="-426"/>
    </w:pPr>
  </w:p>
  <w:p w14:paraId="5984B83F" w14:textId="5866D087" w:rsidR="00F27517" w:rsidRPr="005C1F6A" w:rsidRDefault="00F27517" w:rsidP="000F240D">
    <w:pPr>
      <w:pStyle w:val="Footer"/>
      <w:pBdr>
        <w:top w:val="single" w:sz="12" w:space="0" w:color="auto"/>
      </w:pBdr>
      <w:ind w:left="-426"/>
      <w:rPr>
        <w:sz w:val="20"/>
      </w:rPr>
    </w:pPr>
    <w:r w:rsidRPr="005C1F6A">
      <w:rPr>
        <w:sz w:val="20"/>
      </w:rPr>
      <w:t>Russell Vale Colliery Revised Underground Expansion Project Advice</w:t>
    </w:r>
    <w:r w:rsidRPr="005C1F6A">
      <w:rPr>
        <w:sz w:val="20"/>
      </w:rPr>
      <w:ptab w:relativeTo="margin" w:alignment="right" w:leader="none"/>
    </w:r>
    <w:r w:rsidR="005C1F6A" w:rsidRPr="005C1F6A">
      <w:rPr>
        <w:sz w:val="20"/>
      </w:rPr>
      <w:t>8</w:t>
    </w:r>
    <w:r w:rsidRPr="005C1F6A">
      <w:rPr>
        <w:sz w:val="20"/>
      </w:rPr>
      <w:t xml:space="preserve"> </w:t>
    </w:r>
    <w:r w:rsidR="005C1F6A" w:rsidRPr="005C1F6A">
      <w:rPr>
        <w:sz w:val="20"/>
      </w:rPr>
      <w:t>February</w:t>
    </w:r>
    <w:r w:rsidRPr="005C1F6A">
      <w:rPr>
        <w:sz w:val="20"/>
      </w:rPr>
      <w:t xml:space="preserve"> 20</w:t>
    </w:r>
    <w:r w:rsidR="005C1F6A" w:rsidRPr="005C1F6A">
      <w:rPr>
        <w:sz w:val="20"/>
      </w:rPr>
      <w:t>21</w:t>
    </w:r>
  </w:p>
  <w:p w14:paraId="1624C0DA" w14:textId="2F1D12A0" w:rsidR="00F27517" w:rsidRPr="00637239" w:rsidRDefault="00F27517" w:rsidP="000F240D">
    <w:pPr>
      <w:pStyle w:val="Footer"/>
      <w:pBdr>
        <w:top w:val="none" w:sz="0" w:space="0" w:color="auto"/>
      </w:pBdr>
      <w:tabs>
        <w:tab w:val="left" w:pos="2865"/>
      </w:tabs>
      <w:rPr>
        <w:sz w:val="20"/>
      </w:rPr>
    </w:pPr>
    <w:r>
      <w:rPr>
        <w:sz w:val="20"/>
      </w:rPr>
      <w:tab/>
    </w:r>
    <w:r>
      <w:rPr>
        <w:sz w:val="20"/>
      </w:rPr>
      <w:tab/>
    </w:r>
    <w:r w:rsidRPr="00637239">
      <w:rPr>
        <w:sz w:val="20"/>
      </w:rPr>
      <w:fldChar w:fldCharType="begin"/>
    </w:r>
    <w:r w:rsidRPr="00637239">
      <w:rPr>
        <w:sz w:val="20"/>
      </w:rPr>
      <w:instrText xml:space="preserve"> PAGE   \* MERGEFORMAT </w:instrText>
    </w:r>
    <w:r w:rsidRPr="00637239">
      <w:rPr>
        <w:sz w:val="20"/>
      </w:rPr>
      <w:fldChar w:fldCharType="separate"/>
    </w:r>
    <w:r>
      <w:rPr>
        <w:noProof/>
        <w:sz w:val="20"/>
      </w:rPr>
      <w:t>1</w:t>
    </w:r>
    <w:r w:rsidRPr="00637239">
      <w:rP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2C4091" w14:textId="77777777" w:rsidR="00EB5FA8" w:rsidRDefault="00EB5FA8" w:rsidP="00D622B9">
      <w:r>
        <w:separator/>
      </w:r>
    </w:p>
  </w:footnote>
  <w:footnote w:type="continuationSeparator" w:id="0">
    <w:p w14:paraId="4303F591" w14:textId="77777777" w:rsidR="00EB5FA8" w:rsidRDefault="00EB5FA8" w:rsidP="00D622B9">
      <w:r>
        <w:continuationSeparator/>
      </w:r>
    </w:p>
  </w:footnote>
  <w:footnote w:type="continuationNotice" w:id="1">
    <w:p w14:paraId="6DD8784B" w14:textId="77777777" w:rsidR="00EB5FA8" w:rsidRDefault="00EB5FA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248D8E" w14:textId="77777777" w:rsidR="00F27517" w:rsidRDefault="00F27517" w:rsidP="00D622B9">
    <w:pPr>
      <w:pStyle w:val="Classification"/>
    </w:pPr>
    <w:r>
      <w:rPr>
        <w:lang w:val="en-US"/>
      </w:rPr>
      <w:t>Error! Unknown document property name.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6BCDD6" w14:textId="46E438D2" w:rsidR="00F27517" w:rsidRPr="00EF5270" w:rsidRDefault="00F27517" w:rsidP="00D622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C3701" w14:textId="11E3EE33" w:rsidR="00F27517" w:rsidRDefault="00F27517" w:rsidP="00264083">
    <w:pPr>
      <w:pStyle w:val="Header"/>
      <w:spacing w:after="0" w:line="240" w:lineRule="auto"/>
    </w:pPr>
    <w:r w:rsidRPr="00076FD2">
      <w:rPr>
        <w:noProof/>
        <w:lang w:eastAsia="en-AU"/>
      </w:rPr>
      <w:drawing>
        <wp:anchor distT="0" distB="0" distL="114300" distR="114300" simplePos="0" relativeHeight="251657216" behindDoc="0" locked="0" layoutInCell="1" allowOverlap="1" wp14:anchorId="6BCC1CF6" wp14:editId="7D6C9370">
          <wp:simplePos x="0" y="0"/>
          <wp:positionH relativeFrom="column">
            <wp:posOffset>-904875</wp:posOffset>
          </wp:positionH>
          <wp:positionV relativeFrom="paragraph">
            <wp:posOffset>-269875</wp:posOffset>
          </wp:positionV>
          <wp:extent cx="7724775" cy="2295525"/>
          <wp:effectExtent l="0" t="0" r="9525" b="9525"/>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724775" cy="2295525"/>
                  </a:xfrm>
                  <a:prstGeom prst="rect">
                    <a:avLst/>
                  </a:prstGeom>
                </pic:spPr>
              </pic:pic>
            </a:graphicData>
          </a:graphic>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E"/>
    <w:multiLevelType w:val="singleLevel"/>
    <w:tmpl w:val="D1320D22"/>
    <w:lvl w:ilvl="0">
      <w:start w:val="1"/>
      <w:numFmt w:val="decimal"/>
      <w:lvlText w:val="%1."/>
      <w:lvlJc w:val="left"/>
      <w:pPr>
        <w:tabs>
          <w:tab w:val="num" w:pos="926"/>
        </w:tabs>
        <w:ind w:left="926" w:hanging="360"/>
      </w:pPr>
    </w:lvl>
  </w:abstractNum>
  <w:abstractNum w:abstractNumId="1" w15:restartNumberingAfterBreak="0">
    <w:nsid w:val="FFFFFF7F"/>
    <w:multiLevelType w:val="hybridMultilevel"/>
    <w:tmpl w:val="A5A2C73A"/>
    <w:lvl w:ilvl="0" w:tplc="C41CF56A">
      <w:start w:val="1"/>
      <w:numFmt w:val="decimal"/>
      <w:lvlText w:val="%1."/>
      <w:lvlJc w:val="left"/>
      <w:pPr>
        <w:tabs>
          <w:tab w:val="num" w:pos="643"/>
        </w:tabs>
        <w:ind w:left="643" w:hanging="360"/>
      </w:pPr>
    </w:lvl>
    <w:lvl w:ilvl="1" w:tplc="8A822710">
      <w:numFmt w:val="decimal"/>
      <w:lvlText w:val=""/>
      <w:lvlJc w:val="left"/>
    </w:lvl>
    <w:lvl w:ilvl="2" w:tplc="1CECF650">
      <w:numFmt w:val="decimal"/>
      <w:lvlText w:val=""/>
      <w:lvlJc w:val="left"/>
    </w:lvl>
    <w:lvl w:ilvl="3" w:tplc="19B69EB4">
      <w:numFmt w:val="decimal"/>
      <w:lvlText w:val=""/>
      <w:lvlJc w:val="left"/>
    </w:lvl>
    <w:lvl w:ilvl="4" w:tplc="E15AD678">
      <w:numFmt w:val="decimal"/>
      <w:lvlText w:val=""/>
      <w:lvlJc w:val="left"/>
    </w:lvl>
    <w:lvl w:ilvl="5" w:tplc="3D74145C">
      <w:numFmt w:val="decimal"/>
      <w:lvlText w:val=""/>
      <w:lvlJc w:val="left"/>
    </w:lvl>
    <w:lvl w:ilvl="6" w:tplc="764E0622">
      <w:numFmt w:val="decimal"/>
      <w:lvlText w:val=""/>
      <w:lvlJc w:val="left"/>
    </w:lvl>
    <w:lvl w:ilvl="7" w:tplc="7F8ED26E">
      <w:numFmt w:val="decimal"/>
      <w:lvlText w:val=""/>
      <w:lvlJc w:val="left"/>
    </w:lvl>
    <w:lvl w:ilvl="8" w:tplc="41024562">
      <w:numFmt w:val="decimal"/>
      <w:lvlText w:val=""/>
      <w:lvlJc w:val="left"/>
    </w:lvl>
  </w:abstractNum>
  <w:abstractNum w:abstractNumId="2" w15:restartNumberingAfterBreak="0">
    <w:nsid w:val="FFFFFF88"/>
    <w:multiLevelType w:val="hybridMultilevel"/>
    <w:tmpl w:val="66B0ED12"/>
    <w:lvl w:ilvl="0" w:tplc="38A0CCEA">
      <w:start w:val="1"/>
      <w:numFmt w:val="decimal"/>
      <w:lvlText w:val="%1."/>
      <w:lvlJc w:val="left"/>
      <w:pPr>
        <w:tabs>
          <w:tab w:val="num" w:pos="360"/>
        </w:tabs>
        <w:ind w:left="360" w:hanging="360"/>
      </w:pPr>
    </w:lvl>
    <w:lvl w:ilvl="1" w:tplc="A5C895AE">
      <w:numFmt w:val="decimal"/>
      <w:lvlText w:val=""/>
      <w:lvlJc w:val="left"/>
    </w:lvl>
    <w:lvl w:ilvl="2" w:tplc="A8EAA7CE">
      <w:numFmt w:val="decimal"/>
      <w:lvlText w:val=""/>
      <w:lvlJc w:val="left"/>
    </w:lvl>
    <w:lvl w:ilvl="3" w:tplc="307C733E">
      <w:numFmt w:val="decimal"/>
      <w:lvlText w:val=""/>
      <w:lvlJc w:val="left"/>
    </w:lvl>
    <w:lvl w:ilvl="4" w:tplc="7A70BFE6">
      <w:numFmt w:val="decimal"/>
      <w:lvlText w:val=""/>
      <w:lvlJc w:val="left"/>
    </w:lvl>
    <w:lvl w:ilvl="5" w:tplc="5C9676AE">
      <w:numFmt w:val="decimal"/>
      <w:lvlText w:val=""/>
      <w:lvlJc w:val="left"/>
    </w:lvl>
    <w:lvl w:ilvl="6" w:tplc="7E9828C4">
      <w:numFmt w:val="decimal"/>
      <w:lvlText w:val=""/>
      <w:lvlJc w:val="left"/>
    </w:lvl>
    <w:lvl w:ilvl="7" w:tplc="57B0875C">
      <w:numFmt w:val="decimal"/>
      <w:lvlText w:val=""/>
      <w:lvlJc w:val="left"/>
    </w:lvl>
    <w:lvl w:ilvl="8" w:tplc="6EDE93E8">
      <w:numFmt w:val="decimal"/>
      <w:lvlText w:val=""/>
      <w:lvlJc w:val="left"/>
    </w:lvl>
  </w:abstractNum>
  <w:abstractNum w:abstractNumId="3" w15:restartNumberingAfterBreak="0">
    <w:nsid w:val="00032DB9"/>
    <w:multiLevelType w:val="hybridMultilevel"/>
    <w:tmpl w:val="E5E89F92"/>
    <w:styleLink w:val="BulletList"/>
    <w:lvl w:ilvl="0" w:tplc="21787FD6">
      <w:start w:val="1"/>
      <w:numFmt w:val="bullet"/>
      <w:lvlText w:val=""/>
      <w:lvlJc w:val="left"/>
      <w:pPr>
        <w:ind w:left="369" w:hanging="369"/>
      </w:pPr>
      <w:rPr>
        <w:rFonts w:ascii="Symbol" w:hAnsi="Symbol" w:hint="default"/>
      </w:rPr>
    </w:lvl>
    <w:lvl w:ilvl="1" w:tplc="97F64780">
      <w:start w:val="1"/>
      <w:numFmt w:val="none"/>
      <w:lvlText w:val="-"/>
      <w:lvlJc w:val="left"/>
      <w:pPr>
        <w:ind w:left="737" w:hanging="368"/>
      </w:pPr>
      <w:rPr>
        <w:rFonts w:hint="default"/>
      </w:rPr>
    </w:lvl>
    <w:lvl w:ilvl="2" w:tplc="4B60282C">
      <w:start w:val="1"/>
      <w:numFmt w:val="none"/>
      <w:lvlText w:val=":"/>
      <w:lvlJc w:val="left"/>
      <w:pPr>
        <w:ind w:left="1106" w:hanging="369"/>
      </w:pPr>
      <w:rPr>
        <w:rFonts w:hint="default"/>
      </w:rPr>
    </w:lvl>
    <w:lvl w:ilvl="3" w:tplc="A45E1A8C">
      <w:start w:val="1"/>
      <w:numFmt w:val="none"/>
      <w:lvlText w:val=""/>
      <w:lvlJc w:val="left"/>
      <w:pPr>
        <w:ind w:left="1474" w:hanging="368"/>
      </w:pPr>
      <w:rPr>
        <w:rFonts w:hint="default"/>
        <w:color w:val="auto"/>
      </w:rPr>
    </w:lvl>
    <w:lvl w:ilvl="4" w:tplc="D8EA0D84">
      <w:start w:val="1"/>
      <w:numFmt w:val="none"/>
      <w:lvlText w:val=""/>
      <w:lvlJc w:val="left"/>
      <w:pPr>
        <w:ind w:left="1800" w:hanging="360"/>
      </w:pPr>
      <w:rPr>
        <w:rFonts w:hint="default"/>
        <w:color w:val="auto"/>
      </w:rPr>
    </w:lvl>
    <w:lvl w:ilvl="5" w:tplc="F09E5E9E">
      <w:start w:val="1"/>
      <w:numFmt w:val="none"/>
      <w:lvlText w:val=""/>
      <w:lvlJc w:val="left"/>
      <w:pPr>
        <w:ind w:left="2160" w:hanging="360"/>
      </w:pPr>
      <w:rPr>
        <w:rFonts w:hint="default"/>
        <w:color w:val="auto"/>
      </w:rPr>
    </w:lvl>
    <w:lvl w:ilvl="6" w:tplc="593E3572">
      <w:start w:val="1"/>
      <w:numFmt w:val="none"/>
      <w:lvlText w:val=""/>
      <w:lvlJc w:val="left"/>
      <w:pPr>
        <w:ind w:left="2520" w:hanging="360"/>
      </w:pPr>
      <w:rPr>
        <w:rFonts w:hint="default"/>
        <w:color w:val="auto"/>
      </w:rPr>
    </w:lvl>
    <w:lvl w:ilvl="7" w:tplc="9DA0ADDC">
      <w:start w:val="1"/>
      <w:numFmt w:val="none"/>
      <w:lvlText w:val=""/>
      <w:lvlJc w:val="left"/>
      <w:pPr>
        <w:ind w:left="2880" w:hanging="360"/>
      </w:pPr>
      <w:rPr>
        <w:rFonts w:hint="default"/>
        <w:color w:val="auto"/>
      </w:rPr>
    </w:lvl>
    <w:lvl w:ilvl="8" w:tplc="451CD5DE">
      <w:start w:val="1"/>
      <w:numFmt w:val="none"/>
      <w:lvlText w:val=""/>
      <w:lvlJc w:val="left"/>
      <w:pPr>
        <w:ind w:left="3240" w:hanging="360"/>
      </w:pPr>
      <w:rPr>
        <w:rFonts w:hint="default"/>
        <w:color w:val="auto"/>
      </w:rPr>
    </w:lvl>
  </w:abstractNum>
  <w:abstractNum w:abstractNumId="4" w15:restartNumberingAfterBreak="0">
    <w:nsid w:val="1B8D240F"/>
    <w:multiLevelType w:val="hybridMultilevel"/>
    <w:tmpl w:val="29E0E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098052F"/>
    <w:multiLevelType w:val="hybridMultilevel"/>
    <w:tmpl w:val="473EA67C"/>
    <w:lvl w:ilvl="0" w:tplc="FF5CFF9C">
      <w:start w:val="1"/>
      <w:numFmt w:val="decimal"/>
      <w:pStyle w:val="ListParagraph"/>
      <w:lvlText w:val="%1."/>
      <w:lvlJc w:val="left"/>
      <w:pPr>
        <w:ind w:left="369" w:hanging="369"/>
      </w:pPr>
      <w:rPr>
        <w:rFonts w:hint="default"/>
      </w:rPr>
    </w:lvl>
    <w:lvl w:ilvl="1" w:tplc="90AA46C4">
      <w:start w:val="1"/>
      <w:numFmt w:val="none"/>
      <w:lvlText w:val="-"/>
      <w:lvlJc w:val="left"/>
      <w:pPr>
        <w:ind w:left="737" w:hanging="368"/>
      </w:pPr>
      <w:rPr>
        <w:rFonts w:hint="default"/>
      </w:rPr>
    </w:lvl>
    <w:lvl w:ilvl="2" w:tplc="298438F4">
      <w:start w:val="1"/>
      <w:numFmt w:val="none"/>
      <w:lvlText w:val=":"/>
      <w:lvlJc w:val="left"/>
      <w:pPr>
        <w:ind w:left="1106" w:hanging="369"/>
      </w:pPr>
      <w:rPr>
        <w:rFonts w:hint="default"/>
      </w:rPr>
    </w:lvl>
    <w:lvl w:ilvl="3" w:tplc="689222EC">
      <w:start w:val="1"/>
      <w:numFmt w:val="none"/>
      <w:lvlText w:val=""/>
      <w:lvlJc w:val="left"/>
      <w:pPr>
        <w:ind w:left="1474" w:hanging="368"/>
      </w:pPr>
      <w:rPr>
        <w:rFonts w:hint="default"/>
      </w:rPr>
    </w:lvl>
    <w:lvl w:ilvl="4" w:tplc="056A043C">
      <w:start w:val="1"/>
      <w:numFmt w:val="lowerLetter"/>
      <w:lvlText w:val="(%5)"/>
      <w:lvlJc w:val="left"/>
      <w:pPr>
        <w:ind w:left="1800" w:hanging="360"/>
      </w:pPr>
      <w:rPr>
        <w:rFonts w:hint="default"/>
      </w:rPr>
    </w:lvl>
    <w:lvl w:ilvl="5" w:tplc="D4C63F1E">
      <w:start w:val="1"/>
      <w:numFmt w:val="lowerRoman"/>
      <w:lvlText w:val="(%6)"/>
      <w:lvlJc w:val="left"/>
      <w:pPr>
        <w:ind w:left="2160" w:hanging="360"/>
      </w:pPr>
      <w:rPr>
        <w:rFonts w:hint="default"/>
      </w:rPr>
    </w:lvl>
    <w:lvl w:ilvl="6" w:tplc="E160C00E">
      <w:start w:val="1"/>
      <w:numFmt w:val="decimal"/>
      <w:lvlText w:val="%7."/>
      <w:lvlJc w:val="left"/>
      <w:pPr>
        <w:ind w:left="2520" w:hanging="360"/>
      </w:pPr>
      <w:rPr>
        <w:rFonts w:hint="default"/>
      </w:rPr>
    </w:lvl>
    <w:lvl w:ilvl="7" w:tplc="8FF4F55E">
      <w:start w:val="1"/>
      <w:numFmt w:val="lowerLetter"/>
      <w:lvlText w:val="%8."/>
      <w:lvlJc w:val="left"/>
      <w:pPr>
        <w:ind w:left="2880" w:hanging="360"/>
      </w:pPr>
      <w:rPr>
        <w:rFonts w:hint="default"/>
      </w:rPr>
    </w:lvl>
    <w:lvl w:ilvl="8" w:tplc="E048DD9A">
      <w:start w:val="1"/>
      <w:numFmt w:val="lowerRoman"/>
      <w:lvlText w:val="%9."/>
      <w:lvlJc w:val="left"/>
      <w:pPr>
        <w:ind w:left="3240" w:hanging="360"/>
      </w:pPr>
      <w:rPr>
        <w:rFonts w:hint="default"/>
      </w:rPr>
    </w:lvl>
  </w:abstractNum>
  <w:abstractNum w:abstractNumId="6" w15:restartNumberingAfterBreak="0">
    <w:nsid w:val="361C7DAA"/>
    <w:multiLevelType w:val="hybridMultilevel"/>
    <w:tmpl w:val="CAA83148"/>
    <w:styleLink w:val="Attach"/>
    <w:lvl w:ilvl="0" w:tplc="1E061E82">
      <w:start w:val="1"/>
      <w:numFmt w:val="upperLetter"/>
      <w:lvlText w:val="Attachment %1"/>
      <w:lvlJc w:val="left"/>
      <w:pPr>
        <w:ind w:left="360" w:hanging="360"/>
      </w:pPr>
      <w:rPr>
        <w:rFonts w:hint="default"/>
      </w:rPr>
    </w:lvl>
    <w:lvl w:ilvl="1" w:tplc="BD7CE5F0">
      <w:start w:val="1"/>
      <w:numFmt w:val="lowerLetter"/>
      <w:lvlText w:val="%2)"/>
      <w:lvlJc w:val="left"/>
      <w:pPr>
        <w:ind w:left="720" w:hanging="360"/>
      </w:pPr>
      <w:rPr>
        <w:rFonts w:hint="default"/>
      </w:rPr>
    </w:lvl>
    <w:lvl w:ilvl="2" w:tplc="DE2A7CDA">
      <w:start w:val="1"/>
      <w:numFmt w:val="lowerRoman"/>
      <w:lvlText w:val="%3)"/>
      <w:lvlJc w:val="left"/>
      <w:pPr>
        <w:ind w:left="1080" w:hanging="360"/>
      </w:pPr>
      <w:rPr>
        <w:rFonts w:hint="default"/>
      </w:rPr>
    </w:lvl>
    <w:lvl w:ilvl="3" w:tplc="24D44C46">
      <w:start w:val="1"/>
      <w:numFmt w:val="decimal"/>
      <w:lvlText w:val="(%4)"/>
      <w:lvlJc w:val="left"/>
      <w:pPr>
        <w:ind w:left="1440" w:hanging="360"/>
      </w:pPr>
      <w:rPr>
        <w:rFonts w:hint="default"/>
      </w:rPr>
    </w:lvl>
    <w:lvl w:ilvl="4" w:tplc="6B54F9F4">
      <w:start w:val="1"/>
      <w:numFmt w:val="lowerLetter"/>
      <w:lvlText w:val="(%5)"/>
      <w:lvlJc w:val="left"/>
      <w:pPr>
        <w:ind w:left="1800" w:hanging="360"/>
      </w:pPr>
      <w:rPr>
        <w:rFonts w:hint="default"/>
      </w:rPr>
    </w:lvl>
    <w:lvl w:ilvl="5" w:tplc="892AA1BC">
      <w:start w:val="1"/>
      <w:numFmt w:val="lowerRoman"/>
      <w:lvlText w:val="(%6)"/>
      <w:lvlJc w:val="left"/>
      <w:pPr>
        <w:ind w:left="2160" w:hanging="360"/>
      </w:pPr>
      <w:rPr>
        <w:rFonts w:hint="default"/>
      </w:rPr>
    </w:lvl>
    <w:lvl w:ilvl="6" w:tplc="27D2EBFC">
      <w:start w:val="1"/>
      <w:numFmt w:val="decimal"/>
      <w:lvlText w:val="%7."/>
      <w:lvlJc w:val="left"/>
      <w:pPr>
        <w:ind w:left="2520" w:hanging="360"/>
      </w:pPr>
      <w:rPr>
        <w:rFonts w:hint="default"/>
      </w:rPr>
    </w:lvl>
    <w:lvl w:ilvl="7" w:tplc="BFAA937A">
      <w:start w:val="1"/>
      <w:numFmt w:val="lowerLetter"/>
      <w:lvlText w:val="%8."/>
      <w:lvlJc w:val="left"/>
      <w:pPr>
        <w:ind w:left="2880" w:hanging="360"/>
      </w:pPr>
      <w:rPr>
        <w:rFonts w:hint="default"/>
      </w:rPr>
    </w:lvl>
    <w:lvl w:ilvl="8" w:tplc="150248C4">
      <w:start w:val="1"/>
      <w:numFmt w:val="lowerRoman"/>
      <w:lvlText w:val="%9."/>
      <w:lvlJc w:val="left"/>
      <w:pPr>
        <w:ind w:left="3240" w:hanging="360"/>
      </w:pPr>
      <w:rPr>
        <w:rFonts w:hint="default"/>
      </w:rPr>
    </w:lvl>
  </w:abstractNum>
  <w:abstractNum w:abstractNumId="7" w15:restartNumberingAfterBreak="0">
    <w:nsid w:val="4A7F38C8"/>
    <w:multiLevelType w:val="hybridMultilevel"/>
    <w:tmpl w:val="56A2DC7E"/>
    <w:lvl w:ilvl="0" w:tplc="6088D3FC">
      <w:start w:val="1"/>
      <w:numFmt w:val="bullet"/>
      <w:pStyle w:val="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5456429"/>
    <w:multiLevelType w:val="hybridMultilevel"/>
    <w:tmpl w:val="5C06C686"/>
    <w:lvl w:ilvl="0" w:tplc="E17618FC">
      <w:start w:val="1"/>
      <w:numFmt w:val="decimal"/>
      <w:pStyle w:val="ListNumber"/>
      <w:lvlText w:val="%1."/>
      <w:lvlJc w:val="left"/>
      <w:pPr>
        <w:ind w:left="369" w:hanging="369"/>
      </w:pPr>
      <w:rPr>
        <w:rFonts w:ascii="Arial" w:hAnsi="Arial" w:hint="default"/>
        <w:i w:val="0"/>
        <w:iCs w:val="0"/>
        <w:sz w:val="20"/>
        <w:szCs w:val="20"/>
      </w:rPr>
    </w:lvl>
    <w:lvl w:ilvl="1" w:tplc="BCEAD9D0">
      <w:start w:val="1"/>
      <w:numFmt w:val="lowerLetter"/>
      <w:pStyle w:val="ListNumber2"/>
      <w:lvlText w:val="%2."/>
      <w:lvlJc w:val="left"/>
      <w:pPr>
        <w:ind w:left="936" w:hanging="369"/>
      </w:pPr>
      <w:rPr>
        <w:rFonts w:ascii="Arial" w:hAnsi="Arial" w:cs="Arial" w:hint="default"/>
        <w:sz w:val="20"/>
        <w:szCs w:val="20"/>
      </w:rPr>
    </w:lvl>
    <w:lvl w:ilvl="2" w:tplc="B43E639A">
      <w:start w:val="1"/>
      <w:numFmt w:val="lowerRoman"/>
      <w:pStyle w:val="ListNumber3"/>
      <w:lvlText w:val="%3."/>
      <w:lvlJc w:val="left"/>
      <w:pPr>
        <w:ind w:left="1107" w:hanging="369"/>
      </w:pPr>
      <w:rPr>
        <w:rFonts w:ascii="Arial" w:hAnsi="Arial" w:cs="Arial" w:hint="default"/>
        <w:sz w:val="20"/>
        <w:szCs w:val="20"/>
      </w:rPr>
    </w:lvl>
    <w:lvl w:ilvl="3" w:tplc="A9386C30">
      <w:start w:val="1"/>
      <w:numFmt w:val="none"/>
      <w:pStyle w:val="ListNumber4"/>
      <w:lvlText w:val="%4"/>
      <w:lvlJc w:val="left"/>
      <w:pPr>
        <w:ind w:left="1476" w:hanging="369"/>
      </w:pPr>
      <w:rPr>
        <w:rFonts w:hint="default"/>
      </w:rPr>
    </w:lvl>
    <w:lvl w:ilvl="4" w:tplc="F976AA9A">
      <w:start w:val="1"/>
      <w:numFmt w:val="none"/>
      <w:pStyle w:val="ListNumber5"/>
      <w:lvlText w:val=""/>
      <w:lvlJc w:val="left"/>
      <w:pPr>
        <w:ind w:left="1845" w:hanging="369"/>
      </w:pPr>
      <w:rPr>
        <w:rFonts w:hint="default"/>
      </w:rPr>
    </w:lvl>
    <w:lvl w:ilvl="5" w:tplc="798C9186">
      <w:start w:val="1"/>
      <w:numFmt w:val="none"/>
      <w:lvlText w:val=""/>
      <w:lvlJc w:val="left"/>
      <w:pPr>
        <w:ind w:left="2214" w:hanging="369"/>
      </w:pPr>
      <w:rPr>
        <w:rFonts w:hint="default"/>
      </w:rPr>
    </w:lvl>
    <w:lvl w:ilvl="6" w:tplc="62A01D24">
      <w:start w:val="1"/>
      <w:numFmt w:val="none"/>
      <w:lvlText w:val=""/>
      <w:lvlJc w:val="left"/>
      <w:pPr>
        <w:ind w:left="2583" w:hanging="369"/>
      </w:pPr>
      <w:rPr>
        <w:rFonts w:hint="default"/>
      </w:rPr>
    </w:lvl>
    <w:lvl w:ilvl="7" w:tplc="4D46EBD2">
      <w:start w:val="1"/>
      <w:numFmt w:val="none"/>
      <w:lvlText w:val=""/>
      <w:lvlJc w:val="left"/>
      <w:pPr>
        <w:ind w:left="2952" w:hanging="369"/>
      </w:pPr>
      <w:rPr>
        <w:rFonts w:hint="default"/>
      </w:rPr>
    </w:lvl>
    <w:lvl w:ilvl="8" w:tplc="901632BC">
      <w:start w:val="1"/>
      <w:numFmt w:val="none"/>
      <w:lvlText w:val=""/>
      <w:lvlJc w:val="left"/>
      <w:pPr>
        <w:ind w:left="3321" w:hanging="369"/>
      </w:pPr>
      <w:rPr>
        <w:rFonts w:hint="default"/>
      </w:rPr>
    </w:lvl>
  </w:abstractNum>
  <w:abstractNum w:abstractNumId="9" w15:restartNumberingAfterBreak="0">
    <w:nsid w:val="762964D5"/>
    <w:multiLevelType w:val="hybridMultilevel"/>
    <w:tmpl w:val="E898CC72"/>
    <w:styleLink w:val="KeyPoints"/>
    <w:lvl w:ilvl="0" w:tplc="DD8024DE">
      <w:start w:val="1"/>
      <w:numFmt w:val="decimal"/>
      <w:lvlText w:val="%1."/>
      <w:lvlJc w:val="left"/>
      <w:pPr>
        <w:ind w:left="369" w:hanging="369"/>
      </w:pPr>
      <w:rPr>
        <w:rFonts w:ascii="Arial" w:hAnsi="Arial" w:hint="default"/>
        <w:sz w:val="22"/>
      </w:rPr>
    </w:lvl>
    <w:lvl w:ilvl="1" w:tplc="C1601A0C">
      <w:start w:val="1"/>
      <w:numFmt w:val="lowerLetter"/>
      <w:lvlText w:val="%2."/>
      <w:lvlJc w:val="left"/>
      <w:pPr>
        <w:ind w:left="738" w:hanging="369"/>
      </w:pPr>
      <w:rPr>
        <w:rFonts w:hint="default"/>
      </w:rPr>
    </w:lvl>
    <w:lvl w:ilvl="2" w:tplc="BA6C61F8">
      <w:start w:val="1"/>
      <w:numFmt w:val="lowerRoman"/>
      <w:lvlText w:val="%3."/>
      <w:lvlJc w:val="left"/>
      <w:pPr>
        <w:ind w:left="1107" w:hanging="369"/>
      </w:pPr>
      <w:rPr>
        <w:rFonts w:hint="default"/>
      </w:rPr>
    </w:lvl>
    <w:lvl w:ilvl="3" w:tplc="D10C72BE">
      <w:start w:val="1"/>
      <w:numFmt w:val="none"/>
      <w:lvlText w:val="%4"/>
      <w:lvlJc w:val="left"/>
      <w:pPr>
        <w:ind w:left="1476" w:hanging="369"/>
      </w:pPr>
      <w:rPr>
        <w:rFonts w:hint="default"/>
      </w:rPr>
    </w:lvl>
    <w:lvl w:ilvl="4" w:tplc="5106CAE0">
      <w:start w:val="1"/>
      <w:numFmt w:val="none"/>
      <w:lvlText w:val=""/>
      <w:lvlJc w:val="left"/>
      <w:pPr>
        <w:ind w:left="1845" w:hanging="369"/>
      </w:pPr>
      <w:rPr>
        <w:rFonts w:hint="default"/>
      </w:rPr>
    </w:lvl>
    <w:lvl w:ilvl="5" w:tplc="6DD0208E">
      <w:start w:val="1"/>
      <w:numFmt w:val="none"/>
      <w:lvlText w:val=""/>
      <w:lvlJc w:val="left"/>
      <w:pPr>
        <w:ind w:left="2214" w:hanging="369"/>
      </w:pPr>
      <w:rPr>
        <w:rFonts w:hint="default"/>
      </w:rPr>
    </w:lvl>
    <w:lvl w:ilvl="6" w:tplc="42784540">
      <w:start w:val="1"/>
      <w:numFmt w:val="none"/>
      <w:lvlText w:val=""/>
      <w:lvlJc w:val="left"/>
      <w:pPr>
        <w:ind w:left="2583" w:hanging="369"/>
      </w:pPr>
      <w:rPr>
        <w:rFonts w:hint="default"/>
      </w:rPr>
    </w:lvl>
    <w:lvl w:ilvl="7" w:tplc="1BE0D974">
      <w:start w:val="1"/>
      <w:numFmt w:val="none"/>
      <w:lvlText w:val=""/>
      <w:lvlJc w:val="left"/>
      <w:pPr>
        <w:ind w:left="2952" w:hanging="369"/>
      </w:pPr>
      <w:rPr>
        <w:rFonts w:hint="default"/>
      </w:rPr>
    </w:lvl>
    <w:lvl w:ilvl="8" w:tplc="D81AFD1C">
      <w:start w:val="1"/>
      <w:numFmt w:val="none"/>
      <w:lvlText w:val=""/>
      <w:lvlJc w:val="left"/>
      <w:pPr>
        <w:ind w:left="3321" w:hanging="369"/>
      </w:pPr>
      <w:rPr>
        <w:rFonts w:hint="default"/>
      </w:rPr>
    </w:lvl>
  </w:abstractNum>
  <w:num w:numId="1">
    <w:abstractNumId w:val="9"/>
  </w:num>
  <w:num w:numId="2">
    <w:abstractNumId w:val="3"/>
  </w:num>
  <w:num w:numId="3">
    <w:abstractNumId w:val="6"/>
  </w:num>
  <w:num w:numId="4">
    <w:abstractNumId w:val="5"/>
  </w:num>
  <w:num w:numId="5">
    <w:abstractNumId w:val="8"/>
  </w:num>
  <w:num w:numId="6">
    <w:abstractNumId w:val="7"/>
  </w:num>
  <w:num w:numId="7">
    <w:abstractNumId w:val="4"/>
  </w:num>
  <w:num w:numId="8">
    <w:abstractNumId w:val="4"/>
  </w:num>
  <w:num w:numId="9">
    <w:abstractNumId w:val="8"/>
  </w:num>
  <w:num w:numId="10">
    <w:abstractNumId w:val="2"/>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0"/>
  </w:num>
  <w:num w:numId="14">
    <w:abstractNumId w:val="8"/>
  </w:num>
  <w:num w:numId="15">
    <w:abstractNumId w:val="8"/>
  </w:num>
  <w:num w:numId="16">
    <w:abstractNumId w:val="8"/>
  </w:num>
  <w:num w:numId="17">
    <w:abstractNumId w:val="8"/>
  </w:num>
  <w:num w:numId="18">
    <w:abstractNumId w:val="8"/>
  </w:num>
  <w:num w:numId="19">
    <w:abstractNumId w:val="8"/>
  </w:num>
  <w:num w:numId="20">
    <w:abstractNumId w:val="1"/>
  </w:num>
  <w:num w:numId="21">
    <w:abstractNumId w:val="8"/>
  </w:num>
  <w:num w:numId="22">
    <w:abstractNumId w:val="8"/>
  </w:num>
  <w:num w:numId="23">
    <w:abstractNumId w:val="8"/>
  </w:num>
  <w:num w:numId="24">
    <w:abstractNumId w:val="8"/>
  </w:num>
  <w:num w:numId="25">
    <w:abstractNumId w:val="8"/>
  </w:num>
  <w:num w:numId="26">
    <w:abstractNumId w:val="8"/>
  </w:num>
  <w:num w:numId="27">
    <w:abstractNumId w:val="8"/>
  </w:num>
  <w:num w:numId="28">
    <w:abstractNumId w:val="8"/>
  </w:num>
  <w:num w:numId="29">
    <w:abstractNumId w:val="8"/>
  </w:num>
  <w:num w:numId="30">
    <w:abstractNumId w:val="8"/>
  </w:num>
  <w:num w:numId="31">
    <w:abstractNumId w:val="8"/>
  </w:num>
  <w:num w:numId="32">
    <w:abstractNumId w:val="8"/>
  </w:num>
  <w:num w:numId="33">
    <w:abstractNumId w:val="8"/>
  </w:num>
  <w:num w:numId="34">
    <w:abstractNumId w:val="5"/>
  </w:num>
  <w:num w:numId="35">
    <w:abstractNumId w:val="5"/>
  </w:num>
  <w:num w:numId="36">
    <w:abstractNumId w:val="8"/>
  </w:num>
  <w:num w:numId="37">
    <w:abstractNumId w:val="8"/>
  </w:num>
  <w:num w:numId="38">
    <w:abstractNumId w:val="8"/>
  </w:num>
  <w:num w:numId="39">
    <w:abstractNumId w:val="8"/>
  </w:num>
  <w:num w:numId="4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00"/>
  <w:displayHorizontalDrawingGridEvery w:val="2"/>
  <w:displayVerticalDrawingGridEvery w:val="2"/>
  <w:characterSpacingControl w:val="doNotCompress"/>
  <w:savePreviewPicture/>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Harvard&lt;/Style&gt;&lt;LeftDelim&gt;{&lt;/LeftDelim&gt;&lt;RightDelim&gt;}&lt;/RightDelim&gt;&lt;FontName&gt;Arial&lt;/FontName&gt;&lt;FontSize&gt;10&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xz5vrd20mz9trjezvzzvf9fhsxvzatfrr59v&quot;&gt;Ecology EndNote Library New&lt;record-ids&gt;&lt;item&gt;1617&lt;/item&gt;&lt;/record-ids&gt;&lt;/item&gt;&lt;/Libraries&gt;"/>
  </w:docVars>
  <w:rsids>
    <w:rsidRoot w:val="0041275D"/>
    <w:rsid w:val="00001435"/>
    <w:rsid w:val="00001C9A"/>
    <w:rsid w:val="00004AEE"/>
    <w:rsid w:val="00005CAA"/>
    <w:rsid w:val="00010210"/>
    <w:rsid w:val="00012D66"/>
    <w:rsid w:val="00015ADA"/>
    <w:rsid w:val="00020C99"/>
    <w:rsid w:val="00022481"/>
    <w:rsid w:val="000233C2"/>
    <w:rsid w:val="00025C72"/>
    <w:rsid w:val="00026189"/>
    <w:rsid w:val="0002707B"/>
    <w:rsid w:val="00031B32"/>
    <w:rsid w:val="000322B6"/>
    <w:rsid w:val="000328A2"/>
    <w:rsid w:val="00033A78"/>
    <w:rsid w:val="000345B3"/>
    <w:rsid w:val="00034DF6"/>
    <w:rsid w:val="0004011B"/>
    <w:rsid w:val="0005148E"/>
    <w:rsid w:val="000525E4"/>
    <w:rsid w:val="000541EA"/>
    <w:rsid w:val="000547F0"/>
    <w:rsid w:val="00055DCB"/>
    <w:rsid w:val="000565E3"/>
    <w:rsid w:val="00060148"/>
    <w:rsid w:val="0006298F"/>
    <w:rsid w:val="000629D7"/>
    <w:rsid w:val="00062A46"/>
    <w:rsid w:val="000649DF"/>
    <w:rsid w:val="000744A4"/>
    <w:rsid w:val="000759E5"/>
    <w:rsid w:val="0007601C"/>
    <w:rsid w:val="0007680A"/>
    <w:rsid w:val="00084118"/>
    <w:rsid w:val="00084AC6"/>
    <w:rsid w:val="00085816"/>
    <w:rsid w:val="00091608"/>
    <w:rsid w:val="0009196E"/>
    <w:rsid w:val="00092F92"/>
    <w:rsid w:val="0009333C"/>
    <w:rsid w:val="00093E5E"/>
    <w:rsid w:val="00093F5B"/>
    <w:rsid w:val="00094729"/>
    <w:rsid w:val="0009568E"/>
    <w:rsid w:val="0009704F"/>
    <w:rsid w:val="000A0A7B"/>
    <w:rsid w:val="000A0F11"/>
    <w:rsid w:val="000A125A"/>
    <w:rsid w:val="000A1C5E"/>
    <w:rsid w:val="000A228F"/>
    <w:rsid w:val="000A4922"/>
    <w:rsid w:val="000A57CD"/>
    <w:rsid w:val="000B1127"/>
    <w:rsid w:val="000B2FF3"/>
    <w:rsid w:val="000B3290"/>
    <w:rsid w:val="000B3758"/>
    <w:rsid w:val="000B44BF"/>
    <w:rsid w:val="000B60BE"/>
    <w:rsid w:val="000B7681"/>
    <w:rsid w:val="000B7B42"/>
    <w:rsid w:val="000C02B7"/>
    <w:rsid w:val="000C124A"/>
    <w:rsid w:val="000C2814"/>
    <w:rsid w:val="000C451B"/>
    <w:rsid w:val="000C5342"/>
    <w:rsid w:val="000C706A"/>
    <w:rsid w:val="000D123A"/>
    <w:rsid w:val="000D259C"/>
    <w:rsid w:val="000D2887"/>
    <w:rsid w:val="000D40BC"/>
    <w:rsid w:val="000D419E"/>
    <w:rsid w:val="000D584B"/>
    <w:rsid w:val="000D6D63"/>
    <w:rsid w:val="000D706B"/>
    <w:rsid w:val="000D7810"/>
    <w:rsid w:val="000E0081"/>
    <w:rsid w:val="000E07CF"/>
    <w:rsid w:val="000E3B96"/>
    <w:rsid w:val="000E5469"/>
    <w:rsid w:val="000E6643"/>
    <w:rsid w:val="000F0D95"/>
    <w:rsid w:val="000F240D"/>
    <w:rsid w:val="00100BEF"/>
    <w:rsid w:val="00102709"/>
    <w:rsid w:val="00102E17"/>
    <w:rsid w:val="00103E1E"/>
    <w:rsid w:val="00104815"/>
    <w:rsid w:val="00110558"/>
    <w:rsid w:val="001113DA"/>
    <w:rsid w:val="00112873"/>
    <w:rsid w:val="00113354"/>
    <w:rsid w:val="0011387E"/>
    <w:rsid w:val="0011498E"/>
    <w:rsid w:val="001157B3"/>
    <w:rsid w:val="00116F28"/>
    <w:rsid w:val="00117A45"/>
    <w:rsid w:val="001209D7"/>
    <w:rsid w:val="001224AE"/>
    <w:rsid w:val="00123035"/>
    <w:rsid w:val="0012388C"/>
    <w:rsid w:val="0012431B"/>
    <w:rsid w:val="00124CDE"/>
    <w:rsid w:val="00126672"/>
    <w:rsid w:val="00127533"/>
    <w:rsid w:val="001337D4"/>
    <w:rsid w:val="00133AF8"/>
    <w:rsid w:val="001340EA"/>
    <w:rsid w:val="00135512"/>
    <w:rsid w:val="00136D01"/>
    <w:rsid w:val="001416E0"/>
    <w:rsid w:val="00141A14"/>
    <w:rsid w:val="00141E02"/>
    <w:rsid w:val="0014712A"/>
    <w:rsid w:val="001478D9"/>
    <w:rsid w:val="00147C12"/>
    <w:rsid w:val="00147EFC"/>
    <w:rsid w:val="001527A1"/>
    <w:rsid w:val="001530DC"/>
    <w:rsid w:val="001539AF"/>
    <w:rsid w:val="00154989"/>
    <w:rsid w:val="00155A9F"/>
    <w:rsid w:val="00155D06"/>
    <w:rsid w:val="0015684F"/>
    <w:rsid w:val="00156A92"/>
    <w:rsid w:val="00160262"/>
    <w:rsid w:val="001611F9"/>
    <w:rsid w:val="0016186F"/>
    <w:rsid w:val="0016218B"/>
    <w:rsid w:val="0016281C"/>
    <w:rsid w:val="00163CE5"/>
    <w:rsid w:val="0016433A"/>
    <w:rsid w:val="001649FD"/>
    <w:rsid w:val="001663AD"/>
    <w:rsid w:val="0016780A"/>
    <w:rsid w:val="001713FA"/>
    <w:rsid w:val="00173E76"/>
    <w:rsid w:val="00173EBF"/>
    <w:rsid w:val="00175A31"/>
    <w:rsid w:val="001765DA"/>
    <w:rsid w:val="00176CC2"/>
    <w:rsid w:val="00177247"/>
    <w:rsid w:val="0018134C"/>
    <w:rsid w:val="0018299A"/>
    <w:rsid w:val="001842A2"/>
    <w:rsid w:val="00185039"/>
    <w:rsid w:val="00185407"/>
    <w:rsid w:val="00185A32"/>
    <w:rsid w:val="00185B2B"/>
    <w:rsid w:val="00186465"/>
    <w:rsid w:val="00187FA8"/>
    <w:rsid w:val="00190344"/>
    <w:rsid w:val="001922D0"/>
    <w:rsid w:val="00192F5E"/>
    <w:rsid w:val="001960B1"/>
    <w:rsid w:val="0019660F"/>
    <w:rsid w:val="00197772"/>
    <w:rsid w:val="001A0461"/>
    <w:rsid w:val="001A1A45"/>
    <w:rsid w:val="001A51C8"/>
    <w:rsid w:val="001A6142"/>
    <w:rsid w:val="001A6DEA"/>
    <w:rsid w:val="001A6FAE"/>
    <w:rsid w:val="001A7C22"/>
    <w:rsid w:val="001B329B"/>
    <w:rsid w:val="001B472B"/>
    <w:rsid w:val="001B4CA8"/>
    <w:rsid w:val="001B551A"/>
    <w:rsid w:val="001C2A92"/>
    <w:rsid w:val="001C4F3D"/>
    <w:rsid w:val="001C7C23"/>
    <w:rsid w:val="001C7FB6"/>
    <w:rsid w:val="001D0CDC"/>
    <w:rsid w:val="001D1D82"/>
    <w:rsid w:val="001D7239"/>
    <w:rsid w:val="001E1182"/>
    <w:rsid w:val="001E17B9"/>
    <w:rsid w:val="001E2AAD"/>
    <w:rsid w:val="001E2E34"/>
    <w:rsid w:val="001E72B8"/>
    <w:rsid w:val="001F00E8"/>
    <w:rsid w:val="001F0A8A"/>
    <w:rsid w:val="001F0D19"/>
    <w:rsid w:val="001F0E8B"/>
    <w:rsid w:val="001F62BD"/>
    <w:rsid w:val="001F6E84"/>
    <w:rsid w:val="00200944"/>
    <w:rsid w:val="00202387"/>
    <w:rsid w:val="00202C90"/>
    <w:rsid w:val="00204C7D"/>
    <w:rsid w:val="0020507D"/>
    <w:rsid w:val="00213DE8"/>
    <w:rsid w:val="00214C1D"/>
    <w:rsid w:val="00216118"/>
    <w:rsid w:val="002209AB"/>
    <w:rsid w:val="00222DDE"/>
    <w:rsid w:val="00224423"/>
    <w:rsid w:val="00224928"/>
    <w:rsid w:val="002251E3"/>
    <w:rsid w:val="00225FE9"/>
    <w:rsid w:val="002262E6"/>
    <w:rsid w:val="00227A95"/>
    <w:rsid w:val="002316BD"/>
    <w:rsid w:val="002332BE"/>
    <w:rsid w:val="00233687"/>
    <w:rsid w:val="002336F3"/>
    <w:rsid w:val="00242B33"/>
    <w:rsid w:val="00243749"/>
    <w:rsid w:val="00246848"/>
    <w:rsid w:val="002473FC"/>
    <w:rsid w:val="00252E3C"/>
    <w:rsid w:val="00254007"/>
    <w:rsid w:val="00255822"/>
    <w:rsid w:val="00256C29"/>
    <w:rsid w:val="00261E89"/>
    <w:rsid w:val="00262198"/>
    <w:rsid w:val="00264083"/>
    <w:rsid w:val="00264AF9"/>
    <w:rsid w:val="00264E14"/>
    <w:rsid w:val="0026541F"/>
    <w:rsid w:val="00266158"/>
    <w:rsid w:val="00266D5A"/>
    <w:rsid w:val="0026793A"/>
    <w:rsid w:val="00270C5A"/>
    <w:rsid w:val="0027322E"/>
    <w:rsid w:val="00275A73"/>
    <w:rsid w:val="0027702C"/>
    <w:rsid w:val="00277426"/>
    <w:rsid w:val="00277A51"/>
    <w:rsid w:val="00282558"/>
    <w:rsid w:val="002843BB"/>
    <w:rsid w:val="00285F1B"/>
    <w:rsid w:val="002877B1"/>
    <w:rsid w:val="00287DC4"/>
    <w:rsid w:val="00291857"/>
    <w:rsid w:val="00292B81"/>
    <w:rsid w:val="0029322E"/>
    <w:rsid w:val="00294A0A"/>
    <w:rsid w:val="002963DA"/>
    <w:rsid w:val="00296477"/>
    <w:rsid w:val="002974BC"/>
    <w:rsid w:val="002A0A70"/>
    <w:rsid w:val="002A2A5C"/>
    <w:rsid w:val="002A393D"/>
    <w:rsid w:val="002A4191"/>
    <w:rsid w:val="002A41AD"/>
    <w:rsid w:val="002A4EFB"/>
    <w:rsid w:val="002A5EC3"/>
    <w:rsid w:val="002A6C8C"/>
    <w:rsid w:val="002B11C8"/>
    <w:rsid w:val="002B18AE"/>
    <w:rsid w:val="002B6472"/>
    <w:rsid w:val="002B67D3"/>
    <w:rsid w:val="002C05E0"/>
    <w:rsid w:val="002C1B29"/>
    <w:rsid w:val="002C1C93"/>
    <w:rsid w:val="002C3257"/>
    <w:rsid w:val="002C3738"/>
    <w:rsid w:val="002C5066"/>
    <w:rsid w:val="002C57FE"/>
    <w:rsid w:val="002C6216"/>
    <w:rsid w:val="002C6A21"/>
    <w:rsid w:val="002D496A"/>
    <w:rsid w:val="002D4AAC"/>
    <w:rsid w:val="002D5805"/>
    <w:rsid w:val="002D58A2"/>
    <w:rsid w:val="002D5C83"/>
    <w:rsid w:val="002D6C33"/>
    <w:rsid w:val="002E128C"/>
    <w:rsid w:val="002E1AB0"/>
    <w:rsid w:val="002E1B8F"/>
    <w:rsid w:val="002E43EF"/>
    <w:rsid w:val="002F045A"/>
    <w:rsid w:val="002F0528"/>
    <w:rsid w:val="002F2A3D"/>
    <w:rsid w:val="002F38B7"/>
    <w:rsid w:val="002F4BFF"/>
    <w:rsid w:val="002F5969"/>
    <w:rsid w:val="002F779E"/>
    <w:rsid w:val="0030039D"/>
    <w:rsid w:val="00300715"/>
    <w:rsid w:val="00300804"/>
    <w:rsid w:val="00301213"/>
    <w:rsid w:val="00301E75"/>
    <w:rsid w:val="0030326F"/>
    <w:rsid w:val="00303B75"/>
    <w:rsid w:val="0030457A"/>
    <w:rsid w:val="00310701"/>
    <w:rsid w:val="00311510"/>
    <w:rsid w:val="003138AC"/>
    <w:rsid w:val="003155B6"/>
    <w:rsid w:val="0031578D"/>
    <w:rsid w:val="00315980"/>
    <w:rsid w:val="0031627F"/>
    <w:rsid w:val="00316981"/>
    <w:rsid w:val="00316F7F"/>
    <w:rsid w:val="00320162"/>
    <w:rsid w:val="00320582"/>
    <w:rsid w:val="0032087E"/>
    <w:rsid w:val="003216AF"/>
    <w:rsid w:val="003218E8"/>
    <w:rsid w:val="00330DCE"/>
    <w:rsid w:val="00331E11"/>
    <w:rsid w:val="00332A05"/>
    <w:rsid w:val="00333091"/>
    <w:rsid w:val="00334761"/>
    <w:rsid w:val="00337915"/>
    <w:rsid w:val="00337EBC"/>
    <w:rsid w:val="0034033E"/>
    <w:rsid w:val="00341DCD"/>
    <w:rsid w:val="00343E78"/>
    <w:rsid w:val="0034504D"/>
    <w:rsid w:val="0034563E"/>
    <w:rsid w:val="003504CC"/>
    <w:rsid w:val="0035188F"/>
    <w:rsid w:val="003518D6"/>
    <w:rsid w:val="00353D50"/>
    <w:rsid w:val="0035460C"/>
    <w:rsid w:val="003552FB"/>
    <w:rsid w:val="003556BD"/>
    <w:rsid w:val="00355DFF"/>
    <w:rsid w:val="003633F7"/>
    <w:rsid w:val="00364E6D"/>
    <w:rsid w:val="00365147"/>
    <w:rsid w:val="0037016E"/>
    <w:rsid w:val="00370704"/>
    <w:rsid w:val="00370E55"/>
    <w:rsid w:val="003715E4"/>
    <w:rsid w:val="00372908"/>
    <w:rsid w:val="00373CEA"/>
    <w:rsid w:val="00376457"/>
    <w:rsid w:val="0037694D"/>
    <w:rsid w:val="00376F99"/>
    <w:rsid w:val="0038049A"/>
    <w:rsid w:val="00380A42"/>
    <w:rsid w:val="00381917"/>
    <w:rsid w:val="00383020"/>
    <w:rsid w:val="00383750"/>
    <w:rsid w:val="00387421"/>
    <w:rsid w:val="003901F8"/>
    <w:rsid w:val="0039256B"/>
    <w:rsid w:val="00396B7F"/>
    <w:rsid w:val="00396E8C"/>
    <w:rsid w:val="003975FD"/>
    <w:rsid w:val="00397FB4"/>
    <w:rsid w:val="003A0593"/>
    <w:rsid w:val="003A0C53"/>
    <w:rsid w:val="003A65F5"/>
    <w:rsid w:val="003A67DF"/>
    <w:rsid w:val="003B2385"/>
    <w:rsid w:val="003B3CAA"/>
    <w:rsid w:val="003B5A88"/>
    <w:rsid w:val="003B60CC"/>
    <w:rsid w:val="003C1B25"/>
    <w:rsid w:val="003C2443"/>
    <w:rsid w:val="003C31E0"/>
    <w:rsid w:val="003C3F64"/>
    <w:rsid w:val="003C5DA3"/>
    <w:rsid w:val="003D0B24"/>
    <w:rsid w:val="003D4BCD"/>
    <w:rsid w:val="003D5624"/>
    <w:rsid w:val="003E01D8"/>
    <w:rsid w:val="003E2100"/>
    <w:rsid w:val="003E2135"/>
    <w:rsid w:val="003E2BDB"/>
    <w:rsid w:val="003E45FA"/>
    <w:rsid w:val="003E53CA"/>
    <w:rsid w:val="003E5ED5"/>
    <w:rsid w:val="003E7D56"/>
    <w:rsid w:val="003F0CB7"/>
    <w:rsid w:val="003F5773"/>
    <w:rsid w:val="003F68F5"/>
    <w:rsid w:val="003F6F5B"/>
    <w:rsid w:val="0040035A"/>
    <w:rsid w:val="00400F8F"/>
    <w:rsid w:val="004017BC"/>
    <w:rsid w:val="0040342D"/>
    <w:rsid w:val="00403FB9"/>
    <w:rsid w:val="00405E1C"/>
    <w:rsid w:val="0041097D"/>
    <w:rsid w:val="004118D4"/>
    <w:rsid w:val="0041192D"/>
    <w:rsid w:val="0041275D"/>
    <w:rsid w:val="0041386F"/>
    <w:rsid w:val="00413EE1"/>
    <w:rsid w:val="004169D9"/>
    <w:rsid w:val="00420B0A"/>
    <w:rsid w:val="0042128E"/>
    <w:rsid w:val="00423394"/>
    <w:rsid w:val="0042401F"/>
    <w:rsid w:val="0042465A"/>
    <w:rsid w:val="00426849"/>
    <w:rsid w:val="004268FC"/>
    <w:rsid w:val="004311C0"/>
    <w:rsid w:val="00432B60"/>
    <w:rsid w:val="004333E6"/>
    <w:rsid w:val="00440698"/>
    <w:rsid w:val="00442BCB"/>
    <w:rsid w:val="00443F86"/>
    <w:rsid w:val="00447B8D"/>
    <w:rsid w:val="00450600"/>
    <w:rsid w:val="004524AF"/>
    <w:rsid w:val="004540E2"/>
    <w:rsid w:val="00454454"/>
    <w:rsid w:val="00456F9B"/>
    <w:rsid w:val="00458E45"/>
    <w:rsid w:val="00460AC0"/>
    <w:rsid w:val="00460B3B"/>
    <w:rsid w:val="0046344D"/>
    <w:rsid w:val="00467805"/>
    <w:rsid w:val="00467924"/>
    <w:rsid w:val="0046A84A"/>
    <w:rsid w:val="004712A5"/>
    <w:rsid w:val="0047266F"/>
    <w:rsid w:val="004726D7"/>
    <w:rsid w:val="004734A2"/>
    <w:rsid w:val="004734E8"/>
    <w:rsid w:val="00473802"/>
    <w:rsid w:val="004756EB"/>
    <w:rsid w:val="00475BE2"/>
    <w:rsid w:val="00475F2D"/>
    <w:rsid w:val="004764EE"/>
    <w:rsid w:val="00476D6B"/>
    <w:rsid w:val="00477414"/>
    <w:rsid w:val="0048018F"/>
    <w:rsid w:val="00480586"/>
    <w:rsid w:val="00485ED9"/>
    <w:rsid w:val="004861E6"/>
    <w:rsid w:val="0049013A"/>
    <w:rsid w:val="00490DB6"/>
    <w:rsid w:val="004921C3"/>
    <w:rsid w:val="00492C16"/>
    <w:rsid w:val="004963DA"/>
    <w:rsid w:val="004A0678"/>
    <w:rsid w:val="004A48A3"/>
    <w:rsid w:val="004A4D40"/>
    <w:rsid w:val="004B00C1"/>
    <w:rsid w:val="004B0B19"/>
    <w:rsid w:val="004B0D92"/>
    <w:rsid w:val="004B0EC0"/>
    <w:rsid w:val="004B2645"/>
    <w:rsid w:val="004B32B2"/>
    <w:rsid w:val="004B5A51"/>
    <w:rsid w:val="004B66F1"/>
    <w:rsid w:val="004B7349"/>
    <w:rsid w:val="004B7B09"/>
    <w:rsid w:val="004C38F5"/>
    <w:rsid w:val="004C3B7B"/>
    <w:rsid w:val="004C3EA0"/>
    <w:rsid w:val="004C5966"/>
    <w:rsid w:val="004C6C01"/>
    <w:rsid w:val="004D1528"/>
    <w:rsid w:val="004D327F"/>
    <w:rsid w:val="004D34FC"/>
    <w:rsid w:val="004D46F2"/>
    <w:rsid w:val="004D74CD"/>
    <w:rsid w:val="004D77CC"/>
    <w:rsid w:val="004D79FE"/>
    <w:rsid w:val="004E26D2"/>
    <w:rsid w:val="004E54C0"/>
    <w:rsid w:val="004E7182"/>
    <w:rsid w:val="004F32CC"/>
    <w:rsid w:val="004F3644"/>
    <w:rsid w:val="004F3D69"/>
    <w:rsid w:val="004F5666"/>
    <w:rsid w:val="004F6228"/>
    <w:rsid w:val="004F7169"/>
    <w:rsid w:val="004F7ECC"/>
    <w:rsid w:val="00500885"/>
    <w:rsid w:val="00500D66"/>
    <w:rsid w:val="00501F2E"/>
    <w:rsid w:val="005036A6"/>
    <w:rsid w:val="00503881"/>
    <w:rsid w:val="00511B3B"/>
    <w:rsid w:val="00511E3E"/>
    <w:rsid w:val="005120D7"/>
    <w:rsid w:val="0051291F"/>
    <w:rsid w:val="00514C8E"/>
    <w:rsid w:val="00517F35"/>
    <w:rsid w:val="005203ED"/>
    <w:rsid w:val="00520F3B"/>
    <w:rsid w:val="00521C29"/>
    <w:rsid w:val="00522C08"/>
    <w:rsid w:val="00523328"/>
    <w:rsid w:val="00523A57"/>
    <w:rsid w:val="00523ED3"/>
    <w:rsid w:val="00524450"/>
    <w:rsid w:val="00525550"/>
    <w:rsid w:val="00526682"/>
    <w:rsid w:val="00530A9F"/>
    <w:rsid w:val="00531D48"/>
    <w:rsid w:val="00531DBF"/>
    <w:rsid w:val="005326D0"/>
    <w:rsid w:val="00532DBC"/>
    <w:rsid w:val="005337FC"/>
    <w:rsid w:val="00544AD9"/>
    <w:rsid w:val="00545759"/>
    <w:rsid w:val="00545BE0"/>
    <w:rsid w:val="00552376"/>
    <w:rsid w:val="00553039"/>
    <w:rsid w:val="00554C6A"/>
    <w:rsid w:val="00555D6E"/>
    <w:rsid w:val="00562E85"/>
    <w:rsid w:val="0056332F"/>
    <w:rsid w:val="00563516"/>
    <w:rsid w:val="005704CD"/>
    <w:rsid w:val="0057089D"/>
    <w:rsid w:val="005712AB"/>
    <w:rsid w:val="00580E7A"/>
    <w:rsid w:val="00581C39"/>
    <w:rsid w:val="005834A4"/>
    <w:rsid w:val="005835F2"/>
    <w:rsid w:val="00584AFF"/>
    <w:rsid w:val="00584D59"/>
    <w:rsid w:val="00584F6B"/>
    <w:rsid w:val="005903B6"/>
    <w:rsid w:val="00592B20"/>
    <w:rsid w:val="00592F31"/>
    <w:rsid w:val="00593F75"/>
    <w:rsid w:val="005977E5"/>
    <w:rsid w:val="005A0247"/>
    <w:rsid w:val="005A126E"/>
    <w:rsid w:val="005A452F"/>
    <w:rsid w:val="005A5C93"/>
    <w:rsid w:val="005A6768"/>
    <w:rsid w:val="005A68E5"/>
    <w:rsid w:val="005A703F"/>
    <w:rsid w:val="005A7D2D"/>
    <w:rsid w:val="005A7E3A"/>
    <w:rsid w:val="005B0855"/>
    <w:rsid w:val="005B140D"/>
    <w:rsid w:val="005C1DDC"/>
    <w:rsid w:val="005C1F6A"/>
    <w:rsid w:val="005C1FEA"/>
    <w:rsid w:val="005C2D75"/>
    <w:rsid w:val="005C3495"/>
    <w:rsid w:val="005C3785"/>
    <w:rsid w:val="005C3BCC"/>
    <w:rsid w:val="005C6EF7"/>
    <w:rsid w:val="005D183B"/>
    <w:rsid w:val="005D274D"/>
    <w:rsid w:val="005D411F"/>
    <w:rsid w:val="005D49C2"/>
    <w:rsid w:val="005D5E43"/>
    <w:rsid w:val="005E13EA"/>
    <w:rsid w:val="005E15E0"/>
    <w:rsid w:val="005E3889"/>
    <w:rsid w:val="005E3DFC"/>
    <w:rsid w:val="005E60AF"/>
    <w:rsid w:val="005E6162"/>
    <w:rsid w:val="005E7B4E"/>
    <w:rsid w:val="005F1DEA"/>
    <w:rsid w:val="005F2028"/>
    <w:rsid w:val="005F4932"/>
    <w:rsid w:val="005F675B"/>
    <w:rsid w:val="005F7E0B"/>
    <w:rsid w:val="00600651"/>
    <w:rsid w:val="006015AA"/>
    <w:rsid w:val="00602FCB"/>
    <w:rsid w:val="00603BDF"/>
    <w:rsid w:val="00603F45"/>
    <w:rsid w:val="0060797D"/>
    <w:rsid w:val="00607BFD"/>
    <w:rsid w:val="00607FC9"/>
    <w:rsid w:val="00610955"/>
    <w:rsid w:val="00612DB0"/>
    <w:rsid w:val="00613A5D"/>
    <w:rsid w:val="0061490C"/>
    <w:rsid w:val="00615D76"/>
    <w:rsid w:val="00615E32"/>
    <w:rsid w:val="00616861"/>
    <w:rsid w:val="00622B29"/>
    <w:rsid w:val="00622CB5"/>
    <w:rsid w:val="00622FE1"/>
    <w:rsid w:val="0062495A"/>
    <w:rsid w:val="0062521C"/>
    <w:rsid w:val="00630A2B"/>
    <w:rsid w:val="00630BA2"/>
    <w:rsid w:val="00630E0D"/>
    <w:rsid w:val="00631EC6"/>
    <w:rsid w:val="0063283F"/>
    <w:rsid w:val="00632D9B"/>
    <w:rsid w:val="00632DC7"/>
    <w:rsid w:val="00633896"/>
    <w:rsid w:val="006354D9"/>
    <w:rsid w:val="006357FB"/>
    <w:rsid w:val="00637239"/>
    <w:rsid w:val="0063762B"/>
    <w:rsid w:val="00637742"/>
    <w:rsid w:val="006406FC"/>
    <w:rsid w:val="00642B85"/>
    <w:rsid w:val="0064407B"/>
    <w:rsid w:val="00646122"/>
    <w:rsid w:val="0065169C"/>
    <w:rsid w:val="00653E16"/>
    <w:rsid w:val="00654826"/>
    <w:rsid w:val="00656CC9"/>
    <w:rsid w:val="00657220"/>
    <w:rsid w:val="00660A14"/>
    <w:rsid w:val="0066104B"/>
    <w:rsid w:val="00661419"/>
    <w:rsid w:val="00662779"/>
    <w:rsid w:val="006655EE"/>
    <w:rsid w:val="00665804"/>
    <w:rsid w:val="00667C10"/>
    <w:rsid w:val="00667EF4"/>
    <w:rsid w:val="00670CFF"/>
    <w:rsid w:val="006715E0"/>
    <w:rsid w:val="00671F13"/>
    <w:rsid w:val="00672B85"/>
    <w:rsid w:val="00672C90"/>
    <w:rsid w:val="00673B97"/>
    <w:rsid w:val="00674E59"/>
    <w:rsid w:val="00676FCA"/>
    <w:rsid w:val="00677177"/>
    <w:rsid w:val="00677D40"/>
    <w:rsid w:val="0068056B"/>
    <w:rsid w:val="006817B5"/>
    <w:rsid w:val="0068183C"/>
    <w:rsid w:val="00683235"/>
    <w:rsid w:val="0068447E"/>
    <w:rsid w:val="0068612E"/>
    <w:rsid w:val="006873EC"/>
    <w:rsid w:val="00687858"/>
    <w:rsid w:val="00687C92"/>
    <w:rsid w:val="006903B7"/>
    <w:rsid w:val="00690B5F"/>
    <w:rsid w:val="0069184C"/>
    <w:rsid w:val="00692CF9"/>
    <w:rsid w:val="0069302E"/>
    <w:rsid w:val="0069534E"/>
    <w:rsid w:val="00696365"/>
    <w:rsid w:val="0069669C"/>
    <w:rsid w:val="006A087D"/>
    <w:rsid w:val="006A0E3F"/>
    <w:rsid w:val="006A1200"/>
    <w:rsid w:val="006A22C6"/>
    <w:rsid w:val="006A2C5A"/>
    <w:rsid w:val="006A410A"/>
    <w:rsid w:val="006A4F4E"/>
    <w:rsid w:val="006A7EDA"/>
    <w:rsid w:val="006B1304"/>
    <w:rsid w:val="006B14DB"/>
    <w:rsid w:val="006B21C4"/>
    <w:rsid w:val="006B334E"/>
    <w:rsid w:val="006B3CB7"/>
    <w:rsid w:val="006B6E34"/>
    <w:rsid w:val="006C37BD"/>
    <w:rsid w:val="006C458F"/>
    <w:rsid w:val="006C4A1A"/>
    <w:rsid w:val="006C4DA7"/>
    <w:rsid w:val="006C7DAD"/>
    <w:rsid w:val="006D035E"/>
    <w:rsid w:val="006D0393"/>
    <w:rsid w:val="006D0EF4"/>
    <w:rsid w:val="006D14DD"/>
    <w:rsid w:val="006D1A83"/>
    <w:rsid w:val="006D2E5C"/>
    <w:rsid w:val="006D3E75"/>
    <w:rsid w:val="006D5165"/>
    <w:rsid w:val="006D5D1E"/>
    <w:rsid w:val="006D6D9A"/>
    <w:rsid w:val="006D7B2B"/>
    <w:rsid w:val="006E1CFE"/>
    <w:rsid w:val="006E31A2"/>
    <w:rsid w:val="006E4100"/>
    <w:rsid w:val="006E6D10"/>
    <w:rsid w:val="006E7189"/>
    <w:rsid w:val="006E7703"/>
    <w:rsid w:val="006F0273"/>
    <w:rsid w:val="006F10C4"/>
    <w:rsid w:val="006F40E9"/>
    <w:rsid w:val="006F5603"/>
    <w:rsid w:val="006F78B8"/>
    <w:rsid w:val="007009C9"/>
    <w:rsid w:val="00701182"/>
    <w:rsid w:val="00701400"/>
    <w:rsid w:val="00701B98"/>
    <w:rsid w:val="007037CF"/>
    <w:rsid w:val="00703BB8"/>
    <w:rsid w:val="00704B37"/>
    <w:rsid w:val="00707DCA"/>
    <w:rsid w:val="0071037B"/>
    <w:rsid w:val="00712A8B"/>
    <w:rsid w:val="00714B40"/>
    <w:rsid w:val="0071529D"/>
    <w:rsid w:val="00716583"/>
    <w:rsid w:val="007167C0"/>
    <w:rsid w:val="007203C3"/>
    <w:rsid w:val="00720481"/>
    <w:rsid w:val="007212BF"/>
    <w:rsid w:val="00721558"/>
    <w:rsid w:val="00721642"/>
    <w:rsid w:val="00721BC7"/>
    <w:rsid w:val="0072510B"/>
    <w:rsid w:val="007251E6"/>
    <w:rsid w:val="00726903"/>
    <w:rsid w:val="00727C18"/>
    <w:rsid w:val="00727E2F"/>
    <w:rsid w:val="007311C6"/>
    <w:rsid w:val="00732584"/>
    <w:rsid w:val="00733193"/>
    <w:rsid w:val="00733401"/>
    <w:rsid w:val="00734D30"/>
    <w:rsid w:val="00735659"/>
    <w:rsid w:val="00736827"/>
    <w:rsid w:val="00737CBA"/>
    <w:rsid w:val="0074039F"/>
    <w:rsid w:val="00741BD9"/>
    <w:rsid w:val="00743723"/>
    <w:rsid w:val="00743F3B"/>
    <w:rsid w:val="007446BE"/>
    <w:rsid w:val="00747237"/>
    <w:rsid w:val="00750FDE"/>
    <w:rsid w:val="00752F37"/>
    <w:rsid w:val="00752FF8"/>
    <w:rsid w:val="00754C17"/>
    <w:rsid w:val="00756638"/>
    <w:rsid w:val="0075732A"/>
    <w:rsid w:val="00760262"/>
    <w:rsid w:val="00761EEC"/>
    <w:rsid w:val="0076292D"/>
    <w:rsid w:val="0076310C"/>
    <w:rsid w:val="00766009"/>
    <w:rsid w:val="0076744F"/>
    <w:rsid w:val="00767BCE"/>
    <w:rsid w:val="00767EFC"/>
    <w:rsid w:val="007707DE"/>
    <w:rsid w:val="00770B5D"/>
    <w:rsid w:val="0077118E"/>
    <w:rsid w:val="007752F1"/>
    <w:rsid w:val="007753C8"/>
    <w:rsid w:val="00776768"/>
    <w:rsid w:val="00777879"/>
    <w:rsid w:val="00782D61"/>
    <w:rsid w:val="00784E40"/>
    <w:rsid w:val="007852BE"/>
    <w:rsid w:val="00786FC3"/>
    <w:rsid w:val="00787D99"/>
    <w:rsid w:val="00791024"/>
    <w:rsid w:val="007917CF"/>
    <w:rsid w:val="00791B41"/>
    <w:rsid w:val="007921C6"/>
    <w:rsid w:val="00792F08"/>
    <w:rsid w:val="00794818"/>
    <w:rsid w:val="00795596"/>
    <w:rsid w:val="007964C4"/>
    <w:rsid w:val="007A1B53"/>
    <w:rsid w:val="007A2573"/>
    <w:rsid w:val="007A3B9C"/>
    <w:rsid w:val="007A5569"/>
    <w:rsid w:val="007A65C4"/>
    <w:rsid w:val="007B047A"/>
    <w:rsid w:val="007B106C"/>
    <w:rsid w:val="007B11FD"/>
    <w:rsid w:val="007B1A4E"/>
    <w:rsid w:val="007B2EB8"/>
    <w:rsid w:val="007B3D05"/>
    <w:rsid w:val="007B5503"/>
    <w:rsid w:val="007B779C"/>
    <w:rsid w:val="007C1B3C"/>
    <w:rsid w:val="007C6BB3"/>
    <w:rsid w:val="007D13BF"/>
    <w:rsid w:val="007D14B4"/>
    <w:rsid w:val="007D3AD7"/>
    <w:rsid w:val="007D5C74"/>
    <w:rsid w:val="007E24F6"/>
    <w:rsid w:val="007E2C9B"/>
    <w:rsid w:val="007E5D10"/>
    <w:rsid w:val="007E7660"/>
    <w:rsid w:val="007F14A7"/>
    <w:rsid w:val="007F3FF5"/>
    <w:rsid w:val="007F49B9"/>
    <w:rsid w:val="00800F64"/>
    <w:rsid w:val="00801FB7"/>
    <w:rsid w:val="00802F0B"/>
    <w:rsid w:val="00804922"/>
    <w:rsid w:val="00805B6F"/>
    <w:rsid w:val="008066D4"/>
    <w:rsid w:val="00807444"/>
    <w:rsid w:val="0080765A"/>
    <w:rsid w:val="00810A67"/>
    <w:rsid w:val="0081315B"/>
    <w:rsid w:val="00814F4E"/>
    <w:rsid w:val="00815C9D"/>
    <w:rsid w:val="008169BB"/>
    <w:rsid w:val="00817836"/>
    <w:rsid w:val="00817C58"/>
    <w:rsid w:val="00822485"/>
    <w:rsid w:val="00833CF7"/>
    <w:rsid w:val="008408DB"/>
    <w:rsid w:val="00843160"/>
    <w:rsid w:val="00845601"/>
    <w:rsid w:val="00847D3C"/>
    <w:rsid w:val="008524B9"/>
    <w:rsid w:val="00855C5C"/>
    <w:rsid w:val="00860736"/>
    <w:rsid w:val="00861212"/>
    <w:rsid w:val="0086233C"/>
    <w:rsid w:val="00865CFA"/>
    <w:rsid w:val="008715B3"/>
    <w:rsid w:val="008722AC"/>
    <w:rsid w:val="00881623"/>
    <w:rsid w:val="00881FD8"/>
    <w:rsid w:val="0088369C"/>
    <w:rsid w:val="00883CE7"/>
    <w:rsid w:val="00884774"/>
    <w:rsid w:val="00886366"/>
    <w:rsid w:val="00886619"/>
    <w:rsid w:val="00886A43"/>
    <w:rsid w:val="00890781"/>
    <w:rsid w:val="008938F7"/>
    <w:rsid w:val="008960BC"/>
    <w:rsid w:val="00896576"/>
    <w:rsid w:val="008A0A5E"/>
    <w:rsid w:val="008A187F"/>
    <w:rsid w:val="008A3278"/>
    <w:rsid w:val="008A3C96"/>
    <w:rsid w:val="008A4C0A"/>
    <w:rsid w:val="008A68BC"/>
    <w:rsid w:val="008B0BBA"/>
    <w:rsid w:val="008B1627"/>
    <w:rsid w:val="008B4019"/>
    <w:rsid w:val="008B505F"/>
    <w:rsid w:val="008B65C9"/>
    <w:rsid w:val="008B76A4"/>
    <w:rsid w:val="008C00AD"/>
    <w:rsid w:val="008C137B"/>
    <w:rsid w:val="008C2D4A"/>
    <w:rsid w:val="008C41D7"/>
    <w:rsid w:val="008C6A05"/>
    <w:rsid w:val="008C7DBB"/>
    <w:rsid w:val="008D3832"/>
    <w:rsid w:val="008D3900"/>
    <w:rsid w:val="008D4CC5"/>
    <w:rsid w:val="008D6E1D"/>
    <w:rsid w:val="008D6EDB"/>
    <w:rsid w:val="008D7F05"/>
    <w:rsid w:val="008E36FE"/>
    <w:rsid w:val="008E3AAB"/>
    <w:rsid w:val="008E693D"/>
    <w:rsid w:val="008F0883"/>
    <w:rsid w:val="008F39B4"/>
    <w:rsid w:val="008F4162"/>
    <w:rsid w:val="008F59DA"/>
    <w:rsid w:val="008F7B26"/>
    <w:rsid w:val="008F7E60"/>
    <w:rsid w:val="009009B3"/>
    <w:rsid w:val="009025D0"/>
    <w:rsid w:val="00902C70"/>
    <w:rsid w:val="009038D3"/>
    <w:rsid w:val="00903E02"/>
    <w:rsid w:val="0090673B"/>
    <w:rsid w:val="009110D5"/>
    <w:rsid w:val="00913175"/>
    <w:rsid w:val="00915D4A"/>
    <w:rsid w:val="00916EDB"/>
    <w:rsid w:val="00917D72"/>
    <w:rsid w:val="00920861"/>
    <w:rsid w:val="00921C78"/>
    <w:rsid w:val="00922B13"/>
    <w:rsid w:val="009242EF"/>
    <w:rsid w:val="00924AB9"/>
    <w:rsid w:val="0092583F"/>
    <w:rsid w:val="0092615F"/>
    <w:rsid w:val="00932291"/>
    <w:rsid w:val="009323D6"/>
    <w:rsid w:val="00933B1B"/>
    <w:rsid w:val="0093408E"/>
    <w:rsid w:val="0093757B"/>
    <w:rsid w:val="0094014D"/>
    <w:rsid w:val="00940467"/>
    <w:rsid w:val="0094123A"/>
    <w:rsid w:val="00942973"/>
    <w:rsid w:val="00947507"/>
    <w:rsid w:val="00952DDF"/>
    <w:rsid w:val="00952EC4"/>
    <w:rsid w:val="00955960"/>
    <w:rsid w:val="00957234"/>
    <w:rsid w:val="00957D9F"/>
    <w:rsid w:val="00961A47"/>
    <w:rsid w:val="009631EF"/>
    <w:rsid w:val="0096747D"/>
    <w:rsid w:val="0096776C"/>
    <w:rsid w:val="00970216"/>
    <w:rsid w:val="00972423"/>
    <w:rsid w:val="00972592"/>
    <w:rsid w:val="0097395E"/>
    <w:rsid w:val="009745E4"/>
    <w:rsid w:val="0097618E"/>
    <w:rsid w:val="009812D4"/>
    <w:rsid w:val="00981C06"/>
    <w:rsid w:val="00982653"/>
    <w:rsid w:val="0098414A"/>
    <w:rsid w:val="0098474F"/>
    <w:rsid w:val="00985AA7"/>
    <w:rsid w:val="009873F4"/>
    <w:rsid w:val="00987BB8"/>
    <w:rsid w:val="009908CD"/>
    <w:rsid w:val="00991997"/>
    <w:rsid w:val="009920D8"/>
    <w:rsid w:val="00994796"/>
    <w:rsid w:val="00994BC1"/>
    <w:rsid w:val="00997DDB"/>
    <w:rsid w:val="009A0A85"/>
    <w:rsid w:val="009A2FAF"/>
    <w:rsid w:val="009A371F"/>
    <w:rsid w:val="009A4869"/>
    <w:rsid w:val="009A5F6A"/>
    <w:rsid w:val="009A78C8"/>
    <w:rsid w:val="009B0FC3"/>
    <w:rsid w:val="009B38BE"/>
    <w:rsid w:val="009B4556"/>
    <w:rsid w:val="009B682F"/>
    <w:rsid w:val="009B6969"/>
    <w:rsid w:val="009B778A"/>
    <w:rsid w:val="009C0385"/>
    <w:rsid w:val="009C08C5"/>
    <w:rsid w:val="009C0D11"/>
    <w:rsid w:val="009C3D0F"/>
    <w:rsid w:val="009C4B0A"/>
    <w:rsid w:val="009D1D00"/>
    <w:rsid w:val="009D1EE8"/>
    <w:rsid w:val="009D512C"/>
    <w:rsid w:val="009D6232"/>
    <w:rsid w:val="009E1B19"/>
    <w:rsid w:val="009E1D6D"/>
    <w:rsid w:val="009E2250"/>
    <w:rsid w:val="009E4D40"/>
    <w:rsid w:val="009E67BE"/>
    <w:rsid w:val="009E79B6"/>
    <w:rsid w:val="009E7F55"/>
    <w:rsid w:val="009F011E"/>
    <w:rsid w:val="009F35E2"/>
    <w:rsid w:val="009F3C9C"/>
    <w:rsid w:val="009F438B"/>
    <w:rsid w:val="009F65F9"/>
    <w:rsid w:val="009F68BA"/>
    <w:rsid w:val="009F7D09"/>
    <w:rsid w:val="00A06277"/>
    <w:rsid w:val="00A06325"/>
    <w:rsid w:val="00A079DC"/>
    <w:rsid w:val="00A1037A"/>
    <w:rsid w:val="00A10BAB"/>
    <w:rsid w:val="00A111C2"/>
    <w:rsid w:val="00A12ACF"/>
    <w:rsid w:val="00A1499E"/>
    <w:rsid w:val="00A17C39"/>
    <w:rsid w:val="00A20D58"/>
    <w:rsid w:val="00A20F9E"/>
    <w:rsid w:val="00A21440"/>
    <w:rsid w:val="00A219AD"/>
    <w:rsid w:val="00A238AA"/>
    <w:rsid w:val="00A23BB0"/>
    <w:rsid w:val="00A338E7"/>
    <w:rsid w:val="00A35CAA"/>
    <w:rsid w:val="00A36059"/>
    <w:rsid w:val="00A368A4"/>
    <w:rsid w:val="00A36DF2"/>
    <w:rsid w:val="00A36E7F"/>
    <w:rsid w:val="00A40147"/>
    <w:rsid w:val="00A405D8"/>
    <w:rsid w:val="00A41E65"/>
    <w:rsid w:val="00A42465"/>
    <w:rsid w:val="00A425A8"/>
    <w:rsid w:val="00A426F9"/>
    <w:rsid w:val="00A42B76"/>
    <w:rsid w:val="00A43517"/>
    <w:rsid w:val="00A43E0A"/>
    <w:rsid w:val="00A46247"/>
    <w:rsid w:val="00A462E1"/>
    <w:rsid w:val="00A47F07"/>
    <w:rsid w:val="00A52EF9"/>
    <w:rsid w:val="00A530C7"/>
    <w:rsid w:val="00A54DEB"/>
    <w:rsid w:val="00A55F5B"/>
    <w:rsid w:val="00A6009A"/>
    <w:rsid w:val="00A60185"/>
    <w:rsid w:val="00A611EE"/>
    <w:rsid w:val="00A622EC"/>
    <w:rsid w:val="00A661EA"/>
    <w:rsid w:val="00A66263"/>
    <w:rsid w:val="00A6775C"/>
    <w:rsid w:val="00A67AEF"/>
    <w:rsid w:val="00A70A6C"/>
    <w:rsid w:val="00A716BB"/>
    <w:rsid w:val="00A8228F"/>
    <w:rsid w:val="00A82D62"/>
    <w:rsid w:val="00A830E5"/>
    <w:rsid w:val="00A83234"/>
    <w:rsid w:val="00A83DF5"/>
    <w:rsid w:val="00A84BF3"/>
    <w:rsid w:val="00A86B49"/>
    <w:rsid w:val="00A86D2D"/>
    <w:rsid w:val="00A87135"/>
    <w:rsid w:val="00A8750D"/>
    <w:rsid w:val="00A87540"/>
    <w:rsid w:val="00A924C2"/>
    <w:rsid w:val="00A93280"/>
    <w:rsid w:val="00A93C73"/>
    <w:rsid w:val="00A951EA"/>
    <w:rsid w:val="00A95C89"/>
    <w:rsid w:val="00A961A6"/>
    <w:rsid w:val="00A96280"/>
    <w:rsid w:val="00A962B8"/>
    <w:rsid w:val="00A96FAA"/>
    <w:rsid w:val="00A973E1"/>
    <w:rsid w:val="00A97F71"/>
    <w:rsid w:val="00AA1C65"/>
    <w:rsid w:val="00AA2548"/>
    <w:rsid w:val="00AA3B6E"/>
    <w:rsid w:val="00AA58C4"/>
    <w:rsid w:val="00AB11C8"/>
    <w:rsid w:val="00AB2248"/>
    <w:rsid w:val="00AB4046"/>
    <w:rsid w:val="00AC0727"/>
    <w:rsid w:val="00AC08A8"/>
    <w:rsid w:val="00AC0BC9"/>
    <w:rsid w:val="00AC5758"/>
    <w:rsid w:val="00AC618C"/>
    <w:rsid w:val="00AC7F02"/>
    <w:rsid w:val="00AD20F6"/>
    <w:rsid w:val="00AD390B"/>
    <w:rsid w:val="00AD56C8"/>
    <w:rsid w:val="00AD5793"/>
    <w:rsid w:val="00AD58F2"/>
    <w:rsid w:val="00AD7E31"/>
    <w:rsid w:val="00AE4705"/>
    <w:rsid w:val="00AE5712"/>
    <w:rsid w:val="00AE5C8C"/>
    <w:rsid w:val="00AE7ED6"/>
    <w:rsid w:val="00AF139E"/>
    <w:rsid w:val="00AF5EA3"/>
    <w:rsid w:val="00AF6573"/>
    <w:rsid w:val="00AF65FE"/>
    <w:rsid w:val="00AF7690"/>
    <w:rsid w:val="00B04342"/>
    <w:rsid w:val="00B049E1"/>
    <w:rsid w:val="00B0512A"/>
    <w:rsid w:val="00B0529F"/>
    <w:rsid w:val="00B05D52"/>
    <w:rsid w:val="00B07242"/>
    <w:rsid w:val="00B1418B"/>
    <w:rsid w:val="00B151A0"/>
    <w:rsid w:val="00B1520C"/>
    <w:rsid w:val="00B1560E"/>
    <w:rsid w:val="00B17E60"/>
    <w:rsid w:val="00B20F84"/>
    <w:rsid w:val="00B2117F"/>
    <w:rsid w:val="00B21195"/>
    <w:rsid w:val="00B2174F"/>
    <w:rsid w:val="00B21C93"/>
    <w:rsid w:val="00B22B3D"/>
    <w:rsid w:val="00B22B57"/>
    <w:rsid w:val="00B24B22"/>
    <w:rsid w:val="00B25310"/>
    <w:rsid w:val="00B2532D"/>
    <w:rsid w:val="00B25D85"/>
    <w:rsid w:val="00B32F8F"/>
    <w:rsid w:val="00B41E1E"/>
    <w:rsid w:val="00B42C1C"/>
    <w:rsid w:val="00B444CB"/>
    <w:rsid w:val="00B4690F"/>
    <w:rsid w:val="00B47C42"/>
    <w:rsid w:val="00B50802"/>
    <w:rsid w:val="00B510B1"/>
    <w:rsid w:val="00B515F4"/>
    <w:rsid w:val="00B53B38"/>
    <w:rsid w:val="00B53CA1"/>
    <w:rsid w:val="00B54DE9"/>
    <w:rsid w:val="00B5532E"/>
    <w:rsid w:val="00B553EC"/>
    <w:rsid w:val="00B55870"/>
    <w:rsid w:val="00B56336"/>
    <w:rsid w:val="00B56AA9"/>
    <w:rsid w:val="00B60059"/>
    <w:rsid w:val="00B620B9"/>
    <w:rsid w:val="00B65511"/>
    <w:rsid w:val="00B672B5"/>
    <w:rsid w:val="00B767AA"/>
    <w:rsid w:val="00B77732"/>
    <w:rsid w:val="00B80D6D"/>
    <w:rsid w:val="00B860A0"/>
    <w:rsid w:val="00B9154F"/>
    <w:rsid w:val="00B93215"/>
    <w:rsid w:val="00B935A3"/>
    <w:rsid w:val="00B93DD0"/>
    <w:rsid w:val="00B96030"/>
    <w:rsid w:val="00B9730C"/>
    <w:rsid w:val="00B97732"/>
    <w:rsid w:val="00BA015A"/>
    <w:rsid w:val="00BA0849"/>
    <w:rsid w:val="00BA0AE6"/>
    <w:rsid w:val="00BA1692"/>
    <w:rsid w:val="00BA1799"/>
    <w:rsid w:val="00BA56D7"/>
    <w:rsid w:val="00BA65A8"/>
    <w:rsid w:val="00BA66CA"/>
    <w:rsid w:val="00BA6A97"/>
    <w:rsid w:val="00BA6D19"/>
    <w:rsid w:val="00BA7461"/>
    <w:rsid w:val="00BA7DA9"/>
    <w:rsid w:val="00BB0C75"/>
    <w:rsid w:val="00BB3197"/>
    <w:rsid w:val="00BB7A97"/>
    <w:rsid w:val="00BC2795"/>
    <w:rsid w:val="00BC4215"/>
    <w:rsid w:val="00BC46F1"/>
    <w:rsid w:val="00BC6F6D"/>
    <w:rsid w:val="00BD0396"/>
    <w:rsid w:val="00BD19E4"/>
    <w:rsid w:val="00BD1A6F"/>
    <w:rsid w:val="00BD2010"/>
    <w:rsid w:val="00BD5689"/>
    <w:rsid w:val="00BD5B71"/>
    <w:rsid w:val="00BE0275"/>
    <w:rsid w:val="00BE0DCD"/>
    <w:rsid w:val="00BE50DF"/>
    <w:rsid w:val="00BE6D3C"/>
    <w:rsid w:val="00BE7852"/>
    <w:rsid w:val="00BF21A7"/>
    <w:rsid w:val="00BF3153"/>
    <w:rsid w:val="00BF4C2B"/>
    <w:rsid w:val="00BF5031"/>
    <w:rsid w:val="00BF6D87"/>
    <w:rsid w:val="00BF7CEE"/>
    <w:rsid w:val="00C03880"/>
    <w:rsid w:val="00C03B25"/>
    <w:rsid w:val="00C10F07"/>
    <w:rsid w:val="00C135CF"/>
    <w:rsid w:val="00C13B38"/>
    <w:rsid w:val="00C147D1"/>
    <w:rsid w:val="00C21BAC"/>
    <w:rsid w:val="00C22A11"/>
    <w:rsid w:val="00C2534F"/>
    <w:rsid w:val="00C25A3E"/>
    <w:rsid w:val="00C25AA4"/>
    <w:rsid w:val="00C2683F"/>
    <w:rsid w:val="00C31441"/>
    <w:rsid w:val="00C3184D"/>
    <w:rsid w:val="00C37525"/>
    <w:rsid w:val="00C42FD8"/>
    <w:rsid w:val="00C43084"/>
    <w:rsid w:val="00C43C14"/>
    <w:rsid w:val="00C4714E"/>
    <w:rsid w:val="00C50553"/>
    <w:rsid w:val="00C50941"/>
    <w:rsid w:val="00C524B0"/>
    <w:rsid w:val="00C53160"/>
    <w:rsid w:val="00C54199"/>
    <w:rsid w:val="00C5504F"/>
    <w:rsid w:val="00C55991"/>
    <w:rsid w:val="00C6060A"/>
    <w:rsid w:val="00C60A1A"/>
    <w:rsid w:val="00C6117C"/>
    <w:rsid w:val="00C61C28"/>
    <w:rsid w:val="00C62D71"/>
    <w:rsid w:val="00C63376"/>
    <w:rsid w:val="00C65F77"/>
    <w:rsid w:val="00C66CB4"/>
    <w:rsid w:val="00C71B63"/>
    <w:rsid w:val="00C7333C"/>
    <w:rsid w:val="00C73BDB"/>
    <w:rsid w:val="00C74F97"/>
    <w:rsid w:val="00C7601D"/>
    <w:rsid w:val="00C76A08"/>
    <w:rsid w:val="00C803D7"/>
    <w:rsid w:val="00C8276E"/>
    <w:rsid w:val="00C83AD1"/>
    <w:rsid w:val="00C842AC"/>
    <w:rsid w:val="00C85B7B"/>
    <w:rsid w:val="00C92AD5"/>
    <w:rsid w:val="00C93152"/>
    <w:rsid w:val="00C93FD9"/>
    <w:rsid w:val="00C96688"/>
    <w:rsid w:val="00C969BC"/>
    <w:rsid w:val="00CA0723"/>
    <w:rsid w:val="00CA17BF"/>
    <w:rsid w:val="00CA26AC"/>
    <w:rsid w:val="00CA4542"/>
    <w:rsid w:val="00CA4DC4"/>
    <w:rsid w:val="00CA7DF6"/>
    <w:rsid w:val="00CB1690"/>
    <w:rsid w:val="00CB263E"/>
    <w:rsid w:val="00CB3041"/>
    <w:rsid w:val="00CB6841"/>
    <w:rsid w:val="00CB6D76"/>
    <w:rsid w:val="00CC19E6"/>
    <w:rsid w:val="00CC27E7"/>
    <w:rsid w:val="00CC2B33"/>
    <w:rsid w:val="00CC4365"/>
    <w:rsid w:val="00CC7A7D"/>
    <w:rsid w:val="00CD11B0"/>
    <w:rsid w:val="00CD275A"/>
    <w:rsid w:val="00CD5E0E"/>
    <w:rsid w:val="00CD656F"/>
    <w:rsid w:val="00CD7E84"/>
    <w:rsid w:val="00CE5D5D"/>
    <w:rsid w:val="00CE71C2"/>
    <w:rsid w:val="00CE7A08"/>
    <w:rsid w:val="00CF2242"/>
    <w:rsid w:val="00CF2E7E"/>
    <w:rsid w:val="00CF3782"/>
    <w:rsid w:val="00CF42D5"/>
    <w:rsid w:val="00CF4EDA"/>
    <w:rsid w:val="00CF562A"/>
    <w:rsid w:val="00CF576F"/>
    <w:rsid w:val="00CF5929"/>
    <w:rsid w:val="00CF7395"/>
    <w:rsid w:val="00D00281"/>
    <w:rsid w:val="00D01E11"/>
    <w:rsid w:val="00D021CB"/>
    <w:rsid w:val="00D02B4B"/>
    <w:rsid w:val="00D04CEC"/>
    <w:rsid w:val="00D05E93"/>
    <w:rsid w:val="00D078B0"/>
    <w:rsid w:val="00D07B1D"/>
    <w:rsid w:val="00D10C4C"/>
    <w:rsid w:val="00D10F1A"/>
    <w:rsid w:val="00D116F8"/>
    <w:rsid w:val="00D13742"/>
    <w:rsid w:val="00D13C05"/>
    <w:rsid w:val="00D15280"/>
    <w:rsid w:val="00D17596"/>
    <w:rsid w:val="00D22640"/>
    <w:rsid w:val="00D26D3A"/>
    <w:rsid w:val="00D32E32"/>
    <w:rsid w:val="00D37408"/>
    <w:rsid w:val="00D441B2"/>
    <w:rsid w:val="00D45C91"/>
    <w:rsid w:val="00D45EE3"/>
    <w:rsid w:val="00D50618"/>
    <w:rsid w:val="00D509E9"/>
    <w:rsid w:val="00D52917"/>
    <w:rsid w:val="00D53B1C"/>
    <w:rsid w:val="00D559F4"/>
    <w:rsid w:val="00D61714"/>
    <w:rsid w:val="00D620BE"/>
    <w:rsid w:val="00D622B9"/>
    <w:rsid w:val="00D64C5F"/>
    <w:rsid w:val="00D652C8"/>
    <w:rsid w:val="00D656FF"/>
    <w:rsid w:val="00D721B5"/>
    <w:rsid w:val="00D73238"/>
    <w:rsid w:val="00D74FCA"/>
    <w:rsid w:val="00D76EC5"/>
    <w:rsid w:val="00D81533"/>
    <w:rsid w:val="00D82448"/>
    <w:rsid w:val="00D83615"/>
    <w:rsid w:val="00D83AAD"/>
    <w:rsid w:val="00D84735"/>
    <w:rsid w:val="00D84EEA"/>
    <w:rsid w:val="00D88F79"/>
    <w:rsid w:val="00D9264D"/>
    <w:rsid w:val="00D96FCF"/>
    <w:rsid w:val="00D97037"/>
    <w:rsid w:val="00D97D96"/>
    <w:rsid w:val="00DA1B12"/>
    <w:rsid w:val="00DA4F90"/>
    <w:rsid w:val="00DA54C9"/>
    <w:rsid w:val="00DA6739"/>
    <w:rsid w:val="00DA6CAE"/>
    <w:rsid w:val="00DA75E0"/>
    <w:rsid w:val="00DB1316"/>
    <w:rsid w:val="00DB16DE"/>
    <w:rsid w:val="00DB1A9E"/>
    <w:rsid w:val="00DB31D6"/>
    <w:rsid w:val="00DB3296"/>
    <w:rsid w:val="00DB4005"/>
    <w:rsid w:val="00DB44AD"/>
    <w:rsid w:val="00DB44E2"/>
    <w:rsid w:val="00DB50D8"/>
    <w:rsid w:val="00DB61F1"/>
    <w:rsid w:val="00DB62FE"/>
    <w:rsid w:val="00DB6E55"/>
    <w:rsid w:val="00DB6F19"/>
    <w:rsid w:val="00DC13C2"/>
    <w:rsid w:val="00DC2046"/>
    <w:rsid w:val="00DC2C49"/>
    <w:rsid w:val="00DC325B"/>
    <w:rsid w:val="00DC34EB"/>
    <w:rsid w:val="00DC3A92"/>
    <w:rsid w:val="00DC4E2E"/>
    <w:rsid w:val="00DC78C0"/>
    <w:rsid w:val="00DD647F"/>
    <w:rsid w:val="00DD7B88"/>
    <w:rsid w:val="00DE2BCA"/>
    <w:rsid w:val="00DE2C10"/>
    <w:rsid w:val="00DE619C"/>
    <w:rsid w:val="00DE6290"/>
    <w:rsid w:val="00DF067B"/>
    <w:rsid w:val="00DF14C9"/>
    <w:rsid w:val="00DF16C7"/>
    <w:rsid w:val="00DF1E5B"/>
    <w:rsid w:val="00DF2275"/>
    <w:rsid w:val="00DF3F5E"/>
    <w:rsid w:val="00DF44EE"/>
    <w:rsid w:val="00DF5461"/>
    <w:rsid w:val="00DF5653"/>
    <w:rsid w:val="00E03252"/>
    <w:rsid w:val="00E058A7"/>
    <w:rsid w:val="00E0596E"/>
    <w:rsid w:val="00E06073"/>
    <w:rsid w:val="00E06CFE"/>
    <w:rsid w:val="00E06F66"/>
    <w:rsid w:val="00E07F3F"/>
    <w:rsid w:val="00E12DF2"/>
    <w:rsid w:val="00E12FD2"/>
    <w:rsid w:val="00E13C4C"/>
    <w:rsid w:val="00E15B83"/>
    <w:rsid w:val="00E16708"/>
    <w:rsid w:val="00E17B69"/>
    <w:rsid w:val="00E20AEA"/>
    <w:rsid w:val="00E2111A"/>
    <w:rsid w:val="00E21678"/>
    <w:rsid w:val="00E24132"/>
    <w:rsid w:val="00E25B0C"/>
    <w:rsid w:val="00E270CE"/>
    <w:rsid w:val="00E344AA"/>
    <w:rsid w:val="00E356E5"/>
    <w:rsid w:val="00E36F81"/>
    <w:rsid w:val="00E378A8"/>
    <w:rsid w:val="00E37E67"/>
    <w:rsid w:val="00E40B9B"/>
    <w:rsid w:val="00E42348"/>
    <w:rsid w:val="00E43422"/>
    <w:rsid w:val="00E45765"/>
    <w:rsid w:val="00E5098C"/>
    <w:rsid w:val="00E54ECD"/>
    <w:rsid w:val="00E56077"/>
    <w:rsid w:val="00E574EF"/>
    <w:rsid w:val="00E57823"/>
    <w:rsid w:val="00E57CD8"/>
    <w:rsid w:val="00E57E07"/>
    <w:rsid w:val="00E60213"/>
    <w:rsid w:val="00E61C58"/>
    <w:rsid w:val="00E640D2"/>
    <w:rsid w:val="00E65D30"/>
    <w:rsid w:val="00E661B2"/>
    <w:rsid w:val="00E67922"/>
    <w:rsid w:val="00E7133B"/>
    <w:rsid w:val="00E74D29"/>
    <w:rsid w:val="00E806FF"/>
    <w:rsid w:val="00E83C74"/>
    <w:rsid w:val="00E83CEE"/>
    <w:rsid w:val="00E852E8"/>
    <w:rsid w:val="00E91F18"/>
    <w:rsid w:val="00E9226D"/>
    <w:rsid w:val="00E93773"/>
    <w:rsid w:val="00E94AF2"/>
    <w:rsid w:val="00E96424"/>
    <w:rsid w:val="00EA2897"/>
    <w:rsid w:val="00EA2A91"/>
    <w:rsid w:val="00EA416C"/>
    <w:rsid w:val="00EA479B"/>
    <w:rsid w:val="00EA5941"/>
    <w:rsid w:val="00EB0865"/>
    <w:rsid w:val="00EB2009"/>
    <w:rsid w:val="00EB435C"/>
    <w:rsid w:val="00EB4E48"/>
    <w:rsid w:val="00EB5FA8"/>
    <w:rsid w:val="00EB60CE"/>
    <w:rsid w:val="00EB7D53"/>
    <w:rsid w:val="00EC1E92"/>
    <w:rsid w:val="00EC37F0"/>
    <w:rsid w:val="00EC596B"/>
    <w:rsid w:val="00EC79A8"/>
    <w:rsid w:val="00ED52CC"/>
    <w:rsid w:val="00ED5EEB"/>
    <w:rsid w:val="00ED7073"/>
    <w:rsid w:val="00EE13C5"/>
    <w:rsid w:val="00EE1BA1"/>
    <w:rsid w:val="00EE3146"/>
    <w:rsid w:val="00EE339F"/>
    <w:rsid w:val="00EE371A"/>
    <w:rsid w:val="00EF50BB"/>
    <w:rsid w:val="00EF5270"/>
    <w:rsid w:val="00EF71E4"/>
    <w:rsid w:val="00EF75F3"/>
    <w:rsid w:val="00F00192"/>
    <w:rsid w:val="00F01DF6"/>
    <w:rsid w:val="00F027B8"/>
    <w:rsid w:val="00F0340D"/>
    <w:rsid w:val="00F035F2"/>
    <w:rsid w:val="00F04D04"/>
    <w:rsid w:val="00F059A6"/>
    <w:rsid w:val="00F111BC"/>
    <w:rsid w:val="00F11B43"/>
    <w:rsid w:val="00F123C1"/>
    <w:rsid w:val="00F14A04"/>
    <w:rsid w:val="00F1594E"/>
    <w:rsid w:val="00F1D235"/>
    <w:rsid w:val="00F202A0"/>
    <w:rsid w:val="00F23756"/>
    <w:rsid w:val="00F2464C"/>
    <w:rsid w:val="00F24DCB"/>
    <w:rsid w:val="00F2523A"/>
    <w:rsid w:val="00F25FFA"/>
    <w:rsid w:val="00F27517"/>
    <w:rsid w:val="00F27D85"/>
    <w:rsid w:val="00F310D2"/>
    <w:rsid w:val="00F31BC8"/>
    <w:rsid w:val="00F31E11"/>
    <w:rsid w:val="00F329C1"/>
    <w:rsid w:val="00F36F3D"/>
    <w:rsid w:val="00F37C48"/>
    <w:rsid w:val="00F41EA1"/>
    <w:rsid w:val="00F424D7"/>
    <w:rsid w:val="00F427DC"/>
    <w:rsid w:val="00F42A93"/>
    <w:rsid w:val="00F43832"/>
    <w:rsid w:val="00F477BD"/>
    <w:rsid w:val="00F50333"/>
    <w:rsid w:val="00F50724"/>
    <w:rsid w:val="00F51FCE"/>
    <w:rsid w:val="00F53491"/>
    <w:rsid w:val="00F53FD2"/>
    <w:rsid w:val="00F54656"/>
    <w:rsid w:val="00F55386"/>
    <w:rsid w:val="00F55DBC"/>
    <w:rsid w:val="00F56411"/>
    <w:rsid w:val="00F575F1"/>
    <w:rsid w:val="00F60181"/>
    <w:rsid w:val="00F602CF"/>
    <w:rsid w:val="00F643B1"/>
    <w:rsid w:val="00F646FA"/>
    <w:rsid w:val="00F64CA5"/>
    <w:rsid w:val="00F657D7"/>
    <w:rsid w:val="00F65860"/>
    <w:rsid w:val="00F65A1C"/>
    <w:rsid w:val="00F65BAE"/>
    <w:rsid w:val="00F664B1"/>
    <w:rsid w:val="00F66F50"/>
    <w:rsid w:val="00F73B7E"/>
    <w:rsid w:val="00F75B20"/>
    <w:rsid w:val="00F7628B"/>
    <w:rsid w:val="00F77432"/>
    <w:rsid w:val="00F8060E"/>
    <w:rsid w:val="00F81162"/>
    <w:rsid w:val="00F82FF8"/>
    <w:rsid w:val="00F8330D"/>
    <w:rsid w:val="00F84305"/>
    <w:rsid w:val="00F8485C"/>
    <w:rsid w:val="00F86EC4"/>
    <w:rsid w:val="00F87149"/>
    <w:rsid w:val="00F87FFE"/>
    <w:rsid w:val="00F9138D"/>
    <w:rsid w:val="00F9140B"/>
    <w:rsid w:val="00F93FA8"/>
    <w:rsid w:val="00F954C9"/>
    <w:rsid w:val="00FA01CA"/>
    <w:rsid w:val="00FA0DE0"/>
    <w:rsid w:val="00FA1E11"/>
    <w:rsid w:val="00FA4923"/>
    <w:rsid w:val="00FA4CF0"/>
    <w:rsid w:val="00FA5F59"/>
    <w:rsid w:val="00FA61AA"/>
    <w:rsid w:val="00FA63D6"/>
    <w:rsid w:val="00FA69A4"/>
    <w:rsid w:val="00FA7DFF"/>
    <w:rsid w:val="00FB1279"/>
    <w:rsid w:val="00FB1495"/>
    <w:rsid w:val="00FB397B"/>
    <w:rsid w:val="00FC20F8"/>
    <w:rsid w:val="00FC3BAF"/>
    <w:rsid w:val="00FC579D"/>
    <w:rsid w:val="00FC6144"/>
    <w:rsid w:val="00FC7A9C"/>
    <w:rsid w:val="00FD1694"/>
    <w:rsid w:val="00FD2134"/>
    <w:rsid w:val="00FD73BA"/>
    <w:rsid w:val="00FD7636"/>
    <w:rsid w:val="00FE1BC6"/>
    <w:rsid w:val="00FE232B"/>
    <w:rsid w:val="00FE3229"/>
    <w:rsid w:val="00FE4485"/>
    <w:rsid w:val="00FE4B01"/>
    <w:rsid w:val="00FE68C2"/>
    <w:rsid w:val="00FE74C3"/>
    <w:rsid w:val="00FF0C7F"/>
    <w:rsid w:val="00FF215C"/>
    <w:rsid w:val="00FF49E8"/>
    <w:rsid w:val="00FF5F22"/>
    <w:rsid w:val="00FF672F"/>
    <w:rsid w:val="00FF709D"/>
    <w:rsid w:val="00FF7623"/>
    <w:rsid w:val="011F7EC2"/>
    <w:rsid w:val="01AE917B"/>
    <w:rsid w:val="01BAA235"/>
    <w:rsid w:val="01C25815"/>
    <w:rsid w:val="020A2870"/>
    <w:rsid w:val="024E46A6"/>
    <w:rsid w:val="02739E00"/>
    <w:rsid w:val="02A19C1A"/>
    <w:rsid w:val="02AA353C"/>
    <w:rsid w:val="02E0909E"/>
    <w:rsid w:val="0325B77D"/>
    <w:rsid w:val="03334342"/>
    <w:rsid w:val="034A8FBB"/>
    <w:rsid w:val="0392B106"/>
    <w:rsid w:val="039B5056"/>
    <w:rsid w:val="03D4F1CA"/>
    <w:rsid w:val="043C622E"/>
    <w:rsid w:val="0465A4A0"/>
    <w:rsid w:val="04889956"/>
    <w:rsid w:val="048AEE2C"/>
    <w:rsid w:val="04A11A72"/>
    <w:rsid w:val="04CDDA2D"/>
    <w:rsid w:val="04E1C898"/>
    <w:rsid w:val="04FA1F01"/>
    <w:rsid w:val="04FE52CF"/>
    <w:rsid w:val="0510B001"/>
    <w:rsid w:val="051789AA"/>
    <w:rsid w:val="05354404"/>
    <w:rsid w:val="0560F8D4"/>
    <w:rsid w:val="0578603A"/>
    <w:rsid w:val="05840AE4"/>
    <w:rsid w:val="05FFDD85"/>
    <w:rsid w:val="06494F5A"/>
    <w:rsid w:val="065BF407"/>
    <w:rsid w:val="0685D4FD"/>
    <w:rsid w:val="068B227A"/>
    <w:rsid w:val="0745781F"/>
    <w:rsid w:val="07725DB5"/>
    <w:rsid w:val="0785F615"/>
    <w:rsid w:val="07CBB74D"/>
    <w:rsid w:val="07D6E3D2"/>
    <w:rsid w:val="07E9D303"/>
    <w:rsid w:val="086EDFC2"/>
    <w:rsid w:val="0881A22F"/>
    <w:rsid w:val="0896133F"/>
    <w:rsid w:val="089F8035"/>
    <w:rsid w:val="08B2D86D"/>
    <w:rsid w:val="08BE80A9"/>
    <w:rsid w:val="08F6CF66"/>
    <w:rsid w:val="095DE5CB"/>
    <w:rsid w:val="09B407FD"/>
    <w:rsid w:val="09DB819E"/>
    <w:rsid w:val="09E72023"/>
    <w:rsid w:val="09FB799C"/>
    <w:rsid w:val="09FD60AE"/>
    <w:rsid w:val="0A39DBC0"/>
    <w:rsid w:val="0A46A228"/>
    <w:rsid w:val="0A52359E"/>
    <w:rsid w:val="0A7C39CF"/>
    <w:rsid w:val="0A81063B"/>
    <w:rsid w:val="0A9D0F87"/>
    <w:rsid w:val="0ADC8343"/>
    <w:rsid w:val="0ADDB831"/>
    <w:rsid w:val="0B1AA5F1"/>
    <w:rsid w:val="0B3D2209"/>
    <w:rsid w:val="0B5F8ED7"/>
    <w:rsid w:val="0B613711"/>
    <w:rsid w:val="0BDDB96B"/>
    <w:rsid w:val="0BFDE24B"/>
    <w:rsid w:val="0C4812C2"/>
    <w:rsid w:val="0C55476E"/>
    <w:rsid w:val="0C780536"/>
    <w:rsid w:val="0C7CE670"/>
    <w:rsid w:val="0C7D1D48"/>
    <w:rsid w:val="0CD0B437"/>
    <w:rsid w:val="0CD7A165"/>
    <w:rsid w:val="0CE716DF"/>
    <w:rsid w:val="0CF9B0BE"/>
    <w:rsid w:val="0CFBD271"/>
    <w:rsid w:val="0D38A97B"/>
    <w:rsid w:val="0D75FFFF"/>
    <w:rsid w:val="0DE50715"/>
    <w:rsid w:val="0DEB9955"/>
    <w:rsid w:val="0DFE7F59"/>
    <w:rsid w:val="0E008D5F"/>
    <w:rsid w:val="0EA79D8D"/>
    <w:rsid w:val="0EED1FF1"/>
    <w:rsid w:val="0F0137DA"/>
    <w:rsid w:val="0F1AC9B6"/>
    <w:rsid w:val="0F2B9B0E"/>
    <w:rsid w:val="0F4BE3AE"/>
    <w:rsid w:val="0F73F694"/>
    <w:rsid w:val="0F8A691D"/>
    <w:rsid w:val="0FA42205"/>
    <w:rsid w:val="0FB104DB"/>
    <w:rsid w:val="0FCE2821"/>
    <w:rsid w:val="0FFD7D41"/>
    <w:rsid w:val="103BC2EF"/>
    <w:rsid w:val="106F9407"/>
    <w:rsid w:val="107FDF2F"/>
    <w:rsid w:val="10855453"/>
    <w:rsid w:val="108E030E"/>
    <w:rsid w:val="10965161"/>
    <w:rsid w:val="10D6AA18"/>
    <w:rsid w:val="10F0B787"/>
    <w:rsid w:val="111D9391"/>
    <w:rsid w:val="11822CC0"/>
    <w:rsid w:val="11F2A264"/>
    <w:rsid w:val="12402694"/>
    <w:rsid w:val="125994E5"/>
    <w:rsid w:val="126D7AEE"/>
    <w:rsid w:val="1284894F"/>
    <w:rsid w:val="136C300E"/>
    <w:rsid w:val="137FD8B1"/>
    <w:rsid w:val="13C08001"/>
    <w:rsid w:val="13EF15E2"/>
    <w:rsid w:val="141EAF29"/>
    <w:rsid w:val="1420CD83"/>
    <w:rsid w:val="14358758"/>
    <w:rsid w:val="1506CAD4"/>
    <w:rsid w:val="151FF332"/>
    <w:rsid w:val="1540A370"/>
    <w:rsid w:val="15B8C6E2"/>
    <w:rsid w:val="15DE8A04"/>
    <w:rsid w:val="15FD81F3"/>
    <w:rsid w:val="160A132F"/>
    <w:rsid w:val="161FB2EE"/>
    <w:rsid w:val="1649F628"/>
    <w:rsid w:val="1665CDCC"/>
    <w:rsid w:val="16A3D0D0"/>
    <w:rsid w:val="16AA1544"/>
    <w:rsid w:val="16C0D447"/>
    <w:rsid w:val="1724C985"/>
    <w:rsid w:val="17AF21DC"/>
    <w:rsid w:val="17FA78AC"/>
    <w:rsid w:val="180FFDB3"/>
    <w:rsid w:val="18187AF7"/>
    <w:rsid w:val="18508045"/>
    <w:rsid w:val="189B2C30"/>
    <w:rsid w:val="18CB03A8"/>
    <w:rsid w:val="18D59E0A"/>
    <w:rsid w:val="18DDCE76"/>
    <w:rsid w:val="193214B1"/>
    <w:rsid w:val="19C6BB67"/>
    <w:rsid w:val="19E40CCE"/>
    <w:rsid w:val="1A2003DA"/>
    <w:rsid w:val="1A4A7256"/>
    <w:rsid w:val="1A5A1C86"/>
    <w:rsid w:val="1A5FEDA3"/>
    <w:rsid w:val="1A851430"/>
    <w:rsid w:val="1AAEC963"/>
    <w:rsid w:val="1ADE1327"/>
    <w:rsid w:val="1B8BEFD1"/>
    <w:rsid w:val="1BF3BF01"/>
    <w:rsid w:val="1C273CE7"/>
    <w:rsid w:val="1C400578"/>
    <w:rsid w:val="1C478149"/>
    <w:rsid w:val="1C69E844"/>
    <w:rsid w:val="1C6E4432"/>
    <w:rsid w:val="1CBCAD0A"/>
    <w:rsid w:val="1CC1993A"/>
    <w:rsid w:val="1D13A41A"/>
    <w:rsid w:val="1D314009"/>
    <w:rsid w:val="1D32FB06"/>
    <w:rsid w:val="1D38833F"/>
    <w:rsid w:val="1D38BC82"/>
    <w:rsid w:val="1D3E6ACC"/>
    <w:rsid w:val="1D416BD5"/>
    <w:rsid w:val="1D64F397"/>
    <w:rsid w:val="1DDEE1CF"/>
    <w:rsid w:val="1DF3F594"/>
    <w:rsid w:val="1E55B69D"/>
    <w:rsid w:val="1E83ACD1"/>
    <w:rsid w:val="1E92007D"/>
    <w:rsid w:val="1EED8E13"/>
    <w:rsid w:val="1EFB8157"/>
    <w:rsid w:val="1F0DD792"/>
    <w:rsid w:val="1F3694AF"/>
    <w:rsid w:val="1F777632"/>
    <w:rsid w:val="1F92B790"/>
    <w:rsid w:val="1FA00C0A"/>
    <w:rsid w:val="1FB0EC3A"/>
    <w:rsid w:val="1FB8236B"/>
    <w:rsid w:val="1FC98EE3"/>
    <w:rsid w:val="203AC485"/>
    <w:rsid w:val="204249EA"/>
    <w:rsid w:val="20617F3E"/>
    <w:rsid w:val="20619E8D"/>
    <w:rsid w:val="2069A700"/>
    <w:rsid w:val="206BCA2C"/>
    <w:rsid w:val="207A77BC"/>
    <w:rsid w:val="20806C0F"/>
    <w:rsid w:val="210ED16E"/>
    <w:rsid w:val="2112E7EE"/>
    <w:rsid w:val="213598EC"/>
    <w:rsid w:val="21487923"/>
    <w:rsid w:val="214BA9A0"/>
    <w:rsid w:val="215D6092"/>
    <w:rsid w:val="216F0CB2"/>
    <w:rsid w:val="2178812D"/>
    <w:rsid w:val="2251B51D"/>
    <w:rsid w:val="22A3FF3C"/>
    <w:rsid w:val="22D623E6"/>
    <w:rsid w:val="22FCD8FE"/>
    <w:rsid w:val="23065562"/>
    <w:rsid w:val="2349472E"/>
    <w:rsid w:val="23757CA6"/>
    <w:rsid w:val="237873AF"/>
    <w:rsid w:val="2396037D"/>
    <w:rsid w:val="239ED59D"/>
    <w:rsid w:val="23A940A7"/>
    <w:rsid w:val="23AC55EF"/>
    <w:rsid w:val="23BCD045"/>
    <w:rsid w:val="2421794C"/>
    <w:rsid w:val="24383FEF"/>
    <w:rsid w:val="24587938"/>
    <w:rsid w:val="24ABCFC4"/>
    <w:rsid w:val="24E7D3CA"/>
    <w:rsid w:val="2542CD5F"/>
    <w:rsid w:val="254D1FBA"/>
    <w:rsid w:val="25A4DE79"/>
    <w:rsid w:val="25D63CB1"/>
    <w:rsid w:val="25D9B949"/>
    <w:rsid w:val="25DA3B61"/>
    <w:rsid w:val="2631FA43"/>
    <w:rsid w:val="2666371F"/>
    <w:rsid w:val="2667038D"/>
    <w:rsid w:val="26B114B5"/>
    <w:rsid w:val="26C10D7F"/>
    <w:rsid w:val="26C2721C"/>
    <w:rsid w:val="26CAFE4B"/>
    <w:rsid w:val="26D03D64"/>
    <w:rsid w:val="26D74655"/>
    <w:rsid w:val="26ED41D2"/>
    <w:rsid w:val="26EF0471"/>
    <w:rsid w:val="270EFD0E"/>
    <w:rsid w:val="27D76DE7"/>
    <w:rsid w:val="283F1764"/>
    <w:rsid w:val="2881758E"/>
    <w:rsid w:val="28960FD7"/>
    <w:rsid w:val="28B63744"/>
    <w:rsid w:val="28CCB345"/>
    <w:rsid w:val="290B126C"/>
    <w:rsid w:val="2950DF13"/>
    <w:rsid w:val="298CBD76"/>
    <w:rsid w:val="299A7ABB"/>
    <w:rsid w:val="29A34B33"/>
    <w:rsid w:val="29C44A13"/>
    <w:rsid w:val="2A73B323"/>
    <w:rsid w:val="2A96723B"/>
    <w:rsid w:val="2ACE46DA"/>
    <w:rsid w:val="2AEFD4A7"/>
    <w:rsid w:val="2B49D134"/>
    <w:rsid w:val="2B984816"/>
    <w:rsid w:val="2BB7AC9B"/>
    <w:rsid w:val="2BFB106C"/>
    <w:rsid w:val="2C045407"/>
    <w:rsid w:val="2C20B344"/>
    <w:rsid w:val="2C34F922"/>
    <w:rsid w:val="2C4281C8"/>
    <w:rsid w:val="2C78B253"/>
    <w:rsid w:val="2C871D97"/>
    <w:rsid w:val="2D0A9069"/>
    <w:rsid w:val="2D377D48"/>
    <w:rsid w:val="2D5453A0"/>
    <w:rsid w:val="2D7AE030"/>
    <w:rsid w:val="2D7E419E"/>
    <w:rsid w:val="2D99050B"/>
    <w:rsid w:val="2DAF69F6"/>
    <w:rsid w:val="2E0ECF8A"/>
    <w:rsid w:val="2E1A3BEC"/>
    <w:rsid w:val="2E40D0C0"/>
    <w:rsid w:val="2E7EE3BC"/>
    <w:rsid w:val="2EA5187D"/>
    <w:rsid w:val="2EE23703"/>
    <w:rsid w:val="2EE80BF2"/>
    <w:rsid w:val="2F2D4CB6"/>
    <w:rsid w:val="2F3EF5B5"/>
    <w:rsid w:val="2F6360FA"/>
    <w:rsid w:val="2F6C6FA5"/>
    <w:rsid w:val="2FC44424"/>
    <w:rsid w:val="2FDE95EB"/>
    <w:rsid w:val="2FDEC11C"/>
    <w:rsid w:val="2FDFB641"/>
    <w:rsid w:val="3004BE1F"/>
    <w:rsid w:val="3007EDBB"/>
    <w:rsid w:val="30359DEE"/>
    <w:rsid w:val="304D40E3"/>
    <w:rsid w:val="304EDF12"/>
    <w:rsid w:val="30968AF4"/>
    <w:rsid w:val="30BDCB57"/>
    <w:rsid w:val="30F2FE59"/>
    <w:rsid w:val="30FDB134"/>
    <w:rsid w:val="30FF315B"/>
    <w:rsid w:val="3112D764"/>
    <w:rsid w:val="31406B35"/>
    <w:rsid w:val="3143C54E"/>
    <w:rsid w:val="31986CA0"/>
    <w:rsid w:val="31ACB91C"/>
    <w:rsid w:val="322E1850"/>
    <w:rsid w:val="329B01BC"/>
    <w:rsid w:val="329FA783"/>
    <w:rsid w:val="32A7DAAC"/>
    <w:rsid w:val="32EDE25C"/>
    <w:rsid w:val="32F61252"/>
    <w:rsid w:val="33246C84"/>
    <w:rsid w:val="338C1594"/>
    <w:rsid w:val="339ABCD8"/>
    <w:rsid w:val="3413209F"/>
    <w:rsid w:val="3473C19A"/>
    <w:rsid w:val="349EBF5F"/>
    <w:rsid w:val="34C0D7E5"/>
    <w:rsid w:val="350F8B37"/>
    <w:rsid w:val="353BBAF7"/>
    <w:rsid w:val="35778EF5"/>
    <w:rsid w:val="358DBE66"/>
    <w:rsid w:val="360D1494"/>
    <w:rsid w:val="360F4289"/>
    <w:rsid w:val="363E7B92"/>
    <w:rsid w:val="3655675A"/>
    <w:rsid w:val="365EA658"/>
    <w:rsid w:val="3687601D"/>
    <w:rsid w:val="36A2199B"/>
    <w:rsid w:val="37000BEE"/>
    <w:rsid w:val="37135F56"/>
    <w:rsid w:val="372BCDBC"/>
    <w:rsid w:val="37402E88"/>
    <w:rsid w:val="375124AD"/>
    <w:rsid w:val="37992653"/>
    <w:rsid w:val="379AC469"/>
    <w:rsid w:val="37CA9BAC"/>
    <w:rsid w:val="37D30B50"/>
    <w:rsid w:val="37FA6866"/>
    <w:rsid w:val="3884F149"/>
    <w:rsid w:val="38D88111"/>
    <w:rsid w:val="38EDD104"/>
    <w:rsid w:val="3907DC73"/>
    <w:rsid w:val="39267D69"/>
    <w:rsid w:val="394061DB"/>
    <w:rsid w:val="39666C0D"/>
    <w:rsid w:val="3990201F"/>
    <w:rsid w:val="39927808"/>
    <w:rsid w:val="39E3CF3B"/>
    <w:rsid w:val="3A181EFE"/>
    <w:rsid w:val="3A7EBF98"/>
    <w:rsid w:val="3A849A12"/>
    <w:rsid w:val="3A9D4938"/>
    <w:rsid w:val="3AA00377"/>
    <w:rsid w:val="3AA3C90A"/>
    <w:rsid w:val="3AF38E2D"/>
    <w:rsid w:val="3B10B6AD"/>
    <w:rsid w:val="3B206D16"/>
    <w:rsid w:val="3B392298"/>
    <w:rsid w:val="3B7FE8AF"/>
    <w:rsid w:val="3BC9CFF1"/>
    <w:rsid w:val="3C3BD3D8"/>
    <w:rsid w:val="3C44CF5F"/>
    <w:rsid w:val="3C78029D"/>
    <w:rsid w:val="3CAFFB99"/>
    <w:rsid w:val="3CC5646C"/>
    <w:rsid w:val="3CC7497D"/>
    <w:rsid w:val="3CCC49DA"/>
    <w:rsid w:val="3CD4F2F9"/>
    <w:rsid w:val="3CD8B844"/>
    <w:rsid w:val="3CE2B570"/>
    <w:rsid w:val="3CF2589E"/>
    <w:rsid w:val="3CF9A5C2"/>
    <w:rsid w:val="3D328090"/>
    <w:rsid w:val="3D724917"/>
    <w:rsid w:val="3D783770"/>
    <w:rsid w:val="3DB39A03"/>
    <w:rsid w:val="3E1C075A"/>
    <w:rsid w:val="3E30BE2F"/>
    <w:rsid w:val="3E3A4083"/>
    <w:rsid w:val="3E4270C7"/>
    <w:rsid w:val="3E59F4EA"/>
    <w:rsid w:val="3EB2B23F"/>
    <w:rsid w:val="3EE74408"/>
    <w:rsid w:val="3F72335B"/>
    <w:rsid w:val="3FAF2FAF"/>
    <w:rsid w:val="3FFFF22E"/>
    <w:rsid w:val="404DDCD1"/>
    <w:rsid w:val="405C77EA"/>
    <w:rsid w:val="40D9AF60"/>
    <w:rsid w:val="41349DA2"/>
    <w:rsid w:val="416C5522"/>
    <w:rsid w:val="417733EF"/>
    <w:rsid w:val="41C43400"/>
    <w:rsid w:val="41DCF4BF"/>
    <w:rsid w:val="41E54E55"/>
    <w:rsid w:val="424401C1"/>
    <w:rsid w:val="425C245B"/>
    <w:rsid w:val="429420D5"/>
    <w:rsid w:val="42A1F66F"/>
    <w:rsid w:val="42D6A0BF"/>
    <w:rsid w:val="42E38578"/>
    <w:rsid w:val="4304746D"/>
    <w:rsid w:val="4307677F"/>
    <w:rsid w:val="433189F0"/>
    <w:rsid w:val="435A2E36"/>
    <w:rsid w:val="436F4663"/>
    <w:rsid w:val="43C5DCDE"/>
    <w:rsid w:val="43D74494"/>
    <w:rsid w:val="43FB0F61"/>
    <w:rsid w:val="4444B1D6"/>
    <w:rsid w:val="4455790D"/>
    <w:rsid w:val="4459B3C3"/>
    <w:rsid w:val="446A0E61"/>
    <w:rsid w:val="447599B7"/>
    <w:rsid w:val="4478CAD6"/>
    <w:rsid w:val="451615EA"/>
    <w:rsid w:val="45A0D0A4"/>
    <w:rsid w:val="45B01F40"/>
    <w:rsid w:val="45D148E8"/>
    <w:rsid w:val="463EDC2C"/>
    <w:rsid w:val="4678E0AB"/>
    <w:rsid w:val="46A1697C"/>
    <w:rsid w:val="46C7F52E"/>
    <w:rsid w:val="4702BA16"/>
    <w:rsid w:val="47576887"/>
    <w:rsid w:val="47C5F010"/>
    <w:rsid w:val="4814ABA5"/>
    <w:rsid w:val="48454158"/>
    <w:rsid w:val="484CE518"/>
    <w:rsid w:val="484EF9EC"/>
    <w:rsid w:val="486E8FA9"/>
    <w:rsid w:val="4875F2CF"/>
    <w:rsid w:val="4881DB69"/>
    <w:rsid w:val="488F9503"/>
    <w:rsid w:val="489E72DA"/>
    <w:rsid w:val="48ABE12F"/>
    <w:rsid w:val="48F9BF8B"/>
    <w:rsid w:val="49285490"/>
    <w:rsid w:val="492F02F5"/>
    <w:rsid w:val="493E4499"/>
    <w:rsid w:val="4951D115"/>
    <w:rsid w:val="49846DAA"/>
    <w:rsid w:val="4A05371B"/>
    <w:rsid w:val="4A20B529"/>
    <w:rsid w:val="4A263520"/>
    <w:rsid w:val="4A4626BF"/>
    <w:rsid w:val="4AA180FE"/>
    <w:rsid w:val="4AB7BE44"/>
    <w:rsid w:val="4AD374ED"/>
    <w:rsid w:val="4AF0767B"/>
    <w:rsid w:val="4B02F2A4"/>
    <w:rsid w:val="4B1398C0"/>
    <w:rsid w:val="4B563D73"/>
    <w:rsid w:val="4B98DCA8"/>
    <w:rsid w:val="4BA3CAF9"/>
    <w:rsid w:val="4BE9DE44"/>
    <w:rsid w:val="4BEDAAE1"/>
    <w:rsid w:val="4C26E5DE"/>
    <w:rsid w:val="4C992131"/>
    <w:rsid w:val="4C99BDE9"/>
    <w:rsid w:val="4CAEAB78"/>
    <w:rsid w:val="4D202851"/>
    <w:rsid w:val="4D4B01BC"/>
    <w:rsid w:val="4D7E6296"/>
    <w:rsid w:val="4D92BA2C"/>
    <w:rsid w:val="4DA39098"/>
    <w:rsid w:val="4DBB3125"/>
    <w:rsid w:val="4DD9B4EC"/>
    <w:rsid w:val="4E402352"/>
    <w:rsid w:val="4E50ED72"/>
    <w:rsid w:val="4E5F7555"/>
    <w:rsid w:val="4E6F2746"/>
    <w:rsid w:val="4E9B5A7F"/>
    <w:rsid w:val="4EE53AB6"/>
    <w:rsid w:val="4EEAACEC"/>
    <w:rsid w:val="4F2C7123"/>
    <w:rsid w:val="4F2E8A8D"/>
    <w:rsid w:val="4F36DC04"/>
    <w:rsid w:val="4F452F4B"/>
    <w:rsid w:val="4F7C3850"/>
    <w:rsid w:val="4FB0952E"/>
    <w:rsid w:val="5005D07F"/>
    <w:rsid w:val="5032CB0C"/>
    <w:rsid w:val="50E0FFAC"/>
    <w:rsid w:val="510D38DC"/>
    <w:rsid w:val="511B50A2"/>
    <w:rsid w:val="51315B3C"/>
    <w:rsid w:val="5167E4B9"/>
    <w:rsid w:val="516AE1E3"/>
    <w:rsid w:val="5180B041"/>
    <w:rsid w:val="5190C7BB"/>
    <w:rsid w:val="51A4494C"/>
    <w:rsid w:val="52317F1B"/>
    <w:rsid w:val="5240F50F"/>
    <w:rsid w:val="5282540C"/>
    <w:rsid w:val="52C1C7FE"/>
    <w:rsid w:val="531C80A2"/>
    <w:rsid w:val="537412BE"/>
    <w:rsid w:val="53756941"/>
    <w:rsid w:val="53B0039C"/>
    <w:rsid w:val="53B4AFB3"/>
    <w:rsid w:val="53F6CB51"/>
    <w:rsid w:val="542C3C06"/>
    <w:rsid w:val="54367D4B"/>
    <w:rsid w:val="5464F70D"/>
    <w:rsid w:val="5489A674"/>
    <w:rsid w:val="54A24C78"/>
    <w:rsid w:val="54B3C923"/>
    <w:rsid w:val="54C30C62"/>
    <w:rsid w:val="54E7DBB3"/>
    <w:rsid w:val="550A76E2"/>
    <w:rsid w:val="552636E7"/>
    <w:rsid w:val="5557BE98"/>
    <w:rsid w:val="55AE7AC3"/>
    <w:rsid w:val="55B40577"/>
    <w:rsid w:val="55E0F41A"/>
    <w:rsid w:val="561EE9AE"/>
    <w:rsid w:val="562471FE"/>
    <w:rsid w:val="56247895"/>
    <w:rsid w:val="56486AED"/>
    <w:rsid w:val="56515EDD"/>
    <w:rsid w:val="567B8651"/>
    <w:rsid w:val="569721BC"/>
    <w:rsid w:val="56A2939D"/>
    <w:rsid w:val="56C7894C"/>
    <w:rsid w:val="56EEDB43"/>
    <w:rsid w:val="5701A162"/>
    <w:rsid w:val="570BE49A"/>
    <w:rsid w:val="5718C8BC"/>
    <w:rsid w:val="574FA702"/>
    <w:rsid w:val="57504130"/>
    <w:rsid w:val="57D75457"/>
    <w:rsid w:val="57ED5BED"/>
    <w:rsid w:val="57FC1BEA"/>
    <w:rsid w:val="57FD7722"/>
    <w:rsid w:val="580F5C7B"/>
    <w:rsid w:val="5813ADAE"/>
    <w:rsid w:val="582368A4"/>
    <w:rsid w:val="58578B82"/>
    <w:rsid w:val="5863ECFC"/>
    <w:rsid w:val="592D76B9"/>
    <w:rsid w:val="595C12C0"/>
    <w:rsid w:val="5970D84C"/>
    <w:rsid w:val="598ADEB0"/>
    <w:rsid w:val="59F9A80A"/>
    <w:rsid w:val="5A1CEF72"/>
    <w:rsid w:val="5A310FE1"/>
    <w:rsid w:val="5A43855C"/>
    <w:rsid w:val="5A547E6A"/>
    <w:rsid w:val="5A855348"/>
    <w:rsid w:val="5AED71E8"/>
    <w:rsid w:val="5B1103C8"/>
    <w:rsid w:val="5B85596C"/>
    <w:rsid w:val="5B89EAB5"/>
    <w:rsid w:val="5BB876BF"/>
    <w:rsid w:val="5BDEF6C6"/>
    <w:rsid w:val="5C9EC33A"/>
    <w:rsid w:val="5CCC2454"/>
    <w:rsid w:val="5CD8CB34"/>
    <w:rsid w:val="5CF1F36B"/>
    <w:rsid w:val="5CFEE03E"/>
    <w:rsid w:val="5D04043F"/>
    <w:rsid w:val="5D70A606"/>
    <w:rsid w:val="5DDADE5E"/>
    <w:rsid w:val="5DDF9247"/>
    <w:rsid w:val="5F0E78D1"/>
    <w:rsid w:val="5F1D60A2"/>
    <w:rsid w:val="5F1DA1A0"/>
    <w:rsid w:val="5F477CE1"/>
    <w:rsid w:val="5F9AF60A"/>
    <w:rsid w:val="60659A34"/>
    <w:rsid w:val="608B789F"/>
    <w:rsid w:val="608C8818"/>
    <w:rsid w:val="60B322FC"/>
    <w:rsid w:val="610E511B"/>
    <w:rsid w:val="61629D3A"/>
    <w:rsid w:val="61AD3284"/>
    <w:rsid w:val="61BD7899"/>
    <w:rsid w:val="61DFB4E4"/>
    <w:rsid w:val="62136002"/>
    <w:rsid w:val="621E86F0"/>
    <w:rsid w:val="622B8334"/>
    <w:rsid w:val="62B2D2B8"/>
    <w:rsid w:val="62C3F77C"/>
    <w:rsid w:val="632C346B"/>
    <w:rsid w:val="6372446E"/>
    <w:rsid w:val="63AD7B25"/>
    <w:rsid w:val="63BD8E69"/>
    <w:rsid w:val="63C822DD"/>
    <w:rsid w:val="640499D1"/>
    <w:rsid w:val="640669D1"/>
    <w:rsid w:val="64085185"/>
    <w:rsid w:val="64261B43"/>
    <w:rsid w:val="6431EE4A"/>
    <w:rsid w:val="643F6CDE"/>
    <w:rsid w:val="6449FAFE"/>
    <w:rsid w:val="64AE3588"/>
    <w:rsid w:val="64C1F7F6"/>
    <w:rsid w:val="6516E17F"/>
    <w:rsid w:val="654636D3"/>
    <w:rsid w:val="65502F76"/>
    <w:rsid w:val="65FD8763"/>
    <w:rsid w:val="66294E3E"/>
    <w:rsid w:val="66431719"/>
    <w:rsid w:val="6643172D"/>
    <w:rsid w:val="6673B192"/>
    <w:rsid w:val="667E28A2"/>
    <w:rsid w:val="66975138"/>
    <w:rsid w:val="66983C47"/>
    <w:rsid w:val="66A01A84"/>
    <w:rsid w:val="66E8A316"/>
    <w:rsid w:val="66F845E1"/>
    <w:rsid w:val="672B7316"/>
    <w:rsid w:val="677547A5"/>
    <w:rsid w:val="67819B50"/>
    <w:rsid w:val="6792CAF0"/>
    <w:rsid w:val="6793EC51"/>
    <w:rsid w:val="67A55B85"/>
    <w:rsid w:val="67CA1E58"/>
    <w:rsid w:val="67DA3276"/>
    <w:rsid w:val="6819D4A2"/>
    <w:rsid w:val="683A2386"/>
    <w:rsid w:val="6849621F"/>
    <w:rsid w:val="684A2B9A"/>
    <w:rsid w:val="68CCB3F2"/>
    <w:rsid w:val="68E0B025"/>
    <w:rsid w:val="68E0EEC6"/>
    <w:rsid w:val="690A22E1"/>
    <w:rsid w:val="691EC0D0"/>
    <w:rsid w:val="693B576C"/>
    <w:rsid w:val="69878616"/>
    <w:rsid w:val="698A5805"/>
    <w:rsid w:val="6992F278"/>
    <w:rsid w:val="69EBA1BD"/>
    <w:rsid w:val="69F1ED1E"/>
    <w:rsid w:val="6A0979CB"/>
    <w:rsid w:val="6A23C697"/>
    <w:rsid w:val="6B02496C"/>
    <w:rsid w:val="6B5B1744"/>
    <w:rsid w:val="6B81CC5C"/>
    <w:rsid w:val="6BBA0CFE"/>
    <w:rsid w:val="6BFA5168"/>
    <w:rsid w:val="6C3436C9"/>
    <w:rsid w:val="6C398977"/>
    <w:rsid w:val="6C53A626"/>
    <w:rsid w:val="6C5983F3"/>
    <w:rsid w:val="6CA1346B"/>
    <w:rsid w:val="6D1C5C74"/>
    <w:rsid w:val="6D352326"/>
    <w:rsid w:val="6D9FBD41"/>
    <w:rsid w:val="6E10C246"/>
    <w:rsid w:val="6EB5C513"/>
    <w:rsid w:val="6EB96D1E"/>
    <w:rsid w:val="6F432C48"/>
    <w:rsid w:val="6F7DEB4A"/>
    <w:rsid w:val="6F90920A"/>
    <w:rsid w:val="6FF0EE69"/>
    <w:rsid w:val="6FFC8259"/>
    <w:rsid w:val="702385A8"/>
    <w:rsid w:val="703D51D1"/>
    <w:rsid w:val="7052379D"/>
    <w:rsid w:val="70743DF3"/>
    <w:rsid w:val="70C40AC2"/>
    <w:rsid w:val="70E8EA53"/>
    <w:rsid w:val="70EBC20A"/>
    <w:rsid w:val="7147065B"/>
    <w:rsid w:val="714F2710"/>
    <w:rsid w:val="71903FA7"/>
    <w:rsid w:val="71ED65D5"/>
    <w:rsid w:val="71F62D4C"/>
    <w:rsid w:val="7239D5C3"/>
    <w:rsid w:val="72BD0E65"/>
    <w:rsid w:val="73068FB2"/>
    <w:rsid w:val="73262A4F"/>
    <w:rsid w:val="733C1EDF"/>
    <w:rsid w:val="734D00CC"/>
    <w:rsid w:val="734F057A"/>
    <w:rsid w:val="737D43C8"/>
    <w:rsid w:val="73F72B96"/>
    <w:rsid w:val="741543A5"/>
    <w:rsid w:val="74208B15"/>
    <w:rsid w:val="742C2438"/>
    <w:rsid w:val="743F10DE"/>
    <w:rsid w:val="749148B0"/>
    <w:rsid w:val="74E0A670"/>
    <w:rsid w:val="74ECE003"/>
    <w:rsid w:val="75E31924"/>
    <w:rsid w:val="75F4CBEB"/>
    <w:rsid w:val="76258B02"/>
    <w:rsid w:val="762D1911"/>
    <w:rsid w:val="76423B97"/>
    <w:rsid w:val="7678C8D7"/>
    <w:rsid w:val="7681E67D"/>
    <w:rsid w:val="76931CA3"/>
    <w:rsid w:val="76F4F487"/>
    <w:rsid w:val="7753557B"/>
    <w:rsid w:val="779C0906"/>
    <w:rsid w:val="779E7C2F"/>
    <w:rsid w:val="77C5281A"/>
    <w:rsid w:val="77D5DA47"/>
    <w:rsid w:val="77E2CFC1"/>
    <w:rsid w:val="77E3133D"/>
    <w:rsid w:val="7816856D"/>
    <w:rsid w:val="782724FF"/>
    <w:rsid w:val="78D23441"/>
    <w:rsid w:val="78E6A3BF"/>
    <w:rsid w:val="78F2A9A1"/>
    <w:rsid w:val="792B7331"/>
    <w:rsid w:val="7937F868"/>
    <w:rsid w:val="793BF7DA"/>
    <w:rsid w:val="7956D1FE"/>
    <w:rsid w:val="7A2D2539"/>
    <w:rsid w:val="7A48EBD2"/>
    <w:rsid w:val="7A9582E8"/>
    <w:rsid w:val="7AC8B6F2"/>
    <w:rsid w:val="7AD93161"/>
    <w:rsid w:val="7ADCD511"/>
    <w:rsid w:val="7AF594A0"/>
    <w:rsid w:val="7B426A0F"/>
    <w:rsid w:val="7B46EE43"/>
    <w:rsid w:val="7BA198E9"/>
    <w:rsid w:val="7BB67B39"/>
    <w:rsid w:val="7BCB35F9"/>
    <w:rsid w:val="7C173B8D"/>
    <w:rsid w:val="7C3C3066"/>
    <w:rsid w:val="7C4CA5DF"/>
    <w:rsid w:val="7C598A3F"/>
    <w:rsid w:val="7C5FE2DD"/>
    <w:rsid w:val="7CA6FF7F"/>
    <w:rsid w:val="7CB44556"/>
    <w:rsid w:val="7CF0F75D"/>
    <w:rsid w:val="7D000267"/>
    <w:rsid w:val="7D764E58"/>
    <w:rsid w:val="7D8C7D07"/>
    <w:rsid w:val="7DA8A418"/>
    <w:rsid w:val="7DDCE453"/>
    <w:rsid w:val="7DF83C2B"/>
    <w:rsid w:val="7E098941"/>
    <w:rsid w:val="7E100309"/>
    <w:rsid w:val="7E73D005"/>
    <w:rsid w:val="7E919E8D"/>
    <w:rsid w:val="7EAAA21F"/>
    <w:rsid w:val="7EFD3DE2"/>
    <w:rsid w:val="7F2322E6"/>
    <w:rsid w:val="7F284D68"/>
    <w:rsid w:val="7F94BC82"/>
    <w:rsid w:val="7FC04DF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BCD6E8E"/>
  <w15:docId w15:val="{8A2F89BF-6553-4168-8D9E-3F46FF2E5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Calibri" w:hAnsi="Arial"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qFormat="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22B9"/>
    <w:pPr>
      <w:autoSpaceDE w:val="0"/>
      <w:autoSpaceDN w:val="0"/>
      <w:adjustRightInd w:val="0"/>
      <w:spacing w:after="200" w:line="276" w:lineRule="auto"/>
    </w:pPr>
    <w:rPr>
      <w:rFonts w:eastAsia="Times New Roman" w:cs="Arial"/>
      <w:lang w:eastAsia="en-US"/>
    </w:rPr>
  </w:style>
  <w:style w:type="paragraph" w:styleId="Heading1">
    <w:name w:val="heading 1"/>
    <w:basedOn w:val="Header"/>
    <w:next w:val="Normal"/>
    <w:link w:val="Heading1Char"/>
    <w:uiPriority w:val="9"/>
    <w:qFormat/>
    <w:rsid w:val="00343E78"/>
    <w:pPr>
      <w:keepNext/>
      <w:jc w:val="center"/>
      <w:outlineLvl w:val="0"/>
    </w:pPr>
    <w:rPr>
      <w:b/>
      <w:sz w:val="24"/>
    </w:rPr>
  </w:style>
  <w:style w:type="paragraph" w:styleId="Heading2">
    <w:name w:val="heading 2"/>
    <w:basedOn w:val="Header"/>
    <w:next w:val="Normal"/>
    <w:link w:val="Heading2Char"/>
    <w:uiPriority w:val="9"/>
    <w:qFormat/>
    <w:rsid w:val="00343E78"/>
    <w:pPr>
      <w:keepNext/>
      <w:keepLines/>
      <w:tabs>
        <w:tab w:val="left" w:pos="2835"/>
      </w:tabs>
      <w:jc w:val="center"/>
      <w:outlineLvl w:val="1"/>
    </w:pPr>
    <w:rPr>
      <w:b/>
      <w:lang w:eastAsia="en-AU"/>
    </w:rPr>
  </w:style>
  <w:style w:type="paragraph" w:styleId="Heading3">
    <w:name w:val="heading 3"/>
    <w:basedOn w:val="tablelabel"/>
    <w:next w:val="Normal"/>
    <w:link w:val="Heading3Char"/>
    <w:uiPriority w:val="9"/>
    <w:qFormat/>
    <w:rsid w:val="00343E78"/>
    <w:pPr>
      <w:keepNext/>
      <w:spacing w:before="200"/>
      <w:outlineLvl w:val="2"/>
    </w:pPr>
    <w:rPr>
      <w:sz w:val="20"/>
    </w:rPr>
  </w:style>
  <w:style w:type="paragraph" w:styleId="Heading4">
    <w:name w:val="heading 4"/>
    <w:basedOn w:val="PlainText"/>
    <w:next w:val="Normal"/>
    <w:link w:val="Heading4Char"/>
    <w:uiPriority w:val="9"/>
    <w:qFormat/>
    <w:rsid w:val="00343E78"/>
    <w:pPr>
      <w:keepNext/>
      <w:outlineLvl w:val="3"/>
    </w:pPr>
    <w:rPr>
      <w:rFonts w:ascii="Arial" w:eastAsia="Times New Roman" w:hAnsi="Arial" w:cs="Arial"/>
      <w:sz w:val="20"/>
      <w:szCs w:val="20"/>
      <w:u w:val="single"/>
    </w:rPr>
  </w:style>
  <w:style w:type="paragraph" w:styleId="Heading5">
    <w:name w:val="heading 5"/>
    <w:basedOn w:val="PlainText"/>
    <w:next w:val="Normal"/>
    <w:link w:val="Heading5Char"/>
    <w:uiPriority w:val="9"/>
    <w:unhideWhenUsed/>
    <w:qFormat/>
    <w:rsid w:val="00343E78"/>
    <w:pPr>
      <w:keepNext/>
      <w:outlineLvl w:val="4"/>
    </w:pPr>
    <w:rPr>
      <w:rFonts w:ascii="Arial" w:eastAsia="Times New Roman" w:hAnsi="Arial" w:cs="Arial"/>
      <w:i/>
      <w:sz w:val="20"/>
      <w:szCs w:val="20"/>
    </w:rPr>
  </w:style>
  <w:style w:type="paragraph" w:styleId="Heading6">
    <w:name w:val="heading 6"/>
    <w:basedOn w:val="tablelabel"/>
    <w:next w:val="Normal"/>
    <w:link w:val="Heading6Char"/>
    <w:uiPriority w:val="9"/>
    <w:unhideWhenUsed/>
    <w:qFormat/>
    <w:rsid w:val="00D622B9"/>
    <w:pPr>
      <w:spacing w:after="0"/>
      <w:outlineLvl w:val="5"/>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A60185"/>
    <w:pPr>
      <w:tabs>
        <w:tab w:val="center" w:pos="4513"/>
        <w:tab w:val="right" w:pos="9026"/>
      </w:tabs>
    </w:pPr>
  </w:style>
  <w:style w:type="character" w:customStyle="1" w:styleId="HeaderChar">
    <w:name w:val="Header Char"/>
    <w:basedOn w:val="DefaultParagraphFont"/>
    <w:link w:val="Header"/>
    <w:uiPriority w:val="99"/>
    <w:rsid w:val="00A60185"/>
  </w:style>
  <w:style w:type="paragraph" w:styleId="Footer">
    <w:name w:val="footer"/>
    <w:basedOn w:val="Normal"/>
    <w:link w:val="FooterChar"/>
    <w:uiPriority w:val="99"/>
    <w:unhideWhenUsed/>
    <w:qFormat/>
    <w:rsid w:val="00637239"/>
    <w:pPr>
      <w:pBdr>
        <w:top w:val="single" w:sz="4" w:space="1" w:color="auto"/>
      </w:pBdr>
      <w:tabs>
        <w:tab w:val="center" w:pos="4513"/>
        <w:tab w:val="right" w:pos="9026"/>
      </w:tabs>
      <w:spacing w:after="0"/>
    </w:pPr>
    <w:rPr>
      <w:sz w:val="12"/>
    </w:rPr>
  </w:style>
  <w:style w:type="character" w:customStyle="1" w:styleId="FooterChar">
    <w:name w:val="Footer Char"/>
    <w:basedOn w:val="DefaultParagraphFont"/>
    <w:link w:val="Footer"/>
    <w:uiPriority w:val="99"/>
    <w:rsid w:val="00637239"/>
    <w:rPr>
      <w:rFonts w:eastAsia="Times New Roman" w:cs="Arial"/>
      <w:sz w:val="12"/>
      <w:lang w:eastAsia="en-US"/>
    </w:rPr>
  </w:style>
  <w:style w:type="paragraph" w:styleId="BalloonText">
    <w:name w:val="Balloon Text"/>
    <w:basedOn w:val="Normal"/>
    <w:link w:val="BalloonTextChar"/>
    <w:uiPriority w:val="99"/>
    <w:semiHidden/>
    <w:unhideWhenUsed/>
    <w:rsid w:val="00A60185"/>
    <w:rPr>
      <w:rFonts w:ascii="Tahoma" w:hAnsi="Tahoma" w:cs="Tahoma"/>
      <w:sz w:val="16"/>
      <w:szCs w:val="16"/>
    </w:rPr>
  </w:style>
  <w:style w:type="character" w:customStyle="1" w:styleId="BalloonTextChar">
    <w:name w:val="Balloon Text Char"/>
    <w:basedOn w:val="DefaultParagraphFont"/>
    <w:link w:val="BalloonText"/>
    <w:uiPriority w:val="99"/>
    <w:semiHidden/>
    <w:rsid w:val="00A60185"/>
    <w:rPr>
      <w:rFonts w:ascii="Tahoma" w:hAnsi="Tahoma" w:cs="Tahoma"/>
      <w:sz w:val="16"/>
      <w:szCs w:val="16"/>
    </w:rPr>
  </w:style>
  <w:style w:type="numbering" w:customStyle="1" w:styleId="KeyPoints">
    <w:name w:val="Key Points"/>
    <w:basedOn w:val="NoList"/>
    <w:uiPriority w:val="99"/>
    <w:rsid w:val="00005CAA"/>
    <w:pPr>
      <w:numPr>
        <w:numId w:val="1"/>
      </w:numPr>
    </w:pPr>
  </w:style>
  <w:style w:type="paragraph" w:customStyle="1" w:styleId="1NumberedPointsStyle">
    <w:name w:val="1. Numbered Points Style"/>
    <w:basedOn w:val="ListParagraph"/>
    <w:rsid w:val="00BD1A6F"/>
    <w:pPr>
      <w:numPr>
        <w:numId w:val="0"/>
      </w:numPr>
    </w:pPr>
  </w:style>
  <w:style w:type="numbering" w:customStyle="1" w:styleId="BulletList">
    <w:name w:val="Bullet List"/>
    <w:uiPriority w:val="99"/>
    <w:rsid w:val="00091608"/>
    <w:pPr>
      <w:numPr>
        <w:numId w:val="2"/>
      </w:numPr>
    </w:pPr>
  </w:style>
  <w:style w:type="paragraph" w:customStyle="1" w:styleId="1BulletStyleList">
    <w:name w:val="1. Bullet Style List"/>
    <w:basedOn w:val="Normal"/>
    <w:rsid w:val="00CE71C2"/>
    <w:rPr>
      <w:lang w:eastAsia="en-AU"/>
    </w:rPr>
  </w:style>
  <w:style w:type="character" w:customStyle="1" w:styleId="Heading1Char">
    <w:name w:val="Heading 1 Char"/>
    <w:basedOn w:val="DefaultParagraphFont"/>
    <w:link w:val="Heading1"/>
    <w:uiPriority w:val="9"/>
    <w:rsid w:val="00343E78"/>
    <w:rPr>
      <w:rFonts w:eastAsia="Times New Roman" w:cs="Arial"/>
      <w:b/>
      <w:sz w:val="24"/>
      <w:lang w:eastAsia="en-US"/>
    </w:rPr>
  </w:style>
  <w:style w:type="character" w:customStyle="1" w:styleId="Heading2Char">
    <w:name w:val="Heading 2 Char"/>
    <w:basedOn w:val="DefaultParagraphFont"/>
    <w:link w:val="Heading2"/>
    <w:uiPriority w:val="9"/>
    <w:rsid w:val="00343E78"/>
    <w:rPr>
      <w:rFonts w:eastAsia="Times New Roman" w:cs="Arial"/>
      <w:b/>
    </w:rPr>
  </w:style>
  <w:style w:type="character" w:customStyle="1" w:styleId="Heading3Char">
    <w:name w:val="Heading 3 Char"/>
    <w:basedOn w:val="DefaultParagraphFont"/>
    <w:link w:val="Heading3"/>
    <w:uiPriority w:val="9"/>
    <w:rsid w:val="00343E78"/>
    <w:rPr>
      <w:rFonts w:eastAsia="Times New Roman" w:cs="Arial"/>
      <w:b/>
      <w:lang w:eastAsia="en-US"/>
    </w:rPr>
  </w:style>
  <w:style w:type="character" w:customStyle="1" w:styleId="Heading4Char">
    <w:name w:val="Heading 4 Char"/>
    <w:basedOn w:val="DefaultParagraphFont"/>
    <w:link w:val="Heading4"/>
    <w:uiPriority w:val="9"/>
    <w:rsid w:val="00343E78"/>
    <w:rPr>
      <w:rFonts w:eastAsia="Times New Roman" w:cs="Arial"/>
      <w:u w:val="single"/>
      <w:lang w:eastAsia="en-US"/>
    </w:rPr>
  </w:style>
  <w:style w:type="paragraph" w:styleId="ListBullet">
    <w:name w:val="List Bullet"/>
    <w:basedOn w:val="Normal"/>
    <w:uiPriority w:val="99"/>
    <w:unhideWhenUsed/>
    <w:qFormat/>
    <w:rsid w:val="00D441B2"/>
    <w:pPr>
      <w:numPr>
        <w:numId w:val="6"/>
      </w:numPr>
    </w:pPr>
    <w:rPr>
      <w:lang w:val="en-US"/>
    </w:rPr>
  </w:style>
  <w:style w:type="paragraph" w:styleId="ListBullet2">
    <w:name w:val="List Bullet 2"/>
    <w:basedOn w:val="Normal"/>
    <w:uiPriority w:val="99"/>
    <w:unhideWhenUsed/>
    <w:rsid w:val="00091608"/>
  </w:style>
  <w:style w:type="paragraph" w:styleId="ListBullet3">
    <w:name w:val="List Bullet 3"/>
    <w:basedOn w:val="Normal"/>
    <w:uiPriority w:val="99"/>
    <w:unhideWhenUsed/>
    <w:rsid w:val="00091608"/>
  </w:style>
  <w:style w:type="paragraph" w:styleId="ListBullet4">
    <w:name w:val="List Bullet 4"/>
    <w:basedOn w:val="Normal"/>
    <w:uiPriority w:val="99"/>
    <w:unhideWhenUsed/>
    <w:rsid w:val="00091608"/>
  </w:style>
  <w:style w:type="paragraph" w:styleId="ListBullet5">
    <w:name w:val="List Bullet 5"/>
    <w:basedOn w:val="Normal"/>
    <w:uiPriority w:val="99"/>
    <w:unhideWhenUsed/>
    <w:rsid w:val="00091608"/>
  </w:style>
  <w:style w:type="numbering" w:customStyle="1" w:styleId="Attach">
    <w:name w:val="Attach"/>
    <w:basedOn w:val="NoList"/>
    <w:uiPriority w:val="99"/>
    <w:rsid w:val="00607FC9"/>
    <w:pPr>
      <w:numPr>
        <w:numId w:val="3"/>
      </w:numPr>
    </w:pPr>
  </w:style>
  <w:style w:type="paragraph" w:customStyle="1" w:styleId="Classification">
    <w:name w:val="Classification"/>
    <w:basedOn w:val="Normal"/>
    <w:uiPriority w:val="10"/>
    <w:rsid w:val="00646122"/>
    <w:pPr>
      <w:tabs>
        <w:tab w:val="center" w:pos="4536"/>
        <w:tab w:val="center" w:pos="4819"/>
        <w:tab w:val="right" w:pos="9356"/>
      </w:tabs>
      <w:spacing w:after="240"/>
      <w:jc w:val="center"/>
    </w:pPr>
    <w:rPr>
      <w:color w:val="FF0000"/>
      <w:sz w:val="28"/>
      <w:szCs w:val="28"/>
      <w:lang w:eastAsia="en-AU"/>
    </w:rPr>
  </w:style>
  <w:style w:type="paragraph" w:styleId="ListParagraph">
    <w:name w:val="List Paragraph"/>
    <w:basedOn w:val="Normal"/>
    <w:uiPriority w:val="34"/>
    <w:qFormat/>
    <w:rsid w:val="003556BD"/>
    <w:pPr>
      <w:numPr>
        <w:numId w:val="4"/>
      </w:numPr>
    </w:pPr>
  </w:style>
  <w:style w:type="character" w:styleId="BookTitle">
    <w:name w:val="Book Title"/>
    <w:basedOn w:val="DefaultParagraphFont"/>
    <w:uiPriority w:val="33"/>
    <w:rsid w:val="00383020"/>
    <w:rPr>
      <w:bCs/>
      <w:i/>
      <w:smallCaps/>
      <w:spacing w:val="5"/>
    </w:rPr>
  </w:style>
  <w:style w:type="paragraph" w:styleId="ListNumber">
    <w:name w:val="List Number"/>
    <w:basedOn w:val="Normal"/>
    <w:uiPriority w:val="99"/>
    <w:qFormat/>
    <w:rsid w:val="00186465"/>
    <w:pPr>
      <w:numPr>
        <w:numId w:val="5"/>
      </w:numPr>
    </w:pPr>
  </w:style>
  <w:style w:type="paragraph" w:styleId="ListNumber2">
    <w:name w:val="List Number 2"/>
    <w:basedOn w:val="Normal"/>
    <w:uiPriority w:val="99"/>
    <w:qFormat/>
    <w:rsid w:val="00186465"/>
    <w:pPr>
      <w:numPr>
        <w:ilvl w:val="1"/>
        <w:numId w:val="5"/>
      </w:numPr>
    </w:pPr>
  </w:style>
  <w:style w:type="paragraph" w:styleId="ListNumber3">
    <w:name w:val="List Number 3"/>
    <w:basedOn w:val="Normal"/>
    <w:uiPriority w:val="99"/>
    <w:qFormat/>
    <w:rsid w:val="009E79B6"/>
    <w:pPr>
      <w:numPr>
        <w:ilvl w:val="2"/>
        <w:numId w:val="5"/>
      </w:numPr>
      <w:ind w:left="993" w:hanging="284"/>
    </w:pPr>
  </w:style>
  <w:style w:type="paragraph" w:styleId="ListNumber4">
    <w:name w:val="List Number 4"/>
    <w:basedOn w:val="Normal"/>
    <w:uiPriority w:val="99"/>
    <w:rsid w:val="00005CAA"/>
    <w:pPr>
      <w:numPr>
        <w:ilvl w:val="3"/>
        <w:numId w:val="5"/>
      </w:numPr>
    </w:pPr>
  </w:style>
  <w:style w:type="paragraph" w:styleId="ListNumber5">
    <w:name w:val="List Number 5"/>
    <w:basedOn w:val="Normal"/>
    <w:uiPriority w:val="99"/>
    <w:rsid w:val="00005CAA"/>
    <w:pPr>
      <w:numPr>
        <w:ilvl w:val="4"/>
        <w:numId w:val="5"/>
      </w:numPr>
    </w:pPr>
  </w:style>
  <w:style w:type="paragraph" w:customStyle="1" w:styleId="Footerclassification">
    <w:name w:val="Footer classification"/>
    <w:basedOn w:val="Classification"/>
    <w:rsid w:val="00D021CB"/>
    <w:pPr>
      <w:spacing w:before="240" w:after="0"/>
    </w:pPr>
  </w:style>
  <w:style w:type="table" w:styleId="TableGrid">
    <w:name w:val="Table Grid"/>
    <w:basedOn w:val="TableNormal"/>
    <w:uiPriority w:val="59"/>
    <w:rsid w:val="00100BEF"/>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Autospacing="0" w:afterLines="0" w:afterAutospacing="0"/>
      </w:pPr>
      <w:rPr>
        <w:rFonts w:ascii="Arial" w:hAnsi="Arial"/>
        <w:sz w:val="20"/>
      </w:rPr>
    </w:tblStylePr>
    <w:tblStylePr w:type="lastRow">
      <w:pPr>
        <w:wordWrap/>
        <w:spacing w:beforeLines="0" w:beforeAutospacing="0" w:afterLines="0" w:afterAutospacing="0"/>
      </w:pPr>
      <w:rPr>
        <w:rFonts w:ascii="Arial" w:hAnsi="Arial"/>
        <w:sz w:val="20"/>
      </w:rPr>
    </w:tblStylePr>
    <w:tblStylePr w:type="band1Horz">
      <w:pPr>
        <w:wordWrap/>
        <w:spacing w:beforeLines="0" w:beforeAutospacing="0" w:afterLines="0" w:afterAutospacing="0" w:line="240" w:lineRule="auto"/>
        <w:contextualSpacing w:val="0"/>
        <w:mirrorIndents w:val="0"/>
      </w:pPr>
      <w:rPr>
        <w:rFonts w:ascii="Arial" w:hAnsi="Arial"/>
        <w:sz w:val="20"/>
      </w:rPr>
    </w:tblStylePr>
    <w:tblStylePr w:type="band2Horz">
      <w:pPr>
        <w:wordWrap/>
        <w:spacing w:beforeLines="0" w:beforeAutospacing="0" w:afterLines="0" w:afterAutospacing="0"/>
        <w:contextualSpacing w:val="0"/>
        <w:mirrorIndents w:val="0"/>
      </w:pPr>
      <w:rPr>
        <w:rFonts w:ascii="Arial" w:hAnsi="Arial"/>
        <w:sz w:val="20"/>
      </w:rPr>
    </w:tblStylePr>
  </w:style>
  <w:style w:type="paragraph" w:customStyle="1" w:styleId="Tabletext">
    <w:name w:val="Table text"/>
    <w:basedOn w:val="Normal"/>
    <w:uiPriority w:val="9"/>
    <w:qFormat/>
    <w:rsid w:val="00D622B9"/>
    <w:pPr>
      <w:spacing w:after="0"/>
    </w:pPr>
  </w:style>
  <w:style w:type="paragraph" w:customStyle="1" w:styleId="tablelabel">
    <w:name w:val="table label"/>
    <w:basedOn w:val="Normal"/>
    <w:rsid w:val="001765DA"/>
    <w:rPr>
      <w:b/>
      <w:sz w:val="16"/>
    </w:rPr>
  </w:style>
  <w:style w:type="paragraph" w:customStyle="1" w:styleId="Default">
    <w:name w:val="Default"/>
    <w:rsid w:val="00737CBA"/>
    <w:pPr>
      <w:autoSpaceDE w:val="0"/>
      <w:autoSpaceDN w:val="0"/>
      <w:adjustRightInd w:val="0"/>
    </w:pPr>
    <w:rPr>
      <w:rFonts w:ascii="Calibri" w:hAnsi="Calibri" w:cs="Calibri"/>
      <w:color w:val="000000"/>
      <w:sz w:val="24"/>
      <w:szCs w:val="24"/>
    </w:rPr>
  </w:style>
  <w:style w:type="character" w:styleId="Hyperlink">
    <w:name w:val="Hyperlink"/>
    <w:basedOn w:val="DefaultParagraphFont"/>
    <w:uiPriority w:val="99"/>
    <w:unhideWhenUsed/>
    <w:rsid w:val="002A5EC3"/>
    <w:rPr>
      <w:color w:val="0000FF" w:themeColor="hyperlink"/>
      <w:u w:val="single"/>
    </w:rPr>
  </w:style>
  <w:style w:type="paragraph" w:styleId="Revision">
    <w:name w:val="Revision"/>
    <w:hidden/>
    <w:uiPriority w:val="99"/>
    <w:semiHidden/>
    <w:rsid w:val="008B1627"/>
    <w:rPr>
      <w:rFonts w:ascii="Times New Roman" w:eastAsia="Times New Roman" w:hAnsi="Times New Roman"/>
      <w:sz w:val="24"/>
      <w:szCs w:val="24"/>
      <w:lang w:eastAsia="en-US"/>
    </w:rPr>
  </w:style>
  <w:style w:type="paragraph" w:styleId="PlainText">
    <w:name w:val="Plain Text"/>
    <w:basedOn w:val="Normal"/>
    <w:link w:val="PlainTextChar"/>
    <w:uiPriority w:val="99"/>
    <w:unhideWhenUsed/>
    <w:rsid w:val="00D00281"/>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D00281"/>
    <w:rPr>
      <w:rFonts w:ascii="Consolas" w:eastAsiaTheme="minorHAnsi" w:hAnsi="Consolas" w:cstheme="minorBidi"/>
      <w:sz w:val="21"/>
      <w:szCs w:val="21"/>
      <w:lang w:eastAsia="en-US"/>
    </w:rPr>
  </w:style>
  <w:style w:type="character" w:customStyle="1" w:styleId="Heading5Char">
    <w:name w:val="Heading 5 Char"/>
    <w:basedOn w:val="DefaultParagraphFont"/>
    <w:link w:val="Heading5"/>
    <w:uiPriority w:val="9"/>
    <w:rsid w:val="00343E78"/>
    <w:rPr>
      <w:rFonts w:eastAsia="Times New Roman" w:cs="Arial"/>
      <w:i/>
      <w:lang w:eastAsia="en-US"/>
    </w:rPr>
  </w:style>
  <w:style w:type="character" w:styleId="CommentReference">
    <w:name w:val="annotation reference"/>
    <w:basedOn w:val="DefaultParagraphFont"/>
    <w:uiPriority w:val="99"/>
    <w:semiHidden/>
    <w:unhideWhenUsed/>
    <w:rsid w:val="003E2135"/>
    <w:rPr>
      <w:sz w:val="16"/>
      <w:szCs w:val="16"/>
    </w:rPr>
  </w:style>
  <w:style w:type="paragraph" w:styleId="CommentText">
    <w:name w:val="annotation text"/>
    <w:basedOn w:val="Normal"/>
    <w:link w:val="CommentTextChar"/>
    <w:uiPriority w:val="99"/>
    <w:semiHidden/>
    <w:unhideWhenUsed/>
    <w:rsid w:val="003E2135"/>
  </w:style>
  <w:style w:type="character" w:customStyle="1" w:styleId="CommentTextChar">
    <w:name w:val="Comment Text Char"/>
    <w:basedOn w:val="DefaultParagraphFont"/>
    <w:link w:val="CommentText"/>
    <w:uiPriority w:val="99"/>
    <w:semiHidden/>
    <w:rsid w:val="003E2135"/>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3E2135"/>
    <w:rPr>
      <w:b/>
      <w:bCs/>
    </w:rPr>
  </w:style>
  <w:style w:type="character" w:customStyle="1" w:styleId="CommentSubjectChar">
    <w:name w:val="Comment Subject Char"/>
    <w:basedOn w:val="CommentTextChar"/>
    <w:link w:val="CommentSubject"/>
    <w:uiPriority w:val="99"/>
    <w:semiHidden/>
    <w:rsid w:val="003E2135"/>
    <w:rPr>
      <w:rFonts w:ascii="Times New Roman" w:eastAsia="Times New Roman" w:hAnsi="Times New Roman"/>
      <w:b/>
      <w:bCs/>
      <w:lang w:eastAsia="en-US"/>
    </w:rPr>
  </w:style>
  <w:style w:type="paragraph" w:customStyle="1" w:styleId="Question">
    <w:name w:val="Question"/>
    <w:basedOn w:val="Normal"/>
    <w:link w:val="QuestionChar"/>
    <w:qFormat/>
    <w:rsid w:val="00186465"/>
    <w:pPr>
      <w:pBdr>
        <w:top w:val="single" w:sz="4" w:space="1" w:color="auto"/>
        <w:left w:val="single" w:sz="4" w:space="4" w:color="auto"/>
        <w:bottom w:val="single" w:sz="4" w:space="1" w:color="auto"/>
        <w:right w:val="single" w:sz="4" w:space="4" w:color="auto"/>
      </w:pBdr>
    </w:pPr>
  </w:style>
  <w:style w:type="character" w:customStyle="1" w:styleId="Heading6Char">
    <w:name w:val="Heading 6 Char"/>
    <w:basedOn w:val="DefaultParagraphFont"/>
    <w:link w:val="Heading6"/>
    <w:uiPriority w:val="9"/>
    <w:rsid w:val="00D622B9"/>
    <w:rPr>
      <w:rFonts w:eastAsia="Times New Roman" w:cs="Arial"/>
      <w:b/>
      <w:lang w:eastAsia="en-US"/>
    </w:rPr>
  </w:style>
  <w:style w:type="character" w:customStyle="1" w:styleId="QuestionChar">
    <w:name w:val="Question Char"/>
    <w:basedOn w:val="DefaultParagraphFont"/>
    <w:link w:val="Question"/>
    <w:rsid w:val="00186465"/>
    <w:rPr>
      <w:rFonts w:eastAsia="Times New Roman" w:cs="Arial"/>
      <w:lang w:eastAsia="en-US"/>
    </w:rPr>
  </w:style>
  <w:style w:type="character" w:styleId="LineNumber">
    <w:name w:val="line number"/>
    <w:basedOn w:val="DefaultParagraphFont"/>
    <w:uiPriority w:val="99"/>
    <w:semiHidden/>
    <w:unhideWhenUsed/>
    <w:rsid w:val="00277A51"/>
  </w:style>
  <w:style w:type="paragraph" w:customStyle="1" w:styleId="NEWNormalTNR12">
    <w:name w:val="NEW Normal TNR 12"/>
    <w:link w:val="NEWNormalTNR12Char"/>
    <w:qFormat/>
    <w:rsid w:val="00CD7E84"/>
    <w:pPr>
      <w:tabs>
        <w:tab w:val="left" w:pos="5670"/>
        <w:tab w:val="right" w:pos="9070"/>
      </w:tabs>
      <w:spacing w:before="240" w:after="240"/>
    </w:pPr>
    <w:rPr>
      <w:rFonts w:ascii="Times New Roman" w:eastAsiaTheme="minorHAnsi" w:hAnsi="Times New Roman"/>
      <w:sz w:val="24"/>
      <w:szCs w:val="22"/>
      <w:lang w:eastAsia="en-US"/>
    </w:rPr>
  </w:style>
  <w:style w:type="character" w:customStyle="1" w:styleId="NEWNormalTNR12Char">
    <w:name w:val="NEW Normal TNR 12 Char"/>
    <w:basedOn w:val="DefaultParagraphFont"/>
    <w:link w:val="NEWNormalTNR12"/>
    <w:rsid w:val="00CD7E84"/>
    <w:rPr>
      <w:rFonts w:ascii="Times New Roman" w:eastAsiaTheme="minorHAnsi" w:hAnsi="Times New Roman"/>
      <w:sz w:val="24"/>
      <w:szCs w:val="22"/>
      <w:lang w:eastAsia="en-US"/>
    </w:rPr>
  </w:style>
  <w:style w:type="character" w:styleId="FollowedHyperlink">
    <w:name w:val="FollowedHyperlink"/>
    <w:basedOn w:val="DefaultParagraphFont"/>
    <w:uiPriority w:val="99"/>
    <w:semiHidden/>
    <w:unhideWhenUsed/>
    <w:rsid w:val="001E2E34"/>
    <w:rPr>
      <w:color w:val="800080" w:themeColor="followedHyperlink"/>
      <w:u w:val="single"/>
    </w:rPr>
  </w:style>
  <w:style w:type="character" w:styleId="UnresolvedMention">
    <w:name w:val="Unresolved Mention"/>
    <w:basedOn w:val="DefaultParagraphFont"/>
    <w:uiPriority w:val="99"/>
    <w:semiHidden/>
    <w:unhideWhenUsed/>
    <w:rsid w:val="00BC27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248693">
      <w:bodyDiv w:val="1"/>
      <w:marLeft w:val="0"/>
      <w:marRight w:val="0"/>
      <w:marTop w:val="0"/>
      <w:marBottom w:val="0"/>
      <w:divBdr>
        <w:top w:val="none" w:sz="0" w:space="0" w:color="auto"/>
        <w:left w:val="none" w:sz="0" w:space="0" w:color="auto"/>
        <w:bottom w:val="none" w:sz="0" w:space="0" w:color="auto"/>
        <w:right w:val="none" w:sz="0" w:space="0" w:color="auto"/>
      </w:divBdr>
    </w:div>
    <w:div w:id="347414491">
      <w:bodyDiv w:val="1"/>
      <w:marLeft w:val="0"/>
      <w:marRight w:val="0"/>
      <w:marTop w:val="0"/>
      <w:marBottom w:val="0"/>
      <w:divBdr>
        <w:top w:val="none" w:sz="0" w:space="0" w:color="auto"/>
        <w:left w:val="none" w:sz="0" w:space="0" w:color="auto"/>
        <w:bottom w:val="none" w:sz="0" w:space="0" w:color="auto"/>
        <w:right w:val="none" w:sz="0" w:space="0" w:color="auto"/>
      </w:divBdr>
    </w:div>
    <w:div w:id="398284211">
      <w:bodyDiv w:val="1"/>
      <w:marLeft w:val="0"/>
      <w:marRight w:val="0"/>
      <w:marTop w:val="0"/>
      <w:marBottom w:val="0"/>
      <w:divBdr>
        <w:top w:val="none" w:sz="0" w:space="0" w:color="auto"/>
        <w:left w:val="none" w:sz="0" w:space="0" w:color="auto"/>
        <w:bottom w:val="none" w:sz="0" w:space="0" w:color="auto"/>
        <w:right w:val="none" w:sz="0" w:space="0" w:color="auto"/>
      </w:divBdr>
    </w:div>
    <w:div w:id="530730706">
      <w:bodyDiv w:val="1"/>
      <w:marLeft w:val="0"/>
      <w:marRight w:val="0"/>
      <w:marTop w:val="0"/>
      <w:marBottom w:val="0"/>
      <w:divBdr>
        <w:top w:val="none" w:sz="0" w:space="0" w:color="auto"/>
        <w:left w:val="none" w:sz="0" w:space="0" w:color="auto"/>
        <w:bottom w:val="none" w:sz="0" w:space="0" w:color="auto"/>
        <w:right w:val="none" w:sz="0" w:space="0" w:color="auto"/>
      </w:divBdr>
    </w:div>
    <w:div w:id="572618434">
      <w:bodyDiv w:val="1"/>
      <w:marLeft w:val="0"/>
      <w:marRight w:val="0"/>
      <w:marTop w:val="0"/>
      <w:marBottom w:val="0"/>
      <w:divBdr>
        <w:top w:val="none" w:sz="0" w:space="0" w:color="auto"/>
        <w:left w:val="none" w:sz="0" w:space="0" w:color="auto"/>
        <w:bottom w:val="none" w:sz="0" w:space="0" w:color="auto"/>
        <w:right w:val="none" w:sz="0" w:space="0" w:color="auto"/>
      </w:divBdr>
    </w:div>
    <w:div w:id="986327354">
      <w:bodyDiv w:val="1"/>
      <w:marLeft w:val="0"/>
      <w:marRight w:val="0"/>
      <w:marTop w:val="0"/>
      <w:marBottom w:val="0"/>
      <w:divBdr>
        <w:top w:val="none" w:sz="0" w:space="0" w:color="auto"/>
        <w:left w:val="none" w:sz="0" w:space="0" w:color="auto"/>
        <w:bottom w:val="none" w:sz="0" w:space="0" w:color="auto"/>
        <w:right w:val="none" w:sz="0" w:space="0" w:color="auto"/>
      </w:divBdr>
    </w:div>
    <w:div w:id="1219168437">
      <w:bodyDiv w:val="1"/>
      <w:marLeft w:val="0"/>
      <w:marRight w:val="0"/>
      <w:marTop w:val="0"/>
      <w:marBottom w:val="0"/>
      <w:divBdr>
        <w:top w:val="none" w:sz="0" w:space="0" w:color="auto"/>
        <w:left w:val="none" w:sz="0" w:space="0" w:color="auto"/>
        <w:bottom w:val="none" w:sz="0" w:space="0" w:color="auto"/>
        <w:right w:val="none" w:sz="0" w:space="0" w:color="auto"/>
      </w:divBdr>
      <w:divsChild>
        <w:div w:id="2141993830">
          <w:marLeft w:val="0"/>
          <w:marRight w:val="0"/>
          <w:marTop w:val="0"/>
          <w:marBottom w:val="0"/>
          <w:divBdr>
            <w:top w:val="none" w:sz="0" w:space="0" w:color="auto"/>
            <w:left w:val="none" w:sz="0" w:space="0" w:color="auto"/>
            <w:bottom w:val="none" w:sz="0" w:space="0" w:color="auto"/>
            <w:right w:val="none" w:sz="0" w:space="0" w:color="auto"/>
          </w:divBdr>
          <w:divsChild>
            <w:div w:id="989364026">
              <w:marLeft w:val="0"/>
              <w:marRight w:val="0"/>
              <w:marTop w:val="0"/>
              <w:marBottom w:val="0"/>
              <w:divBdr>
                <w:top w:val="none" w:sz="0" w:space="0" w:color="auto"/>
                <w:left w:val="none" w:sz="0" w:space="0" w:color="auto"/>
                <w:bottom w:val="none" w:sz="0" w:space="0" w:color="auto"/>
                <w:right w:val="none" w:sz="0" w:space="0" w:color="auto"/>
              </w:divBdr>
              <w:divsChild>
                <w:div w:id="439494423">
                  <w:marLeft w:val="0"/>
                  <w:marRight w:val="0"/>
                  <w:marTop w:val="0"/>
                  <w:marBottom w:val="0"/>
                  <w:divBdr>
                    <w:top w:val="none" w:sz="0" w:space="0" w:color="auto"/>
                    <w:left w:val="none" w:sz="0" w:space="0" w:color="auto"/>
                    <w:bottom w:val="none" w:sz="0" w:space="0" w:color="auto"/>
                    <w:right w:val="none" w:sz="0" w:space="0" w:color="auto"/>
                  </w:divBdr>
                  <w:divsChild>
                    <w:div w:id="92286226">
                      <w:marLeft w:val="0"/>
                      <w:marRight w:val="0"/>
                      <w:marTop w:val="0"/>
                      <w:marBottom w:val="0"/>
                      <w:divBdr>
                        <w:top w:val="none" w:sz="0" w:space="0" w:color="auto"/>
                        <w:left w:val="none" w:sz="0" w:space="0" w:color="auto"/>
                        <w:bottom w:val="none" w:sz="0" w:space="0" w:color="auto"/>
                        <w:right w:val="none" w:sz="0" w:space="0" w:color="auto"/>
                      </w:divBdr>
                      <w:divsChild>
                        <w:div w:id="179682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Flow_SignoffStatus xmlns="7d86360c-6504-4262-b3ef-ca28b2b4274b" xsi:nil="true"/>
    <SharedWithUsers xmlns="1c3c620d-d718-4559-9a6f-341862c43889">
      <UserInfo>
        <DisplayName>Rory Nathan</DisplayName>
        <AccountId>28</AccountId>
        <AccountType/>
      </UserInfo>
      <UserInfo>
        <DisplayName>Jenny Stauber</DisplayName>
        <AccountId>29</AccountId>
        <AccountType/>
      </UserInfo>
      <UserInfo>
        <DisplayName>Jenny Davis</DisplayName>
        <AccountId>30</AccountId>
        <AccountType/>
      </UserInfo>
      <UserInfo>
        <DisplayName>Andrew Boulton</DisplayName>
        <AccountId>31</AccountId>
        <AccountType/>
      </UserInfo>
      <UserInfo>
        <DisplayName>Chris Pigram</DisplayName>
        <AccountId>32</AccountId>
        <AccountType/>
      </UserInfo>
      <UserInfo>
        <DisplayName>Wendy Timms</DisplayName>
        <AccountId>40</AccountId>
        <AccountType/>
      </UserInfo>
      <UserInfo>
        <DisplayName>Catherine Moore</DisplayName>
        <AccountId>184</AccountId>
        <AccountType/>
      </UserInfo>
      <UserInfo>
        <DisplayName>Craig Simmons</DisplayName>
        <AccountId>343</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8FE068F4A1C2274A998E0EB695E19D35" ma:contentTypeVersion="12" ma:contentTypeDescription="Create a new document." ma:contentTypeScope="" ma:versionID="cb0b5e8d338f7d8c2119d94f220f0700">
  <xsd:schema xmlns:xsd="http://www.w3.org/2001/XMLSchema" xmlns:xs="http://www.w3.org/2001/XMLSchema" xmlns:p="http://schemas.microsoft.com/office/2006/metadata/properties" xmlns:ns2="1c3c620d-d718-4559-9a6f-341862c43889" xmlns:ns3="7d86360c-6504-4262-b3ef-ca28b2b4274b" targetNamespace="http://schemas.microsoft.com/office/2006/metadata/properties" ma:root="true" ma:fieldsID="2d58c1389fa2cef4ff24c61ed4e5b667" ns2:_="" ns3:_="">
    <xsd:import namespace="1c3c620d-d718-4559-9a6f-341862c43889"/>
    <xsd:import namespace="7d86360c-6504-4262-b3ef-ca28b2b4274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_Flow_SignoffStatu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3c620d-d718-4559-9a6f-341862c4388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d86360c-6504-4262-b3ef-ca28b2b4274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_Flow_SignoffStatus" ma:index="12" nillable="true" ma:displayName="Sign-off status" ma:internalName="_x0024_Resources_x003a_core_x002c_Signoff_Status_x003b_">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0C4107-E2F8-4E9B-BC01-965D72281A36}">
  <ds:schemaRefs>
    <ds:schemaRef ds:uri="http://schemas.microsoft.com/sharepoint/v3/contenttype/forms"/>
  </ds:schemaRefs>
</ds:datastoreItem>
</file>

<file path=customXml/itemProps2.xml><?xml version="1.0" encoding="utf-8"?>
<ds:datastoreItem xmlns:ds="http://schemas.openxmlformats.org/officeDocument/2006/customXml" ds:itemID="{07570CCD-4A39-4404-9E34-63B9F7661FCE}">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7d86360c-6504-4262-b3ef-ca28b2b4274b"/>
    <ds:schemaRef ds:uri="http://purl.org/dc/elements/1.1/"/>
    <ds:schemaRef ds:uri="http://schemas.microsoft.com/office/2006/metadata/properties"/>
    <ds:schemaRef ds:uri="1c3c620d-d718-4559-9a6f-341862c43889"/>
    <ds:schemaRef ds:uri="http://www.w3.org/XML/1998/namespace"/>
  </ds:schemaRefs>
</ds:datastoreItem>
</file>

<file path=customXml/itemProps3.xml><?xml version="1.0" encoding="utf-8"?>
<ds:datastoreItem xmlns:ds="http://schemas.openxmlformats.org/officeDocument/2006/customXml" ds:itemID="{9202026F-E12F-4979-92F6-0F9F3309194E}">
  <ds:schemaRefs>
    <ds:schemaRef ds:uri="http://schemas.openxmlformats.org/officeDocument/2006/bibliography"/>
  </ds:schemaRefs>
</ds:datastoreItem>
</file>

<file path=customXml/itemProps4.xml><?xml version="1.0" encoding="utf-8"?>
<ds:datastoreItem xmlns:ds="http://schemas.openxmlformats.org/officeDocument/2006/customXml" ds:itemID="{98141EAB-3D4E-44CA-ADE1-BEA8D860CA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3c620d-d718-4559-9a6f-341862c43889"/>
    <ds:schemaRef ds:uri="7d86360c-6504-4262-b3ef-ca28b2b427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4464</Words>
  <Characters>25448</Characters>
  <Application>Microsoft Office Word</Application>
  <DocSecurity>4</DocSecurity>
  <Lines>212</Lines>
  <Paragraphs>59</Paragraphs>
  <ScaleCrop>false</ScaleCrop>
  <HeadingPairs>
    <vt:vector size="4" baseType="variant">
      <vt:variant>
        <vt:lpstr>Title</vt:lpstr>
      </vt:variant>
      <vt:variant>
        <vt:i4>1</vt:i4>
      </vt:variant>
      <vt:variant>
        <vt:lpstr>Headings</vt:lpstr>
      </vt:variant>
      <vt:variant>
        <vt:i4>5</vt:i4>
      </vt:variant>
    </vt:vector>
  </HeadingPairs>
  <TitlesOfParts>
    <vt:vector size="6" baseType="lpstr">
      <vt:lpstr>Advice to decision maker on coal mining project IESC 2020-0120: Russell Vale Colliery Revised Underground Expansion Project, NSW (EPBC 2020/8702) – Expansio</vt:lpstr>
      <vt:lpstr>Advice to decision maker on coal mining project </vt:lpstr>
      <vt:lpstr>    IESC 2020-0120: Russell Vale Colliery Revised Underground Expansion Project, NSW</vt:lpstr>
      <vt:lpstr>        </vt:lpstr>
      <vt:lpstr>        Summary </vt:lpstr>
      <vt:lpstr>        Response to questions</vt:lpstr>
    </vt:vector>
  </TitlesOfParts>
  <Company/>
  <LinksUpToDate>false</LinksUpToDate>
  <CharactersWithSpaces>29853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Advice to decision maker on coal mining project IESC 2020-0120: Russell Vale Colliery Revised Underground Expansion Project, NSW (EPBC 2020/8702) – Expansio</dc:title>
  <dc:subject/>
  <dc:creator>IESC</dc:creator>
  <cp:keywords/>
  <cp:lastModifiedBy>Bec Durack</cp:lastModifiedBy>
  <cp:revision>2</cp:revision>
  <dcterms:created xsi:type="dcterms:W3CDTF">2021-02-16T04:09:00Z</dcterms:created>
  <dcterms:modified xsi:type="dcterms:W3CDTF">2021-02-16T04:09:00Z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0x0101008FE068F4A1C2274A998E0EB695E19D35</vt:lpwstr>
  </property>
  <property fmtid="{D5CDD505-2E9C-101B-9397-08002B2CF9AE}" pid="3" name="RecordPoint_SubmissionDate">
    <vt:lpwstr/>
  </property>
  <property fmtid="{D5CDD505-2E9C-101B-9397-08002B2CF9AE}" pid="4" name="RecordPoint_RecordNumberSubmitted">
    <vt:lpwstr/>
  </property>
  <property fmtid="{D5CDD505-2E9C-101B-9397-08002B2CF9AE}" pid="5" name="RecordPoint_ActiveItemSiteId">
    <vt:lpwstr>{4b445ea7-761d-43d2-909a-116082cfbf41}</vt:lpwstr>
  </property>
  <property fmtid="{D5CDD505-2E9C-101B-9397-08002B2CF9AE}" pid="6" name="RecordPoint_ActiveItemListId">
    <vt:lpwstr>{574208f6-e55d-4ec4-8f06-0d10f5b11996}</vt:lpwstr>
  </property>
  <property fmtid="{D5CDD505-2E9C-101B-9397-08002B2CF9AE}" pid="7" name="RecordPoint_ActiveItemMoved">
    <vt:lpwstr/>
  </property>
  <property fmtid="{D5CDD505-2E9C-101B-9397-08002B2CF9AE}" pid="8" name="RecordPoint_RecordFormat">
    <vt:lpwstr/>
  </property>
  <property fmtid="{D5CDD505-2E9C-101B-9397-08002B2CF9AE}" pid="9" name="RecordPoint_SubmissionCompleted">
    <vt:lpwstr/>
  </property>
  <property fmtid="{D5CDD505-2E9C-101B-9397-08002B2CF9AE}" pid="10" name="RecordPoint_ActiveItemUniqueId">
    <vt:lpwstr>{e1e29990-ec32-4634-b009-35fa2eee5ef7}</vt:lpwstr>
  </property>
  <property fmtid="{D5CDD505-2E9C-101B-9397-08002B2CF9AE}" pid="11" name="RecordPoint_ActiveItemWebId">
    <vt:lpwstr>{aa3e7952-617a-4d1d-acc5-2dff72d3e0ca}</vt:lpwstr>
  </property>
  <property fmtid="{D5CDD505-2E9C-101B-9397-08002B2CF9AE}" pid="12" name="RecordPoint_WorkflowType">
    <vt:lpwstr>ActiveSubmitStub</vt:lpwstr>
  </property>
  <property fmtid="{D5CDD505-2E9C-101B-9397-08002B2CF9AE}" pid="13" name="IconOverlay">
    <vt:lpwstr/>
  </property>
</Properties>
</file>