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0DA80" w14:textId="77777777"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bookmarkStart w:id="0" w:name="_GoBack"/>
      <w:bookmarkEnd w:id="0"/>
    </w:p>
    <w:p w14:paraId="64AB5430" w14:textId="77777777"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1BC9A0AA" w14:textId="77777777" w:rsidR="004861E6" w:rsidRPr="00BF21A7" w:rsidRDefault="00D10C4C" w:rsidP="009E7F55">
      <w:pPr>
        <w:pStyle w:val="Heading2"/>
        <w:suppressLineNumbers/>
      </w:pPr>
      <w:r w:rsidRPr="00BF21A7">
        <w:t xml:space="preserve">IESC </w:t>
      </w:r>
      <w:r w:rsidR="00C43084" w:rsidRPr="00BF21A7">
        <w:t>201</w:t>
      </w:r>
      <w:r w:rsidR="00FC49C2">
        <w:t>9-107: Moranbah North Extension Project (EPBC 2018/8338)</w:t>
      </w:r>
      <w:r w:rsidR="00FC49C2" w:rsidRPr="00FC49C2">
        <w:t xml:space="preserve"> –</w:t>
      </w:r>
      <w:r w:rsidR="00C803D7" w:rsidRPr="00FC49C2">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41BA2F07" w14:textId="77777777" w:rsidTr="00784E40">
        <w:trPr>
          <w:trHeight w:val="563"/>
        </w:trPr>
        <w:tc>
          <w:tcPr>
            <w:tcW w:w="1810" w:type="dxa"/>
            <w:tcBorders>
              <w:top w:val="single" w:sz="4" w:space="0" w:color="auto"/>
              <w:bottom w:val="single" w:sz="4" w:space="0" w:color="auto"/>
            </w:tcBorders>
          </w:tcPr>
          <w:p w14:paraId="21254A77"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2EA66D41" w14:textId="77777777" w:rsidR="003E2BDB"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16861" w:rsidRPr="00BF21A7">
              <w:t>the</w:t>
            </w:r>
            <w:r w:rsidR="001765DA" w:rsidRPr="00BF21A7">
              <w:t xml:space="preserve"> Environment</w:t>
            </w:r>
            <w:r w:rsidRPr="00BF21A7">
              <w:t xml:space="preserve"> </w:t>
            </w:r>
            <w:r w:rsidR="00F7628B" w:rsidRPr="00BF21A7">
              <w:t xml:space="preserve">and Energy </w:t>
            </w:r>
          </w:p>
        </w:tc>
      </w:tr>
      <w:tr w:rsidR="001765DA" w:rsidRPr="00BF21A7" w14:paraId="359CDA04" w14:textId="77777777" w:rsidTr="00784E40">
        <w:trPr>
          <w:trHeight w:val="19"/>
        </w:trPr>
        <w:tc>
          <w:tcPr>
            <w:tcW w:w="1810" w:type="dxa"/>
            <w:tcBorders>
              <w:top w:val="single" w:sz="4" w:space="0" w:color="auto"/>
              <w:bottom w:val="single" w:sz="4" w:space="0" w:color="auto"/>
            </w:tcBorders>
          </w:tcPr>
          <w:p w14:paraId="1EAB0646"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221C6008" w14:textId="77777777" w:rsidR="001765DA" w:rsidRPr="00BF21A7" w:rsidRDefault="00FC49C2" w:rsidP="00277A51">
            <w:pPr>
              <w:pStyle w:val="Tabletext"/>
              <w:suppressLineNumbers/>
            </w:pPr>
            <w:r w:rsidRPr="00FC49C2">
              <w:t>24 September 2019</w:t>
            </w:r>
          </w:p>
        </w:tc>
      </w:tr>
      <w:tr w:rsidR="00185039" w:rsidRPr="00BF21A7" w14:paraId="5819C0A3" w14:textId="77777777" w:rsidTr="00784E40">
        <w:trPr>
          <w:trHeight w:val="19"/>
        </w:trPr>
        <w:tc>
          <w:tcPr>
            <w:tcW w:w="1810" w:type="dxa"/>
            <w:tcBorders>
              <w:top w:val="single" w:sz="4" w:space="0" w:color="auto"/>
              <w:bottom w:val="single" w:sz="4" w:space="0" w:color="auto"/>
            </w:tcBorders>
          </w:tcPr>
          <w:p w14:paraId="5D648D63" w14:textId="77777777" w:rsidR="00185039" w:rsidRPr="00290203" w:rsidRDefault="00185039" w:rsidP="00277A51">
            <w:pPr>
              <w:pStyle w:val="Heading6"/>
              <w:suppressLineNumbers/>
            </w:pPr>
            <w:r w:rsidRPr="00290203">
              <w:t>Date request accepted</w:t>
            </w:r>
          </w:p>
        </w:tc>
        <w:tc>
          <w:tcPr>
            <w:tcW w:w="7830" w:type="dxa"/>
            <w:tcBorders>
              <w:top w:val="single" w:sz="4" w:space="0" w:color="auto"/>
              <w:bottom w:val="single" w:sz="4" w:space="0" w:color="auto"/>
            </w:tcBorders>
          </w:tcPr>
          <w:p w14:paraId="7591092C" w14:textId="77777777" w:rsidR="00185039" w:rsidRPr="00290203" w:rsidRDefault="00290203" w:rsidP="00290203">
            <w:pPr>
              <w:pStyle w:val="Tabletext"/>
              <w:suppressLineNumbers/>
            </w:pPr>
            <w:r w:rsidRPr="00290203">
              <w:t>25 September</w:t>
            </w:r>
            <w:r w:rsidR="00185039" w:rsidRPr="00290203">
              <w:t xml:space="preserve"> 201</w:t>
            </w:r>
            <w:r w:rsidRPr="00290203">
              <w:t>9</w:t>
            </w:r>
          </w:p>
        </w:tc>
      </w:tr>
      <w:tr w:rsidR="00062A46" w:rsidRPr="00BF21A7" w14:paraId="5CAE0B85" w14:textId="77777777" w:rsidTr="00784E40">
        <w:trPr>
          <w:trHeight w:val="19"/>
        </w:trPr>
        <w:tc>
          <w:tcPr>
            <w:tcW w:w="1810" w:type="dxa"/>
            <w:tcBorders>
              <w:top w:val="single" w:sz="4" w:space="0" w:color="auto"/>
              <w:bottom w:val="single" w:sz="4" w:space="0" w:color="auto"/>
            </w:tcBorders>
          </w:tcPr>
          <w:p w14:paraId="6F001D8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7279CEF5" w14:textId="77777777" w:rsidR="00290203" w:rsidRPr="00BF21A7" w:rsidRDefault="00062A46" w:rsidP="00290203">
            <w:pPr>
              <w:pStyle w:val="Tabletext"/>
              <w:suppressLineNumbers/>
              <w:rPr>
                <w:lang w:eastAsia="en-AU"/>
              </w:rPr>
            </w:pPr>
            <w:r w:rsidRPr="00BF21A7">
              <w:rPr>
                <w:lang w:eastAsia="en-AU"/>
              </w:rPr>
              <w:t xml:space="preserve">Assessment </w:t>
            </w:r>
          </w:p>
          <w:p w14:paraId="46058437" w14:textId="77777777" w:rsidR="00062A46" w:rsidRPr="00BF21A7" w:rsidRDefault="00062A46" w:rsidP="00277A51">
            <w:pPr>
              <w:pStyle w:val="Tabletext"/>
              <w:suppressLineNumbers/>
              <w:rPr>
                <w:lang w:eastAsia="en-AU"/>
              </w:rPr>
            </w:pPr>
          </w:p>
        </w:tc>
      </w:tr>
    </w:tbl>
    <w:p w14:paraId="1BFCC97B" w14:textId="77777777"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49EA15AB" w14:textId="77777777" w:rsidTr="00784E40">
        <w:trPr>
          <w:trHeight w:val="2955"/>
        </w:trPr>
        <w:tc>
          <w:tcPr>
            <w:tcW w:w="9640" w:type="dxa"/>
            <w:shd w:val="clear" w:color="auto" w:fill="E7E6E6"/>
          </w:tcPr>
          <w:p w14:paraId="4BCA3732" w14:textId="77777777" w:rsidR="00C60A1A" w:rsidRPr="00BF21A7" w:rsidRDefault="00C60A1A" w:rsidP="00D77795">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27B445E4" w14:textId="77777777" w:rsidR="00C60A1A" w:rsidRPr="00BF21A7" w:rsidRDefault="00C60A1A" w:rsidP="00F424D7">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the Environment </w:t>
            </w:r>
            <w:r w:rsidR="00815C9D" w:rsidRPr="00BF21A7">
              <w:rPr>
                <w:rFonts w:ascii="Arial" w:hAnsi="Arial" w:cs="Arial"/>
                <w:sz w:val="20"/>
                <w:szCs w:val="20"/>
              </w:rPr>
              <w:t xml:space="preserve">and Energy </w:t>
            </w:r>
            <w:r w:rsidRPr="00BF21A7">
              <w:rPr>
                <w:rFonts w:ascii="Arial" w:hAnsi="Arial" w:cs="Arial"/>
                <w:sz w:val="20"/>
                <w:szCs w:val="20"/>
              </w:rPr>
              <w:t xml:space="preserve">to provide advice on </w:t>
            </w:r>
            <w:r w:rsidR="00FC49C2">
              <w:rPr>
                <w:rFonts w:ascii="Arial" w:hAnsi="Arial" w:cs="Arial"/>
                <w:sz w:val="20"/>
                <w:szCs w:val="20"/>
              </w:rPr>
              <w:t xml:space="preserve">Anglo Coal (Moranbah North Management) Pty </w:t>
            </w:r>
            <w:proofErr w:type="spellStart"/>
            <w:r w:rsidR="00FC49C2">
              <w:rPr>
                <w:rFonts w:ascii="Arial" w:hAnsi="Arial" w:cs="Arial"/>
                <w:sz w:val="20"/>
                <w:szCs w:val="20"/>
              </w:rPr>
              <w:t>Ltd’s</w:t>
            </w:r>
            <w:proofErr w:type="spellEnd"/>
            <w:r w:rsidR="00FC49C2">
              <w:rPr>
                <w:rFonts w:ascii="Arial" w:hAnsi="Arial" w:cs="Arial"/>
                <w:sz w:val="20"/>
                <w:szCs w:val="20"/>
              </w:rPr>
              <w:t xml:space="preserve"> </w:t>
            </w:r>
            <w:r w:rsidR="00FC49C2" w:rsidRPr="00FC49C2">
              <w:rPr>
                <w:rFonts w:ascii="Arial" w:hAnsi="Arial" w:cs="Arial"/>
                <w:sz w:val="20"/>
                <w:szCs w:val="20"/>
              </w:rPr>
              <w:t>Moranbah North Extension Project</w:t>
            </w:r>
            <w:r w:rsidRPr="00BF21A7">
              <w:rPr>
                <w:rFonts w:ascii="Arial" w:hAnsi="Arial" w:cs="Arial"/>
                <w:sz w:val="20"/>
                <w:szCs w:val="20"/>
              </w:rPr>
              <w:t xml:space="preserve"> in </w:t>
            </w:r>
            <w:r w:rsidR="00FC49C2" w:rsidRPr="00FC49C2">
              <w:rPr>
                <w:rFonts w:ascii="Arial" w:hAnsi="Arial" w:cs="Arial"/>
                <w:sz w:val="20"/>
                <w:szCs w:val="20"/>
              </w:rPr>
              <w:t>Queensland</w:t>
            </w:r>
            <w:r w:rsidRPr="00BF21A7">
              <w:rPr>
                <w:rFonts w:ascii="Arial" w:hAnsi="Arial" w:cs="Arial"/>
                <w:sz w:val="20"/>
                <w:szCs w:val="20"/>
              </w:rPr>
              <w:t xml:space="preserve">. This document provides the IESC’s advice in response to the requesting agency’s questions. These questions are directed at matters specific to the project to be considered during the requesting </w:t>
            </w:r>
            <w:r w:rsidR="0010692C" w:rsidRPr="00BF21A7">
              <w:rPr>
                <w:rFonts w:ascii="Arial" w:hAnsi="Arial" w:cs="Arial"/>
                <w:sz w:val="20"/>
                <w:szCs w:val="20"/>
              </w:rPr>
              <w:t xml:space="preserve">agency’s </w:t>
            </w:r>
            <w:r w:rsidR="0010692C" w:rsidRPr="00FC49C2">
              <w:rPr>
                <w:rFonts w:ascii="Arial" w:hAnsi="Arial" w:cs="Arial"/>
                <w:sz w:val="20"/>
                <w:szCs w:val="20"/>
              </w:rPr>
              <w:t>assessment</w:t>
            </w:r>
            <w:r w:rsidRPr="00BF21A7">
              <w:rPr>
                <w:rFonts w:ascii="Arial" w:hAnsi="Arial" w:cs="Arial"/>
                <w:sz w:val="20"/>
                <w:szCs w:val="20"/>
              </w:rPr>
              <w:t xml:space="preserve">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344E12CB" w14:textId="77777777" w:rsidR="00C60A1A" w:rsidRPr="00BF21A7" w:rsidRDefault="00C60A1A" w:rsidP="00C60A1A"/>
    <w:p w14:paraId="3233CF23"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089E3FF2" w14:textId="77777777" w:rsidR="00291857" w:rsidRDefault="0049455C">
      <w:r w:rsidRPr="005A4335">
        <w:t xml:space="preserve">Moranbah North Mine </w:t>
      </w:r>
      <w:r w:rsidR="00D9312B">
        <w:t xml:space="preserve">(MNM) </w:t>
      </w:r>
      <w:r w:rsidRPr="005A4335">
        <w:t xml:space="preserve">is an operating longwall </w:t>
      </w:r>
      <w:r w:rsidR="00E06D9F">
        <w:t xml:space="preserve">coal </w:t>
      </w:r>
      <w:r w:rsidRPr="005A4335">
        <w:t>mine located approximately 7</w:t>
      </w:r>
      <w:r w:rsidR="00911FB5" w:rsidRPr="004A569E">
        <w:t> </w:t>
      </w:r>
      <w:r w:rsidRPr="005A4335">
        <w:t xml:space="preserve">km north of Moranbah </w:t>
      </w:r>
      <w:proofErr w:type="gramStart"/>
      <w:r w:rsidRPr="005A4335">
        <w:t>township</w:t>
      </w:r>
      <w:proofErr w:type="gramEnd"/>
      <w:r w:rsidRPr="005A4335">
        <w:t xml:space="preserve"> in Central Queensland. This </w:t>
      </w:r>
      <w:r w:rsidR="007B7E48">
        <w:t xml:space="preserve">proposed </w:t>
      </w:r>
      <w:r w:rsidRPr="005A4335">
        <w:t>project involves extending mining operations into an area to the east of the current mine</w:t>
      </w:r>
      <w:r w:rsidR="007B7E48">
        <w:t xml:space="preserve"> and will require a new Mining L</w:t>
      </w:r>
      <w:r w:rsidRPr="005A4335">
        <w:t xml:space="preserve">ease to proceed. </w:t>
      </w:r>
      <w:r w:rsidR="00B21598" w:rsidRPr="005A4335">
        <w:t xml:space="preserve">The </w:t>
      </w:r>
      <w:r w:rsidR="00C30929">
        <w:t xml:space="preserve">proposed </w:t>
      </w:r>
      <w:r w:rsidR="00B21598" w:rsidRPr="005A4335">
        <w:t xml:space="preserve">project will target the Goonyella Middle (GM) </w:t>
      </w:r>
      <w:r w:rsidR="00D6101C">
        <w:t>S</w:t>
      </w:r>
      <w:r w:rsidR="00B21598" w:rsidRPr="005A4335">
        <w:t>eam and mining will be at a maximum production rate of 12</w:t>
      </w:r>
      <w:r w:rsidR="00911FB5" w:rsidRPr="004A569E">
        <w:t> </w:t>
      </w:r>
      <w:r w:rsidR="00B21598" w:rsidRPr="005A4335">
        <w:t>mill</w:t>
      </w:r>
      <w:r w:rsidR="007B7E48">
        <w:t>ion tonnes per annum (</w:t>
      </w:r>
      <w:proofErr w:type="spellStart"/>
      <w:r w:rsidR="007B7E48">
        <w:t>Mtpa</w:t>
      </w:r>
      <w:proofErr w:type="spellEnd"/>
      <w:r w:rsidR="007B7E48">
        <w:t xml:space="preserve">) </w:t>
      </w:r>
      <w:r w:rsidR="00C55DD3">
        <w:t xml:space="preserve">of </w:t>
      </w:r>
      <w:r w:rsidR="00550E35">
        <w:t>r</w:t>
      </w:r>
      <w:r w:rsidR="007B7E48">
        <w:t>un-of-</w:t>
      </w:r>
      <w:r w:rsidR="00550E35">
        <w:t>m</w:t>
      </w:r>
      <w:r w:rsidR="00B21598" w:rsidRPr="005A4335">
        <w:t>ine (ROM)</w:t>
      </w:r>
      <w:r w:rsidR="007E4ED3">
        <w:t xml:space="preserve"> coal</w:t>
      </w:r>
      <w:r w:rsidR="00B21598" w:rsidRPr="005A4335">
        <w:t xml:space="preserve">. The </w:t>
      </w:r>
      <w:r w:rsidR="00C30929">
        <w:t xml:space="preserve">proposed </w:t>
      </w:r>
      <w:r w:rsidR="00B21598" w:rsidRPr="005A4335">
        <w:t>project will extend the life of the M</w:t>
      </w:r>
      <w:r w:rsidR="00856DBF">
        <w:t>NM</w:t>
      </w:r>
      <w:r w:rsidR="00B21598" w:rsidRPr="005A4335">
        <w:t xml:space="preserve"> by approximately 16</w:t>
      </w:r>
      <w:r w:rsidR="00C30929">
        <w:t xml:space="preserve"> </w:t>
      </w:r>
      <w:r w:rsidR="00B21598" w:rsidRPr="005A4335">
        <w:t>years.</w:t>
      </w:r>
      <w:r w:rsidR="003A7338">
        <w:t xml:space="preserve"> </w:t>
      </w:r>
      <w:r w:rsidRPr="005A4335">
        <w:t xml:space="preserve">Mining will be undertaken using the </w:t>
      </w:r>
      <w:r w:rsidR="00D02698">
        <w:t>existing mine</w:t>
      </w:r>
      <w:r w:rsidR="00B21598" w:rsidRPr="005A4335">
        <w:t xml:space="preserve"> portals and drifts to gain underground access as well as using existing surface infrastructure. No u</w:t>
      </w:r>
      <w:r w:rsidR="00D02698">
        <w:t xml:space="preserve">pgrades </w:t>
      </w:r>
      <w:r w:rsidR="00856DBF">
        <w:t>to</w:t>
      </w:r>
      <w:r w:rsidR="00D02698">
        <w:t xml:space="preserve"> the infrastructure are</w:t>
      </w:r>
      <w:r w:rsidR="00B21598" w:rsidRPr="005A4335">
        <w:t xml:space="preserve"> required.  </w:t>
      </w:r>
    </w:p>
    <w:p w14:paraId="3A07CC4E" w14:textId="77777777" w:rsidR="00BF21A7" w:rsidRPr="00BF21A7" w:rsidRDefault="00BF21A7" w:rsidP="00BF21A7">
      <w:pPr>
        <w:keepNext/>
      </w:pPr>
      <w:r w:rsidRPr="00BF21A7">
        <w:rPr>
          <w:u w:val="single"/>
        </w:rPr>
        <w:lastRenderedPageBreak/>
        <w:t>Key potential impacts</w:t>
      </w:r>
      <w:r w:rsidRPr="00BF21A7">
        <w:t xml:space="preserve"> from th</w:t>
      </w:r>
      <w:r w:rsidR="00C30929">
        <w:t>e proposed</w:t>
      </w:r>
      <w:r w:rsidRPr="00BF21A7">
        <w:t xml:space="preserve"> project are:</w:t>
      </w:r>
    </w:p>
    <w:p w14:paraId="58359850" w14:textId="4C62B707" w:rsidR="00BF21A7" w:rsidRPr="00511639" w:rsidRDefault="006C1C21" w:rsidP="00D02698">
      <w:pPr>
        <w:pStyle w:val="ListParagraph"/>
        <w:numPr>
          <w:ilvl w:val="0"/>
          <w:numId w:val="6"/>
        </w:numPr>
      </w:pPr>
      <w:proofErr w:type="gramStart"/>
      <w:r>
        <w:t>d</w:t>
      </w:r>
      <w:r w:rsidR="00D92DA2" w:rsidRPr="009451C8">
        <w:t>amage</w:t>
      </w:r>
      <w:proofErr w:type="gramEnd"/>
      <w:r w:rsidR="00D92DA2" w:rsidRPr="009451C8">
        <w:t xml:space="preserve"> to the </w:t>
      </w:r>
      <w:r w:rsidR="00DB70E0" w:rsidRPr="009451C8">
        <w:t>c</w:t>
      </w:r>
      <w:r w:rsidR="00A53D4A" w:rsidRPr="009451C8">
        <w:t>oal seam gas (</w:t>
      </w:r>
      <w:r w:rsidR="00D92DA2" w:rsidRPr="009451C8">
        <w:t>CSG</w:t>
      </w:r>
      <w:r w:rsidR="00A53D4A" w:rsidRPr="009451C8">
        <w:t>)</w:t>
      </w:r>
      <w:r w:rsidR="00D92DA2" w:rsidRPr="009451C8">
        <w:t xml:space="preserve"> wells</w:t>
      </w:r>
      <w:r w:rsidR="00D92DA2" w:rsidRPr="00511639">
        <w:t xml:space="preserve"> </w:t>
      </w:r>
      <w:r w:rsidR="004049B7">
        <w:t>as a result of</w:t>
      </w:r>
      <w:r w:rsidR="00D92DA2" w:rsidRPr="00511639">
        <w:t xml:space="preserve"> subsidence impacts</w:t>
      </w:r>
      <w:r w:rsidR="004049B7">
        <w:t>.</w:t>
      </w:r>
      <w:r w:rsidR="00D92DA2" w:rsidRPr="00511639">
        <w:t xml:space="preserve"> </w:t>
      </w:r>
      <w:r w:rsidR="004049B7">
        <w:t xml:space="preserve">This damage may </w:t>
      </w:r>
      <w:r w:rsidR="00D92DA2" w:rsidRPr="00511639">
        <w:t>release residual methane into the</w:t>
      </w:r>
      <w:r w:rsidR="004049B7">
        <w:t xml:space="preserve"> overlying</w:t>
      </w:r>
      <w:r w:rsidR="00D92DA2" w:rsidRPr="00511639">
        <w:t xml:space="preserve"> geological formations </w:t>
      </w:r>
      <w:r w:rsidR="00511639" w:rsidRPr="00511639">
        <w:t>and</w:t>
      </w:r>
      <w:r w:rsidR="00D92DA2" w:rsidRPr="00511639">
        <w:t xml:space="preserve"> </w:t>
      </w:r>
      <w:r w:rsidR="0093024D" w:rsidRPr="00511639">
        <w:t>po</w:t>
      </w:r>
      <w:r w:rsidR="0093024D">
        <w:t xml:space="preserve">ssibly </w:t>
      </w:r>
      <w:r w:rsidR="00D92DA2" w:rsidRPr="00511639">
        <w:t>to the surface</w:t>
      </w:r>
      <w:r w:rsidR="00655E6B">
        <w:t xml:space="preserve">, </w:t>
      </w:r>
      <w:r w:rsidR="0093024D">
        <w:t xml:space="preserve">potentially </w:t>
      </w:r>
      <w:r w:rsidR="00655E6B">
        <w:t>impacting surface water quality</w:t>
      </w:r>
      <w:r w:rsidR="004049B7">
        <w:t>.</w:t>
      </w:r>
      <w:r w:rsidR="00D02698">
        <w:t xml:space="preserve"> </w:t>
      </w:r>
      <w:r w:rsidR="004049B7">
        <w:t xml:space="preserve">There is </w:t>
      </w:r>
      <w:r w:rsidR="002F2A67">
        <w:t xml:space="preserve">also </w:t>
      </w:r>
      <w:r w:rsidR="004049B7">
        <w:t>potential for this damage to</w:t>
      </w:r>
      <w:r w:rsidR="00D02698">
        <w:t xml:space="preserve"> </w:t>
      </w:r>
      <w:r w:rsidR="007366C3">
        <w:t xml:space="preserve">increase </w:t>
      </w:r>
      <w:r w:rsidR="00D02698">
        <w:t>hydraulic connections between aquifers</w:t>
      </w:r>
      <w:r w:rsidR="00D92DA2" w:rsidRPr="00511639">
        <w:t>;</w:t>
      </w:r>
    </w:p>
    <w:p w14:paraId="1B2115F3" w14:textId="4F1DE221" w:rsidR="00D92DA2" w:rsidRPr="00861567" w:rsidRDefault="006C1C21" w:rsidP="00655E6B">
      <w:pPr>
        <w:pStyle w:val="ListParagraph"/>
        <w:numPr>
          <w:ilvl w:val="0"/>
          <w:numId w:val="6"/>
        </w:numPr>
        <w:jc w:val="both"/>
      </w:pPr>
      <w:r>
        <w:t>s</w:t>
      </w:r>
      <w:r w:rsidR="00D92DA2" w:rsidRPr="00861567">
        <w:t xml:space="preserve">ubsidence impacts </w:t>
      </w:r>
      <w:r w:rsidR="0093024D" w:rsidRPr="00861567">
        <w:t>altering the topography of the project area</w:t>
      </w:r>
      <w:r w:rsidR="00B77D99" w:rsidRPr="00861567">
        <w:t xml:space="preserve">, including </w:t>
      </w:r>
      <w:r w:rsidR="00D92DA2" w:rsidRPr="00861567">
        <w:t xml:space="preserve">localised ponding and changes to </w:t>
      </w:r>
      <w:r w:rsidR="00C55DD3" w:rsidRPr="00861567">
        <w:t>surface runoff</w:t>
      </w:r>
      <w:r w:rsidR="00C11C36" w:rsidRPr="00861567">
        <w:t xml:space="preserve"> patterns (including sediment movement), streamflow regimes and </w:t>
      </w:r>
      <w:r w:rsidR="00B77D99" w:rsidRPr="00861567">
        <w:t xml:space="preserve">overbank </w:t>
      </w:r>
      <w:r w:rsidR="00F31A98" w:rsidRPr="00861567">
        <w:t>flooding</w:t>
      </w:r>
      <w:r w:rsidR="00C55DD3" w:rsidRPr="00861567">
        <w:t>; and</w:t>
      </w:r>
    </w:p>
    <w:p w14:paraId="5F53B96E" w14:textId="7D21E388" w:rsidR="00EE2F6D" w:rsidRPr="00861567" w:rsidRDefault="006C1C21" w:rsidP="00655E6B">
      <w:pPr>
        <w:pStyle w:val="ListParagraph"/>
        <w:numPr>
          <w:ilvl w:val="0"/>
          <w:numId w:val="6"/>
        </w:numPr>
        <w:jc w:val="both"/>
      </w:pPr>
      <w:proofErr w:type="gramStart"/>
      <w:r>
        <w:t>c</w:t>
      </w:r>
      <w:r w:rsidR="00EE2F6D" w:rsidRPr="00861567">
        <w:t>umulative</w:t>
      </w:r>
      <w:proofErr w:type="gramEnd"/>
      <w:r w:rsidR="00EE2F6D" w:rsidRPr="00861567">
        <w:t xml:space="preserve"> impact</w:t>
      </w:r>
      <w:r w:rsidR="00846A04" w:rsidRPr="00861567">
        <w:t xml:space="preserve">s to those </w:t>
      </w:r>
      <w:r w:rsidR="00846A04" w:rsidRPr="009451C8">
        <w:t>from previous and current CSG development and coal min</w:t>
      </w:r>
      <w:r w:rsidR="00DC563A" w:rsidRPr="009451C8">
        <w:t>es</w:t>
      </w:r>
      <w:r w:rsidR="00846A04" w:rsidRPr="009451C8">
        <w:t xml:space="preserve"> on flow regimes, overbank flooding and water-dependent e</w:t>
      </w:r>
      <w:r w:rsidR="006247F1" w:rsidRPr="009451C8">
        <w:t>cosystems</w:t>
      </w:r>
      <w:r w:rsidR="00846A04" w:rsidRPr="009451C8">
        <w:t>, with</w:t>
      </w:r>
      <w:r w:rsidR="00846A04" w:rsidRPr="00861567">
        <w:t xml:space="preserve"> possible repercussions for </w:t>
      </w:r>
      <w:r w:rsidR="009A31D4" w:rsidRPr="00861567">
        <w:t xml:space="preserve">the </w:t>
      </w:r>
      <w:r w:rsidR="00846A04" w:rsidRPr="00861567">
        <w:t>Isaac River.</w:t>
      </w:r>
    </w:p>
    <w:p w14:paraId="29FDACF8" w14:textId="77777777" w:rsidR="004E26D2" w:rsidRDefault="004E26D2" w:rsidP="004E26D2">
      <w:pPr>
        <w:pStyle w:val="ListBullet"/>
        <w:numPr>
          <w:ilvl w:val="0"/>
          <w:numId w:val="0"/>
        </w:numPr>
        <w:rPr>
          <w:lang w:val="en-AU"/>
        </w:rPr>
      </w:pPr>
      <w:r>
        <w:rPr>
          <w:lang w:val="en-AU"/>
        </w:rPr>
        <w:t xml:space="preserve">The IESC has identified </w:t>
      </w:r>
      <w:r w:rsidR="00FC49D2">
        <w:rPr>
          <w:lang w:val="en-AU"/>
        </w:rPr>
        <w:t>relevant areas</w:t>
      </w:r>
      <w:r>
        <w:rPr>
          <w:lang w:val="en-AU"/>
        </w:rPr>
        <w:t xml:space="preserve"> in which additional work is required to address the key potential impacts, as detailed in this advice. These are summarised below.</w:t>
      </w:r>
    </w:p>
    <w:p w14:paraId="03E1712D" w14:textId="6DA9009C" w:rsidR="00C55DD3" w:rsidRPr="007C4460" w:rsidRDefault="006672D7" w:rsidP="001B22B2">
      <w:pPr>
        <w:pStyle w:val="ListBullet"/>
        <w:numPr>
          <w:ilvl w:val="0"/>
          <w:numId w:val="23"/>
        </w:numPr>
        <w:ind w:left="714" w:hanging="357"/>
        <w:rPr>
          <w:lang w:val="en-AU"/>
        </w:rPr>
      </w:pPr>
      <w:r>
        <w:t>Assess whether altered flow regime and/or</w:t>
      </w:r>
      <w:r w:rsidR="007C4460">
        <w:t xml:space="preserve"> </w:t>
      </w:r>
      <w:r w:rsidR="002055B7">
        <w:t xml:space="preserve">overbank </w:t>
      </w:r>
      <w:r w:rsidR="007C4460">
        <w:t xml:space="preserve">flooding patterns might affect viability (including </w:t>
      </w:r>
      <w:r w:rsidR="007B6D92">
        <w:t xml:space="preserve">plant </w:t>
      </w:r>
      <w:r w:rsidR="007C4460">
        <w:t xml:space="preserve">recruitment) of water-dependent ecosystems, including </w:t>
      </w:r>
      <w:proofErr w:type="spellStart"/>
      <w:r w:rsidR="007C4460">
        <w:t>gilgai</w:t>
      </w:r>
      <w:proofErr w:type="spellEnd"/>
      <w:r w:rsidR="007C4460">
        <w:t xml:space="preserve"> and the </w:t>
      </w:r>
      <w:proofErr w:type="spellStart"/>
      <w:r w:rsidR="00C55DD3">
        <w:t>Brigalow</w:t>
      </w:r>
      <w:proofErr w:type="spellEnd"/>
      <w:r w:rsidR="00C55DD3">
        <w:t xml:space="preserve"> (</w:t>
      </w:r>
      <w:r w:rsidR="00C55DD3" w:rsidRPr="00F31A98">
        <w:rPr>
          <w:i/>
        </w:rPr>
        <w:t xml:space="preserve">Acacia </w:t>
      </w:r>
      <w:proofErr w:type="spellStart"/>
      <w:r w:rsidR="00C55DD3" w:rsidRPr="00F31A98">
        <w:rPr>
          <w:i/>
        </w:rPr>
        <w:t>harpophylla</w:t>
      </w:r>
      <w:proofErr w:type="spellEnd"/>
      <w:r w:rsidR="00C55DD3">
        <w:t xml:space="preserve"> dominant and co-dominant) ecological community listed as Endangered</w:t>
      </w:r>
      <w:r w:rsidR="00C55DD3" w:rsidRPr="00C55DD3">
        <w:rPr>
          <w:i/>
        </w:rPr>
        <w:t xml:space="preserve"> </w:t>
      </w:r>
      <w:r w:rsidR="00C55DD3" w:rsidRPr="00B46174">
        <w:t xml:space="preserve">by the </w:t>
      </w:r>
      <w:r w:rsidR="00C55DD3" w:rsidRPr="00C55DD3">
        <w:rPr>
          <w:i/>
        </w:rPr>
        <w:t xml:space="preserve">Environment Protection and Biodiversity Conservation Act 1999 </w:t>
      </w:r>
      <w:r w:rsidR="00C55DD3">
        <w:t>(EPBC Act)</w:t>
      </w:r>
      <w:r w:rsidR="006C1C21">
        <w:t>.</w:t>
      </w:r>
    </w:p>
    <w:p w14:paraId="7ABF7EF8" w14:textId="77777777" w:rsidR="00BE3B00" w:rsidRDefault="008C3AC2" w:rsidP="00BE3B00">
      <w:pPr>
        <w:pStyle w:val="ListParagraph"/>
        <w:numPr>
          <w:ilvl w:val="0"/>
          <w:numId w:val="6"/>
        </w:numPr>
      </w:pPr>
      <w:r>
        <w:t>I</w:t>
      </w:r>
      <w:r w:rsidR="00BE3B00">
        <w:t>mprove confidence in groundwater modelling</w:t>
      </w:r>
      <w:r>
        <w:t xml:space="preserve"> by</w:t>
      </w:r>
      <w:r w:rsidR="00BE3B00">
        <w:t>:</w:t>
      </w:r>
    </w:p>
    <w:p w14:paraId="1F76F611" w14:textId="77777777" w:rsidR="00BE3B00" w:rsidRPr="00B31669" w:rsidRDefault="00822DD1" w:rsidP="00BE3B00">
      <w:pPr>
        <w:pStyle w:val="ListParagraph"/>
        <w:numPr>
          <w:ilvl w:val="1"/>
          <w:numId w:val="6"/>
        </w:numPr>
      </w:pPr>
      <w:r w:rsidRPr="00B31669">
        <w:t xml:space="preserve">undertaking </w:t>
      </w:r>
      <w:r w:rsidR="00BE3B00" w:rsidRPr="00B31669">
        <w:t>additional sensitivity analysis</w:t>
      </w:r>
      <w:r w:rsidR="0041697B" w:rsidRPr="00B31669">
        <w:t xml:space="preserve"> across a plausible range of parameter values</w:t>
      </w:r>
      <w:r w:rsidR="00BE3B00" w:rsidRPr="00B31669">
        <w:t>, including boundary conditions;</w:t>
      </w:r>
    </w:p>
    <w:p w14:paraId="31CABB53" w14:textId="77777777" w:rsidR="00BE3B00" w:rsidRDefault="00BE3B00" w:rsidP="00BE3B00">
      <w:pPr>
        <w:pStyle w:val="ListParagraph"/>
        <w:numPr>
          <w:ilvl w:val="1"/>
          <w:numId w:val="6"/>
        </w:numPr>
      </w:pPr>
      <w:r>
        <w:t>provid</w:t>
      </w:r>
      <w:r w:rsidR="00822DD1">
        <w:t>ing</w:t>
      </w:r>
      <w:r>
        <w:t xml:space="preserve"> </w:t>
      </w:r>
      <w:r w:rsidR="0089384D">
        <w:t xml:space="preserve">hydrographs showing the </w:t>
      </w:r>
      <w:r>
        <w:t>observed and predicted water levels</w:t>
      </w:r>
      <w:r w:rsidR="0089384D">
        <w:t xml:space="preserve"> for all </w:t>
      </w:r>
      <w:r>
        <w:t xml:space="preserve">calibration </w:t>
      </w:r>
      <w:r w:rsidR="0089384D">
        <w:t>targets</w:t>
      </w:r>
      <w:r>
        <w:t xml:space="preserve">; </w:t>
      </w:r>
    </w:p>
    <w:p w14:paraId="49812E20" w14:textId="77777777" w:rsidR="00BE3B00" w:rsidRDefault="00BE3B00" w:rsidP="00BE3B00">
      <w:pPr>
        <w:pStyle w:val="ListParagraph"/>
        <w:numPr>
          <w:ilvl w:val="1"/>
          <w:numId w:val="6"/>
        </w:numPr>
      </w:pPr>
      <w:r>
        <w:t>consider</w:t>
      </w:r>
      <w:r w:rsidR="00822DD1">
        <w:t>ing</w:t>
      </w:r>
      <w:r>
        <w:t xml:space="preserve"> and acknowledg</w:t>
      </w:r>
      <w:r w:rsidR="00822DD1">
        <w:t>ing</w:t>
      </w:r>
      <w:r>
        <w:t xml:space="preserve"> risks posed by the model’s limitations;</w:t>
      </w:r>
    </w:p>
    <w:p w14:paraId="7BD36CB2" w14:textId="77777777" w:rsidR="00BE3B00" w:rsidRPr="009F7050" w:rsidRDefault="00BE3B00" w:rsidP="00BE3B00">
      <w:pPr>
        <w:pStyle w:val="ListParagraph"/>
        <w:numPr>
          <w:ilvl w:val="1"/>
          <w:numId w:val="6"/>
        </w:numPr>
      </w:pPr>
      <w:r w:rsidRPr="009F7050">
        <w:t>commission</w:t>
      </w:r>
      <w:r w:rsidR="00822DD1" w:rsidRPr="009F7050">
        <w:t>ing</w:t>
      </w:r>
      <w:r w:rsidRPr="009F7050">
        <w:t xml:space="preserve"> a</w:t>
      </w:r>
      <w:r w:rsidR="00A86E3C" w:rsidRPr="009F7050">
        <w:t>n independent</w:t>
      </w:r>
      <w:r w:rsidRPr="009F7050">
        <w:t xml:space="preserve"> </w:t>
      </w:r>
      <w:r w:rsidR="00001C27" w:rsidRPr="009F7050">
        <w:t xml:space="preserve">and comprehensive </w:t>
      </w:r>
      <w:r w:rsidRPr="009F7050">
        <w:t>peer review</w:t>
      </w:r>
      <w:r w:rsidR="0034675F" w:rsidRPr="009F7050">
        <w:t>; and</w:t>
      </w:r>
    </w:p>
    <w:p w14:paraId="78FDD827" w14:textId="77777777" w:rsidR="0034675F" w:rsidRPr="009F7050" w:rsidRDefault="0034675F" w:rsidP="00BE3B00">
      <w:pPr>
        <w:pStyle w:val="ListParagraph"/>
        <w:numPr>
          <w:ilvl w:val="1"/>
          <w:numId w:val="6"/>
        </w:numPr>
      </w:pPr>
      <w:proofErr w:type="gramStart"/>
      <w:r w:rsidRPr="009F7050">
        <w:t>commit</w:t>
      </w:r>
      <w:r w:rsidR="00F267FD" w:rsidRPr="009F7050">
        <w:t>ting</w:t>
      </w:r>
      <w:proofErr w:type="gramEnd"/>
      <w:r w:rsidRPr="009F7050">
        <w:t xml:space="preserve"> to </w:t>
      </w:r>
      <w:r w:rsidR="007A4FEB" w:rsidRPr="009F7050">
        <w:t xml:space="preserve">reviews </w:t>
      </w:r>
      <w:r w:rsidR="00813AFE" w:rsidRPr="009F7050">
        <w:t>on a periodic basis</w:t>
      </w:r>
      <w:r w:rsidR="0041697B" w:rsidRPr="009F7050">
        <w:t xml:space="preserve"> (e.g. two to five years)</w:t>
      </w:r>
      <w:r w:rsidR="00813AFE" w:rsidRPr="009F7050">
        <w:t xml:space="preserve"> </w:t>
      </w:r>
      <w:r w:rsidR="007A4FEB" w:rsidRPr="009F7050">
        <w:t>to incorporate relevant development information as it becomes available</w:t>
      </w:r>
      <w:r w:rsidR="00813AFE" w:rsidRPr="009F7050">
        <w:t xml:space="preserve">, </w:t>
      </w:r>
      <w:r w:rsidR="007127FE" w:rsidRPr="009F7050">
        <w:t xml:space="preserve">as well as </w:t>
      </w:r>
      <w:r w:rsidR="00813AFE" w:rsidRPr="009F7050">
        <w:t xml:space="preserve">in the event of a </w:t>
      </w:r>
      <w:r w:rsidR="0041697B" w:rsidRPr="009F7050">
        <w:t xml:space="preserve">major discrepancy between predictions and monitoring data. </w:t>
      </w:r>
    </w:p>
    <w:p w14:paraId="7952DF39" w14:textId="3518FF9F" w:rsidR="00DB70E0" w:rsidRPr="009451C8" w:rsidRDefault="00E9627A" w:rsidP="00DF6D3D">
      <w:pPr>
        <w:pStyle w:val="ListParagraph"/>
        <w:numPr>
          <w:ilvl w:val="0"/>
          <w:numId w:val="6"/>
        </w:numPr>
      </w:pPr>
      <w:r w:rsidRPr="009451C8">
        <w:t xml:space="preserve">Undertake sufficient </w:t>
      </w:r>
      <w:r w:rsidR="00822DD1" w:rsidRPr="009451C8">
        <w:t xml:space="preserve">surface </w:t>
      </w:r>
      <w:r w:rsidR="007E4ED3" w:rsidRPr="009451C8">
        <w:t xml:space="preserve">water quality </w:t>
      </w:r>
      <w:r w:rsidRPr="009451C8">
        <w:t xml:space="preserve">monitoring to provide </w:t>
      </w:r>
      <w:r w:rsidR="008C27E5" w:rsidRPr="009451C8">
        <w:t xml:space="preserve">appropriate </w:t>
      </w:r>
      <w:r w:rsidRPr="009451C8">
        <w:t xml:space="preserve">baseline data for all </w:t>
      </w:r>
      <w:r w:rsidR="008C4EDE" w:rsidRPr="009451C8">
        <w:t>watercourses</w:t>
      </w:r>
      <w:r w:rsidRPr="009451C8">
        <w:t xml:space="preserve"> in the project area. Th</w:t>
      </w:r>
      <w:r w:rsidR="008C27E5" w:rsidRPr="009451C8">
        <w:t>ese</w:t>
      </w:r>
      <w:r w:rsidRPr="009451C8">
        <w:t xml:space="preserve"> baseline data should include</w:t>
      </w:r>
      <w:r w:rsidR="007E4ED3" w:rsidRPr="009451C8">
        <w:t xml:space="preserve"> a broader suite of contaminants </w:t>
      </w:r>
      <w:r w:rsidR="00C55DD3" w:rsidRPr="009451C8">
        <w:t>(</w:t>
      </w:r>
      <w:r w:rsidR="007E4ED3" w:rsidRPr="009451C8">
        <w:t>e.g. metals</w:t>
      </w:r>
      <w:r w:rsidR="00C55DD3" w:rsidRPr="009451C8">
        <w:t>)</w:t>
      </w:r>
      <w:r w:rsidR="007E4ED3" w:rsidRPr="009451C8">
        <w:t xml:space="preserve">, as well </w:t>
      </w:r>
      <w:r w:rsidR="00550E35" w:rsidRPr="009451C8">
        <w:t>as sediment</w:t>
      </w:r>
      <w:r w:rsidRPr="009451C8">
        <w:t xml:space="preserve"> quality sampling.</w:t>
      </w:r>
      <w:r w:rsidR="00672F33" w:rsidRPr="009451C8">
        <w:t xml:space="preserve"> </w:t>
      </w:r>
      <w:r w:rsidR="00DB70E0" w:rsidRPr="009451C8">
        <w:t xml:space="preserve">This is required to assess any </w:t>
      </w:r>
      <w:r w:rsidR="00E82EAC" w:rsidRPr="009451C8">
        <w:t>impacts to</w:t>
      </w:r>
      <w:r w:rsidR="00DB70E0" w:rsidRPr="009451C8">
        <w:t xml:space="preserve"> water quality associated with subsidence-induced changes in flow regime or migration of residual gas from the CSG wells. </w:t>
      </w:r>
    </w:p>
    <w:p w14:paraId="4E680BA3" w14:textId="46F28031" w:rsidR="00BE3B00" w:rsidRDefault="008C3AC2" w:rsidP="00DF6D3D">
      <w:pPr>
        <w:pStyle w:val="ListParagraph"/>
        <w:numPr>
          <w:ilvl w:val="0"/>
          <w:numId w:val="6"/>
        </w:numPr>
      </w:pPr>
      <w:r w:rsidRPr="00822DD1">
        <w:t>Provide q</w:t>
      </w:r>
      <w:r w:rsidR="00BE3B00" w:rsidRPr="00822DD1">
        <w:t>uantitative estimates of all surface water losses resulting from subsidence. This should include analysis of the impacts on streamflow persistence</w:t>
      </w:r>
      <w:r w:rsidR="008C27E5" w:rsidRPr="00822DD1">
        <w:t xml:space="preserve"> and </w:t>
      </w:r>
      <w:r w:rsidR="005B7857" w:rsidRPr="00822DD1">
        <w:t>other ecologically important flow components</w:t>
      </w:r>
      <w:r w:rsidR="008C27E5" w:rsidRPr="00822DD1">
        <w:t xml:space="preserve"> (e.g. timing, frequency and duration of low-</w:t>
      </w:r>
      <w:r w:rsidR="00C55DD3">
        <w:t xml:space="preserve"> </w:t>
      </w:r>
      <w:r w:rsidR="008C27E5" w:rsidRPr="00822DD1">
        <w:t>and zero-flow periods).</w:t>
      </w:r>
    </w:p>
    <w:p w14:paraId="08933A98" w14:textId="77777777" w:rsidR="00DB372A" w:rsidRPr="00D7197C" w:rsidRDefault="00E6401F" w:rsidP="00A126ED">
      <w:pPr>
        <w:pStyle w:val="ListParagraph"/>
        <w:numPr>
          <w:ilvl w:val="0"/>
          <w:numId w:val="6"/>
        </w:numPr>
      </w:pPr>
      <w:r w:rsidRPr="00D7197C">
        <w:t>Develop</w:t>
      </w:r>
      <w:r w:rsidR="0089384D" w:rsidRPr="00D7197C">
        <w:t xml:space="preserve"> or update</w:t>
      </w:r>
      <w:r w:rsidRPr="00D7197C">
        <w:t xml:space="preserve"> management plans to address identified risks</w:t>
      </w:r>
      <w:r w:rsidR="00DB372A" w:rsidRPr="00D7197C">
        <w:t>. For example, the operational water balance should be updated to include the proposed project</w:t>
      </w:r>
      <w:r w:rsidR="0041697B" w:rsidRPr="00D7197C">
        <w:t>.</w:t>
      </w:r>
      <w:r w:rsidR="00DB372A" w:rsidRPr="00D7197C">
        <w:t xml:space="preserve"> </w:t>
      </w:r>
    </w:p>
    <w:p w14:paraId="133B8C8C" w14:textId="77777777" w:rsidR="00FC49D2" w:rsidRDefault="00DB372A" w:rsidP="00DB372A">
      <w:pPr>
        <w:pStyle w:val="ListBullet"/>
        <w:numPr>
          <w:ilvl w:val="0"/>
          <w:numId w:val="6"/>
        </w:numPr>
      </w:pPr>
      <w:r w:rsidRPr="0016509F">
        <w:t>Undertake additional stygofauna monitoring, focused in the alluvium and Tertiary sediments, in accordance with the Queensland Guidelines for the Environmental Assessment of Subterranean Aquatic Fauna (DSITI, 2015)</w:t>
      </w:r>
      <w:r w:rsidRPr="00F04474">
        <w:t>.</w:t>
      </w:r>
    </w:p>
    <w:p w14:paraId="6E8B9A98" w14:textId="77777777" w:rsidR="008F13FE" w:rsidRPr="00BE3B00" w:rsidRDefault="008F13FE" w:rsidP="008F13FE">
      <w:pPr>
        <w:pStyle w:val="ListBullet"/>
        <w:numPr>
          <w:ilvl w:val="0"/>
          <w:numId w:val="6"/>
        </w:numPr>
      </w:pPr>
      <w:r>
        <w:lastRenderedPageBreak/>
        <w:t>Clarify how cumulative impacts from CSG and other mining developments have been incorporated into the groundwater and surface water models, and assess their potential impacts on surface water processes (e.g. sediment regimes, surface runoff, overbank flooding), water quality and water-dependent ecological communities.</w:t>
      </w:r>
    </w:p>
    <w:p w14:paraId="7CB69AD9" w14:textId="77777777" w:rsidR="00291857" w:rsidRPr="00BF21A7" w:rsidRDefault="00291857" w:rsidP="00291857">
      <w:pPr>
        <w:rPr>
          <w:b/>
        </w:rPr>
      </w:pPr>
      <w:r w:rsidRPr="00BF21A7">
        <w:rPr>
          <w:b/>
        </w:rPr>
        <w:t>Context</w:t>
      </w:r>
    </w:p>
    <w:p w14:paraId="045F6AC0" w14:textId="77777777" w:rsidR="00B21598" w:rsidRPr="005A4335" w:rsidRDefault="00B21598" w:rsidP="00B21598">
      <w:r w:rsidRPr="005A4335">
        <w:t>M</w:t>
      </w:r>
      <w:r w:rsidR="007366C3">
        <w:t xml:space="preserve">oranbah </w:t>
      </w:r>
      <w:r w:rsidR="00D9312B">
        <w:t>N</w:t>
      </w:r>
      <w:r w:rsidR="007366C3">
        <w:t xml:space="preserve">orth </w:t>
      </w:r>
      <w:r w:rsidR="00D9312B">
        <w:t>M</w:t>
      </w:r>
      <w:r w:rsidR="007366C3">
        <w:t>ine (MNM)</w:t>
      </w:r>
      <w:r w:rsidR="00D9312B">
        <w:t xml:space="preserve"> </w:t>
      </w:r>
      <w:r w:rsidRPr="005A4335">
        <w:t>is an operating longwall mine approximately 7</w:t>
      </w:r>
      <w:r w:rsidR="00D9312B" w:rsidRPr="004A569E">
        <w:t> </w:t>
      </w:r>
      <w:r w:rsidRPr="005A4335">
        <w:t xml:space="preserve">km north of Moranbah </w:t>
      </w:r>
      <w:proofErr w:type="gramStart"/>
      <w:r w:rsidRPr="005A4335">
        <w:t>township</w:t>
      </w:r>
      <w:proofErr w:type="gramEnd"/>
      <w:r w:rsidRPr="005A4335">
        <w:t xml:space="preserve"> in Central Queensland. The mine commenced operations in 1998 and produces export coking (metallurgical) coal. Th</w:t>
      </w:r>
      <w:r w:rsidR="00D9312B">
        <w:t>e</w:t>
      </w:r>
      <w:r w:rsidRPr="005A4335">
        <w:t xml:space="preserve"> </w:t>
      </w:r>
      <w:r w:rsidR="00C30929">
        <w:t xml:space="preserve">proposed </w:t>
      </w:r>
      <w:r w:rsidRPr="005A4335">
        <w:t>project involves extending mining operations into an area east of the current mine</w:t>
      </w:r>
      <w:r w:rsidR="00553757">
        <w:t xml:space="preserve"> and will require a new Mining L</w:t>
      </w:r>
      <w:r w:rsidRPr="005A4335">
        <w:t xml:space="preserve">ease to proceed. </w:t>
      </w:r>
    </w:p>
    <w:p w14:paraId="5B8EFB39" w14:textId="174CFECE" w:rsidR="00712A8B" w:rsidRPr="005A4335" w:rsidRDefault="00B21598" w:rsidP="00B21598">
      <w:r w:rsidRPr="005A4335">
        <w:t xml:space="preserve">The </w:t>
      </w:r>
      <w:r w:rsidR="00C30929">
        <w:t xml:space="preserve">proposed </w:t>
      </w:r>
      <w:r w:rsidRPr="005A4335">
        <w:t xml:space="preserve">project will target the </w:t>
      </w:r>
      <w:r w:rsidR="007366C3">
        <w:t xml:space="preserve">Goonyella Middle </w:t>
      </w:r>
      <w:r w:rsidR="000B2746">
        <w:t>(</w:t>
      </w:r>
      <w:r w:rsidRPr="005A4335">
        <w:t>GM</w:t>
      </w:r>
      <w:r w:rsidR="000B2746">
        <w:t>)</w:t>
      </w:r>
      <w:r w:rsidRPr="005A4335">
        <w:t xml:space="preserve"> </w:t>
      </w:r>
      <w:r w:rsidR="00D6101C">
        <w:t>S</w:t>
      </w:r>
      <w:r w:rsidRPr="005A4335">
        <w:t>eam and mining will be at a maximum production rate of 12</w:t>
      </w:r>
      <w:r w:rsidR="00EF10F0" w:rsidRPr="004A569E">
        <w:t> </w:t>
      </w:r>
      <w:proofErr w:type="spellStart"/>
      <w:r w:rsidRPr="005A4335">
        <w:t>Mtpa</w:t>
      </w:r>
      <w:proofErr w:type="spellEnd"/>
      <w:r w:rsidRPr="005A4335">
        <w:t xml:space="preserve"> </w:t>
      </w:r>
      <w:r w:rsidR="00AD16D6">
        <w:t xml:space="preserve">of </w:t>
      </w:r>
      <w:r w:rsidRPr="005A4335">
        <w:t>ROM</w:t>
      </w:r>
      <w:r w:rsidR="000F1D10">
        <w:t xml:space="preserve"> coal</w:t>
      </w:r>
      <w:r w:rsidRPr="005A4335">
        <w:t xml:space="preserve">. The ROM coal is </w:t>
      </w:r>
      <w:r w:rsidR="00C55DD3">
        <w:t xml:space="preserve">to be </w:t>
      </w:r>
      <w:r w:rsidRPr="005A4335">
        <w:t xml:space="preserve">processed on-site </w:t>
      </w:r>
      <w:r w:rsidR="00553757">
        <w:t xml:space="preserve">at the </w:t>
      </w:r>
      <w:r w:rsidR="00B05828" w:rsidRPr="005A4335">
        <w:t xml:space="preserve">coal </w:t>
      </w:r>
      <w:r w:rsidRPr="005A4335">
        <w:t>handling and</w:t>
      </w:r>
      <w:r w:rsidR="00B05828" w:rsidRPr="005A4335">
        <w:t xml:space="preserve"> preparation plant (CHPP). The extension will use the existing mine infrastructure, CHPP, mining methods and workforce.</w:t>
      </w:r>
      <w:r w:rsidR="00553757">
        <w:t xml:space="preserve"> </w:t>
      </w:r>
      <w:r w:rsidR="00553757" w:rsidRPr="005A4335">
        <w:t xml:space="preserve">The </w:t>
      </w:r>
      <w:r w:rsidR="00C30929">
        <w:t xml:space="preserve">proposed </w:t>
      </w:r>
      <w:r w:rsidR="00553757" w:rsidRPr="005A4335">
        <w:t>project will extend the life of the M</w:t>
      </w:r>
      <w:r w:rsidR="00D9312B">
        <w:t>NM</w:t>
      </w:r>
      <w:r w:rsidR="00553757" w:rsidRPr="005A4335">
        <w:t xml:space="preserve"> by approximately 16 years.</w:t>
      </w:r>
      <w:r w:rsidR="00637239" w:rsidRPr="005A4335">
        <w:t xml:space="preserve"> </w:t>
      </w:r>
      <w:r w:rsidR="00553757">
        <w:t xml:space="preserve"> </w:t>
      </w:r>
    </w:p>
    <w:p w14:paraId="1748B1BF" w14:textId="44D69EC8" w:rsidR="00E020B2" w:rsidRPr="00114ADE" w:rsidRDefault="00E020B2" w:rsidP="00E020B2">
      <w:r>
        <w:t>The local region has been heavily modified through agriculture (grazing and irrigated cropping)</w:t>
      </w:r>
      <w:r w:rsidR="007E4ED3">
        <w:t>,</w:t>
      </w:r>
      <w:r>
        <w:t xml:space="preserve"> coal mining</w:t>
      </w:r>
      <w:r w:rsidR="007E4ED3">
        <w:t xml:space="preserve"> and unconventional gas operations</w:t>
      </w:r>
      <w:r>
        <w:t xml:space="preserve">. </w:t>
      </w:r>
      <w:r w:rsidR="008F13FE">
        <w:t>Much of t</w:t>
      </w:r>
      <w:r>
        <w:t>he project</w:t>
      </w:r>
      <w:r w:rsidR="008F13FE">
        <w:t xml:space="preserve"> area </w:t>
      </w:r>
      <w:r w:rsidR="003826B0">
        <w:t>is susceptible to water erosion</w:t>
      </w:r>
      <w:r>
        <w:t xml:space="preserve">. Despite these pressures, there remains some </w:t>
      </w:r>
      <w:r w:rsidR="003826B0">
        <w:t xml:space="preserve">riparian </w:t>
      </w:r>
      <w:r w:rsidR="00C4729A">
        <w:t>vegetation</w:t>
      </w:r>
      <w:r w:rsidR="000A538E">
        <w:t>,</w:t>
      </w:r>
      <w:r w:rsidR="00C4729A">
        <w:t xml:space="preserve"> particularly</w:t>
      </w:r>
      <w:r>
        <w:t xml:space="preserve"> </w:t>
      </w:r>
      <w:r w:rsidR="00F86406">
        <w:t xml:space="preserve">along </w:t>
      </w:r>
      <w:r w:rsidR="00553757">
        <w:t>Teviot Brook</w:t>
      </w:r>
      <w:r>
        <w:t xml:space="preserve"> and </w:t>
      </w:r>
      <w:r w:rsidR="00553757">
        <w:t>Skeleton Gully</w:t>
      </w:r>
      <w:r w:rsidR="00834C07">
        <w:t xml:space="preserve"> (</w:t>
      </w:r>
      <w:r w:rsidR="000A538E">
        <w:t>Anglo Coal 2018</w:t>
      </w:r>
      <w:r w:rsidR="00834C07">
        <w:t>, App.</w:t>
      </w:r>
      <w:r w:rsidR="000A538E" w:rsidRPr="004A569E">
        <w:t> </w:t>
      </w:r>
      <w:r w:rsidR="00834C07">
        <w:t>E, p.</w:t>
      </w:r>
      <w:r w:rsidR="000A538E" w:rsidRPr="004A569E">
        <w:t> </w:t>
      </w:r>
      <w:r w:rsidR="00B40C49">
        <w:t>3,</w:t>
      </w:r>
      <w:r w:rsidR="00B40C49" w:rsidRPr="004A569E">
        <w:t> </w:t>
      </w:r>
      <w:r w:rsidR="00B40C49">
        <w:t>75</w:t>
      </w:r>
      <w:r w:rsidR="00834C07">
        <w:t>) providing habitat for terrestrial and aquatic native species on and adjacent to the project area</w:t>
      </w:r>
      <w:r w:rsidR="00EF10F0">
        <w:t>.</w:t>
      </w:r>
      <w:r w:rsidR="00F86406">
        <w:t xml:space="preserve"> </w:t>
      </w:r>
      <w:r w:rsidR="00BE1D5E">
        <w:t>There are also areas of woodland/open forest along the eastern and western boundaries of the project area.</w:t>
      </w:r>
      <w:r w:rsidR="00F86406">
        <w:t xml:space="preserve"> </w:t>
      </w:r>
    </w:p>
    <w:p w14:paraId="5AD79F69" w14:textId="77777777" w:rsidR="007203C3" w:rsidRPr="00BF21A7" w:rsidRDefault="00D84735" w:rsidP="00D622B9">
      <w:pPr>
        <w:pStyle w:val="Heading3"/>
      </w:pPr>
      <w:r>
        <w:br/>
      </w:r>
      <w:r w:rsidR="00766009" w:rsidRPr="00BF21A7">
        <w:t>Response to questions</w:t>
      </w:r>
    </w:p>
    <w:p w14:paraId="1D0B73BC" w14:textId="77777777"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w:t>
      </w:r>
      <w:r w:rsidR="005A4335">
        <w:rPr>
          <w:rFonts w:ascii="Arial" w:eastAsia="Times New Roman" w:hAnsi="Arial" w:cs="Arial"/>
          <w:color w:val="auto"/>
          <w:sz w:val="20"/>
          <w:szCs w:val="20"/>
          <w:lang w:eastAsia="en-US"/>
        </w:rPr>
        <w:t xml:space="preserve"> </w:t>
      </w:r>
      <w:r w:rsidR="00E57CD8" w:rsidRPr="00BF21A7">
        <w:rPr>
          <w:rFonts w:ascii="Arial" w:eastAsia="Times New Roman" w:hAnsi="Arial" w:cs="Arial"/>
          <w:color w:val="auto"/>
          <w:sz w:val="20"/>
          <w:szCs w:val="20"/>
          <w:lang w:eastAsia="en-US"/>
        </w:rPr>
        <w:t>agency</w:t>
      </w:r>
      <w:r w:rsidRPr="00BF21A7">
        <w:rPr>
          <w:rFonts w:ascii="Arial" w:eastAsia="Times New Roman" w:hAnsi="Arial" w:cs="Arial"/>
          <w:color w:val="auto"/>
          <w:sz w:val="20"/>
          <w:szCs w:val="20"/>
          <w:lang w:eastAsia="en-US"/>
        </w:rPr>
        <w:t>’s specific question</w:t>
      </w:r>
      <w:r w:rsidR="005C54F7">
        <w:rPr>
          <w:rFonts w:ascii="Arial" w:eastAsia="Times New Roman" w:hAnsi="Arial" w:cs="Arial"/>
          <w:color w:val="auto"/>
          <w:sz w:val="20"/>
          <w:szCs w:val="20"/>
          <w:lang w:eastAsia="en-US"/>
        </w:rPr>
        <w:t>s</w:t>
      </w:r>
      <w:r w:rsidR="00C55DD3">
        <w:rPr>
          <w:rFonts w:ascii="Arial" w:eastAsia="Times New Roman" w:hAnsi="Arial" w:cs="Arial"/>
          <w:color w:val="auto"/>
          <w:sz w:val="20"/>
          <w:szCs w:val="20"/>
          <w:lang w:eastAsia="en-US"/>
        </w:rPr>
        <w:t>,</w:t>
      </w:r>
      <w:r w:rsidRPr="00BF21A7">
        <w:rPr>
          <w:rFonts w:ascii="Arial" w:eastAsia="Times New Roman" w:hAnsi="Arial" w:cs="Arial"/>
          <w:color w:val="auto"/>
          <w:sz w:val="20"/>
          <w:szCs w:val="20"/>
          <w:lang w:eastAsia="en-US"/>
        </w:rPr>
        <w:t xml:space="preserve"> is provided below. </w:t>
      </w:r>
    </w:p>
    <w:p w14:paraId="5B63BF0C" w14:textId="77777777" w:rsidR="005A4335" w:rsidRPr="00BF21A7" w:rsidRDefault="005A4335" w:rsidP="005A4335">
      <w:pPr>
        <w:pStyle w:val="Question"/>
        <w:keepNext/>
        <w:keepLines/>
        <w:shd w:val="clear" w:color="auto" w:fill="E7E6E6"/>
        <w:rPr>
          <w:lang w:eastAsia="en-AU"/>
        </w:rPr>
      </w:pPr>
      <w:r>
        <w:rPr>
          <w:lang w:eastAsia="en-AU"/>
        </w:rPr>
        <w:t xml:space="preserve">Question </w:t>
      </w:r>
      <w:r w:rsidRPr="000178C6">
        <w:rPr>
          <w:lang w:eastAsia="en-AU"/>
        </w:rPr>
        <w:t>1</w:t>
      </w:r>
      <w:r>
        <w:rPr>
          <w:lang w:eastAsia="en-AU"/>
        </w:rPr>
        <w:t>:</w:t>
      </w:r>
      <w:r w:rsidRPr="000178C6">
        <w:rPr>
          <w:lang w:eastAsia="en-AU"/>
        </w:rPr>
        <w:t xml:space="preserve"> </w:t>
      </w:r>
      <w:r w:rsidRPr="005A4335">
        <w:rPr>
          <w:lang w:eastAsia="en-AU"/>
        </w:rPr>
        <w:t>Advice is sought on whether the modelling provided is appropriate for a project of this type and at this stage of development? If not, what changes or improvements should be made to the modelling</w:t>
      </w:r>
      <w:r>
        <w:rPr>
          <w:lang w:eastAsia="en-AU"/>
        </w:rPr>
        <w:t>?</w:t>
      </w:r>
    </w:p>
    <w:p w14:paraId="1CA521B4" w14:textId="3CB7B4B4" w:rsidR="005C54F7" w:rsidRPr="00D7197C" w:rsidRDefault="00117E54" w:rsidP="00117E54">
      <w:pPr>
        <w:pStyle w:val="ListNumber"/>
      </w:pPr>
      <w:r w:rsidRPr="00D7197C">
        <w:t>T</w:t>
      </w:r>
      <w:r w:rsidR="00BE3E96" w:rsidRPr="00D7197C">
        <w:t xml:space="preserve">he presentation of the information and results </w:t>
      </w:r>
      <w:r w:rsidRPr="00D7197C">
        <w:t xml:space="preserve">of modelling </w:t>
      </w:r>
      <w:r w:rsidR="00BE3E96" w:rsidRPr="00D7197C">
        <w:t xml:space="preserve">is </w:t>
      </w:r>
      <w:r w:rsidR="009207C0" w:rsidRPr="00D7197C">
        <w:t xml:space="preserve">often </w:t>
      </w:r>
      <w:r w:rsidR="00BE3E96" w:rsidRPr="00D7197C">
        <w:t>confusing</w:t>
      </w:r>
      <w:r w:rsidR="00416816" w:rsidRPr="00D7197C">
        <w:t xml:space="preserve"> and should be </w:t>
      </w:r>
      <w:r w:rsidR="006A218C" w:rsidRPr="00D7197C">
        <w:t>clarified</w:t>
      </w:r>
      <w:r w:rsidR="00416816" w:rsidRPr="00D7197C">
        <w:t xml:space="preserve"> as par</w:t>
      </w:r>
      <w:r w:rsidR="006A218C" w:rsidRPr="00D7197C">
        <w:t>t of further project assessment</w:t>
      </w:r>
      <w:r w:rsidR="00416816" w:rsidRPr="00D7197C">
        <w:t xml:space="preserve"> to ensure risks are appropriately identified</w:t>
      </w:r>
      <w:r w:rsidR="008243E7" w:rsidRPr="00D7197C">
        <w:t xml:space="preserve">, </w:t>
      </w:r>
      <w:r w:rsidR="00416816" w:rsidRPr="00D7197C">
        <w:t>managed</w:t>
      </w:r>
      <w:r w:rsidR="008243E7" w:rsidRPr="00D7197C">
        <w:t xml:space="preserve"> and communicated.</w:t>
      </w:r>
      <w:r w:rsidRPr="00D7197C">
        <w:t xml:space="preserve"> In this project</w:t>
      </w:r>
      <w:r w:rsidR="00C55DD3" w:rsidRPr="00D7197C">
        <w:t>,</w:t>
      </w:r>
      <w:r w:rsidRPr="00D7197C">
        <w:t xml:space="preserve"> the key physical driver of concern is the impact of subsidence on topographic gradients. This will p</w:t>
      </w:r>
      <w:r w:rsidR="00B94A7F" w:rsidRPr="00D7197C">
        <w:t>otentially</w:t>
      </w:r>
      <w:r w:rsidRPr="00D7197C">
        <w:t xml:space="preserve"> have</w:t>
      </w:r>
      <w:r w:rsidR="00B94A7F" w:rsidRPr="00D7197C">
        <w:t xml:space="preserve"> </w:t>
      </w:r>
      <w:r w:rsidRPr="00D7197C">
        <w:t xml:space="preserve">impacts on </w:t>
      </w:r>
      <w:bookmarkStart w:id="1" w:name="_Hlk23790824"/>
      <w:r w:rsidRPr="00D7197C">
        <w:t xml:space="preserve">surface water hydrology (surface runoff, overbank flooding and streamflow regime) and consequently water-dependent </w:t>
      </w:r>
      <w:r w:rsidR="00B40C49">
        <w:t>ecosystems</w:t>
      </w:r>
      <w:r w:rsidRPr="00D7197C">
        <w:t xml:space="preserve"> (</w:t>
      </w:r>
      <w:r w:rsidR="00E0655D" w:rsidRPr="00D7197C">
        <w:t xml:space="preserve">potentially </w:t>
      </w:r>
      <w:r w:rsidRPr="00D7197C">
        <w:t xml:space="preserve">including </w:t>
      </w:r>
      <w:r w:rsidR="00C55DD3" w:rsidRPr="00D7197C">
        <w:t xml:space="preserve">EPBC Act-listed </w:t>
      </w:r>
      <w:r w:rsidRPr="00D7197C">
        <w:t xml:space="preserve">vegetation). </w:t>
      </w:r>
      <w:bookmarkEnd w:id="1"/>
      <w:r w:rsidRPr="00D7197C">
        <w:t>Regional groundwater modelling is less likely to be crucial in this context</w:t>
      </w:r>
      <w:r w:rsidR="00C55DD3" w:rsidRPr="00D7197C">
        <w:t>,</w:t>
      </w:r>
      <w:r w:rsidRPr="00D7197C">
        <w:t xml:space="preserve"> despite the unusual </w:t>
      </w:r>
      <w:r w:rsidR="00C55DD3" w:rsidRPr="00D7197C">
        <w:t>situation</w:t>
      </w:r>
      <w:r w:rsidRPr="00D7197C">
        <w:t xml:space="preserve"> of longwall mining </w:t>
      </w:r>
      <w:r w:rsidR="00C55DD3" w:rsidRPr="00D7197C">
        <w:t>proposed</w:t>
      </w:r>
      <w:r w:rsidR="00B94A7F" w:rsidRPr="00D7197C">
        <w:t xml:space="preserve"> within</w:t>
      </w:r>
      <w:r w:rsidRPr="00D7197C">
        <w:t xml:space="preserve"> a CSG wellfield</w:t>
      </w:r>
      <w:r w:rsidR="00C55DD3" w:rsidRPr="00D7197C">
        <w:t>.</w:t>
      </w:r>
    </w:p>
    <w:p w14:paraId="060AB0EA" w14:textId="77777777" w:rsidR="00EF10F0" w:rsidRPr="008A2332" w:rsidRDefault="008A2332" w:rsidP="008A2332">
      <w:pPr>
        <w:pStyle w:val="ListNumber"/>
        <w:numPr>
          <w:ilvl w:val="0"/>
          <w:numId w:val="0"/>
        </w:numPr>
        <w:rPr>
          <w:u w:val="single"/>
        </w:rPr>
      </w:pPr>
      <w:r w:rsidRPr="008A2332">
        <w:rPr>
          <w:u w:val="single"/>
        </w:rPr>
        <w:t>Groundwater</w:t>
      </w:r>
    </w:p>
    <w:p w14:paraId="6331AF29" w14:textId="77777777" w:rsidR="0035231E" w:rsidRPr="00664642" w:rsidRDefault="007E4ED3" w:rsidP="00C30929">
      <w:pPr>
        <w:pStyle w:val="ListNumber"/>
      </w:pPr>
      <w:r w:rsidRPr="00A87320">
        <w:t xml:space="preserve">The current groundwater model predictions provided by the proponent indicate that the impacts from the </w:t>
      </w:r>
      <w:r w:rsidR="00C30929">
        <w:t xml:space="preserve">proposed </w:t>
      </w:r>
      <w:r w:rsidRPr="00A87320">
        <w:t xml:space="preserve">project will largely be </w:t>
      </w:r>
      <w:r>
        <w:t>confined to the Permian coal measures (Anglo Coal 2018</w:t>
      </w:r>
      <w:r w:rsidRPr="00342294">
        <w:t>, Att.</w:t>
      </w:r>
      <w:r w:rsidRPr="004A569E">
        <w:t> </w:t>
      </w:r>
      <w:r>
        <w:t>5, p.</w:t>
      </w:r>
      <w:r w:rsidRPr="004A569E">
        <w:t> </w:t>
      </w:r>
      <w:r w:rsidRPr="00342294">
        <w:t>5-7</w:t>
      </w:r>
      <w:r>
        <w:t>)</w:t>
      </w:r>
      <w:r w:rsidRPr="00A87320">
        <w:t xml:space="preserve">. </w:t>
      </w:r>
      <w:r>
        <w:t xml:space="preserve">Drawdown is not predicted in </w:t>
      </w:r>
      <w:r w:rsidRPr="00F13F38">
        <w:t>the Tertiary</w:t>
      </w:r>
      <w:r>
        <w:t xml:space="preserve"> basalt, Tertiary sediments or </w:t>
      </w:r>
      <w:r w:rsidR="00325578">
        <w:t>a</w:t>
      </w:r>
      <w:r w:rsidRPr="00F13F38">
        <w:t>l</w:t>
      </w:r>
      <w:r>
        <w:t>luvium (Anglo Coal 2018, App.</w:t>
      </w:r>
      <w:r w:rsidR="00EF10F0" w:rsidRPr="004A569E">
        <w:t> </w:t>
      </w:r>
      <w:r>
        <w:t>C, p.</w:t>
      </w:r>
      <w:r w:rsidR="00EF10F0" w:rsidRPr="004A569E">
        <w:t> </w:t>
      </w:r>
      <w:r>
        <w:t>31</w:t>
      </w:r>
      <w:r w:rsidRPr="00F13F38">
        <w:t>)</w:t>
      </w:r>
      <w:r>
        <w:t xml:space="preserve">. </w:t>
      </w:r>
      <w:r w:rsidR="00B047D1">
        <w:t>Given that the CSG production has requir</w:t>
      </w:r>
      <w:r w:rsidR="006117E2">
        <w:t>ed drawdown in the GM Seam to 75</w:t>
      </w:r>
      <w:r w:rsidR="00747020" w:rsidRPr="004A569E">
        <w:t> </w:t>
      </w:r>
      <w:r w:rsidR="00B047D1">
        <w:t>m above th</w:t>
      </w:r>
      <w:r w:rsidR="007366C3">
        <w:t>at</w:t>
      </w:r>
      <w:r w:rsidR="00B047D1">
        <w:t xml:space="preserve"> seam</w:t>
      </w:r>
      <w:r w:rsidR="006117E2">
        <w:t xml:space="preserve"> (</w:t>
      </w:r>
      <w:r w:rsidR="00EF10F0">
        <w:t>Anglo Coal</w:t>
      </w:r>
      <w:r w:rsidR="006117E2">
        <w:t xml:space="preserve"> 201</w:t>
      </w:r>
      <w:r w:rsidR="00EF10F0">
        <w:t>8</w:t>
      </w:r>
      <w:r w:rsidR="006117E2">
        <w:t>, App.</w:t>
      </w:r>
      <w:r w:rsidR="00EF10F0" w:rsidRPr="004A569E">
        <w:t> </w:t>
      </w:r>
      <w:r w:rsidR="006117E2">
        <w:t>4, p.</w:t>
      </w:r>
      <w:r w:rsidR="00EF10F0" w:rsidRPr="004A569E">
        <w:t> </w:t>
      </w:r>
      <w:r w:rsidR="006117E2">
        <w:t>4)</w:t>
      </w:r>
      <w:r w:rsidR="00E0655D">
        <w:t>,</w:t>
      </w:r>
      <w:r w:rsidR="00B047D1">
        <w:t xml:space="preserve"> the IESC considers these predictions to be plausible.</w:t>
      </w:r>
    </w:p>
    <w:p w14:paraId="0419B3E8" w14:textId="77777777" w:rsidR="005C54F7" w:rsidRPr="00A87320" w:rsidRDefault="00B94A7F" w:rsidP="005C54F7">
      <w:pPr>
        <w:pStyle w:val="ListNumber"/>
      </w:pPr>
      <w:r w:rsidRPr="00667394">
        <w:t>C</w:t>
      </w:r>
      <w:r w:rsidR="005C54F7" w:rsidRPr="00667394">
        <w:t>onsideration of the issues</w:t>
      </w:r>
      <w:r w:rsidR="005C54F7" w:rsidRPr="00A87320">
        <w:t xml:space="preserve"> outlined below would further increase confidence in the groundwater impact assessment and associated modelling.</w:t>
      </w:r>
    </w:p>
    <w:p w14:paraId="69176FFE" w14:textId="77777777" w:rsidR="008A2332" w:rsidRDefault="00A31FEA" w:rsidP="00A31FEA">
      <w:pPr>
        <w:pStyle w:val="ListNumber2"/>
      </w:pPr>
      <w:r w:rsidRPr="008134CC">
        <w:lastRenderedPageBreak/>
        <w:t xml:space="preserve">A sensitivity analysis has been undertaken to </w:t>
      </w:r>
      <w:r>
        <w:t>assess the response of the model to varying hydraulic properties</w:t>
      </w:r>
      <w:r w:rsidR="008A2332">
        <w:t>. The IESC commends the use of a sensitivity analysis during this early stage of assessment</w:t>
      </w:r>
      <w:r w:rsidR="006414EC">
        <w:t>.</w:t>
      </w:r>
      <w:r w:rsidR="008A2332">
        <w:t xml:space="preserve"> </w:t>
      </w:r>
      <w:r w:rsidR="006414EC">
        <w:t>H</w:t>
      </w:r>
      <w:r w:rsidR="008A2332">
        <w:t>owever</w:t>
      </w:r>
      <w:r w:rsidR="006414EC">
        <w:t>, several concerns need to be addressed</w:t>
      </w:r>
      <w:r w:rsidR="007366C3">
        <w:t>.</w:t>
      </w:r>
    </w:p>
    <w:p w14:paraId="433063A0" w14:textId="77777777" w:rsidR="00A31FEA" w:rsidRDefault="00A31FEA" w:rsidP="008A2332">
      <w:pPr>
        <w:pStyle w:val="ListNumber3"/>
        <w:ind w:left="993" w:hanging="284"/>
      </w:pPr>
      <w:r>
        <w:t>Boundary conditions are considered by the proponent to be set at a sufficient distance from the proposal to not significantly influence model predictions</w:t>
      </w:r>
      <w:r w:rsidRPr="004B47B3">
        <w:t xml:space="preserve"> (</w:t>
      </w:r>
      <w:r w:rsidR="00E13CDA">
        <w:t>Anglo Coal 2018</w:t>
      </w:r>
      <w:r w:rsidRPr="004B47B3">
        <w:t>, App.</w:t>
      </w:r>
      <w:r w:rsidR="00747020">
        <w:t xml:space="preserve"> </w:t>
      </w:r>
      <w:r w:rsidRPr="004B47B3">
        <w:t>C, App. IV, p.</w:t>
      </w:r>
      <w:r w:rsidR="00747020" w:rsidRPr="004A569E">
        <w:t> </w:t>
      </w:r>
      <w:r w:rsidRPr="004B47B3">
        <w:t>4).</w:t>
      </w:r>
      <w:r w:rsidR="008A2332">
        <w:t xml:space="preserve"> </w:t>
      </w:r>
      <w:r w:rsidR="008A2332" w:rsidRPr="00FF2CE4">
        <w:t xml:space="preserve">As no sensitivity analysis of the model results to model boundary conditions (type and </w:t>
      </w:r>
      <w:r w:rsidR="008A2332" w:rsidRPr="004B47B3">
        <w:t xml:space="preserve">location) was undertaken, it is unclear how the applied boundary conditions may be </w:t>
      </w:r>
      <w:r w:rsidR="006414EC">
        <w:t>affecting</w:t>
      </w:r>
      <w:r w:rsidR="008A2332" w:rsidRPr="004B47B3">
        <w:t xml:space="preserve"> model predictions</w:t>
      </w:r>
      <w:r w:rsidR="008A2332">
        <w:t>.</w:t>
      </w:r>
      <w:r w:rsidR="00FC0A2F">
        <w:t xml:space="preserve"> </w:t>
      </w:r>
      <w:r w:rsidR="00B37FAA" w:rsidRPr="00667394">
        <w:t>The proponent should d</w:t>
      </w:r>
      <w:r w:rsidR="00FC0A2F" w:rsidRPr="00667394">
        <w:t xml:space="preserve">emonstrate </w:t>
      </w:r>
      <w:r w:rsidR="00B94A7F" w:rsidRPr="00667394">
        <w:t>that</w:t>
      </w:r>
      <w:r w:rsidR="00B37FAA" w:rsidRPr="00667394">
        <w:t xml:space="preserve"> these </w:t>
      </w:r>
      <w:r w:rsidR="00FC0A2F" w:rsidRPr="00667394">
        <w:t>boundary conditions</w:t>
      </w:r>
      <w:r w:rsidR="00B37FAA" w:rsidRPr="00667394">
        <w:t xml:space="preserve"> do not significantly influence model predictions.</w:t>
      </w:r>
    </w:p>
    <w:p w14:paraId="326AD0BC" w14:textId="77777777" w:rsidR="00A31FEA" w:rsidRDefault="008A2332" w:rsidP="008A2332">
      <w:pPr>
        <w:pStyle w:val="ListNumber3"/>
        <w:ind w:left="993" w:hanging="284"/>
      </w:pPr>
      <w:r>
        <w:t>The s</w:t>
      </w:r>
      <w:r w:rsidRPr="004B47B3">
        <w:t>ensitivity analysis varied parameters by ±50% (</w:t>
      </w:r>
      <w:r w:rsidR="00E13CDA">
        <w:t>Anglo Coal 2018</w:t>
      </w:r>
      <w:r w:rsidRPr="004B47B3">
        <w:t>, App.</w:t>
      </w:r>
      <w:r w:rsidR="00747020">
        <w:t xml:space="preserve"> </w:t>
      </w:r>
      <w:r w:rsidR="00402479">
        <w:t>C</w:t>
      </w:r>
      <w:r w:rsidRPr="004B47B3">
        <w:t>, App. IV, p.</w:t>
      </w:r>
      <w:r w:rsidR="00747020" w:rsidRPr="004A569E">
        <w:t> </w:t>
      </w:r>
      <w:r w:rsidRPr="004B47B3">
        <w:t xml:space="preserve">10). Justification is required for this range of parameter adjustment as horizontal hydraulic conductivity could vary over </w:t>
      </w:r>
      <w:r>
        <w:t xml:space="preserve">several orders of magnitude. </w:t>
      </w:r>
      <w:r w:rsidRPr="00181226">
        <w:t xml:space="preserve">Sensitivity analysis should adjust parameters </w:t>
      </w:r>
      <w:r w:rsidR="00B94A7F">
        <w:t>within a plausible range</w:t>
      </w:r>
      <w:r w:rsidRPr="00181226">
        <w:t xml:space="preserve"> (Barnett et al. 2012). </w:t>
      </w:r>
    </w:p>
    <w:p w14:paraId="46D68D72" w14:textId="77777777" w:rsidR="008A2332" w:rsidRDefault="008A2332" w:rsidP="008A2332">
      <w:pPr>
        <w:pStyle w:val="ListNumber3"/>
        <w:ind w:left="993" w:hanging="284"/>
      </w:pPr>
      <w:r>
        <w:t xml:space="preserve">Mine inflows were found to be sensitive to significant increases in the combined vertical and horizontal hydraulic </w:t>
      </w:r>
      <w:r w:rsidRPr="00667394">
        <w:t xml:space="preserve">conductivities. </w:t>
      </w:r>
      <w:r w:rsidR="00FC0A2F" w:rsidRPr="00667394">
        <w:t>The proponent should</w:t>
      </w:r>
      <w:r w:rsidRPr="00667394">
        <w:t xml:space="preserve"> undertake</w:t>
      </w:r>
      <w:r w:rsidRPr="007C37B9">
        <w:t xml:space="preserve"> further quantified sensitivity analysis if </w:t>
      </w:r>
      <w:r w:rsidR="00E0655D">
        <w:t xml:space="preserve">results from the </w:t>
      </w:r>
      <w:r w:rsidRPr="007C37B9">
        <w:t xml:space="preserve">monitoring </w:t>
      </w:r>
      <w:r w:rsidR="00B94A7F">
        <w:t xml:space="preserve">differ from </w:t>
      </w:r>
      <w:r w:rsidRPr="007C37B9">
        <w:t>predicted results.</w:t>
      </w:r>
      <w:r w:rsidR="00FC0A2F">
        <w:t xml:space="preserve"> </w:t>
      </w:r>
    </w:p>
    <w:p w14:paraId="2FFD1D64" w14:textId="77777777" w:rsidR="000C4E78" w:rsidRPr="00667394" w:rsidRDefault="000C4E78" w:rsidP="00356115">
      <w:pPr>
        <w:pStyle w:val="ListNumber2"/>
      </w:pPr>
      <w:r w:rsidRPr="00667394">
        <w:t>Hydrographs for all calibration locations showing modelled and observed groundwater levels should be provided</w:t>
      </w:r>
      <w:r w:rsidR="00943E62" w:rsidRPr="00667394">
        <w:t xml:space="preserve"> to </w:t>
      </w:r>
      <w:r w:rsidR="00964D44" w:rsidRPr="00667394">
        <w:t>support assessment</w:t>
      </w:r>
      <w:r w:rsidR="00B94A7F" w:rsidRPr="00667394">
        <w:t xml:space="preserve"> of the reliability of model parameter estimates. </w:t>
      </w:r>
    </w:p>
    <w:p w14:paraId="1C5D4A0A" w14:textId="77777777" w:rsidR="006F5FE8" w:rsidRPr="00B4707B" w:rsidRDefault="00866E67" w:rsidP="00356115">
      <w:pPr>
        <w:pStyle w:val="ListNumber2"/>
      </w:pPr>
      <w:r>
        <w:t xml:space="preserve">There is an inadequate presentation of </w:t>
      </w:r>
      <w:r w:rsidR="006F5FE8">
        <w:t>how the impacts from CSG or other min</w:t>
      </w:r>
      <w:r w:rsidR="00D76F10">
        <w:t>ing developments</w:t>
      </w:r>
      <w:r w:rsidR="006F5FE8">
        <w:t xml:space="preserve"> in the area have been incorporated into the model</w:t>
      </w:r>
      <w:r w:rsidR="00F84959">
        <w:t xml:space="preserve"> </w:t>
      </w:r>
      <w:r w:rsidR="008363E0">
        <w:t xml:space="preserve">making it difficult to fully interrogate the groundwater modelling results </w:t>
      </w:r>
      <w:r w:rsidR="00F84959">
        <w:t>(refer to response to Q</w:t>
      </w:r>
      <w:r w:rsidR="006F5FE8">
        <w:t>uestion 4</w:t>
      </w:r>
      <w:r w:rsidR="00F84959">
        <w:t>)</w:t>
      </w:r>
      <w:r w:rsidR="006F5FE8">
        <w:t xml:space="preserve">. </w:t>
      </w:r>
    </w:p>
    <w:p w14:paraId="41EE2AC3" w14:textId="77777777" w:rsidR="006F5FE8" w:rsidRDefault="00A05D62" w:rsidP="006F5FE8">
      <w:pPr>
        <w:pStyle w:val="ListNumber2"/>
      </w:pPr>
      <w:r>
        <w:t>Further discussion of t</w:t>
      </w:r>
      <w:r w:rsidR="00F84959">
        <w:t>he l</w:t>
      </w:r>
      <w:r w:rsidR="006F5FE8" w:rsidRPr="00B4707B">
        <w:t xml:space="preserve">imitations </w:t>
      </w:r>
      <w:r w:rsidR="00F84959">
        <w:t xml:space="preserve">of the groundwater model </w:t>
      </w:r>
      <w:r w:rsidR="006F5FE8" w:rsidRPr="00B4707B">
        <w:t xml:space="preserve">and </w:t>
      </w:r>
      <w:r w:rsidR="00F84959">
        <w:t xml:space="preserve">the </w:t>
      </w:r>
      <w:r w:rsidR="006F5FE8" w:rsidRPr="00B4707B">
        <w:t>consequences</w:t>
      </w:r>
      <w:r w:rsidR="00F84959">
        <w:t xml:space="preserve"> of these on impact predictions</w:t>
      </w:r>
      <w:r w:rsidR="006F5FE8" w:rsidRPr="00B4707B">
        <w:t xml:space="preserve"> </w:t>
      </w:r>
      <w:r>
        <w:t>should be provided</w:t>
      </w:r>
      <w:r w:rsidR="006F5FE8" w:rsidRPr="00B4707B">
        <w:t>.</w:t>
      </w:r>
    </w:p>
    <w:p w14:paraId="68EB5F77" w14:textId="77777777" w:rsidR="00D76F10" w:rsidRPr="00667394" w:rsidRDefault="00D76F10" w:rsidP="006F5FE8">
      <w:pPr>
        <w:pStyle w:val="ListNumber2"/>
      </w:pPr>
      <w:r w:rsidRPr="00667394">
        <w:t>A</w:t>
      </w:r>
      <w:r w:rsidR="003109DA" w:rsidRPr="00667394">
        <w:t>n independent</w:t>
      </w:r>
      <w:r w:rsidRPr="00667394">
        <w:t xml:space="preserve"> peer review of the groundwater report </w:t>
      </w:r>
      <w:r w:rsidR="00A05D62" w:rsidRPr="00667394">
        <w:t>should be provided</w:t>
      </w:r>
      <w:r w:rsidR="007C4460" w:rsidRPr="00667394">
        <w:t xml:space="preserve">, as well as a commitment to update modelling on a periodic </w:t>
      </w:r>
      <w:r w:rsidR="00B94A7F" w:rsidRPr="00667394">
        <w:t>basis or sooner if there is increasing divergence between predicted and observed responses.</w:t>
      </w:r>
    </w:p>
    <w:p w14:paraId="28BA5643" w14:textId="77777777" w:rsidR="00FC0A2F" w:rsidRPr="00664642" w:rsidRDefault="00FC0A2F" w:rsidP="00FC0A2F">
      <w:pPr>
        <w:pStyle w:val="ListParagraph"/>
        <w:numPr>
          <w:ilvl w:val="0"/>
          <w:numId w:val="4"/>
        </w:numPr>
      </w:pPr>
      <w:r w:rsidRPr="00664642">
        <w:t xml:space="preserve">The groundwater model developed by the proponent is focussed on simulating regional groundwater flows under the assumptions inherent in an equivalent porous media model. This model does not </w:t>
      </w:r>
      <w:r w:rsidR="0088186D">
        <w:t xml:space="preserve">directly </w:t>
      </w:r>
      <w:r w:rsidRPr="00664642">
        <w:t xml:space="preserve">incorporate the impacts of surface cracking </w:t>
      </w:r>
      <w:r>
        <w:t>or subsidence</w:t>
      </w:r>
      <w:r w:rsidRPr="00664642">
        <w:t xml:space="preserve">. </w:t>
      </w:r>
      <w:r>
        <w:t>However, groundwater drawdown at the surface is unlikely given the depth of cover and the fact that the GM Seam has already been depressurised due to CSG production</w:t>
      </w:r>
      <w:r w:rsidR="00E0655D">
        <w:t>.</w:t>
      </w:r>
      <w:r>
        <w:t xml:space="preserve"> </w:t>
      </w:r>
      <w:r w:rsidR="00E0655D">
        <w:t>Therefore,</w:t>
      </w:r>
      <w:r w:rsidR="0088186D">
        <w:t xml:space="preserve"> </w:t>
      </w:r>
      <w:r>
        <w:t xml:space="preserve">the use of this model does not </w:t>
      </w:r>
      <w:r w:rsidR="0088186D">
        <w:t>invalidate the conclusions regarding groundwater drawdown. In predicting groundwater level recovery after mining and CSG development, the impacts of surface cracking and subsidence on the model parameters and simulated outputs should be explicitly considered.</w:t>
      </w:r>
    </w:p>
    <w:p w14:paraId="0F8C0FC0" w14:textId="77777777" w:rsidR="00907050" w:rsidRPr="008C3F3F" w:rsidRDefault="00907050" w:rsidP="00907050">
      <w:pPr>
        <w:pStyle w:val="ListNumber"/>
        <w:numPr>
          <w:ilvl w:val="0"/>
          <w:numId w:val="0"/>
        </w:numPr>
        <w:ind w:left="369" w:hanging="369"/>
        <w:rPr>
          <w:u w:val="single"/>
        </w:rPr>
      </w:pPr>
      <w:r w:rsidRPr="008C3F3F">
        <w:rPr>
          <w:u w:val="single"/>
        </w:rPr>
        <w:t>Surface water</w:t>
      </w:r>
    </w:p>
    <w:p w14:paraId="0B44F033" w14:textId="7BD9746A" w:rsidR="00FD7D56" w:rsidRPr="008C3F3F" w:rsidRDefault="00736769" w:rsidP="00964D44">
      <w:pPr>
        <w:pStyle w:val="ListParagraph"/>
        <w:numPr>
          <w:ilvl w:val="0"/>
          <w:numId w:val="4"/>
        </w:numPr>
      </w:pPr>
      <w:r w:rsidRPr="008C3F3F" w:rsidDel="007A1A36">
        <w:t xml:space="preserve">The </w:t>
      </w:r>
      <w:r w:rsidRPr="008C3F3F">
        <w:t xml:space="preserve">physical context for the </w:t>
      </w:r>
      <w:r w:rsidRPr="008C3F3F" w:rsidDel="007A1A36">
        <w:t xml:space="preserve">surface water modelling </w:t>
      </w:r>
      <w:r w:rsidRPr="008C3F3F">
        <w:t xml:space="preserve">is informed by estimates of </w:t>
      </w:r>
      <w:r w:rsidRPr="008C3F3F" w:rsidDel="007A1A36">
        <w:t xml:space="preserve">subsidence </w:t>
      </w:r>
      <w:r w:rsidRPr="008C3F3F">
        <w:t xml:space="preserve">impacts </w:t>
      </w:r>
      <w:r w:rsidRPr="008C3F3F" w:rsidDel="007A1A36">
        <w:t xml:space="preserve">of up to 2.4 m in Teviot Brook and up to 2.6 m in Skeleton Gully (Anglo Coal 2018, App. D, p. 8). This subsidence will </w:t>
      </w:r>
      <w:r w:rsidR="001B0ECF" w:rsidRPr="008C3F3F">
        <w:t xml:space="preserve">probably </w:t>
      </w:r>
      <w:r w:rsidRPr="008C3F3F" w:rsidDel="007A1A36">
        <w:t xml:space="preserve">change the </w:t>
      </w:r>
      <w:r w:rsidRPr="008C3F3F">
        <w:t xml:space="preserve">flow regimes </w:t>
      </w:r>
      <w:r w:rsidRPr="008C3F3F" w:rsidDel="007A1A36">
        <w:t>in these surface water systems</w:t>
      </w:r>
      <w:r w:rsidRPr="008C3F3F">
        <w:t xml:space="preserve">, and may impede </w:t>
      </w:r>
      <w:r w:rsidR="00725F5B" w:rsidRPr="008C3F3F">
        <w:t xml:space="preserve">low </w:t>
      </w:r>
      <w:r w:rsidRPr="008C3F3F">
        <w:t>flow</w:t>
      </w:r>
      <w:r w:rsidR="00725F5B" w:rsidRPr="008C3F3F">
        <w:t>s</w:t>
      </w:r>
      <w:r w:rsidRPr="008C3F3F">
        <w:t xml:space="preserve">, cause transient ponding, and potentially </w:t>
      </w:r>
      <w:r w:rsidRPr="008C3F3F" w:rsidDel="007A1A36">
        <w:t>modify flood break</w:t>
      </w:r>
      <w:r w:rsidRPr="008C3F3F">
        <w:t>-</w:t>
      </w:r>
      <w:r w:rsidRPr="008C3F3F" w:rsidDel="007A1A36">
        <w:t>out areas</w:t>
      </w:r>
      <w:r w:rsidR="00FD28F9" w:rsidRPr="008C3F3F">
        <w:t xml:space="preserve">. </w:t>
      </w:r>
      <w:r w:rsidR="006C1C21">
        <w:t>Limited</w:t>
      </w:r>
      <w:r w:rsidR="00FD7D56" w:rsidRPr="008C3F3F">
        <w:t xml:space="preserve"> modelling has been undertaken to </w:t>
      </w:r>
      <w:r w:rsidR="00FD28F9" w:rsidRPr="008C3F3F">
        <w:t>assess potential impac</w:t>
      </w:r>
      <w:r w:rsidR="00725F5B" w:rsidRPr="008C3F3F">
        <w:t xml:space="preserve">ts on surface water </w:t>
      </w:r>
      <w:r w:rsidR="00FD28F9" w:rsidRPr="008C3F3F">
        <w:t>patterns</w:t>
      </w:r>
      <w:r w:rsidR="00725F5B" w:rsidRPr="008C3F3F">
        <w:t xml:space="preserve"> and streamflow regime</w:t>
      </w:r>
      <w:r w:rsidR="00FD28F9" w:rsidRPr="008C3F3F">
        <w:t>,</w:t>
      </w:r>
      <w:r w:rsidR="00DA5DBD" w:rsidRPr="008C3F3F">
        <w:t xml:space="preserve"> and on</w:t>
      </w:r>
      <w:r w:rsidR="00725F5B" w:rsidRPr="008C3F3F">
        <w:t xml:space="preserve"> aquatic and riparian ecological communities. N</w:t>
      </w:r>
      <w:r w:rsidR="00FD7D56" w:rsidRPr="008C3F3F">
        <w:t xml:space="preserve">or has any modelling been undertaken for surface water management purposes. </w:t>
      </w:r>
      <w:r w:rsidR="00725F5B" w:rsidRPr="008C3F3F">
        <w:t xml:space="preserve">Such modelling is required to assess risks, and without it </w:t>
      </w:r>
      <w:r w:rsidR="00DA5DBD" w:rsidRPr="008C3F3F">
        <w:t>the IESC is unable to</w:t>
      </w:r>
      <w:r w:rsidR="00FD7D56" w:rsidRPr="008C3F3F">
        <w:t xml:space="preserve"> comment on </w:t>
      </w:r>
      <w:r w:rsidR="00725F5B" w:rsidRPr="008C3F3F">
        <w:t>its adequacy</w:t>
      </w:r>
      <w:r w:rsidR="00FD7D56" w:rsidRPr="008C3F3F">
        <w:t xml:space="preserve">. </w:t>
      </w:r>
    </w:p>
    <w:p w14:paraId="6EBF97E3" w14:textId="3B3BB105" w:rsidR="00907050" w:rsidRPr="00F21C3C" w:rsidRDefault="00907050" w:rsidP="00083392">
      <w:pPr>
        <w:pStyle w:val="ListNumber"/>
      </w:pPr>
      <w:r w:rsidRPr="004A611E">
        <w:lastRenderedPageBreak/>
        <w:t xml:space="preserve">The surface water modelling relevant to the potential impacts of subsidence on </w:t>
      </w:r>
      <w:r w:rsidR="00736769">
        <w:t>overbank</w:t>
      </w:r>
      <w:r w:rsidR="00736769" w:rsidRPr="004A611E">
        <w:t xml:space="preserve"> </w:t>
      </w:r>
      <w:r w:rsidRPr="004A611E">
        <w:t xml:space="preserve">flood behaviour has been well considered. The </w:t>
      </w:r>
      <w:r w:rsidR="00725F5B">
        <w:t>hydrologic models (</w:t>
      </w:r>
      <w:r w:rsidRPr="004A611E">
        <w:t>RFFE and XP-RAFTS</w:t>
      </w:r>
      <w:r w:rsidR="00725F5B">
        <w:t>)</w:t>
      </w:r>
      <w:r w:rsidRPr="004A611E">
        <w:t xml:space="preserve"> are appropriate choices for </w:t>
      </w:r>
      <w:r w:rsidR="00725F5B">
        <w:t>deriving flood estimates</w:t>
      </w:r>
      <w:r w:rsidRPr="004A611E">
        <w:t>. No information is provided on the configuration of the storage routing elements used within XP-RAFTS, but the sub-area definition and sourcing of loss and ensemble temporal pattern data are appropriate. The adoption of the</w:t>
      </w:r>
      <w:r w:rsidRPr="00AD0347">
        <w:t xml:space="preserve"> two-dimensional TUFLOW model for hydraulic analysis is consistent with best practice, and the use of LiDAR data to inform the digital terrain model and the adopted model parameterisation </w:t>
      </w:r>
      <w:r w:rsidR="00FD7D56">
        <w:t>is</w:t>
      </w:r>
      <w:r w:rsidRPr="00AD0347">
        <w:t xml:space="preserve"> appropriate</w:t>
      </w:r>
      <w:r>
        <w:t xml:space="preserve">. </w:t>
      </w:r>
      <w:r w:rsidR="00736769">
        <w:t>However</w:t>
      </w:r>
      <w:r w:rsidR="00725F5B">
        <w:t>,</w:t>
      </w:r>
      <w:r w:rsidR="00736769">
        <w:t xml:space="preserve"> it is noted that this modelling has not been used to assess the impacts on water</w:t>
      </w:r>
      <w:r w:rsidR="00725F5B">
        <w:t>-</w:t>
      </w:r>
      <w:r w:rsidR="00736769">
        <w:t xml:space="preserve">dependent </w:t>
      </w:r>
      <w:r w:rsidR="00736769" w:rsidRPr="00F21C3C">
        <w:t>ecosystems (</w:t>
      </w:r>
      <w:r w:rsidR="00943E62" w:rsidRPr="00F21C3C">
        <w:t xml:space="preserve">see </w:t>
      </w:r>
      <w:r w:rsidR="00E0655D" w:rsidRPr="00F21C3C">
        <w:t>P</w:t>
      </w:r>
      <w:r w:rsidR="00736769" w:rsidRPr="00F21C3C">
        <w:t>ara</w:t>
      </w:r>
      <w:r w:rsidR="00943E62" w:rsidRPr="00F21C3C">
        <w:t>graph</w:t>
      </w:r>
      <w:r w:rsidR="00DB70E0" w:rsidRPr="00F21C3C">
        <w:t>s</w:t>
      </w:r>
      <w:r w:rsidR="00943E62" w:rsidRPr="00F21C3C">
        <w:t xml:space="preserve"> </w:t>
      </w:r>
      <w:r w:rsidR="00DA5DBD" w:rsidRPr="00F21C3C">
        <w:t>8</w:t>
      </w:r>
      <w:r w:rsidR="00DB70E0" w:rsidRPr="00F21C3C">
        <w:t>, 10</w:t>
      </w:r>
      <w:r w:rsidR="00736769" w:rsidRPr="00F21C3C">
        <w:t>).</w:t>
      </w:r>
    </w:p>
    <w:p w14:paraId="4732C49E" w14:textId="77777777" w:rsidR="00943E62" w:rsidRDefault="00943E62" w:rsidP="00083392">
      <w:pPr>
        <w:pStyle w:val="ListNumber"/>
      </w:pPr>
      <w:r>
        <w:t xml:space="preserve">The consideration of multiple independent modelling approaches to estimate the selected design floods is commended given the absence of local gauging, though some account could have been given to the (now closed) gauge at Isaac River at Burton (130402). The flood estimates for this site (after scaling non-linearly for difference in </w:t>
      </w:r>
      <w:r w:rsidR="00E0655D">
        <w:t xml:space="preserve">catchment </w:t>
      </w:r>
      <w:r>
        <w:t>area) lie approximately midway between the rainfall-based and RFFE estimates and thus provide additional confirmation that the flood estimates adopted for analysis are appropriate.</w:t>
      </w:r>
    </w:p>
    <w:p w14:paraId="01ADC3A2" w14:textId="77777777" w:rsidR="005A4335" w:rsidRPr="00BF21A7" w:rsidRDefault="005A4335" w:rsidP="005A4335">
      <w:pPr>
        <w:pStyle w:val="Question"/>
        <w:keepNext/>
        <w:keepLines/>
        <w:shd w:val="clear" w:color="auto" w:fill="E7E6E6"/>
        <w:rPr>
          <w:lang w:eastAsia="en-AU"/>
        </w:rPr>
      </w:pPr>
      <w:r>
        <w:rPr>
          <w:lang w:eastAsia="en-AU"/>
        </w:rPr>
        <w:t>Question 2:</w:t>
      </w:r>
      <w:r w:rsidR="00AC403E">
        <w:rPr>
          <w:lang w:eastAsia="en-AU"/>
        </w:rPr>
        <w:t xml:space="preserve"> </w:t>
      </w:r>
      <w:r w:rsidR="00AC403E" w:rsidRPr="00AC403E">
        <w:rPr>
          <w:lang w:eastAsia="en-AU"/>
        </w:rPr>
        <w:t>Advice is sought on whether the proponent's assessment of groundwater and surface water provide reasonable estimations of the impacts to water resources, their severity and likelihood of occurrence? Does the Committee consider that any other impacts are likely?</w:t>
      </w:r>
    </w:p>
    <w:p w14:paraId="0236D65A" w14:textId="77777777" w:rsidR="007E4ED3" w:rsidRPr="008C3F3F" w:rsidRDefault="007E4ED3" w:rsidP="00672F33">
      <w:pPr>
        <w:pStyle w:val="ListNumber"/>
        <w:numPr>
          <w:ilvl w:val="0"/>
          <w:numId w:val="0"/>
        </w:numPr>
        <w:ind w:left="369" w:hanging="369"/>
        <w:rPr>
          <w:u w:val="single"/>
        </w:rPr>
      </w:pPr>
      <w:r w:rsidRPr="008C3F3F">
        <w:rPr>
          <w:u w:val="single"/>
        </w:rPr>
        <w:t>Su</w:t>
      </w:r>
      <w:r w:rsidR="005C4F71" w:rsidRPr="008C3F3F">
        <w:rPr>
          <w:u w:val="single"/>
        </w:rPr>
        <w:t>rface Water</w:t>
      </w:r>
    </w:p>
    <w:p w14:paraId="0CC9EC87" w14:textId="436E8544" w:rsidR="00D516B6" w:rsidRPr="008C3F3F" w:rsidRDefault="00E0655D">
      <w:pPr>
        <w:pStyle w:val="ListNumber"/>
      </w:pPr>
      <w:r w:rsidRPr="008C3F3F">
        <w:t>As noted earlier, t</w:t>
      </w:r>
      <w:r w:rsidR="00736769" w:rsidRPr="008C3F3F">
        <w:t xml:space="preserve">he </w:t>
      </w:r>
      <w:r w:rsidR="00725F5B" w:rsidRPr="008C3F3F">
        <w:t xml:space="preserve">key physical impact </w:t>
      </w:r>
      <w:r w:rsidR="00736769" w:rsidRPr="008C3F3F">
        <w:t xml:space="preserve">is subsidence </w:t>
      </w:r>
      <w:r w:rsidR="00F66782" w:rsidRPr="008C3F3F">
        <w:t xml:space="preserve">caused by the longwall mining operations that will </w:t>
      </w:r>
      <w:r w:rsidR="00725F5B" w:rsidRPr="008C3F3F">
        <w:t xml:space="preserve">alter </w:t>
      </w:r>
      <w:r w:rsidR="00F66782" w:rsidRPr="008C3F3F">
        <w:t xml:space="preserve">the </w:t>
      </w:r>
      <w:r w:rsidR="00725F5B" w:rsidRPr="008C3F3F">
        <w:t>topography of the drainage network</w:t>
      </w:r>
      <w:r w:rsidR="00F66782" w:rsidRPr="008C3F3F">
        <w:t>, surface runoff patterns, overbank flooding and streamflow regimes</w:t>
      </w:r>
      <w:r w:rsidR="00736769" w:rsidRPr="008C3F3F">
        <w:t>. Th</w:t>
      </w:r>
      <w:r w:rsidRPr="008C3F3F">
        <w:t>ese changes</w:t>
      </w:r>
      <w:r w:rsidR="00736769" w:rsidRPr="008C3F3F">
        <w:t xml:space="preserve"> </w:t>
      </w:r>
      <w:r w:rsidR="002A53E3" w:rsidRPr="008C3F3F">
        <w:t>may have</w:t>
      </w:r>
      <w:r w:rsidR="00736769" w:rsidRPr="008C3F3F">
        <w:t xml:space="preserve"> impacts on </w:t>
      </w:r>
      <w:r w:rsidR="00F66782" w:rsidRPr="008C3F3F">
        <w:t>water-dependent plants and animals, and ecological processes such as carbon cycling</w:t>
      </w:r>
      <w:r w:rsidR="00736769" w:rsidRPr="008C3F3F">
        <w:t>.</w:t>
      </w:r>
      <w:r w:rsidR="00F66782" w:rsidRPr="008C3F3F">
        <w:t xml:space="preserve"> The proponent has not presented detailed baseline data, developed an </w:t>
      </w:r>
      <w:proofErr w:type="spellStart"/>
      <w:r w:rsidR="00F66782" w:rsidRPr="008C3F3F">
        <w:t>ecohydrological</w:t>
      </w:r>
      <w:proofErr w:type="spellEnd"/>
      <w:r w:rsidR="00F66782" w:rsidRPr="008C3F3F">
        <w:t xml:space="preserve"> model of potential impact pathways, or assessed the cumulative impacts of longwall mining and other activities (such as CSG development </w:t>
      </w:r>
      <w:r w:rsidR="00F66782" w:rsidRPr="008040DD">
        <w:t xml:space="preserve">and nearby </w:t>
      </w:r>
      <w:r w:rsidR="008C3F3F" w:rsidRPr="008040DD">
        <w:t xml:space="preserve">open cut </w:t>
      </w:r>
      <w:r w:rsidR="00F66782" w:rsidRPr="008C3F3F">
        <w:t>mines).</w:t>
      </w:r>
    </w:p>
    <w:p w14:paraId="3983B980" w14:textId="77777777" w:rsidR="00D516B6" w:rsidRPr="008C3F3F" w:rsidRDefault="00D516B6" w:rsidP="00D516B6">
      <w:pPr>
        <w:pStyle w:val="ListNumber"/>
      </w:pPr>
      <w:r>
        <w:t xml:space="preserve">The proponent has identified likely subsidence impacts </w:t>
      </w:r>
      <w:r w:rsidRPr="00511639">
        <w:t xml:space="preserve">to Teviot Brook and, to a lesser extent, Skeleton Gully. </w:t>
      </w:r>
      <w:r>
        <w:t>Subsidence depressions</w:t>
      </w:r>
      <w:r w:rsidRPr="00511639">
        <w:t xml:space="preserve"> will result in ponding </w:t>
      </w:r>
      <w:r w:rsidR="0061297D">
        <w:t xml:space="preserve">and cracking </w:t>
      </w:r>
      <w:r w:rsidRPr="00511639">
        <w:t xml:space="preserve">above </w:t>
      </w:r>
      <w:r>
        <w:t>subsided longwall</w:t>
      </w:r>
      <w:r w:rsidRPr="00511639">
        <w:t xml:space="preserve"> </w:t>
      </w:r>
      <w:r w:rsidRPr="008C3F3F">
        <w:t xml:space="preserve">panels which will alter surface water flows. Confidence in this assessment is sound due to: </w:t>
      </w:r>
    </w:p>
    <w:p w14:paraId="0D703A24" w14:textId="77777777" w:rsidR="00D516B6" w:rsidRPr="008C3F3F" w:rsidRDefault="00D516B6" w:rsidP="008040DD">
      <w:pPr>
        <w:pStyle w:val="ListNumber2"/>
      </w:pPr>
      <w:r w:rsidRPr="008C3F3F">
        <w:t>the good historical dataset of subsidence and surface cracking</w:t>
      </w:r>
      <w:r w:rsidR="001B0ECF" w:rsidRPr="008C3F3F">
        <w:t xml:space="preserve"> used by </w:t>
      </w:r>
      <w:r w:rsidRPr="008C3F3F">
        <w:t>the proponent in their assessment;</w:t>
      </w:r>
    </w:p>
    <w:p w14:paraId="257321CA" w14:textId="77777777" w:rsidR="00D516B6" w:rsidRPr="00DA70BD" w:rsidRDefault="00D516B6" w:rsidP="008040DD">
      <w:pPr>
        <w:pStyle w:val="ListNumber2"/>
      </w:pPr>
      <w:r>
        <w:t>t</w:t>
      </w:r>
      <w:r w:rsidRPr="00DA70BD">
        <w:t xml:space="preserve">he thick </w:t>
      </w:r>
      <w:r>
        <w:t xml:space="preserve">depth of </w:t>
      </w:r>
      <w:r w:rsidRPr="00DA70BD">
        <w:t xml:space="preserve">cover </w:t>
      </w:r>
      <w:r>
        <w:t xml:space="preserve">that </w:t>
      </w:r>
      <w:r w:rsidRPr="00DA70BD">
        <w:t>reduces the likely magnitude of subsidence impacts</w:t>
      </w:r>
      <w:r>
        <w:t>; and</w:t>
      </w:r>
    </w:p>
    <w:p w14:paraId="4CE40A63" w14:textId="77777777" w:rsidR="00D516B6" w:rsidRPr="008C3F3F" w:rsidRDefault="00D516B6" w:rsidP="008040DD">
      <w:pPr>
        <w:pStyle w:val="ListNumber2"/>
      </w:pPr>
      <w:proofErr w:type="gramStart"/>
      <w:r w:rsidRPr="008C3F3F">
        <w:t>the</w:t>
      </w:r>
      <w:proofErr w:type="gramEnd"/>
      <w:r w:rsidRPr="008C3F3F">
        <w:t xml:space="preserve"> use of conservative assumptions in the subsidence assessment.</w:t>
      </w:r>
    </w:p>
    <w:p w14:paraId="636F6728" w14:textId="77777777" w:rsidR="00130B54" w:rsidRPr="008C3F3F" w:rsidRDefault="00130B54" w:rsidP="00AD0347">
      <w:pPr>
        <w:pStyle w:val="ListNumber"/>
      </w:pPr>
      <w:r w:rsidRPr="008C3F3F">
        <w:t xml:space="preserve">However, there is little information provided on how subsidence and associated ponding and sedimentation </w:t>
      </w:r>
      <w:r w:rsidR="00DA5DBD" w:rsidRPr="008C3F3F">
        <w:t>could</w:t>
      </w:r>
      <w:r w:rsidRPr="008C3F3F">
        <w:t xml:space="preserve"> alter the flow regime of Teviot Brook or Skeleton Gully. There is no information about how altered geomorphology may affect flow regime (</w:t>
      </w:r>
      <w:r w:rsidR="002A53E3" w:rsidRPr="008C3F3F">
        <w:t>e.g.</w:t>
      </w:r>
      <w:r w:rsidR="00E0655D" w:rsidRPr="008C3F3F">
        <w:t xml:space="preserve"> </w:t>
      </w:r>
      <w:r w:rsidRPr="008C3F3F">
        <w:t>timing, frequency and duration of low- and zero-flow periods)</w:t>
      </w:r>
      <w:r w:rsidR="00DA5DBD" w:rsidRPr="008C3F3F">
        <w:t>,</w:t>
      </w:r>
      <w:r w:rsidRPr="008C3F3F">
        <w:t xml:space="preserve"> overbank flooding</w:t>
      </w:r>
      <w:r w:rsidR="00DA5DBD" w:rsidRPr="008C3F3F">
        <w:t>, or sediment input to watercourses</w:t>
      </w:r>
      <w:r w:rsidRPr="008C3F3F">
        <w:t>. Further, as flow in these ephemeral streams may largely be due to surface runoff, subsidence-induced changes to the drainage basin’s topography, vegetation cover and streambed profile are all likely to alter streamflow regimes downstream. In ephemeral streams, changes to the flow regime usually lead to loss of native aquatic biota as well as altered rates of crucial ecological processes such as organic matter cycling, in turn impairing the provision of ecosystem services (</w:t>
      </w:r>
      <w:proofErr w:type="spellStart"/>
      <w:r w:rsidRPr="008C3F3F">
        <w:t>Datry</w:t>
      </w:r>
      <w:proofErr w:type="spellEnd"/>
      <w:r w:rsidRPr="008C3F3F">
        <w:t xml:space="preserve"> et al. 2018).</w:t>
      </w:r>
    </w:p>
    <w:p w14:paraId="43D558A6" w14:textId="52C720CF" w:rsidR="00996BD8" w:rsidRPr="008C3F3F" w:rsidRDefault="00A07038" w:rsidP="00AD0347">
      <w:pPr>
        <w:pStyle w:val="ListNumber"/>
      </w:pPr>
      <w:r w:rsidRPr="008C3F3F">
        <w:t xml:space="preserve">The IESC notes that </w:t>
      </w:r>
      <w:r w:rsidR="0002069F" w:rsidRPr="008C3F3F">
        <w:t>subsidence depressions are expected</w:t>
      </w:r>
      <w:r w:rsidR="00892BBA" w:rsidRPr="008C3F3F">
        <w:t xml:space="preserve"> </w:t>
      </w:r>
      <w:r w:rsidR="0002069F" w:rsidRPr="008C3F3F">
        <w:t>to fill with sediment to pre-impact bed level within a few wet seasons (Anglo</w:t>
      </w:r>
      <w:r w:rsidR="00876DDE" w:rsidRPr="008C3F3F">
        <w:t xml:space="preserve"> </w:t>
      </w:r>
      <w:r w:rsidR="0002069F" w:rsidRPr="008C3F3F">
        <w:t>Coal 2018, App. F, p.</w:t>
      </w:r>
      <w:r w:rsidR="00876DDE" w:rsidRPr="008C3F3F">
        <w:t> </w:t>
      </w:r>
      <w:r w:rsidR="0002069F" w:rsidRPr="008C3F3F">
        <w:t>42</w:t>
      </w:r>
      <w:r w:rsidR="00085310" w:rsidRPr="008C3F3F">
        <w:t>, App. D, p.</w:t>
      </w:r>
      <w:r w:rsidR="00876DDE" w:rsidRPr="008C3F3F">
        <w:t> </w:t>
      </w:r>
      <w:r w:rsidR="00085310" w:rsidRPr="008C3F3F">
        <w:t>24</w:t>
      </w:r>
      <w:r w:rsidR="0002069F" w:rsidRPr="008C3F3F">
        <w:t xml:space="preserve">). </w:t>
      </w:r>
      <w:r w:rsidR="00892BBA" w:rsidRPr="008C3F3F">
        <w:t xml:space="preserve">The MNM Subsidence Management Plan (Response to </w:t>
      </w:r>
      <w:proofErr w:type="spellStart"/>
      <w:r w:rsidR="00892BBA" w:rsidRPr="008C3F3F">
        <w:t>DoEE</w:t>
      </w:r>
      <w:proofErr w:type="spellEnd"/>
      <w:r w:rsidR="00892BBA" w:rsidRPr="008C3F3F">
        <w:t>, App. E, p.</w:t>
      </w:r>
      <w:r w:rsidR="00876DDE" w:rsidRPr="008C3F3F">
        <w:t> </w:t>
      </w:r>
      <w:r w:rsidR="00892BBA" w:rsidRPr="008C3F3F">
        <w:t xml:space="preserve">19) also proposes to remediate interruptions to </w:t>
      </w:r>
      <w:r w:rsidR="00892BBA" w:rsidRPr="008C3F3F">
        <w:lastRenderedPageBreak/>
        <w:t xml:space="preserve">creek flow </w:t>
      </w:r>
      <w:r w:rsidR="00DA278B" w:rsidRPr="008C3F3F">
        <w:t>due to</w:t>
      </w:r>
      <w:r w:rsidR="00892BBA" w:rsidRPr="008C3F3F">
        <w:t xml:space="preserve"> elevated bed levels by</w:t>
      </w:r>
      <w:r w:rsidR="008363E0" w:rsidRPr="008C3F3F">
        <w:t xml:space="preserve"> cutting through </w:t>
      </w:r>
      <w:r w:rsidR="00BA206A" w:rsidRPr="008C3F3F">
        <w:t xml:space="preserve">them </w:t>
      </w:r>
      <w:r w:rsidR="008363E0" w:rsidRPr="008C3F3F">
        <w:t xml:space="preserve">with a </w:t>
      </w:r>
      <w:r w:rsidR="00846A04" w:rsidRPr="008C3F3F">
        <w:t>bull</w:t>
      </w:r>
      <w:r w:rsidR="008363E0" w:rsidRPr="008C3F3F">
        <w:t xml:space="preserve">dozer and </w:t>
      </w:r>
      <w:r w:rsidR="00846A04" w:rsidRPr="008C3F3F">
        <w:t xml:space="preserve">adding rock </w:t>
      </w:r>
      <w:r w:rsidR="008363E0" w:rsidRPr="008C3F3F">
        <w:t>armouring to minimise erosion</w:t>
      </w:r>
      <w:r w:rsidR="00892BBA" w:rsidRPr="008C3F3F">
        <w:t>.</w:t>
      </w:r>
      <w:r w:rsidR="00846A04" w:rsidRPr="008C3F3F">
        <w:t xml:space="preserve"> </w:t>
      </w:r>
      <w:r w:rsidR="008040DD">
        <w:t>T</w:t>
      </w:r>
      <w:r w:rsidR="00846A04" w:rsidRPr="008C3F3F">
        <w:t>he IESC is concerned that these ‘h</w:t>
      </w:r>
      <w:r w:rsidR="00DA278B" w:rsidRPr="008C3F3F">
        <w:t>ard engineering approaches</w:t>
      </w:r>
      <w:r w:rsidR="00846A04" w:rsidRPr="008C3F3F">
        <w:t>’ may have unintentional ecological impacts and recommends that the proponent explore more passive remedial options</w:t>
      </w:r>
      <w:r w:rsidR="00DA278B" w:rsidRPr="008C3F3F">
        <w:t>.</w:t>
      </w:r>
      <w:r w:rsidR="00846A04" w:rsidRPr="008C3F3F">
        <w:t xml:space="preserve"> Discussion and justification of these remediation options should be fully provided in a revised subsidence management plan.</w:t>
      </w:r>
      <w:r w:rsidR="00DA278B" w:rsidRPr="008C3F3F">
        <w:t xml:space="preserve"> </w:t>
      </w:r>
    </w:p>
    <w:p w14:paraId="6AB6C074" w14:textId="77777777" w:rsidR="005C4F71" w:rsidRDefault="005C4F71" w:rsidP="005C4F71">
      <w:pPr>
        <w:pStyle w:val="ListNumber"/>
      </w:pPr>
      <w:r w:rsidRPr="000E5C15">
        <w:t xml:space="preserve">Water balance modelling has </w:t>
      </w:r>
      <w:r>
        <w:t xml:space="preserve">not </w:t>
      </w:r>
      <w:r w:rsidRPr="000E5C15">
        <w:t>been undertaken for the proposed project</w:t>
      </w:r>
      <w:r w:rsidR="00BF309F">
        <w:t>, noting the most recent update occurred in 2015</w:t>
      </w:r>
      <w:r w:rsidR="006174C5">
        <w:t xml:space="preserve"> (Response to </w:t>
      </w:r>
      <w:proofErr w:type="spellStart"/>
      <w:r w:rsidR="006174C5">
        <w:t>DoEE</w:t>
      </w:r>
      <w:proofErr w:type="spellEnd"/>
      <w:r w:rsidR="006174C5">
        <w:t xml:space="preserve">, </w:t>
      </w:r>
      <w:r w:rsidR="00AD30EB">
        <w:t xml:space="preserve">App. E, </w:t>
      </w:r>
      <w:r w:rsidR="00BF309F">
        <w:t>Water Management Plan</w:t>
      </w:r>
      <w:r w:rsidR="006174C5">
        <w:t>, p.</w:t>
      </w:r>
      <w:r w:rsidR="006174C5" w:rsidRPr="004A569E">
        <w:t> </w:t>
      </w:r>
      <w:r w:rsidR="00BF309F">
        <w:t>26)</w:t>
      </w:r>
      <w:r>
        <w:t>. Whil</w:t>
      </w:r>
      <w:r w:rsidR="00BA206A">
        <w:t>e</w:t>
      </w:r>
      <w:r w:rsidRPr="000E5C15">
        <w:t xml:space="preserve"> </w:t>
      </w:r>
      <w:r>
        <w:t>increases to mine inflows are not predicted by the proponent (Anglo Coal 2018</w:t>
      </w:r>
      <w:r w:rsidRPr="000E5C15">
        <w:t>, Att. 2</w:t>
      </w:r>
      <w:r>
        <w:t>, p.</w:t>
      </w:r>
      <w:r w:rsidR="00F377F0" w:rsidRPr="004A569E">
        <w:t> </w:t>
      </w:r>
      <w:r>
        <w:t xml:space="preserve">2-9), </w:t>
      </w:r>
      <w:r w:rsidR="00BF309F">
        <w:t>the IESC is unable to assess the v</w:t>
      </w:r>
      <w:r w:rsidR="006174C5">
        <w:t xml:space="preserve">alidity of these predictions or the potential contribution to discharges to the Isaac River or groundwater seepage from the Co-Disposal Area that is already occurring (Response to </w:t>
      </w:r>
      <w:proofErr w:type="spellStart"/>
      <w:r w:rsidR="006174C5">
        <w:t>DoEE</w:t>
      </w:r>
      <w:proofErr w:type="spellEnd"/>
      <w:r w:rsidR="006174C5">
        <w:t xml:space="preserve">, </w:t>
      </w:r>
      <w:r w:rsidR="00AD30EB">
        <w:t xml:space="preserve">App. E, </w:t>
      </w:r>
      <w:r w:rsidR="006174C5">
        <w:t>Water Management Plan, p.</w:t>
      </w:r>
      <w:r w:rsidR="00C34320" w:rsidRPr="004A569E">
        <w:t> </w:t>
      </w:r>
      <w:r w:rsidR="006174C5">
        <w:t>24).</w:t>
      </w:r>
    </w:p>
    <w:p w14:paraId="00020E6B" w14:textId="77777777" w:rsidR="005C4F71" w:rsidRPr="008040DD" w:rsidRDefault="005C4F71" w:rsidP="005C4F71">
      <w:pPr>
        <w:pStyle w:val="ListNumber"/>
      </w:pPr>
      <w:r>
        <w:t xml:space="preserve">Further characterisation of water quality in all surface waterways within the project area is required. This includes additional baseline data for ephemeral waterways, as the current dataset (one sample from each of five sites and two farm dams for a very limited suite of </w:t>
      </w:r>
      <w:proofErr w:type="spellStart"/>
      <w:r>
        <w:t>analytes</w:t>
      </w:r>
      <w:proofErr w:type="spellEnd"/>
      <w:r>
        <w:t xml:space="preserve">) is not considered sufficient to </w:t>
      </w:r>
      <w:r w:rsidRPr="002B2AFB">
        <w:t xml:space="preserve">detect an impact to water quality from the </w:t>
      </w:r>
      <w:r w:rsidRPr="008C3F3F">
        <w:t>proposed project. The results of the current limited sampling could be augmented by data from nearby operations</w:t>
      </w:r>
      <w:r w:rsidR="000715E3" w:rsidRPr="008C3F3F">
        <w:t xml:space="preserve"> and event</w:t>
      </w:r>
      <w:r w:rsidR="002543F5" w:rsidRPr="008C3F3F">
        <w:t>-</w:t>
      </w:r>
      <w:r w:rsidR="000715E3" w:rsidRPr="008C3F3F">
        <w:t>based monitoring (ANZG, 2018)</w:t>
      </w:r>
      <w:r w:rsidR="00E0655D" w:rsidRPr="008C3F3F">
        <w:t>.</w:t>
      </w:r>
      <w:r w:rsidRPr="008C3F3F">
        <w:t xml:space="preserve"> Additional </w:t>
      </w:r>
      <w:r w:rsidR="00DC6B53" w:rsidRPr="008C3F3F">
        <w:t>parameters</w:t>
      </w:r>
      <w:r w:rsidRPr="008C3F3F">
        <w:t xml:space="preserve">, such as metals, should also be monitored in waters and </w:t>
      </w:r>
      <w:r w:rsidRPr="008040DD">
        <w:t xml:space="preserve">sediments. </w:t>
      </w:r>
    </w:p>
    <w:p w14:paraId="69EFBE0A" w14:textId="7FDF57B7" w:rsidR="005C4F71" w:rsidRPr="008040DD" w:rsidRDefault="00B5417B" w:rsidP="002543F5">
      <w:pPr>
        <w:pStyle w:val="ListNumber"/>
      </w:pPr>
      <w:r w:rsidRPr="008040DD">
        <w:t xml:space="preserve">The movement </w:t>
      </w:r>
      <w:r w:rsidRPr="00510443">
        <w:t>of sediment has been considered a potential impact to aquatic ecology; however, toxicants such as metals attache</w:t>
      </w:r>
      <w:r w:rsidRPr="008040DD">
        <w:t xml:space="preserve">d to sediment have not been considered. </w:t>
      </w:r>
      <w:r w:rsidR="005C4F71" w:rsidRPr="008040DD">
        <w:t>Sediment quality sampling has not been undertaken</w:t>
      </w:r>
      <w:r w:rsidRPr="008040DD">
        <w:t xml:space="preserve"> and is</w:t>
      </w:r>
      <w:r w:rsidR="005D45B6" w:rsidRPr="008040DD">
        <w:t xml:space="preserve"> </w:t>
      </w:r>
      <w:r w:rsidRPr="008040DD">
        <w:t>required</w:t>
      </w:r>
      <w:r w:rsidR="005C4F71" w:rsidRPr="008040DD">
        <w:t xml:space="preserve"> to determine potential impacts to the environmental values of Teviot Brook and the downstream Isaac River. </w:t>
      </w:r>
      <w:r w:rsidR="002543F5" w:rsidRPr="008040DD">
        <w:t xml:space="preserve">The existing MNM Environmental Authority (EA) specified that metals in sediment should be included in monitoring (Response to </w:t>
      </w:r>
      <w:proofErr w:type="spellStart"/>
      <w:r w:rsidR="002543F5" w:rsidRPr="008040DD">
        <w:t>DoEE</w:t>
      </w:r>
      <w:proofErr w:type="spellEnd"/>
      <w:r w:rsidR="002543F5" w:rsidRPr="008040DD">
        <w:t>, App. D, p. 13). As there is an upstream discharge of mine-affected water from the Burton Coal Mine into Teviot Brook</w:t>
      </w:r>
      <w:r w:rsidR="005C4F71" w:rsidRPr="008040DD">
        <w:t xml:space="preserve">, a contamination pathway could exist and </w:t>
      </w:r>
      <w:r w:rsidR="007C41C4" w:rsidRPr="008040DD">
        <w:t xml:space="preserve">therefore </w:t>
      </w:r>
      <w:r w:rsidR="005C4F71" w:rsidRPr="008040DD">
        <w:t xml:space="preserve">baseline data should be collected. </w:t>
      </w:r>
    </w:p>
    <w:p w14:paraId="2D5A750E" w14:textId="77777777" w:rsidR="00802EC7" w:rsidRDefault="000D2A33" w:rsidP="00845490">
      <w:pPr>
        <w:pStyle w:val="ListNumber"/>
      </w:pPr>
      <w:r w:rsidRPr="004D6A9F">
        <w:t xml:space="preserve">The presence of </w:t>
      </w:r>
      <w:r w:rsidR="000715E3">
        <w:t xml:space="preserve">over 100 </w:t>
      </w:r>
      <w:r w:rsidRPr="004D6A9F">
        <w:t xml:space="preserve">CSG wells </w:t>
      </w:r>
      <w:r>
        <w:t>introduces an</w:t>
      </w:r>
      <w:r w:rsidRPr="004D6A9F">
        <w:t xml:space="preserve"> additional </w:t>
      </w:r>
      <w:r w:rsidR="002352B2">
        <w:t xml:space="preserve">risk from </w:t>
      </w:r>
      <w:r w:rsidRPr="004D6A9F">
        <w:t xml:space="preserve">subsidence </w:t>
      </w:r>
      <w:r>
        <w:t xml:space="preserve">that </w:t>
      </w:r>
      <w:r w:rsidRPr="004D6A9F">
        <w:t xml:space="preserve">does not appear to be discussed in the subsidence reports or other documentation provided. </w:t>
      </w:r>
      <w:r w:rsidR="00845490">
        <w:t xml:space="preserve">The IESC is not aware of other areas where longwall mining and CSG production have coincided and further work is required to determine the significance of this </w:t>
      </w:r>
      <w:r w:rsidR="007C41C4">
        <w:t xml:space="preserve">potential </w:t>
      </w:r>
      <w:r w:rsidR="00845490">
        <w:t xml:space="preserve">risk.  </w:t>
      </w:r>
    </w:p>
    <w:p w14:paraId="02495F40" w14:textId="77777777" w:rsidR="003D70D9" w:rsidRDefault="000D2A33" w:rsidP="00802EC7">
      <w:pPr>
        <w:pStyle w:val="ListNumber"/>
      </w:pPr>
      <w:r w:rsidRPr="004D6A9F">
        <w:t>Even after these CSG wells are plugged and abandoned</w:t>
      </w:r>
      <w:r w:rsidR="00E0655D">
        <w:t>,</w:t>
      </w:r>
      <w:r w:rsidRPr="004D6A9F">
        <w:t xml:space="preserve"> </w:t>
      </w:r>
      <w:r w:rsidR="007C41C4">
        <w:t>many</w:t>
      </w:r>
      <w:r w:rsidRPr="004D6A9F">
        <w:t xml:space="preserve"> will be </w:t>
      </w:r>
      <w:r w:rsidR="007C41C4">
        <w:t xml:space="preserve">affected by </w:t>
      </w:r>
      <w:r w:rsidRPr="004D6A9F">
        <w:t>the collapse of the goaf</w:t>
      </w:r>
      <w:r w:rsidR="00E0655D">
        <w:t>s</w:t>
      </w:r>
      <w:r w:rsidRPr="004D6A9F">
        <w:t xml:space="preserve"> and surface subsidence. </w:t>
      </w:r>
      <w:r w:rsidR="007C41C4">
        <w:t>If this</w:t>
      </w:r>
      <w:r w:rsidRPr="004D6A9F">
        <w:t xml:space="preserve"> cause</w:t>
      </w:r>
      <w:r w:rsidR="007C41C4">
        <w:t>s</w:t>
      </w:r>
      <w:r w:rsidRPr="004D6A9F">
        <w:t xml:space="preserve"> multiple ruptures to these wells</w:t>
      </w:r>
      <w:r w:rsidR="007C41C4">
        <w:t>,</w:t>
      </w:r>
      <w:r w:rsidR="00C34320">
        <w:t xml:space="preserve"> </w:t>
      </w:r>
      <w:r w:rsidR="007C41C4">
        <w:t xml:space="preserve">there </w:t>
      </w:r>
      <w:r w:rsidR="00C34320">
        <w:t xml:space="preserve">may </w:t>
      </w:r>
      <w:r w:rsidR="007C41C4">
        <w:t xml:space="preserve">be </w:t>
      </w:r>
      <w:r w:rsidRPr="004D6A9F">
        <w:t>a conduit for residu</w:t>
      </w:r>
      <w:r w:rsidR="00C34320">
        <w:t>al</w:t>
      </w:r>
      <w:r w:rsidRPr="004D6A9F">
        <w:t xml:space="preserve"> gas to migrate</w:t>
      </w:r>
      <w:r w:rsidR="007C41C4">
        <w:t xml:space="preserve"> to the surface</w:t>
      </w:r>
      <w:r w:rsidR="00C34320">
        <w:t xml:space="preserve">, </w:t>
      </w:r>
      <w:r w:rsidR="008F465A">
        <w:t xml:space="preserve">increasing </w:t>
      </w:r>
      <w:r w:rsidRPr="004D6A9F">
        <w:t>groundwater interconnection between geological units</w:t>
      </w:r>
      <w:r w:rsidR="006472C5">
        <w:t xml:space="preserve"> and </w:t>
      </w:r>
      <w:r w:rsidR="007C41C4">
        <w:t xml:space="preserve">potentially </w:t>
      </w:r>
      <w:r w:rsidR="00E0655D">
        <w:t>caus</w:t>
      </w:r>
      <w:r w:rsidR="007C41C4">
        <w:t>ing</w:t>
      </w:r>
      <w:r w:rsidR="00E0655D">
        <w:t xml:space="preserve"> </w:t>
      </w:r>
      <w:r w:rsidR="00C34320">
        <w:t>impacts</w:t>
      </w:r>
      <w:r w:rsidR="006472C5">
        <w:t xml:space="preserve"> to </w:t>
      </w:r>
      <w:r w:rsidR="00C34320">
        <w:t xml:space="preserve">surface </w:t>
      </w:r>
      <w:r w:rsidR="006472C5">
        <w:t>water quality</w:t>
      </w:r>
      <w:r w:rsidR="00E0655D">
        <w:t>.</w:t>
      </w:r>
    </w:p>
    <w:p w14:paraId="53D7C076" w14:textId="77777777" w:rsidR="007E4ED3" w:rsidRPr="00845490" w:rsidRDefault="007E4ED3" w:rsidP="00845490">
      <w:pPr>
        <w:pStyle w:val="ListNumber"/>
        <w:numPr>
          <w:ilvl w:val="0"/>
          <w:numId w:val="0"/>
        </w:numPr>
        <w:rPr>
          <w:u w:val="single"/>
        </w:rPr>
      </w:pPr>
      <w:r w:rsidRPr="00845490">
        <w:rPr>
          <w:u w:val="single"/>
        </w:rPr>
        <w:t>Groundwater quality</w:t>
      </w:r>
    </w:p>
    <w:p w14:paraId="16FF6123" w14:textId="77777777" w:rsidR="007058F3" w:rsidRDefault="007058F3" w:rsidP="007058F3">
      <w:pPr>
        <w:pStyle w:val="ListNumber"/>
      </w:pPr>
      <w:r w:rsidRPr="00DA70BD">
        <w:t>There are</w:t>
      </w:r>
      <w:r>
        <w:t xml:space="preserve"> </w:t>
      </w:r>
      <w:r w:rsidR="00EF7732">
        <w:t xml:space="preserve">some </w:t>
      </w:r>
      <w:r w:rsidRPr="00DA70BD">
        <w:t>potential impacts</w:t>
      </w:r>
      <w:r>
        <w:t xml:space="preserve"> </w:t>
      </w:r>
      <w:r w:rsidR="00845490">
        <w:t xml:space="preserve">to groundwater quality </w:t>
      </w:r>
      <w:r>
        <w:t>that</w:t>
      </w:r>
      <w:r w:rsidRPr="00DA70BD">
        <w:t xml:space="preserve"> have not been fully assessed. These are discussed </w:t>
      </w:r>
      <w:r>
        <w:t xml:space="preserve">further </w:t>
      </w:r>
      <w:r w:rsidRPr="00DA70BD">
        <w:t>below.</w:t>
      </w:r>
    </w:p>
    <w:p w14:paraId="5E3E4644" w14:textId="77777777" w:rsidR="006F02B9" w:rsidRDefault="006F02B9" w:rsidP="006F02B9">
      <w:pPr>
        <w:pStyle w:val="ListNumber2"/>
      </w:pPr>
      <w:r>
        <w:t xml:space="preserve">Post-mining, the underground workings will be allowed to flood, which may affect groundwater quality and flow locally. </w:t>
      </w:r>
      <w:r w:rsidR="00845490">
        <w:t>However</w:t>
      </w:r>
      <w:r w:rsidR="00E0655D">
        <w:t>,</w:t>
      </w:r>
      <w:r w:rsidR="00845490">
        <w:t xml:space="preserve"> the risk to regional groundwater quality is likely to be low. </w:t>
      </w:r>
      <w:r>
        <w:t xml:space="preserve">The nature of </w:t>
      </w:r>
      <w:r w:rsidR="00414AFB">
        <w:t xml:space="preserve">this </w:t>
      </w:r>
      <w:r>
        <w:t>mining does not imply a high risk</w:t>
      </w:r>
      <w:r w:rsidR="007C41C4">
        <w:t xml:space="preserve"> of</w:t>
      </w:r>
      <w:r>
        <w:t xml:space="preserve"> impacts to groundwater quality. </w:t>
      </w:r>
      <w:r w:rsidR="00845490">
        <w:t>Therefore</w:t>
      </w:r>
      <w:r>
        <w:t>, monitoring should continue to ensure that any unexpected changes to groundwater quality can be detected, investigated and addressed.</w:t>
      </w:r>
    </w:p>
    <w:p w14:paraId="161A94A5" w14:textId="77777777" w:rsidR="007058F3" w:rsidRDefault="00DD575E" w:rsidP="00894761">
      <w:pPr>
        <w:pStyle w:val="ListNumber2"/>
      </w:pPr>
      <w:r>
        <w:t>The proponent presents time-series groundwater quality data</w:t>
      </w:r>
      <w:r w:rsidR="00414AFB">
        <w:t xml:space="preserve"> that </w:t>
      </w:r>
      <w:r>
        <w:t>ends</w:t>
      </w:r>
      <w:r w:rsidR="00873349">
        <w:t xml:space="preserve"> after the first quarter of 2017. </w:t>
      </w:r>
      <w:r w:rsidR="00EB4EFB">
        <w:t xml:space="preserve">Some exceedances of water quality guidelines for aluminium, selenium and arsenic were found, but not discussed. Data for other metals, such as copper, zinc and nickel, were either not </w:t>
      </w:r>
      <w:r w:rsidR="00845490">
        <w:t>collected</w:t>
      </w:r>
      <w:r w:rsidR="00EB4EFB">
        <w:t xml:space="preserve"> or not reported. </w:t>
      </w:r>
      <w:r w:rsidR="006F5C6E">
        <w:t>More r</w:t>
      </w:r>
      <w:r w:rsidR="00873349">
        <w:t xml:space="preserve">ecent data </w:t>
      </w:r>
      <w:r w:rsidR="00EB4EFB">
        <w:t xml:space="preserve">on a wider range of water quality </w:t>
      </w:r>
      <w:r w:rsidR="00DC6B53">
        <w:t>parameters</w:t>
      </w:r>
      <w:r w:rsidR="000D2A33">
        <w:t xml:space="preserve"> </w:t>
      </w:r>
      <w:r w:rsidR="00873349">
        <w:t xml:space="preserve">should be provided to facilitate the assessment. </w:t>
      </w:r>
    </w:p>
    <w:p w14:paraId="14C52DAC" w14:textId="249FAE48" w:rsidR="003B49C0" w:rsidRDefault="00E0655D" w:rsidP="00B07382">
      <w:pPr>
        <w:pStyle w:val="ListNumber2"/>
      </w:pPr>
      <w:r>
        <w:lastRenderedPageBreak/>
        <w:t>P</w:t>
      </w:r>
      <w:r w:rsidRPr="000A6250">
        <w:t>rior to mining</w:t>
      </w:r>
      <w:r>
        <w:t>, h</w:t>
      </w:r>
      <w:r w:rsidR="003B49C0" w:rsidRPr="000A6250">
        <w:t xml:space="preserve">ydraulic stimulation may also be used for coal seam gas drainage using </w:t>
      </w:r>
      <w:r w:rsidR="004C4629">
        <w:t xml:space="preserve">a </w:t>
      </w:r>
      <w:r w:rsidR="00EB2948">
        <w:t>series of horizontal holes drilled into the coal seam of the adjacent unmined longwall</w:t>
      </w:r>
      <w:r w:rsidR="000D2A33">
        <w:t xml:space="preserve"> </w:t>
      </w:r>
      <w:r w:rsidR="003B49C0" w:rsidRPr="000A6250">
        <w:t>(</w:t>
      </w:r>
      <w:r w:rsidR="00E13CDA">
        <w:t>Anglo Coal 2018</w:t>
      </w:r>
      <w:r w:rsidR="003B49C0" w:rsidRPr="000A6250">
        <w:t>, App. C. pp. 34-3</w:t>
      </w:r>
      <w:r w:rsidR="003B49C0">
        <w:t>5</w:t>
      </w:r>
      <w:r w:rsidR="00510443">
        <w:t>;</w:t>
      </w:r>
      <w:r w:rsidR="00E3253B">
        <w:t xml:space="preserve"> </w:t>
      </w:r>
      <w:r w:rsidR="00EB2948">
        <w:t>Att</w:t>
      </w:r>
      <w:r w:rsidR="00973B2A">
        <w:t>.</w:t>
      </w:r>
      <w:r w:rsidR="00EB2948">
        <w:t xml:space="preserve"> 2 p.</w:t>
      </w:r>
      <w:r w:rsidR="00414AFB" w:rsidRPr="004A569E">
        <w:t> </w:t>
      </w:r>
      <w:r w:rsidR="00EB2948">
        <w:t>2-7</w:t>
      </w:r>
      <w:r w:rsidR="003B49C0">
        <w:t>). The proponent assumes</w:t>
      </w:r>
      <w:r w:rsidR="003B49C0" w:rsidRPr="000A6250">
        <w:t xml:space="preserve"> that fluids from hydraulic fracturing </w:t>
      </w:r>
      <w:r w:rsidR="007058F3">
        <w:t>used in the Moranbah Gas Project (MGP)</w:t>
      </w:r>
      <w:r w:rsidR="003B49C0" w:rsidRPr="000A6250">
        <w:t xml:space="preserve"> will be removed during mining operations</w:t>
      </w:r>
      <w:r w:rsidR="003B49C0">
        <w:t>. T</w:t>
      </w:r>
      <w:r w:rsidR="003B49C0" w:rsidRPr="000A6250">
        <w:t>herefore</w:t>
      </w:r>
      <w:r w:rsidR="007058F3">
        <w:t>, the proponent does</w:t>
      </w:r>
      <w:r w:rsidR="000D2A33">
        <w:t xml:space="preserve"> </w:t>
      </w:r>
      <w:r w:rsidR="007058F3">
        <w:t>no</w:t>
      </w:r>
      <w:r w:rsidR="003B49C0" w:rsidRPr="000A6250">
        <w:t>t consider this groundwater contamination pathway likely (</w:t>
      </w:r>
      <w:r w:rsidR="00E13CDA">
        <w:t>Anglo Coal 2018</w:t>
      </w:r>
      <w:r w:rsidR="003B49C0" w:rsidRPr="000A6250">
        <w:t>, Att. 5, pp. 5-10, 5-11).</w:t>
      </w:r>
      <w:r w:rsidR="007C264F" w:rsidRPr="007C264F">
        <w:t xml:space="preserve"> </w:t>
      </w:r>
      <w:r w:rsidR="00915096">
        <w:t xml:space="preserve">The proponent expects </w:t>
      </w:r>
      <w:r w:rsidR="00915096" w:rsidRPr="000A6250">
        <w:t>that all r</w:t>
      </w:r>
      <w:r w:rsidR="007058F3">
        <w:t xml:space="preserve">esidual fluid </w:t>
      </w:r>
      <w:r w:rsidR="008F465A">
        <w:t xml:space="preserve">from the stimulation activities will also </w:t>
      </w:r>
      <w:r w:rsidR="007058F3">
        <w:t>be removed during</w:t>
      </w:r>
      <w:r w:rsidR="00915096" w:rsidRPr="000A6250">
        <w:t xml:space="preserve"> mining </w:t>
      </w:r>
      <w:r w:rsidR="007058F3">
        <w:t xml:space="preserve">of </w:t>
      </w:r>
      <w:r w:rsidR="00915096" w:rsidRPr="000A6250">
        <w:t xml:space="preserve">the coal seam. </w:t>
      </w:r>
      <w:r>
        <w:t>Confirmation</w:t>
      </w:r>
      <w:r w:rsidR="00BE4DA5">
        <w:t>, via geotechnical analysis,</w:t>
      </w:r>
      <w:r>
        <w:t xml:space="preserve"> is needed </w:t>
      </w:r>
      <w:r w:rsidR="00510443">
        <w:t xml:space="preserve">to demonstrate </w:t>
      </w:r>
      <w:r w:rsidR="003D70D9">
        <w:t>that there will be no residual fluid left in the seam</w:t>
      </w:r>
      <w:r w:rsidR="00BE4DA5">
        <w:t xml:space="preserve"> beyond the extent of mining</w:t>
      </w:r>
      <w:r w:rsidR="006778D8">
        <w:t xml:space="preserve">. </w:t>
      </w:r>
    </w:p>
    <w:p w14:paraId="6B75EE02" w14:textId="77777777" w:rsidR="00C97145" w:rsidRPr="00171E3D" w:rsidRDefault="00C97145" w:rsidP="00C97145">
      <w:pPr>
        <w:pStyle w:val="ListNumber2"/>
      </w:pPr>
      <w:r>
        <w:t xml:space="preserve">The proponent provides a brief assessment of the risks from six stimulation chemicals. Only acetic acid and BE-9 (a </w:t>
      </w:r>
      <w:r w:rsidR="003D70D9">
        <w:t>biocide</w:t>
      </w:r>
      <w:r>
        <w:t>) are assigned a moderate hazard rating; all other chemicals are assigned a low rating. The IESC considers that the assignment of low hazard and unlikely exposure ratings to these chemicals, especially for sodium hydroxide, requires further justification.</w:t>
      </w:r>
      <w:r w:rsidRPr="00B44163">
        <w:t xml:space="preserve"> </w:t>
      </w:r>
      <w:proofErr w:type="spellStart"/>
      <w:r w:rsidR="00C86074">
        <w:t>DoEE</w:t>
      </w:r>
      <w:proofErr w:type="spellEnd"/>
      <w:r w:rsidR="00C86074" w:rsidRPr="00171E3D">
        <w:t xml:space="preserve"> </w:t>
      </w:r>
      <w:r w:rsidRPr="00171E3D">
        <w:t>(201</w:t>
      </w:r>
      <w:r w:rsidR="00C86074">
        <w:t>7</w:t>
      </w:r>
      <w:r w:rsidRPr="00171E3D">
        <w:t>) and Santos (2014) both identify sodium hydroxide as a potential concern for the environment.</w:t>
      </w:r>
      <w:r w:rsidRPr="00B44163">
        <w:t xml:space="preserve"> </w:t>
      </w:r>
    </w:p>
    <w:p w14:paraId="2638AA5B" w14:textId="77777777" w:rsidR="007E4ED3" w:rsidRDefault="00BE18FC" w:rsidP="002A56B4">
      <w:pPr>
        <w:pStyle w:val="ListNumber2"/>
      </w:pPr>
      <w:r>
        <w:t>T</w:t>
      </w:r>
      <w:r w:rsidR="007E4ED3" w:rsidRPr="00B44163">
        <w:t xml:space="preserve">he IESC recommends that any future assessment should consider the latest results of </w:t>
      </w:r>
      <w:r w:rsidR="00AC5375">
        <w:t>CSG</w:t>
      </w:r>
      <w:r w:rsidR="007E4ED3" w:rsidRPr="00B44163">
        <w:t xml:space="preserve"> activity in the region and ensure best-practice management principles are applied.</w:t>
      </w:r>
      <w:r w:rsidR="008B02E4">
        <w:t xml:space="preserve"> It was not clear whether underground mining would only occur in CSG well locations after local CSG activities had ceased.</w:t>
      </w:r>
    </w:p>
    <w:p w14:paraId="66EC20A0" w14:textId="77777777" w:rsidR="007E4ED3" w:rsidRPr="00707EC0" w:rsidRDefault="00184DA3" w:rsidP="002A56B4">
      <w:pPr>
        <w:pStyle w:val="ListNumber"/>
        <w:numPr>
          <w:ilvl w:val="0"/>
          <w:numId w:val="0"/>
        </w:numPr>
        <w:rPr>
          <w:u w:val="single"/>
        </w:rPr>
      </w:pPr>
      <w:r w:rsidRPr="00707EC0">
        <w:rPr>
          <w:u w:val="single"/>
        </w:rPr>
        <w:t>Water-Dependent Ecosystems</w:t>
      </w:r>
    </w:p>
    <w:p w14:paraId="0BAC837A" w14:textId="77777777" w:rsidR="00846A04" w:rsidRPr="00707EC0" w:rsidRDefault="00846A04" w:rsidP="00130B54">
      <w:pPr>
        <w:pStyle w:val="ListNumber"/>
      </w:pPr>
      <w:r w:rsidRPr="00707EC0">
        <w:t xml:space="preserve">An </w:t>
      </w:r>
      <w:proofErr w:type="spellStart"/>
      <w:r w:rsidRPr="00707EC0">
        <w:t>ecohydrological</w:t>
      </w:r>
      <w:proofErr w:type="spellEnd"/>
      <w:r w:rsidRPr="00707EC0">
        <w:t xml:space="preserve"> conceptual model of the project area is required. This model should identify all potential impact pathways associated with subsidence, groundwater depressurisation, altered sediment and flow regimes, and changes in surface runoff, overbank flooding and alluvial recharge. It should also include water-dependent vegetation and faunal assemblages (including stygofauna) as well as T</w:t>
      </w:r>
      <w:r w:rsidR="00DC0CCE" w:rsidRPr="00707EC0">
        <w:t xml:space="preserve">hreatened </w:t>
      </w:r>
      <w:r w:rsidRPr="00707EC0">
        <w:t>E</w:t>
      </w:r>
      <w:r w:rsidR="00DC0CCE" w:rsidRPr="00707EC0">
        <w:t>cological Communities</w:t>
      </w:r>
      <w:r w:rsidRPr="00707EC0">
        <w:t xml:space="preserve"> </w:t>
      </w:r>
      <w:r w:rsidR="00DC0CCE" w:rsidRPr="00707EC0">
        <w:t>(TEC</w:t>
      </w:r>
      <w:r w:rsidR="00E0655D" w:rsidRPr="00707EC0">
        <w:t>s</w:t>
      </w:r>
      <w:r w:rsidR="00DC0CCE" w:rsidRPr="00707EC0">
        <w:t xml:space="preserve">) </w:t>
      </w:r>
      <w:r w:rsidRPr="00707EC0">
        <w:t>and R</w:t>
      </w:r>
      <w:r w:rsidR="00DC0CCE" w:rsidRPr="00707EC0">
        <w:t xml:space="preserve">egional </w:t>
      </w:r>
      <w:r w:rsidRPr="00707EC0">
        <w:t>E</w:t>
      </w:r>
      <w:r w:rsidR="00DC0CCE" w:rsidRPr="00707EC0">
        <w:t>cosystem</w:t>
      </w:r>
      <w:r w:rsidRPr="00707EC0">
        <w:t>s</w:t>
      </w:r>
      <w:r w:rsidR="00DC0CCE" w:rsidRPr="00707EC0">
        <w:t xml:space="preserve"> (RE</w:t>
      </w:r>
      <w:r w:rsidR="00E0655D" w:rsidRPr="00707EC0">
        <w:t>s</w:t>
      </w:r>
      <w:r w:rsidR="00DC0CCE" w:rsidRPr="00707EC0">
        <w:t>)</w:t>
      </w:r>
      <w:r w:rsidR="00CC2128" w:rsidRPr="00707EC0">
        <w:t>.</w:t>
      </w:r>
      <w:r w:rsidRPr="00707EC0">
        <w:t xml:space="preserve"> </w:t>
      </w:r>
      <w:r w:rsidR="00CC2128" w:rsidRPr="00707EC0">
        <w:t xml:space="preserve">Direct and </w:t>
      </w:r>
      <w:r w:rsidRPr="00707EC0">
        <w:t>indirect effects</w:t>
      </w:r>
      <w:r w:rsidR="00CC2128" w:rsidRPr="00707EC0">
        <w:t xml:space="preserve"> should be considered</w:t>
      </w:r>
      <w:r w:rsidRPr="00707EC0">
        <w:t>, including those associated with altered water quality. This model is needed for a comprehensive assessment of risks to water-dependent ecosystems and to help guide appropriate monitoring and management measures to address such risks.</w:t>
      </w:r>
    </w:p>
    <w:p w14:paraId="743CA1A1" w14:textId="4C78571C" w:rsidR="00AD0347" w:rsidRPr="00707EC0" w:rsidRDefault="003E12A6" w:rsidP="00C25CE7">
      <w:pPr>
        <w:pStyle w:val="ListNumber"/>
      </w:pPr>
      <w:r w:rsidRPr="00707EC0">
        <w:t xml:space="preserve">Through-flow of water in the deeper alluvium of Teviot Brook may sustain stygofauna and supply riparian and groundwater-dependent vegetation downstream where alluvial sediments are frequently saturated. </w:t>
      </w:r>
      <w:r w:rsidR="00130B54" w:rsidRPr="00707EC0">
        <w:t>Altered runoff</w:t>
      </w:r>
      <w:r w:rsidR="00846A04" w:rsidRPr="00707EC0">
        <w:t>, streamflow</w:t>
      </w:r>
      <w:r w:rsidR="00130B54" w:rsidRPr="00707EC0">
        <w:t xml:space="preserve"> and </w:t>
      </w:r>
      <w:r w:rsidR="00846A04" w:rsidRPr="00707EC0">
        <w:t xml:space="preserve">overbank </w:t>
      </w:r>
      <w:r w:rsidR="00130B54" w:rsidRPr="00707EC0">
        <w:t>flood</w:t>
      </w:r>
      <w:r w:rsidR="00846A04" w:rsidRPr="00707EC0">
        <w:t>ing</w:t>
      </w:r>
      <w:r w:rsidR="00130B54" w:rsidRPr="00707EC0">
        <w:t xml:space="preserve"> patterns </w:t>
      </w:r>
      <w:r w:rsidR="00846A04" w:rsidRPr="00707EC0">
        <w:t>associated with</w:t>
      </w:r>
      <w:r w:rsidR="00130B54" w:rsidRPr="00707EC0">
        <w:t xml:space="preserve"> Teviot Brook may affect recharge of alluvial sediments that potentially support water-dependent </w:t>
      </w:r>
      <w:r w:rsidR="00BE4DA5" w:rsidRPr="00707EC0">
        <w:t xml:space="preserve">ecosystems </w:t>
      </w:r>
      <w:r w:rsidR="00130B54" w:rsidRPr="00707EC0">
        <w:t xml:space="preserve">such as the </w:t>
      </w:r>
      <w:r w:rsidR="00846A04" w:rsidRPr="00707EC0">
        <w:t xml:space="preserve">EPBC Act-listed </w:t>
      </w:r>
      <w:r w:rsidR="00130B54" w:rsidRPr="00707EC0">
        <w:t>Brigalow (</w:t>
      </w:r>
      <w:r w:rsidR="00130B54" w:rsidRPr="00707EC0">
        <w:rPr>
          <w:i/>
        </w:rPr>
        <w:t xml:space="preserve">Acacia </w:t>
      </w:r>
      <w:proofErr w:type="spellStart"/>
      <w:r w:rsidR="00130B54" w:rsidRPr="00707EC0">
        <w:rPr>
          <w:i/>
        </w:rPr>
        <w:t>harpophylla</w:t>
      </w:r>
      <w:proofErr w:type="spellEnd"/>
      <w:r w:rsidR="00130B54" w:rsidRPr="00707EC0">
        <w:t xml:space="preserve"> dominant and co-dominant) ecological community, and the availability of water for </w:t>
      </w:r>
      <w:proofErr w:type="spellStart"/>
      <w:r w:rsidR="00130B54" w:rsidRPr="00707EC0">
        <w:t>gilgai</w:t>
      </w:r>
      <w:proofErr w:type="spellEnd"/>
      <w:r w:rsidR="00130B54" w:rsidRPr="00707EC0">
        <w:t xml:space="preserve"> habitat.</w:t>
      </w:r>
      <w:r w:rsidR="00846A04" w:rsidRPr="00707EC0">
        <w:t xml:space="preserve"> The proponent should assess the likelihood and magnitude of these</w:t>
      </w:r>
      <w:r w:rsidR="00130B54" w:rsidRPr="00707EC0">
        <w:t xml:space="preserve"> potential impact</w:t>
      </w:r>
      <w:r w:rsidR="00846A04" w:rsidRPr="00707EC0">
        <w:t xml:space="preserve">s and, where appropriate, develop suitable monitoring and mitigation plans (see response to Question 4). </w:t>
      </w:r>
      <w:r w:rsidR="00130B54" w:rsidRPr="00707EC0">
        <w:t xml:space="preserve"> </w:t>
      </w:r>
    </w:p>
    <w:p w14:paraId="5511942C" w14:textId="77777777" w:rsidR="00AC403E" w:rsidRPr="00BF21A7" w:rsidRDefault="00AC403E" w:rsidP="00AC403E">
      <w:pPr>
        <w:pStyle w:val="Question"/>
        <w:keepNext/>
        <w:keepLines/>
        <w:shd w:val="clear" w:color="auto" w:fill="E7E6E6"/>
        <w:rPr>
          <w:lang w:eastAsia="en-AU"/>
        </w:rPr>
      </w:pPr>
      <w:r>
        <w:rPr>
          <w:lang w:eastAsia="en-AU"/>
        </w:rPr>
        <w:t xml:space="preserve">Question 3: </w:t>
      </w:r>
      <w:r w:rsidRPr="00AC403E">
        <w:rPr>
          <w:lang w:eastAsia="en-AU"/>
        </w:rPr>
        <w:t>Advice is sought on whether the proposed monitoring, mitigation and management measures are adequate to identify, avoid or reduce the likelihood and extent of impacts to water resources? If not, what additional measures are required to be implemented to monitor, mitigate and manage impacts to water resources</w:t>
      </w:r>
      <w:r>
        <w:rPr>
          <w:lang w:eastAsia="en-AU"/>
        </w:rPr>
        <w:t>?</w:t>
      </w:r>
    </w:p>
    <w:p w14:paraId="1E6E5166" w14:textId="561E13B8" w:rsidR="006C4FBE" w:rsidRDefault="00E0655D" w:rsidP="006C4FBE">
      <w:pPr>
        <w:pStyle w:val="ListNumber"/>
      </w:pPr>
      <w:r>
        <w:t xml:space="preserve">There are </w:t>
      </w:r>
      <w:r w:rsidR="006C4FBE" w:rsidRPr="00F66B2D">
        <w:t xml:space="preserve">mitigation </w:t>
      </w:r>
      <w:r w:rsidR="006C4FBE">
        <w:t>a</w:t>
      </w:r>
      <w:r w:rsidR="006C4FBE" w:rsidRPr="00F66B2D">
        <w:t xml:space="preserve">nd </w:t>
      </w:r>
      <w:r w:rsidR="006C4FBE">
        <w:t xml:space="preserve">management measures currently undertaken at the </w:t>
      </w:r>
      <w:r w:rsidR="002D5592">
        <w:t>MNM</w:t>
      </w:r>
      <w:r w:rsidR="006C4FBE">
        <w:t xml:space="preserve">, directed by the requirements of </w:t>
      </w:r>
      <w:r w:rsidR="007058F3">
        <w:t xml:space="preserve">the </w:t>
      </w:r>
      <w:r w:rsidR="002D5592">
        <w:t>existing EA</w:t>
      </w:r>
      <w:r w:rsidR="007058F3">
        <w:t>.</w:t>
      </w:r>
      <w:r w:rsidR="0010664C">
        <w:t xml:space="preserve"> The proponent has provided management plans for their current operations</w:t>
      </w:r>
      <w:r>
        <w:t>;</w:t>
      </w:r>
      <w:r w:rsidR="0010664C">
        <w:t xml:space="preserve"> however, these are yet to be updated for the proposed project.</w:t>
      </w:r>
      <w:r w:rsidR="00DF4ED5">
        <w:t xml:space="preserve"> </w:t>
      </w:r>
      <w:r w:rsidR="009103CD">
        <w:t xml:space="preserve">In the interim, further details </w:t>
      </w:r>
      <w:r>
        <w:t xml:space="preserve">needed </w:t>
      </w:r>
      <w:r w:rsidR="009103CD">
        <w:t xml:space="preserve">to determine adequacy </w:t>
      </w:r>
      <w:r w:rsidR="004749A4">
        <w:t xml:space="preserve">of the current measures </w:t>
      </w:r>
      <w:r w:rsidR="006A52E1">
        <w:t>include:</w:t>
      </w:r>
    </w:p>
    <w:p w14:paraId="093581BC" w14:textId="77777777" w:rsidR="006C4FBE" w:rsidRDefault="006C4FBE" w:rsidP="006A52E1">
      <w:pPr>
        <w:pStyle w:val="ListNumber2"/>
      </w:pPr>
      <w:r>
        <w:t>mitigation and management ac</w:t>
      </w:r>
      <w:r w:rsidR="006A52E1">
        <w:t xml:space="preserve">tions for each trigger in the groundwater </w:t>
      </w:r>
      <w:r>
        <w:t xml:space="preserve">monitoring </w:t>
      </w:r>
      <w:r w:rsidR="006A52E1">
        <w:t>and management program;</w:t>
      </w:r>
    </w:p>
    <w:p w14:paraId="64BECE4E" w14:textId="77777777" w:rsidR="006A52E1" w:rsidRDefault="001877B8" w:rsidP="006A52E1">
      <w:pPr>
        <w:pStyle w:val="ListNumber2"/>
      </w:pPr>
      <w:r>
        <w:lastRenderedPageBreak/>
        <w:t>a</w:t>
      </w:r>
      <w:r w:rsidR="00381F55">
        <w:t xml:space="preserve"> descri</w:t>
      </w:r>
      <w:r w:rsidR="007058F3">
        <w:t>ption of the process for reviewing</w:t>
      </w:r>
      <w:r w:rsidR="00381F55">
        <w:t xml:space="preserve"> groundwater data and </w:t>
      </w:r>
      <w:r w:rsidR="007058F3">
        <w:t xml:space="preserve">revising the </w:t>
      </w:r>
      <w:r w:rsidR="00381F55">
        <w:t>monitoring program, including what performance measures the data will be reviewed against</w:t>
      </w:r>
      <w:r w:rsidR="00530937">
        <w:t>;</w:t>
      </w:r>
    </w:p>
    <w:p w14:paraId="06FD6B58" w14:textId="77777777" w:rsidR="00E84CB7" w:rsidRPr="00707EC0" w:rsidRDefault="00381F55" w:rsidP="006A52E1">
      <w:pPr>
        <w:pStyle w:val="ListNumber2"/>
      </w:pPr>
      <w:r w:rsidRPr="00707EC0">
        <w:t>predic</w:t>
      </w:r>
      <w:r w:rsidR="009103CD" w:rsidRPr="00707EC0">
        <w:t xml:space="preserve">tion of </w:t>
      </w:r>
      <w:r w:rsidR="0010664C" w:rsidRPr="00707EC0">
        <w:t xml:space="preserve">the </w:t>
      </w:r>
      <w:r w:rsidR="009103CD" w:rsidRPr="00707EC0">
        <w:t xml:space="preserve">time </w:t>
      </w:r>
      <w:r w:rsidR="001F171E" w:rsidRPr="00707EC0">
        <w:t>it will take for</w:t>
      </w:r>
      <w:r w:rsidR="00E84CB7" w:rsidRPr="00707EC0">
        <w:t>:</w:t>
      </w:r>
    </w:p>
    <w:p w14:paraId="430BBCC0" w14:textId="77777777" w:rsidR="00381F55" w:rsidRPr="00707EC0" w:rsidRDefault="003E12A6" w:rsidP="00E84CB7">
      <w:pPr>
        <w:pStyle w:val="ListNumber3"/>
      </w:pPr>
      <w:r w:rsidRPr="00707EC0">
        <w:t xml:space="preserve">the filling of subsidence depressions by sediment mobilised by flow events; and </w:t>
      </w:r>
    </w:p>
    <w:p w14:paraId="3454EAEA" w14:textId="77777777" w:rsidR="00E84CB7" w:rsidRPr="00707EC0" w:rsidRDefault="00E84CB7" w:rsidP="00E84CB7">
      <w:pPr>
        <w:pStyle w:val="ListNumber3"/>
      </w:pPr>
      <w:proofErr w:type="gramStart"/>
      <w:r>
        <w:t>patterns</w:t>
      </w:r>
      <w:proofErr w:type="gramEnd"/>
      <w:r>
        <w:t xml:space="preserve"> of flooding and alluvial recharge to return to pre-impact condition, particularly near areas supporting vegetation that may rely on transient flooding or recharge of alluvial </w:t>
      </w:r>
      <w:r w:rsidRPr="00707EC0">
        <w:t xml:space="preserve">sediments. </w:t>
      </w:r>
    </w:p>
    <w:p w14:paraId="38C4F2B1" w14:textId="77777777" w:rsidR="009103CD" w:rsidRPr="00707EC0" w:rsidRDefault="001877B8" w:rsidP="006A52E1">
      <w:pPr>
        <w:pStyle w:val="ListNumber2"/>
      </w:pPr>
      <w:proofErr w:type="gramStart"/>
      <w:r w:rsidRPr="00707EC0">
        <w:t>h</w:t>
      </w:r>
      <w:r w:rsidR="009103CD" w:rsidRPr="00707EC0">
        <w:t>ow</w:t>
      </w:r>
      <w:proofErr w:type="gramEnd"/>
      <w:r w:rsidR="009103CD" w:rsidRPr="00707EC0">
        <w:t xml:space="preserve"> the Receiving Environment Monitoring Program will be able to dete</w:t>
      </w:r>
      <w:r w:rsidR="002D1F9C" w:rsidRPr="00707EC0">
        <w:t>ct</w:t>
      </w:r>
      <w:r w:rsidR="009103CD" w:rsidRPr="00707EC0">
        <w:t xml:space="preserve"> impact</w:t>
      </w:r>
      <w:r w:rsidR="002D1F9C" w:rsidRPr="00707EC0">
        <w:t>s</w:t>
      </w:r>
      <w:r w:rsidR="009103CD" w:rsidRPr="00707EC0">
        <w:t xml:space="preserve"> to the environmental values of the watercourses from subsidence</w:t>
      </w:r>
      <w:r w:rsidR="002D1F9C" w:rsidRPr="00707EC0">
        <w:t xml:space="preserve">, noting that sampling aquatic macroinvertebrates and interpreting these data </w:t>
      </w:r>
      <w:r w:rsidR="002D5592" w:rsidRPr="00707EC0">
        <w:t xml:space="preserve">for the baseline </w:t>
      </w:r>
      <w:r w:rsidR="002D1F9C" w:rsidRPr="00707EC0">
        <w:t xml:space="preserve">and subsequent </w:t>
      </w:r>
      <w:r w:rsidR="002D5592" w:rsidRPr="00707EC0">
        <w:t>assessment</w:t>
      </w:r>
      <w:r w:rsidR="002D1F9C" w:rsidRPr="00707EC0">
        <w:t xml:space="preserve">s </w:t>
      </w:r>
      <w:r w:rsidR="00134CE7" w:rsidRPr="00707EC0">
        <w:t xml:space="preserve">should </w:t>
      </w:r>
      <w:r w:rsidR="002D1F9C" w:rsidRPr="00707EC0">
        <w:t xml:space="preserve">consider the suggestions </w:t>
      </w:r>
      <w:r w:rsidR="00134CE7" w:rsidRPr="00707EC0">
        <w:t>in Chessman et al. (2010)</w:t>
      </w:r>
      <w:r w:rsidR="002D1F9C" w:rsidRPr="00707EC0">
        <w:t xml:space="preserve"> about </w:t>
      </w:r>
      <w:r w:rsidR="004749A4" w:rsidRPr="00707EC0">
        <w:t>monitor</w:t>
      </w:r>
      <w:r w:rsidR="002D1F9C" w:rsidRPr="00707EC0">
        <w:t>ing the</w:t>
      </w:r>
      <w:r w:rsidR="004749A4" w:rsidRPr="00707EC0">
        <w:t xml:space="preserve"> ecological health of dryland streams</w:t>
      </w:r>
      <w:r w:rsidR="002D1F9C" w:rsidRPr="00707EC0">
        <w:t>.</w:t>
      </w:r>
    </w:p>
    <w:p w14:paraId="769F486A" w14:textId="77777777" w:rsidR="007331EF" w:rsidRPr="00707EC0" w:rsidRDefault="007331EF" w:rsidP="002D5592">
      <w:pPr>
        <w:pStyle w:val="ListNumber"/>
      </w:pPr>
      <w:r w:rsidRPr="00707EC0">
        <w:t>Further monitoring should include:</w:t>
      </w:r>
    </w:p>
    <w:p w14:paraId="57A9FBB9" w14:textId="77777777" w:rsidR="0010664C" w:rsidRPr="00707EC0" w:rsidRDefault="008A3559" w:rsidP="00CB47BB">
      <w:pPr>
        <w:pStyle w:val="ListNumber2"/>
        <w:numPr>
          <w:ilvl w:val="1"/>
          <w:numId w:val="8"/>
        </w:numPr>
      </w:pPr>
      <w:r w:rsidRPr="00707EC0">
        <w:t>additional stygofauna monitoring focussed in the alluvium</w:t>
      </w:r>
      <w:r w:rsidR="006C0D73" w:rsidRPr="00707EC0">
        <w:t xml:space="preserve"> (especially in the lower reaches of Teviot Brook and downstream in the saturated alluvium)</w:t>
      </w:r>
      <w:r w:rsidRPr="00707EC0">
        <w:t xml:space="preserve"> and Tertiary sediments, in accordance with the Queensland Guidelines for the Environmental Assessment of Subterranean Aquatic Fauna (DSITI, 2015)</w:t>
      </w:r>
      <w:r w:rsidR="00534F2D" w:rsidRPr="00707EC0">
        <w:t xml:space="preserve"> as one sampling event is not temporally representative</w:t>
      </w:r>
      <w:r w:rsidR="001B13D0" w:rsidRPr="00707EC0">
        <w:t xml:space="preserve">. </w:t>
      </w:r>
      <w:r w:rsidR="00A410EA" w:rsidRPr="00707EC0">
        <w:t>The IESC also notes that sty</w:t>
      </w:r>
      <w:r w:rsidR="008B395A" w:rsidRPr="00707EC0">
        <w:t xml:space="preserve">gofauna </w:t>
      </w:r>
      <w:r w:rsidR="006C0D73" w:rsidRPr="00707EC0">
        <w:t>in</w:t>
      </w:r>
      <w:r w:rsidR="008B395A" w:rsidRPr="00707EC0">
        <w:t xml:space="preserve"> the sub-order </w:t>
      </w:r>
      <w:proofErr w:type="spellStart"/>
      <w:r w:rsidR="008B395A" w:rsidRPr="00707EC0">
        <w:t>Ha</w:t>
      </w:r>
      <w:r w:rsidR="006C0D73" w:rsidRPr="00707EC0">
        <w:t>r</w:t>
      </w:r>
      <w:r w:rsidR="008B395A" w:rsidRPr="00707EC0">
        <w:t>pacticoid</w:t>
      </w:r>
      <w:r w:rsidR="006C0D73" w:rsidRPr="00707EC0">
        <w:t>a</w:t>
      </w:r>
      <w:proofErr w:type="spellEnd"/>
      <w:r w:rsidR="008B395A" w:rsidRPr="00707EC0">
        <w:t xml:space="preserve"> w</w:t>
      </w:r>
      <w:r w:rsidR="00DC563A" w:rsidRPr="00707EC0">
        <w:t>ere</w:t>
      </w:r>
      <w:r w:rsidR="008B395A" w:rsidRPr="00707EC0">
        <w:t xml:space="preserve"> identified in a sample from approximately 13 m below ground level </w:t>
      </w:r>
      <w:r w:rsidR="00093F0E" w:rsidRPr="00707EC0">
        <w:t xml:space="preserve">for the Moranbah South Project </w:t>
      </w:r>
      <w:r w:rsidR="008B395A" w:rsidRPr="00707EC0">
        <w:t>(C&amp;R Consulting 2013)</w:t>
      </w:r>
      <w:r w:rsidR="00093F0E" w:rsidRPr="00707EC0">
        <w:t>.</w:t>
      </w:r>
    </w:p>
    <w:p w14:paraId="2F2AD3BB" w14:textId="2BEAF392" w:rsidR="007331EF" w:rsidRPr="001629B7" w:rsidRDefault="006572B0" w:rsidP="007331EF">
      <w:pPr>
        <w:pStyle w:val="ListNumber2"/>
      </w:pPr>
      <w:proofErr w:type="gramStart"/>
      <w:r>
        <w:t>consideration</w:t>
      </w:r>
      <w:proofErr w:type="gramEnd"/>
      <w:r w:rsidR="00FA0580">
        <w:t xml:space="preserve"> of additional </w:t>
      </w:r>
      <w:r w:rsidR="00E0655D">
        <w:t xml:space="preserve">groundwater </w:t>
      </w:r>
      <w:r w:rsidR="00FA0580">
        <w:t xml:space="preserve">monitoring bores. The four new </w:t>
      </w:r>
      <w:r w:rsidR="00D479A1" w:rsidRPr="001629B7">
        <w:t>bores</w:t>
      </w:r>
      <w:r w:rsidR="00FA0580">
        <w:t xml:space="preserve"> currently proposed </w:t>
      </w:r>
      <w:r w:rsidR="00D479A1" w:rsidRPr="001629B7">
        <w:t xml:space="preserve">provide </w:t>
      </w:r>
      <w:r w:rsidR="00FA0580">
        <w:t xml:space="preserve">limited additional </w:t>
      </w:r>
      <w:r w:rsidR="00D479A1" w:rsidRPr="001629B7">
        <w:t>spatial and depth coverage</w:t>
      </w:r>
      <w:r w:rsidR="00FA0580">
        <w:t>. It is unclear whether monitoring data will be shared between adjacent mines. If not</w:t>
      </w:r>
      <w:r w:rsidR="00F341FB">
        <w:t>,</w:t>
      </w:r>
      <w:r w:rsidR="00FA0580">
        <w:t xml:space="preserve"> the proponent will need to consider</w:t>
      </w:r>
      <w:r w:rsidR="00D479A1" w:rsidRPr="001629B7">
        <w:t xml:space="preserve"> whether further monitoring bores</w:t>
      </w:r>
      <w:r w:rsidR="00707EC0">
        <w:t>, such as those established during the site investigation program (</w:t>
      </w:r>
      <w:r w:rsidR="00711C82">
        <w:t>Anglo Coal 2018, App. C</w:t>
      </w:r>
      <w:r w:rsidR="00711C82" w:rsidRPr="000A6250">
        <w:t xml:space="preserve">, </w:t>
      </w:r>
      <w:r w:rsidR="00711C82">
        <w:t>p.</w:t>
      </w:r>
      <w:r w:rsidR="00E85D76" w:rsidRPr="00E85D76">
        <w:t> </w:t>
      </w:r>
      <w:r w:rsidR="00711C82">
        <w:t>14)</w:t>
      </w:r>
      <w:r w:rsidR="008B04F1">
        <w:t xml:space="preserve">, </w:t>
      </w:r>
      <w:r w:rsidR="00D479A1" w:rsidRPr="001629B7">
        <w:t xml:space="preserve">are needed for verifying the extent </w:t>
      </w:r>
      <w:r w:rsidR="00CB252E">
        <w:t xml:space="preserve">and magnitude </w:t>
      </w:r>
      <w:r w:rsidR="00D479A1" w:rsidRPr="001629B7">
        <w:t>of groundwater drawdown.</w:t>
      </w:r>
      <w:r w:rsidR="00643714" w:rsidRPr="001629B7">
        <w:t xml:space="preserve">  </w:t>
      </w:r>
    </w:p>
    <w:p w14:paraId="19097983" w14:textId="77777777" w:rsidR="007C54BE" w:rsidRDefault="006572B0" w:rsidP="006572B0">
      <w:pPr>
        <w:pStyle w:val="ListNumber2"/>
      </w:pPr>
      <w:proofErr w:type="gramStart"/>
      <w:r>
        <w:t>b</w:t>
      </w:r>
      <w:r w:rsidR="00534F2D">
        <w:t>aseline</w:t>
      </w:r>
      <w:proofErr w:type="gramEnd"/>
      <w:r w:rsidR="00534F2D">
        <w:t xml:space="preserve"> ecological sampling of the condition of TECs and REs that may be water-dependent</w:t>
      </w:r>
      <w:r w:rsidR="00E0655D">
        <w:t>.</w:t>
      </w:r>
      <w:r w:rsidR="00534F2D">
        <w:t xml:space="preserve"> </w:t>
      </w:r>
      <w:r w:rsidR="00E0655D">
        <w:t>Some</w:t>
      </w:r>
      <w:r w:rsidR="007331EF">
        <w:t xml:space="preserve"> vegetation </w:t>
      </w:r>
      <w:r w:rsidR="00E0655D">
        <w:t xml:space="preserve">of these ecological communities </w:t>
      </w:r>
      <w:r>
        <w:t xml:space="preserve">is </w:t>
      </w:r>
      <w:r w:rsidR="007331EF">
        <w:t>likely to be affected by altered flows/flooding</w:t>
      </w:r>
      <w:r w:rsidR="00534F2D">
        <w:t xml:space="preserve"> (including transient recharge of alluvial sediments)</w:t>
      </w:r>
      <w:r w:rsidR="007331EF">
        <w:t xml:space="preserve">, especially for TECs. </w:t>
      </w:r>
    </w:p>
    <w:p w14:paraId="1B87627F" w14:textId="2732E17B" w:rsidR="00B458EF" w:rsidRDefault="008D53D3" w:rsidP="00AB2D16">
      <w:pPr>
        <w:pStyle w:val="ListNumber"/>
      </w:pPr>
      <w:r w:rsidRPr="00AC403E">
        <w:t>Due to the nature of the longwall mining</w:t>
      </w:r>
      <w:r w:rsidR="004C101B">
        <w:t>, CSG production wells</w:t>
      </w:r>
      <w:r w:rsidRPr="00AC403E">
        <w:t xml:space="preserve"> will be subject to a number of stresses. </w:t>
      </w:r>
      <w:r w:rsidR="00E72CD0">
        <w:t>Compromising the</w:t>
      </w:r>
      <w:r w:rsidRPr="00AC403E">
        <w:t xml:space="preserve"> </w:t>
      </w:r>
      <w:r w:rsidR="00FD7C1D" w:rsidRPr="00AC403E">
        <w:t>integrity</w:t>
      </w:r>
      <w:r w:rsidRPr="00AC403E">
        <w:t xml:space="preserve"> of the plugged and abandoned wells could provide pathways for residual gas to migrate into the overlying geological units and potentially to the surface.</w:t>
      </w:r>
      <w:r w:rsidR="001F171E">
        <w:t xml:space="preserve"> </w:t>
      </w:r>
      <w:r w:rsidR="006C4FBE" w:rsidRPr="00AC403E">
        <w:t>Consequently</w:t>
      </w:r>
      <w:r w:rsidR="0093024D">
        <w:t>,</w:t>
      </w:r>
      <w:r w:rsidRPr="00AC403E">
        <w:t xml:space="preserve"> the proponent </w:t>
      </w:r>
      <w:r w:rsidR="004C101B">
        <w:t>should</w:t>
      </w:r>
      <w:r w:rsidRPr="00AC403E">
        <w:t xml:space="preserve"> </w:t>
      </w:r>
      <w:r w:rsidR="00A36537">
        <w:t>assess the materiality of th</w:t>
      </w:r>
      <w:r w:rsidR="00C44AA7">
        <w:t>is</w:t>
      </w:r>
      <w:r w:rsidR="00A36537">
        <w:t xml:space="preserve"> risk and </w:t>
      </w:r>
      <w:r w:rsidR="0093024D">
        <w:t>explain</w:t>
      </w:r>
      <w:r w:rsidRPr="00AC403E">
        <w:t xml:space="preserve"> </w:t>
      </w:r>
      <w:r w:rsidR="001F171E">
        <w:t>whether this can be prevented</w:t>
      </w:r>
      <w:r w:rsidR="00C44AA7">
        <w:t xml:space="preserve"> </w:t>
      </w:r>
      <w:r w:rsidR="001F171E">
        <w:t>o</w:t>
      </w:r>
      <w:r w:rsidRPr="00AC403E">
        <w:t>r</w:t>
      </w:r>
      <w:r w:rsidR="0093024D">
        <w:t>,</w:t>
      </w:r>
      <w:r w:rsidRPr="00AC403E">
        <w:t xml:space="preserve"> alternatively</w:t>
      </w:r>
      <w:r w:rsidR="0093024D">
        <w:t>,</w:t>
      </w:r>
      <w:r w:rsidRPr="00AC403E">
        <w:t xml:space="preserve"> how these process</w:t>
      </w:r>
      <w:r w:rsidR="003B7974">
        <w:t>es</w:t>
      </w:r>
      <w:r w:rsidRPr="00AC403E">
        <w:t xml:space="preserve"> will be monitored</w:t>
      </w:r>
      <w:r w:rsidR="00DC0CCE">
        <w:t>,</w:t>
      </w:r>
      <w:r w:rsidRPr="00AC403E">
        <w:t xml:space="preserve"> and</w:t>
      </w:r>
      <w:r w:rsidR="00C44AA7">
        <w:t xml:space="preserve"> </w:t>
      </w:r>
      <w:r w:rsidRPr="00AC403E">
        <w:t>mitigated</w:t>
      </w:r>
      <w:r w:rsidR="00C44AA7">
        <w:t xml:space="preserve"> if required</w:t>
      </w:r>
      <w:r w:rsidRPr="00AC403E">
        <w:t>.</w:t>
      </w:r>
    </w:p>
    <w:p w14:paraId="33DA55B0" w14:textId="77777777" w:rsidR="00AC403E" w:rsidRPr="00BF21A7" w:rsidRDefault="00AC403E" w:rsidP="00AC403E">
      <w:pPr>
        <w:pStyle w:val="Question"/>
        <w:keepNext/>
        <w:keepLines/>
        <w:shd w:val="clear" w:color="auto" w:fill="E7E6E6"/>
        <w:rPr>
          <w:lang w:eastAsia="en-AU"/>
        </w:rPr>
      </w:pPr>
      <w:r>
        <w:rPr>
          <w:lang w:eastAsia="en-AU"/>
        </w:rPr>
        <w:t>Question 4:</w:t>
      </w:r>
      <w:r w:rsidRPr="000178C6">
        <w:rPr>
          <w:lang w:eastAsia="en-AU"/>
        </w:rPr>
        <w:t xml:space="preserve"> </w:t>
      </w:r>
      <w:r w:rsidRPr="00AC403E">
        <w:rPr>
          <w:lang w:eastAsia="en-AU"/>
        </w:rPr>
        <w:t>Advice is sought on whether these assessments give adequate consideration to the project's contribution to cumulative impacts associated with other mining activities and coal seam gas production in the area</w:t>
      </w:r>
      <w:r>
        <w:rPr>
          <w:lang w:eastAsia="en-AU"/>
        </w:rPr>
        <w:t>?</w:t>
      </w:r>
    </w:p>
    <w:p w14:paraId="5A161994" w14:textId="77777777" w:rsidR="00874302" w:rsidRDefault="00AC2A12" w:rsidP="006F5FE8">
      <w:pPr>
        <w:pStyle w:val="ListNumber"/>
      </w:pPr>
      <w:r>
        <w:t xml:space="preserve">The IESC notes that the proponent has </w:t>
      </w:r>
      <w:r w:rsidRPr="00E85D76">
        <w:t>incorporated historical data from existing and surrounding mines in their groundwater modelling and subsidence predictions</w:t>
      </w:r>
      <w:r w:rsidR="00C4729A" w:rsidRPr="00E85D76">
        <w:t xml:space="preserve">, </w:t>
      </w:r>
      <w:r w:rsidR="00301C28" w:rsidRPr="00E85D76">
        <w:t>al</w:t>
      </w:r>
      <w:r w:rsidR="00C4729A" w:rsidRPr="00E85D76">
        <w:t xml:space="preserve">though this </w:t>
      </w:r>
      <w:r w:rsidR="00301C28" w:rsidRPr="00E85D76">
        <w:t xml:space="preserve">information is </w:t>
      </w:r>
      <w:r w:rsidR="00C4729A" w:rsidRPr="00E85D76">
        <w:t>poorly presented</w:t>
      </w:r>
      <w:r w:rsidRPr="00E85D76">
        <w:t xml:space="preserve">. </w:t>
      </w:r>
      <w:r w:rsidR="00301C28" w:rsidRPr="00E85D76">
        <w:t>A</w:t>
      </w:r>
      <w:r w:rsidR="001F171E" w:rsidRPr="00E85D76">
        <w:t xml:space="preserve">s discussed </w:t>
      </w:r>
      <w:r w:rsidR="00416E8D" w:rsidRPr="00E85D76">
        <w:t>below</w:t>
      </w:r>
      <w:r w:rsidRPr="00E85D76">
        <w:t xml:space="preserve">, further information to clarify how cumulative impacts from CSG and </w:t>
      </w:r>
      <w:r w:rsidR="001F171E" w:rsidRPr="00E85D76">
        <w:t>other mining developments have</w:t>
      </w:r>
      <w:r w:rsidRPr="00E85D76">
        <w:t xml:space="preserve"> been incorporated into the groundwater</w:t>
      </w:r>
      <w:r>
        <w:t xml:space="preserve"> model is required. </w:t>
      </w:r>
    </w:p>
    <w:p w14:paraId="1CE01809" w14:textId="77777777" w:rsidR="00AC2A12" w:rsidRDefault="00874302" w:rsidP="00874302">
      <w:pPr>
        <w:pStyle w:val="ListNumber2"/>
      </w:pPr>
      <w:r>
        <w:t>The cumulative impact assessment</w:t>
      </w:r>
      <w:r w:rsidR="00AC2A12">
        <w:t xml:space="preserve"> should include clear discussion and presentation</w:t>
      </w:r>
      <w:r w:rsidR="001F171E">
        <w:t xml:space="preserve"> (including a comparison of potential impacts) </w:t>
      </w:r>
      <w:r w:rsidR="00AC2A12">
        <w:t>of the following development scenarios</w:t>
      </w:r>
      <w:r>
        <w:t xml:space="preserve"> as a minimum</w:t>
      </w:r>
      <w:r w:rsidR="00AC2A12">
        <w:t>:</w:t>
      </w:r>
    </w:p>
    <w:p w14:paraId="5C06DFDE" w14:textId="77777777" w:rsidR="00AC2A12" w:rsidRDefault="005100AF" w:rsidP="00874302">
      <w:pPr>
        <w:pStyle w:val="ListNumber3"/>
      </w:pPr>
      <w:r>
        <w:lastRenderedPageBreak/>
        <w:t>i</w:t>
      </w:r>
      <w:r w:rsidR="00AC2A12">
        <w:t xml:space="preserve">mpacts from </w:t>
      </w:r>
      <w:r>
        <w:t>approved</w:t>
      </w:r>
      <w:r w:rsidR="001F171E">
        <w:t xml:space="preserve"> (excluding the proposed project)</w:t>
      </w:r>
      <w:r>
        <w:t xml:space="preserve"> mining developments in the region, where </w:t>
      </w:r>
      <w:r w:rsidR="009C7479">
        <w:t xml:space="preserve">presenting both </w:t>
      </w:r>
      <w:r>
        <w:t>separate and cumulative impacts from CSG and mines</w:t>
      </w:r>
      <w:r w:rsidR="00AC2A12">
        <w:t xml:space="preserve"> </w:t>
      </w:r>
      <w:r>
        <w:t>would be useful; and</w:t>
      </w:r>
      <w:r w:rsidR="001F171E">
        <w:t>,</w:t>
      </w:r>
    </w:p>
    <w:p w14:paraId="0EC7363F" w14:textId="77777777" w:rsidR="005100AF" w:rsidRDefault="001F171E" w:rsidP="00874302">
      <w:pPr>
        <w:pStyle w:val="ListNumber3"/>
      </w:pPr>
      <w:proofErr w:type="gramStart"/>
      <w:r>
        <w:t>impacts</w:t>
      </w:r>
      <w:proofErr w:type="gramEnd"/>
      <w:r>
        <w:t xml:space="preserve"> </w:t>
      </w:r>
      <w:r w:rsidR="005100AF">
        <w:t>including all approved CSG</w:t>
      </w:r>
      <w:r>
        <w:t xml:space="preserve"> and</w:t>
      </w:r>
      <w:r w:rsidR="005100AF">
        <w:t xml:space="preserve"> mining developments </w:t>
      </w:r>
      <w:r>
        <w:t>plus</w:t>
      </w:r>
      <w:r w:rsidR="005100AF">
        <w:t xml:space="preserve"> the proposed project. </w:t>
      </w:r>
    </w:p>
    <w:p w14:paraId="0B78C643" w14:textId="77777777" w:rsidR="00A31FEA" w:rsidRDefault="00874302" w:rsidP="00874302">
      <w:pPr>
        <w:pStyle w:val="ListNumber2"/>
      </w:pPr>
      <w:r w:rsidRPr="00E85D76">
        <w:t>The groundwater m</w:t>
      </w:r>
      <w:r w:rsidR="00A31FEA" w:rsidRPr="00E85D76">
        <w:t xml:space="preserve">odel domain </w:t>
      </w:r>
      <w:r w:rsidRPr="00E85D76">
        <w:t>currently</w:t>
      </w:r>
      <w:r w:rsidR="00A31FEA" w:rsidRPr="00E85D76">
        <w:t xml:space="preserve"> includes approved coal and CSG operations </w:t>
      </w:r>
      <w:r w:rsidR="0093024D" w:rsidRPr="00E85D76">
        <w:t>within a proximity</w:t>
      </w:r>
      <w:r w:rsidR="00997173" w:rsidRPr="00E85D76">
        <w:t xml:space="preserve"> </w:t>
      </w:r>
      <w:r w:rsidR="003A5EAC" w:rsidRPr="00E85D76">
        <w:t xml:space="preserve">that </w:t>
      </w:r>
      <w:r w:rsidR="00A31FEA" w:rsidRPr="00E85D76">
        <w:t xml:space="preserve">the proponent considers could potentially result in cumulative groundwater </w:t>
      </w:r>
      <w:r w:rsidR="00DC563A" w:rsidRPr="00E85D76">
        <w:t>depressurisation</w:t>
      </w:r>
      <w:r w:rsidR="00A31FEA" w:rsidRPr="00E85D76">
        <w:t xml:space="preserve"> (</w:t>
      </w:r>
      <w:r w:rsidR="00E13CDA" w:rsidRPr="00E85D76">
        <w:t>Anglo</w:t>
      </w:r>
      <w:r w:rsidR="00E13CDA">
        <w:t xml:space="preserve"> Coal 2018</w:t>
      </w:r>
      <w:r w:rsidR="00A31FEA" w:rsidRPr="004B47B3">
        <w:t>, App. C, App. IV, p.</w:t>
      </w:r>
      <w:r w:rsidR="00416E8D">
        <w:t> </w:t>
      </w:r>
      <w:r w:rsidR="00A31FEA" w:rsidRPr="004B47B3">
        <w:t xml:space="preserve">2). </w:t>
      </w:r>
    </w:p>
    <w:p w14:paraId="335AB4BC" w14:textId="56EA5B0C" w:rsidR="00356115" w:rsidRPr="005A4335" w:rsidRDefault="00356115" w:rsidP="00874302">
      <w:pPr>
        <w:pStyle w:val="ListNumber3"/>
      </w:pPr>
      <w:r w:rsidRPr="00E85D76">
        <w:t xml:space="preserve">The proponent </w:t>
      </w:r>
      <w:r w:rsidR="00874302" w:rsidRPr="00E85D76">
        <w:t>predicts that</w:t>
      </w:r>
      <w:r w:rsidRPr="00E85D76">
        <w:t xml:space="preserve"> depressurisation</w:t>
      </w:r>
      <w:r w:rsidR="001F171E" w:rsidRPr="00E85D76">
        <w:t xml:space="preserve"> of the GM seam</w:t>
      </w:r>
      <w:r w:rsidRPr="00545B53">
        <w:t xml:space="preserve"> from the project will </w:t>
      </w:r>
      <w:r w:rsidRPr="00E85D76">
        <w:t xml:space="preserve">be </w:t>
      </w:r>
      <w:r w:rsidR="00930001" w:rsidRPr="00E85D76">
        <w:t>up to approximately</w:t>
      </w:r>
      <w:r w:rsidRPr="00E85D76">
        <w:t xml:space="preserve"> 400 m. </w:t>
      </w:r>
      <w:r w:rsidR="00DC563A" w:rsidRPr="00E85D76">
        <w:t>T</w:t>
      </w:r>
      <w:r w:rsidRPr="00E85D76">
        <w:t>he proponent also states that the depressurisation from CSG production has resulted in a lowering of the potentiometric surface to 7</w:t>
      </w:r>
      <w:r w:rsidR="000472D0" w:rsidRPr="00E85D76">
        <w:t>5</w:t>
      </w:r>
      <w:r w:rsidRPr="00E85D76">
        <w:t> m above the top of the GM coal seam.</w:t>
      </w:r>
      <w:r w:rsidRPr="005A4335">
        <w:t xml:space="preserve"> If the CSG production has depressurised the coal seam by this amount</w:t>
      </w:r>
      <w:r w:rsidR="00874302">
        <w:t>, the IESC considers that</w:t>
      </w:r>
      <w:r w:rsidRPr="005A4335">
        <w:t xml:space="preserve"> it is </w:t>
      </w:r>
      <w:r w:rsidR="00874302">
        <w:t>unlikely that</w:t>
      </w:r>
      <w:r w:rsidRPr="005A4335">
        <w:t xml:space="preserve"> this project </w:t>
      </w:r>
      <w:r w:rsidR="00874302">
        <w:t>could</w:t>
      </w:r>
      <w:r w:rsidRPr="005A4335">
        <w:t xml:space="preserve"> depressurise the coal seam by 400</w:t>
      </w:r>
      <w:r>
        <w:t> </w:t>
      </w:r>
      <w:r w:rsidRPr="005A4335">
        <w:t xml:space="preserve">m. </w:t>
      </w:r>
      <w:r w:rsidR="00874302">
        <w:t>This requires clarification.</w:t>
      </w:r>
    </w:p>
    <w:p w14:paraId="39D45335" w14:textId="77777777" w:rsidR="00356115" w:rsidRPr="004D29B9" w:rsidRDefault="00356115" w:rsidP="00874302">
      <w:pPr>
        <w:pStyle w:val="ListNumber3"/>
      </w:pPr>
      <w:r w:rsidRPr="005A4335">
        <w:t>Further</w:t>
      </w:r>
      <w:r w:rsidR="00416E8D">
        <w:t>,</w:t>
      </w:r>
      <w:r w:rsidRPr="005A4335">
        <w:t xml:space="preserve"> </w:t>
      </w:r>
      <w:r w:rsidR="00DC563A">
        <w:t xml:space="preserve">it is not clear whether </w:t>
      </w:r>
      <w:r w:rsidRPr="005A4335">
        <w:t>the depressurisation results inclu</w:t>
      </w:r>
      <w:r w:rsidR="00DC563A">
        <w:t>de</w:t>
      </w:r>
      <w:r w:rsidR="00997173">
        <w:t xml:space="preserve"> </w:t>
      </w:r>
      <w:r w:rsidRPr="005A4335">
        <w:t xml:space="preserve">CSG production. However, the IESC assumes that the very small </w:t>
      </w:r>
      <w:r w:rsidR="003F4A2E">
        <w:t xml:space="preserve">predicted </w:t>
      </w:r>
      <w:r w:rsidRPr="005A4335">
        <w:t>water production rates (6</w:t>
      </w:r>
      <w:r>
        <w:t> </w:t>
      </w:r>
      <w:r w:rsidRPr="005A4335">
        <w:t>L/s as the peak inflow</w:t>
      </w:r>
      <w:r>
        <w:t>)</w:t>
      </w:r>
      <w:r w:rsidR="003F4A2E">
        <w:t xml:space="preserve"> are the result of depressurisation from existing </w:t>
      </w:r>
      <w:r w:rsidRPr="005A4335">
        <w:t>CSG production.</w:t>
      </w:r>
      <w:r w:rsidR="008B6751">
        <w:t xml:space="preserve"> Clarification </w:t>
      </w:r>
      <w:r w:rsidR="008B6751" w:rsidRPr="004D29B9">
        <w:t>of this is required</w:t>
      </w:r>
      <w:r w:rsidRPr="004D29B9">
        <w:t>.</w:t>
      </w:r>
    </w:p>
    <w:p w14:paraId="2188F9F6" w14:textId="729AA9A8" w:rsidR="007D1FA8" w:rsidRPr="004D29B9" w:rsidRDefault="002320A0" w:rsidP="00803294">
      <w:pPr>
        <w:pStyle w:val="ListNumber"/>
      </w:pPr>
      <w:r w:rsidRPr="004D29B9">
        <w:t xml:space="preserve">Cumulative impacts </w:t>
      </w:r>
      <w:r w:rsidR="006C0D73" w:rsidRPr="004D29B9">
        <w:t xml:space="preserve">of this project </w:t>
      </w:r>
      <w:r w:rsidRPr="004D29B9">
        <w:t xml:space="preserve">to surface water </w:t>
      </w:r>
      <w:r w:rsidR="000472D0" w:rsidRPr="004D29B9">
        <w:t>processes</w:t>
      </w:r>
      <w:r w:rsidR="006C0D73" w:rsidRPr="004D29B9">
        <w:t xml:space="preserve"> (e.g. sediment regimes, overbank flooding, </w:t>
      </w:r>
      <w:proofErr w:type="gramStart"/>
      <w:r w:rsidR="006C0D73" w:rsidRPr="004D29B9">
        <w:t>low</w:t>
      </w:r>
      <w:proofErr w:type="gramEnd"/>
      <w:r w:rsidR="006C0D73" w:rsidRPr="004D29B9">
        <w:t>- and zero-flow periods), water</w:t>
      </w:r>
      <w:r w:rsidR="000472D0" w:rsidRPr="004D29B9">
        <w:t xml:space="preserve"> quality</w:t>
      </w:r>
      <w:r w:rsidR="006C0D73" w:rsidRPr="004D29B9">
        <w:t xml:space="preserve"> and water-dependent ecological communities</w:t>
      </w:r>
      <w:r w:rsidR="000472D0" w:rsidRPr="004D29B9">
        <w:t xml:space="preserve"> </w:t>
      </w:r>
      <w:r w:rsidRPr="004D29B9">
        <w:t xml:space="preserve">do not appear to </w:t>
      </w:r>
      <w:r w:rsidR="002B67FB" w:rsidRPr="004D29B9">
        <w:t>have been considered at this stage of the assessment</w:t>
      </w:r>
      <w:r w:rsidR="006C0D73" w:rsidRPr="004D29B9">
        <w:t xml:space="preserve">. In particular, the additive effects of the proposed project to those associated with CSG development and nearby coal mines (e.g. </w:t>
      </w:r>
      <w:r w:rsidR="00DC563A" w:rsidRPr="004D29B9">
        <w:t xml:space="preserve">Red Hill, </w:t>
      </w:r>
      <w:r w:rsidR="0093024D" w:rsidRPr="004D29B9">
        <w:t>Goonyella Riverside</w:t>
      </w:r>
      <w:r w:rsidR="00910F1B" w:rsidRPr="004D29B9">
        <w:t xml:space="preserve">, </w:t>
      </w:r>
      <w:proofErr w:type="gramStart"/>
      <w:r w:rsidR="0093024D" w:rsidRPr="004D29B9">
        <w:t>Broadmeadow</w:t>
      </w:r>
      <w:proofErr w:type="gramEnd"/>
      <w:r w:rsidR="0093024D" w:rsidRPr="004D29B9">
        <w:t xml:space="preserve"> Mine complex</w:t>
      </w:r>
      <w:r w:rsidR="00910F1B" w:rsidRPr="004D29B9">
        <w:t>, Moranbah North, Grosvenor</w:t>
      </w:r>
      <w:r w:rsidR="00635B9A" w:rsidRPr="004D29B9">
        <w:t xml:space="preserve">, </w:t>
      </w:r>
      <w:r w:rsidR="00910F1B" w:rsidRPr="004D29B9">
        <w:t>Isaac Plains</w:t>
      </w:r>
      <w:r w:rsidR="00635B9A" w:rsidRPr="004D29B9">
        <w:t xml:space="preserve"> and Moranbah South</w:t>
      </w:r>
      <w:r w:rsidR="006C0D73" w:rsidRPr="004D29B9">
        <w:t>) on the Isaac River should be assessed.</w:t>
      </w:r>
      <w:r w:rsidRPr="004D29B9">
        <w:t xml:space="preserve"> The IESC considers that surface (and groundwater) management plans should </w:t>
      </w:r>
      <w:r w:rsidR="00416E8D" w:rsidRPr="004D29B9">
        <w:t>include</w:t>
      </w:r>
      <w:r w:rsidRPr="004D29B9">
        <w:t xml:space="preserve"> specific triggers to mitigate potential cumulative impacts.</w:t>
      </w:r>
      <w:r w:rsidR="006C0D73" w:rsidRPr="004D29B9">
        <w:t xml:space="preserve"> </w:t>
      </w:r>
    </w:p>
    <w:p w14:paraId="1EEA26D0" w14:textId="77777777" w:rsidR="00803294" w:rsidRPr="004D29B9" w:rsidRDefault="006C0D73" w:rsidP="00803294">
      <w:pPr>
        <w:pStyle w:val="ListNumber"/>
      </w:pPr>
      <w:r w:rsidRPr="004D29B9">
        <w:t>Predictions of post-project recovery trajectories of groundwater, surface flow regimes and ecological communities should be based on assessment of likely cumulative effects</w:t>
      </w:r>
      <w:bookmarkStart w:id="2" w:name="m_5578426428445518969__Hlk23834827"/>
      <w:r w:rsidR="00803294" w:rsidRPr="004D29B9">
        <w:rPr>
          <w:rFonts w:eastAsia="Calibri"/>
        </w:rPr>
        <w:t xml:space="preserve"> under climate change </w:t>
      </w:r>
      <w:r w:rsidR="007D1FA8" w:rsidRPr="004D29B9">
        <w:rPr>
          <w:rFonts w:eastAsia="Calibri"/>
        </w:rPr>
        <w:t>projections</w:t>
      </w:r>
      <w:bookmarkEnd w:id="2"/>
      <w:r w:rsidR="00803294" w:rsidRPr="004D29B9">
        <w:rPr>
          <w:rFonts w:eastAsia="Calibri"/>
        </w:rPr>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6181F209" w14:textId="77777777" w:rsidTr="00B1520C">
        <w:trPr>
          <w:trHeight w:val="19"/>
        </w:trPr>
        <w:tc>
          <w:tcPr>
            <w:tcW w:w="1809" w:type="dxa"/>
            <w:tcBorders>
              <w:top w:val="single" w:sz="4" w:space="0" w:color="auto"/>
              <w:bottom w:val="single" w:sz="4" w:space="0" w:color="auto"/>
            </w:tcBorders>
          </w:tcPr>
          <w:p w14:paraId="17DFC83D"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F119B5B" w14:textId="2E8191F4" w:rsidR="007203C3" w:rsidRPr="00BF21A7" w:rsidRDefault="001B22B2" w:rsidP="001B22B2">
            <w:pPr>
              <w:pStyle w:val="Tabletext"/>
            </w:pPr>
            <w:r w:rsidRPr="001B22B2">
              <w:t>15</w:t>
            </w:r>
            <w:r w:rsidR="007203C3" w:rsidRPr="001B22B2">
              <w:t xml:space="preserve"> </w:t>
            </w:r>
            <w:r w:rsidR="001631D4" w:rsidRPr="001B22B2">
              <w:t>November</w:t>
            </w:r>
            <w:r w:rsidR="007203C3" w:rsidRPr="001B22B2">
              <w:t xml:space="preserve"> </w:t>
            </w:r>
            <w:r w:rsidR="007203C3" w:rsidRPr="001631D4">
              <w:t>201</w:t>
            </w:r>
            <w:r w:rsidR="001631D4" w:rsidRPr="001631D4">
              <w:t>9</w:t>
            </w:r>
            <w:r w:rsidR="003E2135" w:rsidRPr="001631D4">
              <w:t xml:space="preserve"> </w:t>
            </w:r>
          </w:p>
        </w:tc>
      </w:tr>
      <w:tr w:rsidR="007203C3" w:rsidRPr="00BF21A7" w14:paraId="21E1864B" w14:textId="77777777" w:rsidTr="00B1520C">
        <w:trPr>
          <w:trHeight w:val="161"/>
        </w:trPr>
        <w:tc>
          <w:tcPr>
            <w:tcW w:w="1809" w:type="dxa"/>
            <w:tcBorders>
              <w:top w:val="single" w:sz="4" w:space="0" w:color="auto"/>
              <w:bottom w:val="single" w:sz="4" w:space="0" w:color="auto"/>
            </w:tcBorders>
          </w:tcPr>
          <w:p w14:paraId="512F2666" w14:textId="77777777"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18E0FCCF" w14:textId="77777777" w:rsidR="007838F6" w:rsidRPr="007838F6" w:rsidRDefault="007838F6" w:rsidP="007838F6">
            <w:pPr>
              <w:spacing w:after="120"/>
              <w:ind w:left="720" w:hanging="720"/>
            </w:pPr>
            <w:r w:rsidRPr="007838F6">
              <w:t xml:space="preserve">Anglo Coal (Moranbah North Management) Pty Ltd </w:t>
            </w:r>
            <w:r w:rsidR="00C65109">
              <w:t xml:space="preserve">(Anglo Coal) </w:t>
            </w:r>
            <w:r w:rsidRPr="007838F6">
              <w:t>2018. Moranbah North Extension Project referral documentation.</w:t>
            </w:r>
            <w:r>
              <w:t xml:space="preserve"> Available: </w:t>
            </w:r>
            <w:hyperlink r:id="rId13" w:history="1">
              <w:r w:rsidRPr="00224D63">
                <w:rPr>
                  <w:rStyle w:val="Hyperlink"/>
                </w:rPr>
                <w:t>http://epbcnotices.environment.gov.au/publicnoticesreferrals/</w:t>
              </w:r>
            </w:hyperlink>
            <w:r>
              <w:t xml:space="preserve">. </w:t>
            </w:r>
          </w:p>
          <w:p w14:paraId="0A4F5E4E" w14:textId="77777777" w:rsidR="007203C3" w:rsidRPr="00BF21A7" w:rsidRDefault="007203C3" w:rsidP="00D622B9">
            <w:pPr>
              <w:pStyle w:val="Tabletext"/>
              <w:rPr>
                <w:szCs w:val="22"/>
              </w:rPr>
            </w:pPr>
          </w:p>
        </w:tc>
      </w:tr>
      <w:tr w:rsidR="007203C3" w:rsidRPr="00BF21A7" w14:paraId="36DC0698" w14:textId="77777777" w:rsidTr="00B1520C">
        <w:trPr>
          <w:trHeight w:val="19"/>
        </w:trPr>
        <w:tc>
          <w:tcPr>
            <w:tcW w:w="1809" w:type="dxa"/>
            <w:tcBorders>
              <w:top w:val="single" w:sz="4" w:space="0" w:color="auto"/>
              <w:bottom w:val="single" w:sz="4" w:space="0" w:color="auto"/>
            </w:tcBorders>
          </w:tcPr>
          <w:p w14:paraId="63E9A850"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15EAE054" w14:textId="77777777" w:rsidR="0066218C" w:rsidRPr="0066218C" w:rsidRDefault="002A539B" w:rsidP="0066218C">
            <w:pPr>
              <w:pStyle w:val="Default"/>
              <w:spacing w:after="120" w:line="276" w:lineRule="auto"/>
              <w:ind w:left="720" w:hanging="720"/>
              <w:rPr>
                <w:rFonts w:ascii="Arial" w:eastAsia="Times New Roman" w:hAnsi="Arial" w:cs="Arial"/>
                <w:color w:val="auto"/>
                <w:sz w:val="20"/>
                <w:szCs w:val="20"/>
                <w:lang w:eastAsia="en-US"/>
              </w:rPr>
            </w:pPr>
            <w:r w:rsidRPr="0066218C">
              <w:rPr>
                <w:rFonts w:ascii="Arial" w:eastAsia="Times New Roman" w:hAnsi="Arial" w:cs="Arial"/>
                <w:color w:val="auto"/>
                <w:sz w:val="20"/>
                <w:szCs w:val="20"/>
                <w:lang w:eastAsia="en-US"/>
              </w:rPr>
              <w:t>ANZG 2018. </w:t>
            </w:r>
            <w:r w:rsidRPr="0066218C">
              <w:rPr>
                <w:rFonts w:ascii="Arial" w:eastAsia="Times New Roman" w:hAnsi="Arial" w:cs="Arial"/>
                <w:i/>
                <w:color w:val="auto"/>
                <w:sz w:val="20"/>
                <w:szCs w:val="20"/>
                <w:lang w:eastAsia="en-US"/>
              </w:rPr>
              <w:t>Australian and New Zealand Guidelines for Fresh and Marine Water Quality</w:t>
            </w:r>
            <w:r w:rsidRPr="0066218C">
              <w:rPr>
                <w:rFonts w:ascii="Arial" w:eastAsia="Times New Roman" w:hAnsi="Arial" w:cs="Arial"/>
                <w:color w:val="auto"/>
                <w:sz w:val="20"/>
                <w:szCs w:val="20"/>
                <w:lang w:eastAsia="en-US"/>
              </w:rPr>
              <w:t>. Australian and New Zealand Governments and Australian state and territory governments, Canberra ACT, Australia.  Available</w:t>
            </w:r>
            <w:r w:rsidR="0066218C">
              <w:rPr>
                <w:rFonts w:ascii="Arial" w:eastAsia="Times New Roman" w:hAnsi="Arial" w:cs="Arial"/>
                <w:color w:val="auto"/>
                <w:sz w:val="20"/>
                <w:szCs w:val="20"/>
                <w:lang w:eastAsia="en-US"/>
              </w:rPr>
              <w:t xml:space="preserve"> </w:t>
            </w:r>
            <w:r w:rsidRPr="0066218C">
              <w:rPr>
                <w:rFonts w:ascii="Arial" w:eastAsia="Times New Roman" w:hAnsi="Arial" w:cs="Arial"/>
                <w:color w:val="auto"/>
                <w:sz w:val="20"/>
                <w:szCs w:val="20"/>
                <w:lang w:eastAsia="en-US"/>
              </w:rPr>
              <w:t>at </w:t>
            </w:r>
            <w:hyperlink r:id="rId14" w:history="1">
              <w:r w:rsidRPr="0066218C">
                <w:rPr>
                  <w:rFonts w:ascii="Arial" w:eastAsia="Times New Roman" w:hAnsi="Arial" w:cs="Arial"/>
                  <w:color w:val="auto"/>
                  <w:sz w:val="20"/>
                  <w:szCs w:val="20"/>
                  <w:lang w:eastAsia="en-US"/>
                </w:rPr>
                <w:t>www.waterquality.gov.au/anz-guidelines</w:t>
              </w:r>
            </w:hyperlink>
          </w:p>
          <w:p w14:paraId="6EACB321" w14:textId="77777777" w:rsidR="007838F6" w:rsidRDefault="007838F6" w:rsidP="007838F6">
            <w:pPr>
              <w:pStyle w:val="Default"/>
              <w:spacing w:after="120" w:line="276" w:lineRule="auto"/>
              <w:ind w:left="720" w:hanging="720"/>
              <w:rPr>
                <w:rFonts w:ascii="Arial" w:eastAsia="Times New Roman" w:hAnsi="Arial" w:cs="Arial"/>
                <w:color w:val="auto"/>
                <w:sz w:val="20"/>
                <w:szCs w:val="20"/>
                <w:lang w:eastAsia="en-US"/>
              </w:rPr>
            </w:pPr>
            <w:r w:rsidRPr="007838F6">
              <w:rPr>
                <w:rFonts w:ascii="Arial" w:eastAsia="Times New Roman" w:hAnsi="Arial" w:cs="Arial"/>
                <w:color w:val="auto"/>
                <w:sz w:val="20"/>
                <w:szCs w:val="20"/>
                <w:lang w:eastAsia="en-US"/>
              </w:rPr>
              <w:t>Barnett B</w:t>
            </w:r>
            <w:r w:rsidR="00925FCC">
              <w:rPr>
                <w:rFonts w:ascii="Arial" w:eastAsia="Times New Roman" w:hAnsi="Arial" w:cs="Arial"/>
                <w:color w:val="auto"/>
                <w:sz w:val="20"/>
                <w:szCs w:val="20"/>
                <w:lang w:eastAsia="en-US"/>
              </w:rPr>
              <w:t xml:space="preserve">, </w:t>
            </w:r>
            <w:proofErr w:type="spellStart"/>
            <w:r w:rsidR="00833DD8">
              <w:rPr>
                <w:rFonts w:ascii="Arial" w:eastAsia="Times New Roman" w:hAnsi="Arial" w:cs="Arial"/>
                <w:color w:val="auto"/>
                <w:sz w:val="20"/>
                <w:szCs w:val="20"/>
                <w:lang w:eastAsia="en-US"/>
              </w:rPr>
              <w:t>Townley</w:t>
            </w:r>
            <w:proofErr w:type="spellEnd"/>
            <w:r w:rsidR="00925FCC">
              <w:rPr>
                <w:rFonts w:ascii="Arial" w:eastAsia="Times New Roman" w:hAnsi="Arial" w:cs="Arial"/>
                <w:color w:val="auto"/>
                <w:sz w:val="20"/>
                <w:szCs w:val="20"/>
                <w:lang w:eastAsia="en-US"/>
              </w:rPr>
              <w:t xml:space="preserve"> LR, Post V, Evans RE, Hunt RJ, </w:t>
            </w:r>
            <w:proofErr w:type="spellStart"/>
            <w:r w:rsidR="00925FCC">
              <w:rPr>
                <w:rFonts w:ascii="Arial" w:eastAsia="Times New Roman" w:hAnsi="Arial" w:cs="Arial"/>
                <w:color w:val="auto"/>
                <w:sz w:val="20"/>
                <w:szCs w:val="20"/>
                <w:lang w:eastAsia="en-US"/>
              </w:rPr>
              <w:t>Peeters</w:t>
            </w:r>
            <w:proofErr w:type="spellEnd"/>
            <w:r w:rsidR="00925FCC">
              <w:rPr>
                <w:rFonts w:ascii="Arial" w:eastAsia="Times New Roman" w:hAnsi="Arial" w:cs="Arial"/>
                <w:color w:val="auto"/>
                <w:sz w:val="20"/>
                <w:szCs w:val="20"/>
                <w:lang w:eastAsia="en-US"/>
              </w:rPr>
              <w:t xml:space="preserve"> L, Richardson S, Werner AD, </w:t>
            </w:r>
            <w:proofErr w:type="spellStart"/>
            <w:r w:rsidR="00925FCC">
              <w:rPr>
                <w:rFonts w:ascii="Arial" w:eastAsia="Times New Roman" w:hAnsi="Arial" w:cs="Arial"/>
                <w:color w:val="auto"/>
                <w:sz w:val="20"/>
                <w:szCs w:val="20"/>
                <w:lang w:eastAsia="en-US"/>
              </w:rPr>
              <w:t>Knapton</w:t>
            </w:r>
            <w:proofErr w:type="spellEnd"/>
            <w:r w:rsidR="00925FCC">
              <w:rPr>
                <w:rFonts w:ascii="Arial" w:eastAsia="Times New Roman" w:hAnsi="Arial" w:cs="Arial"/>
                <w:color w:val="auto"/>
                <w:sz w:val="20"/>
                <w:szCs w:val="20"/>
                <w:lang w:eastAsia="en-US"/>
              </w:rPr>
              <w:t xml:space="preserve"> A and </w:t>
            </w:r>
            <w:proofErr w:type="spellStart"/>
            <w:r w:rsidR="00925FCC">
              <w:rPr>
                <w:rFonts w:ascii="Arial" w:eastAsia="Times New Roman" w:hAnsi="Arial" w:cs="Arial"/>
                <w:color w:val="auto"/>
                <w:sz w:val="20"/>
                <w:szCs w:val="20"/>
                <w:lang w:eastAsia="en-US"/>
              </w:rPr>
              <w:t>Boronkay</w:t>
            </w:r>
            <w:proofErr w:type="spellEnd"/>
            <w:r w:rsidR="00925FCC">
              <w:rPr>
                <w:rFonts w:ascii="Arial" w:eastAsia="Times New Roman" w:hAnsi="Arial" w:cs="Arial"/>
                <w:color w:val="auto"/>
                <w:sz w:val="20"/>
                <w:szCs w:val="20"/>
                <w:lang w:eastAsia="en-US"/>
              </w:rPr>
              <w:t xml:space="preserve"> A</w:t>
            </w:r>
            <w:r w:rsidRPr="007838F6">
              <w:rPr>
                <w:rFonts w:ascii="Arial" w:eastAsia="Times New Roman" w:hAnsi="Arial" w:cs="Arial"/>
                <w:color w:val="auto"/>
                <w:sz w:val="20"/>
                <w:szCs w:val="20"/>
                <w:lang w:eastAsia="en-US"/>
              </w:rPr>
              <w:t xml:space="preserve"> 2012. </w:t>
            </w:r>
            <w:r w:rsidRPr="008765AD">
              <w:rPr>
                <w:rFonts w:ascii="Arial" w:eastAsia="Times New Roman" w:hAnsi="Arial" w:cs="Arial"/>
                <w:i/>
                <w:color w:val="auto"/>
                <w:sz w:val="20"/>
                <w:szCs w:val="20"/>
                <w:lang w:eastAsia="en-US"/>
              </w:rPr>
              <w:t>Australian groundwater modelling guidelines.</w:t>
            </w:r>
            <w:r w:rsidRPr="007838F6">
              <w:rPr>
                <w:rFonts w:ascii="Arial" w:eastAsia="Times New Roman" w:hAnsi="Arial" w:cs="Arial"/>
                <w:color w:val="auto"/>
                <w:sz w:val="20"/>
                <w:szCs w:val="20"/>
                <w:lang w:eastAsia="en-US"/>
              </w:rPr>
              <w:t xml:space="preserve"> Waterlines report no. 82. Canberra, National Water Commission.</w:t>
            </w:r>
          </w:p>
          <w:p w14:paraId="7260F72A" w14:textId="77777777" w:rsidR="003D63BE" w:rsidDel="00973B2A" w:rsidRDefault="003D63BE" w:rsidP="00973B2A">
            <w:pPr>
              <w:pStyle w:val="Default"/>
              <w:spacing w:after="120" w:line="276" w:lineRule="auto"/>
              <w:ind w:left="720" w:hanging="720"/>
              <w:rPr>
                <w:rFonts w:ascii="Arial" w:eastAsia="Times New Roman" w:hAnsi="Arial" w:cs="Arial"/>
                <w:color w:val="auto"/>
                <w:sz w:val="20"/>
                <w:szCs w:val="20"/>
                <w:lang w:eastAsia="en-US"/>
              </w:rPr>
            </w:pPr>
            <w:r w:rsidRPr="00416E8D">
              <w:rPr>
                <w:rFonts w:ascii="Arial" w:eastAsia="Times New Roman" w:hAnsi="Arial" w:cs="Arial"/>
                <w:color w:val="auto"/>
                <w:sz w:val="20"/>
                <w:szCs w:val="20"/>
                <w:lang w:eastAsia="en-US"/>
              </w:rPr>
              <w:lastRenderedPageBreak/>
              <w:t xml:space="preserve">C&amp;R Consulting 2013. </w:t>
            </w:r>
            <w:r w:rsidRPr="008765AD">
              <w:rPr>
                <w:rFonts w:ascii="Arial" w:eastAsia="Times New Roman" w:hAnsi="Arial" w:cs="Arial"/>
                <w:i/>
                <w:color w:val="auto"/>
                <w:sz w:val="20"/>
                <w:szCs w:val="20"/>
                <w:lang w:eastAsia="en-US"/>
              </w:rPr>
              <w:t>Moranbah South Project: stygofauna report.</w:t>
            </w:r>
            <w:r w:rsidRPr="00416E8D">
              <w:rPr>
                <w:rFonts w:ascii="Arial" w:eastAsia="Times New Roman" w:hAnsi="Arial" w:cs="Arial"/>
                <w:color w:val="auto"/>
                <w:sz w:val="20"/>
                <w:szCs w:val="20"/>
                <w:lang w:eastAsia="en-US"/>
              </w:rPr>
              <w:t xml:space="preserve"> Prepared for Hansen Bailey Pty Ltd on behalf of Anglo American Metallurgical Coal Pty Ltd. Report dated 22 March 2013.</w:t>
            </w:r>
          </w:p>
          <w:p w14:paraId="0CF701F8" w14:textId="77777777" w:rsidR="00134CE7" w:rsidRDefault="00134CE7" w:rsidP="00973B2A">
            <w:pPr>
              <w:pStyle w:val="Default"/>
              <w:spacing w:after="120" w:line="276" w:lineRule="auto"/>
              <w:ind w:left="720" w:hanging="720"/>
              <w:rPr>
                <w:rFonts w:ascii="Arial" w:eastAsia="Times New Roman" w:hAnsi="Arial" w:cs="Arial"/>
                <w:color w:val="auto"/>
                <w:sz w:val="20"/>
                <w:szCs w:val="20"/>
                <w:lang w:eastAsia="en-US"/>
              </w:rPr>
            </w:pPr>
            <w:r w:rsidRPr="00416E8D">
              <w:rPr>
                <w:rFonts w:ascii="Arial" w:eastAsia="Times New Roman" w:hAnsi="Arial" w:cs="Arial"/>
                <w:color w:val="auto"/>
                <w:sz w:val="20"/>
                <w:szCs w:val="20"/>
                <w:lang w:eastAsia="en-US"/>
              </w:rPr>
              <w:t xml:space="preserve">Chessman BC, Jones HA, Searle NK, </w:t>
            </w:r>
            <w:proofErr w:type="spellStart"/>
            <w:r w:rsidRPr="00416E8D">
              <w:rPr>
                <w:rFonts w:ascii="Arial" w:eastAsia="Times New Roman" w:hAnsi="Arial" w:cs="Arial"/>
                <w:color w:val="auto"/>
                <w:sz w:val="20"/>
                <w:szCs w:val="20"/>
                <w:lang w:eastAsia="en-US"/>
              </w:rPr>
              <w:t>Growns</w:t>
            </w:r>
            <w:proofErr w:type="spellEnd"/>
            <w:r w:rsidRPr="00416E8D">
              <w:rPr>
                <w:rFonts w:ascii="Arial" w:eastAsia="Times New Roman" w:hAnsi="Arial" w:cs="Arial"/>
                <w:color w:val="auto"/>
                <w:sz w:val="20"/>
                <w:szCs w:val="20"/>
                <w:lang w:eastAsia="en-US"/>
              </w:rPr>
              <w:t xml:space="preserve"> IO and Pearson MR 2010. Assessing effects of flow alteration on macroinvertebrate assemblages in Australian dryland rivers</w:t>
            </w:r>
            <w:r w:rsidR="008765AD">
              <w:rPr>
                <w:rFonts w:ascii="Arial" w:eastAsia="Times New Roman" w:hAnsi="Arial" w:cs="Arial"/>
                <w:color w:val="auto"/>
                <w:sz w:val="20"/>
                <w:szCs w:val="20"/>
                <w:lang w:eastAsia="en-US"/>
              </w:rPr>
              <w:t>.</w:t>
            </w:r>
            <w:r w:rsidRPr="00416E8D">
              <w:rPr>
                <w:rFonts w:ascii="Arial" w:eastAsia="Times New Roman" w:hAnsi="Arial" w:cs="Arial"/>
                <w:color w:val="auto"/>
                <w:sz w:val="20"/>
                <w:szCs w:val="20"/>
                <w:lang w:eastAsia="en-US"/>
              </w:rPr>
              <w:t xml:space="preserve"> </w:t>
            </w:r>
            <w:r w:rsidRPr="008765AD">
              <w:rPr>
                <w:rFonts w:ascii="Arial" w:eastAsia="Times New Roman" w:hAnsi="Arial" w:cs="Arial"/>
                <w:i/>
                <w:color w:val="auto"/>
                <w:sz w:val="20"/>
                <w:szCs w:val="20"/>
                <w:lang w:eastAsia="en-US"/>
              </w:rPr>
              <w:t>Freshwater Biology</w:t>
            </w:r>
            <w:r w:rsidRPr="00416E8D">
              <w:rPr>
                <w:rFonts w:ascii="Arial" w:eastAsia="Times New Roman" w:hAnsi="Arial" w:cs="Arial"/>
                <w:color w:val="auto"/>
                <w:sz w:val="20"/>
                <w:szCs w:val="20"/>
                <w:lang w:eastAsia="en-US"/>
              </w:rPr>
              <w:t xml:space="preserve">, 55, pp. 1780–1800. </w:t>
            </w:r>
          </w:p>
          <w:p w14:paraId="7B13365F" w14:textId="77777777" w:rsidR="006C0D73" w:rsidRPr="00E72CD0" w:rsidRDefault="006C0D73" w:rsidP="00973B2A">
            <w:pPr>
              <w:pStyle w:val="Default"/>
              <w:keepNext/>
              <w:spacing w:before="200" w:after="120" w:line="276" w:lineRule="auto"/>
              <w:ind w:left="720" w:hanging="720"/>
              <w:outlineLvl w:val="2"/>
              <w:rPr>
                <w:rFonts w:ascii="Arial" w:eastAsia="Times New Roman" w:hAnsi="Arial" w:cs="Arial"/>
                <w:color w:val="auto"/>
                <w:sz w:val="20"/>
                <w:szCs w:val="20"/>
                <w:lang w:eastAsia="en-US"/>
              </w:rPr>
            </w:pPr>
            <w:proofErr w:type="spellStart"/>
            <w:r w:rsidRPr="00EF1C9E">
              <w:rPr>
                <w:rFonts w:ascii="Arial" w:eastAsia="Times New Roman" w:hAnsi="Arial" w:cs="Arial"/>
                <w:color w:val="auto"/>
                <w:sz w:val="20"/>
                <w:szCs w:val="20"/>
                <w:lang w:eastAsia="en-US"/>
              </w:rPr>
              <w:t>Datry</w:t>
            </w:r>
            <w:proofErr w:type="spellEnd"/>
            <w:r w:rsidRPr="00EF1C9E">
              <w:rPr>
                <w:rFonts w:ascii="Arial" w:eastAsia="Times New Roman" w:hAnsi="Arial" w:cs="Arial"/>
                <w:color w:val="auto"/>
                <w:sz w:val="20"/>
                <w:szCs w:val="20"/>
                <w:lang w:eastAsia="en-US"/>
              </w:rPr>
              <w:t xml:space="preserve"> T, </w:t>
            </w:r>
            <w:proofErr w:type="spellStart"/>
            <w:r w:rsidRPr="00EF1C9E">
              <w:rPr>
                <w:rFonts w:ascii="Arial" w:eastAsia="Times New Roman" w:hAnsi="Arial" w:cs="Arial"/>
                <w:color w:val="auto"/>
                <w:sz w:val="20"/>
                <w:szCs w:val="20"/>
                <w:lang w:eastAsia="en-US"/>
              </w:rPr>
              <w:t>Boulton</w:t>
            </w:r>
            <w:proofErr w:type="spellEnd"/>
            <w:r w:rsidRPr="00EF1C9E">
              <w:rPr>
                <w:rFonts w:ascii="Arial" w:eastAsia="Times New Roman" w:hAnsi="Arial" w:cs="Arial"/>
                <w:color w:val="auto"/>
                <w:sz w:val="20"/>
                <w:szCs w:val="20"/>
                <w:lang w:eastAsia="en-US"/>
              </w:rPr>
              <w:t xml:space="preserve"> AJ, </w:t>
            </w:r>
            <w:proofErr w:type="spellStart"/>
            <w:r w:rsidRPr="00EF1C9E">
              <w:rPr>
                <w:rFonts w:ascii="Arial" w:eastAsia="Times New Roman" w:hAnsi="Arial" w:cs="Arial"/>
                <w:color w:val="auto"/>
                <w:sz w:val="20"/>
                <w:szCs w:val="20"/>
                <w:lang w:eastAsia="en-US"/>
              </w:rPr>
              <w:t>Bonada</w:t>
            </w:r>
            <w:proofErr w:type="spellEnd"/>
            <w:r w:rsidRPr="00EF1C9E">
              <w:rPr>
                <w:rFonts w:ascii="Arial" w:eastAsia="Times New Roman" w:hAnsi="Arial" w:cs="Arial"/>
                <w:color w:val="auto"/>
                <w:sz w:val="20"/>
                <w:szCs w:val="20"/>
                <w:lang w:eastAsia="en-US"/>
              </w:rPr>
              <w:t xml:space="preserve"> N, Fritz K, Leigh C, </w:t>
            </w:r>
            <w:proofErr w:type="spellStart"/>
            <w:r w:rsidRPr="00EF1C9E">
              <w:rPr>
                <w:rFonts w:ascii="Arial" w:eastAsia="Times New Roman" w:hAnsi="Arial" w:cs="Arial"/>
                <w:color w:val="auto"/>
                <w:sz w:val="20"/>
                <w:szCs w:val="20"/>
                <w:lang w:eastAsia="en-US"/>
              </w:rPr>
              <w:t>Sauquet</w:t>
            </w:r>
            <w:proofErr w:type="spellEnd"/>
            <w:r w:rsidRPr="00EF1C9E">
              <w:rPr>
                <w:rFonts w:ascii="Arial" w:eastAsia="Times New Roman" w:hAnsi="Arial" w:cs="Arial"/>
                <w:color w:val="auto"/>
                <w:sz w:val="20"/>
                <w:szCs w:val="20"/>
                <w:lang w:eastAsia="en-US"/>
              </w:rPr>
              <w:t xml:space="preserve"> E, </w:t>
            </w:r>
            <w:proofErr w:type="spellStart"/>
            <w:r w:rsidRPr="00EF1C9E">
              <w:rPr>
                <w:rFonts w:ascii="Arial" w:eastAsia="Times New Roman" w:hAnsi="Arial" w:cs="Arial"/>
                <w:color w:val="auto"/>
                <w:sz w:val="20"/>
                <w:szCs w:val="20"/>
                <w:lang w:eastAsia="en-US"/>
              </w:rPr>
              <w:t>Tockner</w:t>
            </w:r>
            <w:proofErr w:type="spellEnd"/>
            <w:r w:rsidRPr="00EF1C9E">
              <w:rPr>
                <w:rFonts w:ascii="Arial" w:eastAsia="Times New Roman" w:hAnsi="Arial" w:cs="Arial"/>
                <w:color w:val="auto"/>
                <w:sz w:val="20"/>
                <w:szCs w:val="20"/>
                <w:lang w:eastAsia="en-US"/>
              </w:rPr>
              <w:t xml:space="preserve"> K, </w:t>
            </w:r>
            <w:proofErr w:type="spellStart"/>
            <w:r w:rsidRPr="00EF1C9E">
              <w:rPr>
                <w:rFonts w:ascii="Arial" w:eastAsia="Times New Roman" w:hAnsi="Arial" w:cs="Arial"/>
                <w:color w:val="auto"/>
                <w:sz w:val="20"/>
                <w:szCs w:val="20"/>
                <w:lang w:eastAsia="en-US"/>
              </w:rPr>
              <w:t>Hugueny</w:t>
            </w:r>
            <w:proofErr w:type="spellEnd"/>
            <w:r w:rsidRPr="00EF1C9E">
              <w:rPr>
                <w:rFonts w:ascii="Arial" w:eastAsia="Times New Roman" w:hAnsi="Arial" w:cs="Arial"/>
                <w:color w:val="auto"/>
                <w:sz w:val="20"/>
                <w:szCs w:val="20"/>
                <w:lang w:eastAsia="en-US"/>
              </w:rPr>
              <w:t xml:space="preserve"> B and </w:t>
            </w:r>
            <w:proofErr w:type="spellStart"/>
            <w:r w:rsidRPr="00EF1C9E">
              <w:rPr>
                <w:rFonts w:ascii="Arial" w:eastAsia="Times New Roman" w:hAnsi="Arial" w:cs="Arial"/>
                <w:color w:val="auto"/>
                <w:sz w:val="20"/>
                <w:szCs w:val="20"/>
                <w:lang w:eastAsia="en-US"/>
              </w:rPr>
              <w:t>Dahm</w:t>
            </w:r>
            <w:proofErr w:type="spellEnd"/>
            <w:r w:rsidRPr="00EF1C9E">
              <w:rPr>
                <w:rFonts w:ascii="Arial" w:eastAsia="Times New Roman" w:hAnsi="Arial" w:cs="Arial"/>
                <w:color w:val="auto"/>
                <w:sz w:val="20"/>
                <w:szCs w:val="20"/>
                <w:lang w:eastAsia="en-US"/>
              </w:rPr>
              <w:t xml:space="preserve"> CN 2018. Flow intermittence and ecosystem services in rivers of the Anthropocene. </w:t>
            </w:r>
            <w:r w:rsidRPr="00EF1C9E">
              <w:rPr>
                <w:rFonts w:ascii="Arial" w:eastAsia="Times New Roman" w:hAnsi="Arial" w:cs="Arial"/>
                <w:i/>
                <w:color w:val="auto"/>
                <w:sz w:val="20"/>
                <w:szCs w:val="20"/>
                <w:lang w:eastAsia="en-US"/>
              </w:rPr>
              <w:t>Journal of Applied Ecology</w:t>
            </w:r>
            <w:r w:rsidRPr="00EF1C9E">
              <w:rPr>
                <w:rFonts w:ascii="Arial" w:eastAsia="Times New Roman" w:hAnsi="Arial" w:cs="Arial"/>
                <w:color w:val="auto"/>
                <w:sz w:val="20"/>
                <w:szCs w:val="20"/>
                <w:lang w:eastAsia="en-US"/>
              </w:rPr>
              <w:t>, 55, pp. 353-364.</w:t>
            </w:r>
          </w:p>
          <w:p w14:paraId="2B19CBF4" w14:textId="77777777" w:rsidR="00C86074" w:rsidRDefault="00C86074" w:rsidP="007838F6">
            <w:pPr>
              <w:pStyle w:val="Default"/>
              <w:spacing w:after="120" w:line="276" w:lineRule="auto"/>
              <w:ind w:left="720" w:hanging="720"/>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Department of Environment and Energy 2017. </w:t>
            </w:r>
            <w:r w:rsidRPr="008765AD">
              <w:rPr>
                <w:rFonts w:ascii="Arial" w:eastAsia="Times New Roman" w:hAnsi="Arial" w:cs="Arial"/>
                <w:i/>
                <w:color w:val="auto"/>
                <w:sz w:val="20"/>
                <w:szCs w:val="20"/>
                <w:lang w:eastAsia="en-US"/>
              </w:rPr>
              <w:t xml:space="preserve">Environmental risks </w:t>
            </w:r>
            <w:r w:rsidR="00472561" w:rsidRPr="008765AD">
              <w:rPr>
                <w:rFonts w:ascii="Arial" w:eastAsia="Times New Roman" w:hAnsi="Arial" w:cs="Arial"/>
                <w:i/>
                <w:color w:val="auto"/>
                <w:sz w:val="20"/>
                <w:szCs w:val="20"/>
                <w:lang w:eastAsia="en-US"/>
              </w:rPr>
              <w:t>associated</w:t>
            </w:r>
            <w:r w:rsidRPr="008765AD">
              <w:rPr>
                <w:rFonts w:ascii="Arial" w:eastAsia="Times New Roman" w:hAnsi="Arial" w:cs="Arial"/>
                <w:i/>
                <w:color w:val="auto"/>
                <w:sz w:val="20"/>
                <w:szCs w:val="20"/>
                <w:lang w:eastAsia="en-US"/>
              </w:rPr>
              <w:t xml:space="preserve"> with surface handling of chemicals used in coal seam gas extraction in Australia</w:t>
            </w:r>
            <w:r w:rsidR="008765AD" w:rsidRPr="008765AD">
              <w:rPr>
                <w:rFonts w:ascii="Arial" w:eastAsia="Times New Roman" w:hAnsi="Arial" w:cs="Arial"/>
                <w:i/>
                <w:color w:val="auto"/>
                <w:sz w:val="20"/>
                <w:szCs w:val="20"/>
                <w:lang w:eastAsia="en-US"/>
              </w:rPr>
              <w:t>.</w:t>
            </w:r>
            <w:r>
              <w:rPr>
                <w:rFonts w:ascii="Arial" w:eastAsia="Times New Roman" w:hAnsi="Arial" w:cs="Arial"/>
                <w:color w:val="auto"/>
                <w:sz w:val="20"/>
                <w:szCs w:val="20"/>
                <w:lang w:eastAsia="en-US"/>
              </w:rPr>
              <w:t xml:space="preserve"> Project prepared by the Chemicals and Biotechnology Assessments Section (CBAS), </w:t>
            </w:r>
            <w:r w:rsidR="0023118C">
              <w:rPr>
                <w:rFonts w:ascii="Arial" w:eastAsia="Times New Roman" w:hAnsi="Arial" w:cs="Arial"/>
                <w:color w:val="auto"/>
                <w:sz w:val="20"/>
                <w:szCs w:val="20"/>
                <w:lang w:eastAsia="en-US"/>
              </w:rPr>
              <w:t>in the Chemicals and Waste Branch of the Department of the Environment and Energy as part of the National Assessment of Chemicals Associated with Coal Seam Gas Extraction in Australia, Commonwealth of Australia, Canberra.</w:t>
            </w:r>
          </w:p>
          <w:p w14:paraId="17B229C8" w14:textId="77777777" w:rsidR="008A3559" w:rsidRDefault="008A3559" w:rsidP="008A3559">
            <w:pPr>
              <w:pStyle w:val="Tabletext"/>
              <w:spacing w:line="240" w:lineRule="auto"/>
              <w:ind w:left="754" w:hanging="720"/>
              <w:rPr>
                <w:rStyle w:val="Hyperlink"/>
                <w:lang w:eastAsia="en-AU"/>
              </w:rPr>
            </w:pPr>
            <w:r w:rsidRPr="00F77D04">
              <w:t>Department</w:t>
            </w:r>
            <w:r w:rsidRPr="00F77D04">
              <w:rPr>
                <w:lang w:eastAsia="en-AU"/>
              </w:rPr>
              <w:t xml:space="preserve"> of Science, Information Technology and Innovation (DSITI) 2015</w:t>
            </w:r>
            <w:r>
              <w:rPr>
                <w:lang w:eastAsia="en-AU"/>
              </w:rPr>
              <w:t>.</w:t>
            </w:r>
            <w:r w:rsidRPr="00F77D04">
              <w:rPr>
                <w:lang w:eastAsia="en-AU"/>
              </w:rPr>
              <w:t xml:space="preserve"> </w:t>
            </w:r>
            <w:r w:rsidRPr="00E24487">
              <w:rPr>
                <w:i/>
                <w:lang w:eastAsia="en-AU"/>
              </w:rPr>
              <w:t>Guideline for the Environmental Assessment of Subterranean Aquatic Fauna: Sampling Methods and Survey Considerations</w:t>
            </w:r>
            <w:r w:rsidRPr="00F77D04">
              <w:rPr>
                <w:lang w:eastAsia="en-AU"/>
              </w:rPr>
              <w:t xml:space="preserve">. Queensland Government. </w:t>
            </w:r>
            <w:r w:rsidR="008765AD">
              <w:rPr>
                <w:lang w:eastAsia="en-AU"/>
              </w:rPr>
              <w:t xml:space="preserve">Available </w:t>
            </w:r>
            <w:r>
              <w:rPr>
                <w:lang w:eastAsia="en-AU"/>
              </w:rPr>
              <w:t>[</w:t>
            </w:r>
            <w:r w:rsidR="008765AD">
              <w:rPr>
                <w:lang w:eastAsia="en-AU"/>
              </w:rPr>
              <w:t>o</w:t>
            </w:r>
            <w:r>
              <w:rPr>
                <w:lang w:eastAsia="en-AU"/>
              </w:rPr>
              <w:t xml:space="preserve">nline]. </w:t>
            </w:r>
            <w:hyperlink r:id="rId15" w:history="1">
              <w:r w:rsidRPr="00F42983">
                <w:rPr>
                  <w:rStyle w:val="Hyperlink"/>
                  <w:lang w:eastAsia="en-AU"/>
                </w:rPr>
                <w:t>https://publications.qld.gov.au/dataset/f7e68ccd-8c13-422f-bd46-1b391500423f/resource/ba880910-5117-433a-b90d-2c131874a8e6/download/guideline-subterranean-aquatic-fauna.pdf</w:t>
              </w:r>
            </w:hyperlink>
            <w:r w:rsidR="008765AD">
              <w:rPr>
                <w:rStyle w:val="Hyperlink"/>
                <w:lang w:eastAsia="en-AU"/>
              </w:rPr>
              <w:t xml:space="preserve"> </w:t>
            </w:r>
            <w:r w:rsidR="008765AD">
              <w:rPr>
                <w:rStyle w:val="Hyperlink"/>
                <w:color w:val="auto"/>
                <w:u w:val="none"/>
                <w:lang w:eastAsia="en-AU"/>
              </w:rPr>
              <w:t>accessed October 2019.</w:t>
            </w:r>
          </w:p>
          <w:p w14:paraId="28F9A4D7" w14:textId="77777777" w:rsidR="001B76E2" w:rsidRDefault="001B76E2" w:rsidP="008A3559">
            <w:pPr>
              <w:pStyle w:val="Tabletext"/>
              <w:spacing w:line="240" w:lineRule="auto"/>
              <w:ind w:left="754" w:hanging="720"/>
              <w:rPr>
                <w:lang w:eastAsia="en-AU"/>
              </w:rPr>
            </w:pPr>
          </w:p>
          <w:p w14:paraId="0C359504" w14:textId="77777777" w:rsidR="00F657D7" w:rsidRPr="008A3744" w:rsidRDefault="005B0855" w:rsidP="008A3744">
            <w:pPr>
              <w:pStyle w:val="Default"/>
              <w:spacing w:after="120" w:line="276" w:lineRule="auto"/>
              <w:ind w:left="720" w:hanging="720"/>
              <w:rPr>
                <w:rFonts w:ascii="Arial" w:eastAsia="Times New Roman" w:hAnsi="Arial" w:cs="Arial"/>
                <w:color w:val="auto"/>
                <w:sz w:val="20"/>
                <w:szCs w:val="20"/>
                <w:lang w:eastAsia="en-US"/>
              </w:rPr>
            </w:pPr>
            <w:r w:rsidRPr="008A3744">
              <w:rPr>
                <w:rFonts w:ascii="Arial" w:eastAsia="Times New Roman" w:hAnsi="Arial" w:cs="Arial"/>
                <w:color w:val="auto"/>
                <w:sz w:val="20"/>
                <w:szCs w:val="20"/>
                <w:lang w:eastAsia="en-US"/>
              </w:rPr>
              <w:t>IESC,</w:t>
            </w:r>
            <w:r w:rsidR="0048018F" w:rsidRPr="008A3744">
              <w:rPr>
                <w:rFonts w:ascii="Arial" w:eastAsia="Times New Roman" w:hAnsi="Arial" w:cs="Arial"/>
                <w:color w:val="auto"/>
                <w:sz w:val="20"/>
                <w:szCs w:val="20"/>
                <w:lang w:eastAsia="en-US"/>
              </w:rPr>
              <w:t xml:space="preserve"> 201</w:t>
            </w:r>
            <w:r w:rsidR="001E2E34" w:rsidRPr="008A3744">
              <w:rPr>
                <w:rFonts w:ascii="Arial" w:eastAsia="Times New Roman" w:hAnsi="Arial" w:cs="Arial"/>
                <w:color w:val="auto"/>
                <w:sz w:val="20"/>
                <w:szCs w:val="20"/>
                <w:lang w:eastAsia="en-US"/>
              </w:rPr>
              <w:t>8</w:t>
            </w:r>
            <w:r w:rsidR="0048018F" w:rsidRPr="008A3744">
              <w:rPr>
                <w:rFonts w:ascii="Arial" w:eastAsia="Times New Roman" w:hAnsi="Arial" w:cs="Arial"/>
                <w:color w:val="auto"/>
                <w:sz w:val="20"/>
                <w:szCs w:val="20"/>
                <w:lang w:eastAsia="en-US"/>
              </w:rPr>
              <w:t xml:space="preserve">. </w:t>
            </w:r>
            <w:r w:rsidR="0048018F" w:rsidRPr="008765AD">
              <w:rPr>
                <w:rFonts w:ascii="Arial" w:eastAsia="Times New Roman" w:hAnsi="Arial" w:cs="Arial"/>
                <w:i/>
                <w:color w:val="auto"/>
                <w:sz w:val="20"/>
                <w:szCs w:val="20"/>
                <w:lang w:eastAsia="en-US"/>
              </w:rPr>
              <w:t xml:space="preserve">Information Guidelines for </w:t>
            </w:r>
            <w:r w:rsidR="001E2E34" w:rsidRPr="008765AD">
              <w:rPr>
                <w:rFonts w:ascii="Arial" w:eastAsia="Times New Roman" w:hAnsi="Arial" w:cs="Arial"/>
                <w:i/>
                <w:color w:val="auto"/>
                <w:sz w:val="20"/>
                <w:szCs w:val="20"/>
                <w:lang w:eastAsia="en-US"/>
              </w:rPr>
              <w:t xml:space="preserve">proponents preparing </w:t>
            </w:r>
            <w:r w:rsidR="0048018F" w:rsidRPr="008765AD">
              <w:rPr>
                <w:rFonts w:ascii="Arial" w:eastAsia="Times New Roman" w:hAnsi="Arial" w:cs="Arial"/>
                <w:i/>
                <w:color w:val="auto"/>
                <w:sz w:val="20"/>
                <w:szCs w:val="20"/>
                <w:lang w:eastAsia="en-US"/>
              </w:rPr>
              <w:t>coal seam gas and large coal mining development proposals</w:t>
            </w:r>
            <w:r w:rsidR="008765AD">
              <w:rPr>
                <w:rFonts w:ascii="Arial" w:eastAsia="Times New Roman" w:hAnsi="Arial" w:cs="Arial"/>
                <w:color w:val="auto"/>
                <w:sz w:val="20"/>
                <w:szCs w:val="20"/>
                <w:lang w:eastAsia="en-US"/>
              </w:rPr>
              <w:t>.</w:t>
            </w:r>
            <w:r w:rsidR="0048018F" w:rsidRPr="008A3744">
              <w:rPr>
                <w:rFonts w:ascii="Arial" w:eastAsia="Times New Roman" w:hAnsi="Arial" w:cs="Arial"/>
                <w:color w:val="auto"/>
                <w:sz w:val="20"/>
                <w:szCs w:val="20"/>
                <w:lang w:eastAsia="en-US"/>
              </w:rPr>
              <w:t xml:space="preserve"> Available</w:t>
            </w:r>
            <w:r w:rsidR="008765AD">
              <w:rPr>
                <w:rFonts w:ascii="Arial" w:eastAsia="Times New Roman" w:hAnsi="Arial" w:cs="Arial"/>
                <w:color w:val="auto"/>
                <w:sz w:val="20"/>
                <w:szCs w:val="20"/>
                <w:lang w:eastAsia="en-US"/>
              </w:rPr>
              <w:t xml:space="preserve"> </w:t>
            </w:r>
            <w:r w:rsidR="0048018F" w:rsidRPr="008A3744">
              <w:rPr>
                <w:rFonts w:ascii="Arial" w:eastAsia="Times New Roman" w:hAnsi="Arial" w:cs="Arial"/>
                <w:color w:val="auto"/>
                <w:sz w:val="20"/>
                <w:szCs w:val="20"/>
                <w:lang w:eastAsia="en-US"/>
              </w:rPr>
              <w:t>[</w:t>
            </w:r>
            <w:r w:rsidR="008765AD">
              <w:rPr>
                <w:rFonts w:ascii="Arial" w:eastAsia="Times New Roman" w:hAnsi="Arial" w:cs="Arial"/>
                <w:color w:val="auto"/>
                <w:sz w:val="20"/>
                <w:szCs w:val="20"/>
                <w:lang w:eastAsia="en-US"/>
              </w:rPr>
              <w:t>o</w:t>
            </w:r>
            <w:r w:rsidR="0048018F" w:rsidRPr="008A3744">
              <w:rPr>
                <w:rFonts w:ascii="Arial" w:eastAsia="Times New Roman" w:hAnsi="Arial" w:cs="Arial"/>
                <w:color w:val="auto"/>
                <w:sz w:val="20"/>
                <w:szCs w:val="20"/>
                <w:lang w:eastAsia="en-US"/>
              </w:rPr>
              <w:t xml:space="preserve">nline]. </w:t>
            </w:r>
            <w:hyperlink r:id="rId16" w:history="1">
              <w:r w:rsidR="001E2E34" w:rsidRPr="008A3744">
                <w:rPr>
                  <w:rStyle w:val="Hyperlink"/>
                  <w:rFonts w:ascii="Arial" w:eastAsia="Times New Roman" w:hAnsi="Arial" w:cs="Arial"/>
                  <w:sz w:val="20"/>
                  <w:szCs w:val="20"/>
                  <w:lang w:eastAsia="en-US"/>
                </w:rPr>
                <w:t>http://www.iesc.environment.gov.au/system/files/resources/012fa918-ee79-4131-9c8d-02c9b2de65cf/files/iesc-information-guidelines-may-2018.pdf</w:t>
              </w:r>
            </w:hyperlink>
            <w:r w:rsidR="0048018F" w:rsidRPr="008A3744">
              <w:rPr>
                <w:rFonts w:ascii="Arial" w:eastAsia="Times New Roman" w:hAnsi="Arial" w:cs="Arial"/>
                <w:color w:val="auto"/>
                <w:sz w:val="20"/>
                <w:szCs w:val="20"/>
                <w:lang w:eastAsia="en-US"/>
              </w:rPr>
              <w:t>.</w:t>
            </w:r>
            <w:r w:rsidR="001E2E34" w:rsidRPr="008A3744">
              <w:rPr>
                <w:rFonts w:ascii="Arial" w:eastAsia="Times New Roman" w:hAnsi="Arial" w:cs="Arial"/>
                <w:color w:val="auto"/>
                <w:sz w:val="20"/>
                <w:szCs w:val="20"/>
                <w:lang w:eastAsia="en-US"/>
              </w:rPr>
              <w:t xml:space="preserve"> </w:t>
            </w:r>
            <w:proofErr w:type="gramStart"/>
            <w:r w:rsidR="008765AD">
              <w:rPr>
                <w:rFonts w:ascii="Arial" w:eastAsia="Times New Roman" w:hAnsi="Arial" w:cs="Arial"/>
                <w:color w:val="auto"/>
                <w:sz w:val="20"/>
                <w:szCs w:val="20"/>
                <w:lang w:eastAsia="en-US"/>
              </w:rPr>
              <w:t>accessed</w:t>
            </w:r>
            <w:proofErr w:type="gramEnd"/>
            <w:r w:rsidR="008765AD">
              <w:rPr>
                <w:rFonts w:ascii="Arial" w:eastAsia="Times New Roman" w:hAnsi="Arial" w:cs="Arial"/>
                <w:color w:val="auto"/>
                <w:sz w:val="20"/>
                <w:szCs w:val="20"/>
                <w:lang w:eastAsia="en-US"/>
              </w:rPr>
              <w:t xml:space="preserve"> October 2019.</w:t>
            </w:r>
            <w:r w:rsidR="001E2E34" w:rsidRPr="008A3744">
              <w:rPr>
                <w:rFonts w:ascii="Arial" w:eastAsia="Times New Roman" w:hAnsi="Arial" w:cs="Arial"/>
                <w:color w:val="auto"/>
                <w:sz w:val="20"/>
                <w:szCs w:val="20"/>
                <w:lang w:eastAsia="en-US"/>
              </w:rPr>
              <w:t xml:space="preserve"> </w:t>
            </w:r>
          </w:p>
          <w:p w14:paraId="7EA263CF" w14:textId="77777777" w:rsidR="00F657D7" w:rsidRPr="00BF21A7" w:rsidRDefault="00312E1B" w:rsidP="0023118C">
            <w:pPr>
              <w:pStyle w:val="Default"/>
              <w:spacing w:after="120" w:line="276" w:lineRule="auto"/>
              <w:ind w:left="720" w:hanging="720"/>
            </w:pPr>
            <w:r w:rsidRPr="00856DBF">
              <w:rPr>
                <w:rFonts w:ascii="Arial" w:eastAsia="Times New Roman" w:hAnsi="Arial" w:cs="Arial"/>
                <w:color w:val="auto"/>
                <w:sz w:val="20"/>
                <w:szCs w:val="20"/>
                <w:lang w:eastAsia="en-US"/>
              </w:rPr>
              <w:t xml:space="preserve">Santos 2014. </w:t>
            </w:r>
            <w:r w:rsidR="00C86074" w:rsidRPr="008765AD">
              <w:rPr>
                <w:rFonts w:ascii="Arial" w:eastAsia="Times New Roman" w:hAnsi="Arial" w:cs="Arial"/>
                <w:i/>
                <w:color w:val="auto"/>
                <w:sz w:val="20"/>
                <w:szCs w:val="20"/>
                <w:lang w:eastAsia="en-US"/>
              </w:rPr>
              <w:t>Upstream hydraulic fracturing risk assessment – Appendix D: material safety data sheets, Table D#, Santos Upstream Hydraulic Fracturing Risk Assessment Report</w:t>
            </w:r>
            <w:r w:rsidR="008765AD">
              <w:t>.</w:t>
            </w:r>
            <w:r w:rsidR="00C86074" w:rsidRPr="008765AD">
              <w:t xml:space="preserve"> </w:t>
            </w:r>
          </w:p>
        </w:tc>
      </w:tr>
      <w:tr w:rsidR="002A539B" w:rsidRPr="00BF21A7" w14:paraId="515FA714" w14:textId="77777777" w:rsidTr="00B1520C">
        <w:trPr>
          <w:trHeight w:val="19"/>
        </w:trPr>
        <w:tc>
          <w:tcPr>
            <w:tcW w:w="1809" w:type="dxa"/>
            <w:tcBorders>
              <w:top w:val="single" w:sz="4" w:space="0" w:color="auto"/>
              <w:bottom w:val="single" w:sz="4" w:space="0" w:color="auto"/>
            </w:tcBorders>
          </w:tcPr>
          <w:p w14:paraId="31F5BB94" w14:textId="77777777" w:rsidR="002A539B" w:rsidRPr="00BF21A7" w:rsidRDefault="002A539B" w:rsidP="00D622B9">
            <w:pPr>
              <w:pStyle w:val="Heading6"/>
            </w:pPr>
          </w:p>
        </w:tc>
        <w:tc>
          <w:tcPr>
            <w:tcW w:w="8159" w:type="dxa"/>
            <w:tcBorders>
              <w:top w:val="single" w:sz="4" w:space="0" w:color="auto"/>
              <w:bottom w:val="single" w:sz="4" w:space="0" w:color="auto"/>
            </w:tcBorders>
          </w:tcPr>
          <w:p w14:paraId="3B29E5BF" w14:textId="77777777" w:rsidR="002A539B" w:rsidRDefault="002A539B" w:rsidP="002A539B">
            <w:pPr>
              <w:rPr>
                <w:color w:val="343434"/>
                <w:sz w:val="21"/>
                <w:szCs w:val="21"/>
                <w:shd w:val="clear" w:color="auto" w:fill="FFFFFF"/>
              </w:rPr>
            </w:pPr>
          </w:p>
        </w:tc>
      </w:tr>
    </w:tbl>
    <w:p w14:paraId="5D998A2C" w14:textId="77777777" w:rsidR="007203C3" w:rsidRPr="00BF21A7" w:rsidRDefault="007203C3" w:rsidP="006C7826"/>
    <w:sectPr w:rsidR="007203C3" w:rsidRPr="00BF21A7" w:rsidSect="001B22B2">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D590E5" w16cid:durableId="216AFDC7"/>
  <w16cid:commentId w16cid:paraId="26E0D112" w16cid:durableId="216AFDC8"/>
  <w16cid:commentId w16cid:paraId="780304B1" w16cid:durableId="216AFDC9"/>
  <w16cid:commentId w16cid:paraId="1C2211F0" w16cid:durableId="216AFDCA"/>
  <w16cid:commentId w16cid:paraId="13990A5A" w16cid:durableId="216AFDCB"/>
  <w16cid:commentId w16cid:paraId="4C11A60A" w16cid:durableId="216AFDCC"/>
  <w16cid:commentId w16cid:paraId="3198EE0A" w16cid:durableId="216AFDCD"/>
  <w16cid:commentId w16cid:paraId="430682E0" w16cid:durableId="216AFDCE"/>
  <w16cid:commentId w16cid:paraId="06EBB1EA" w16cid:durableId="216AFDCF"/>
  <w16cid:commentId w16cid:paraId="092767A9" w16cid:durableId="216AFDD0"/>
  <w16cid:commentId w16cid:paraId="28943D32" w16cid:durableId="216AFDD1"/>
  <w16cid:commentId w16cid:paraId="4A482149" w16cid:durableId="216AFDD2"/>
  <w16cid:commentId w16cid:paraId="353FAD7B" w16cid:durableId="216AFDD3"/>
  <w16cid:commentId w16cid:paraId="5F5998D9" w16cid:durableId="216AFDD4"/>
  <w16cid:commentId w16cid:paraId="193652ED" w16cid:durableId="216AFDD5"/>
  <w16cid:commentId w16cid:paraId="7C82C668" w16cid:durableId="216AFDD6"/>
  <w16cid:commentId w16cid:paraId="7DA0D0EE" w16cid:durableId="216AFDD7"/>
  <w16cid:commentId w16cid:paraId="00BC7C85" w16cid:durableId="216AFDD8"/>
  <w16cid:commentId w16cid:paraId="6A2DB543" w16cid:durableId="216AFDD9"/>
  <w16cid:commentId w16cid:paraId="7A97A75B" w16cid:durableId="216AFD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019A" w14:textId="77777777" w:rsidR="004132AA" w:rsidRDefault="004132AA" w:rsidP="00D622B9">
      <w:r>
        <w:separator/>
      </w:r>
    </w:p>
  </w:endnote>
  <w:endnote w:type="continuationSeparator" w:id="0">
    <w:p w14:paraId="2DC2A838" w14:textId="77777777" w:rsidR="004132AA" w:rsidRDefault="004132AA" w:rsidP="00D622B9">
      <w:r>
        <w:continuationSeparator/>
      </w:r>
    </w:p>
  </w:endnote>
  <w:endnote w:type="continuationNotice" w:id="1">
    <w:p w14:paraId="10C419F4" w14:textId="77777777" w:rsidR="004132AA" w:rsidRDefault="00413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2BCD" w14:textId="77777777" w:rsidR="00616B1C" w:rsidRDefault="0061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3C1D" w14:textId="77777777" w:rsidR="00910F1B" w:rsidRPr="00637239" w:rsidRDefault="00910F1B" w:rsidP="003B5A88">
    <w:pPr>
      <w:pStyle w:val="Footer"/>
      <w:pBdr>
        <w:top w:val="single" w:sz="12" w:space="0" w:color="auto"/>
      </w:pBdr>
    </w:pPr>
  </w:p>
  <w:p w14:paraId="3ABE0E7C" w14:textId="4163F21F" w:rsidR="00910F1B" w:rsidRPr="000E6211" w:rsidRDefault="00910F1B" w:rsidP="003B5A88">
    <w:pPr>
      <w:pStyle w:val="Footer"/>
      <w:pBdr>
        <w:top w:val="single" w:sz="12" w:space="0" w:color="auto"/>
      </w:pBdr>
      <w:rPr>
        <w:sz w:val="20"/>
      </w:rPr>
    </w:pPr>
    <w:r w:rsidRPr="00D02698">
      <w:rPr>
        <w:sz w:val="20"/>
      </w:rPr>
      <w:t>Moranbah North Exte</w:t>
    </w:r>
    <w:r>
      <w:rPr>
        <w:sz w:val="20"/>
      </w:rPr>
      <w:t xml:space="preserve">nsion Project </w:t>
    </w:r>
    <w:r w:rsidRPr="001B22B2">
      <w:rPr>
        <w:sz w:val="20"/>
      </w:rPr>
      <w:t>Advice</w:t>
    </w:r>
    <w:r w:rsidRPr="001B22B2">
      <w:rPr>
        <w:sz w:val="20"/>
      </w:rPr>
      <w:ptab w:relativeTo="margin" w:alignment="right" w:leader="none"/>
    </w:r>
    <w:r w:rsidR="001B22B2" w:rsidRPr="001B22B2">
      <w:rPr>
        <w:sz w:val="20"/>
      </w:rPr>
      <w:t>15</w:t>
    </w:r>
    <w:r w:rsidRPr="001B22B2">
      <w:rPr>
        <w:sz w:val="20"/>
      </w:rPr>
      <w:t xml:space="preserve"> November </w:t>
    </w:r>
    <w:r w:rsidRPr="000E6211">
      <w:rPr>
        <w:sz w:val="20"/>
      </w:rPr>
      <w:t>2019</w:t>
    </w:r>
  </w:p>
  <w:p w14:paraId="283E7EBE" w14:textId="77777777" w:rsidR="00910F1B" w:rsidRPr="00637239" w:rsidRDefault="00910F1B"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616B1C">
      <w:rPr>
        <w:noProof/>
        <w:sz w:val="20"/>
      </w:rPr>
      <w:t>10</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303A" w14:textId="77777777" w:rsidR="00910F1B" w:rsidRPr="007B11FD" w:rsidRDefault="00910F1B" w:rsidP="000F240D">
    <w:pPr>
      <w:pStyle w:val="Footer"/>
      <w:pBdr>
        <w:top w:val="single" w:sz="12" w:space="0" w:color="auto"/>
      </w:pBdr>
      <w:ind w:left="-426"/>
    </w:pPr>
  </w:p>
  <w:p w14:paraId="4F140D0B" w14:textId="320FB559" w:rsidR="00910F1B" w:rsidRPr="001B22B2" w:rsidRDefault="00910F1B" w:rsidP="000F240D">
    <w:pPr>
      <w:pStyle w:val="Footer"/>
      <w:pBdr>
        <w:top w:val="single" w:sz="12" w:space="0" w:color="auto"/>
      </w:pBdr>
      <w:ind w:left="-426"/>
      <w:rPr>
        <w:sz w:val="20"/>
      </w:rPr>
    </w:pPr>
    <w:r w:rsidRPr="00D02698">
      <w:rPr>
        <w:sz w:val="20"/>
      </w:rPr>
      <w:t>Moranbah North Extension Project</w:t>
    </w:r>
    <w:r>
      <w:rPr>
        <w:sz w:val="20"/>
      </w:rPr>
      <w:t xml:space="preserve"> </w:t>
    </w:r>
    <w:r w:rsidRPr="001B22B2">
      <w:rPr>
        <w:sz w:val="20"/>
      </w:rPr>
      <w:t>Advice</w:t>
    </w:r>
    <w:r w:rsidRPr="001B22B2">
      <w:rPr>
        <w:sz w:val="20"/>
      </w:rPr>
      <w:ptab w:relativeTo="margin" w:alignment="right" w:leader="none"/>
    </w:r>
    <w:r w:rsidR="001B22B2" w:rsidRPr="001B22B2">
      <w:rPr>
        <w:sz w:val="20"/>
      </w:rPr>
      <w:t>15</w:t>
    </w:r>
    <w:r w:rsidRPr="001B22B2">
      <w:rPr>
        <w:sz w:val="20"/>
      </w:rPr>
      <w:t xml:space="preserve"> November </w:t>
    </w:r>
    <w:r w:rsidRPr="000E6211">
      <w:rPr>
        <w:sz w:val="20"/>
      </w:rPr>
      <w:t>2019</w:t>
    </w:r>
  </w:p>
  <w:p w14:paraId="4F452F05" w14:textId="77777777" w:rsidR="00910F1B" w:rsidRPr="00637239" w:rsidRDefault="00910F1B"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616B1C">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58D30" w14:textId="77777777" w:rsidR="004132AA" w:rsidRDefault="004132AA" w:rsidP="00D622B9">
      <w:r>
        <w:separator/>
      </w:r>
    </w:p>
  </w:footnote>
  <w:footnote w:type="continuationSeparator" w:id="0">
    <w:p w14:paraId="25DA0E66" w14:textId="77777777" w:rsidR="004132AA" w:rsidRDefault="004132AA" w:rsidP="00D622B9">
      <w:r>
        <w:continuationSeparator/>
      </w:r>
    </w:p>
  </w:footnote>
  <w:footnote w:type="continuationNotice" w:id="1">
    <w:p w14:paraId="43A60CEA" w14:textId="77777777" w:rsidR="004132AA" w:rsidRDefault="004132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92B8" w14:textId="77777777" w:rsidR="00910F1B" w:rsidRDefault="00910F1B"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A8B6" w14:textId="77777777" w:rsidR="00616B1C" w:rsidRDefault="00616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58F12" w14:textId="77777777" w:rsidR="00910F1B" w:rsidRDefault="00910F1B"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3279A12" wp14:editId="014E7E62">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EAD6C4"/>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1FD45C2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24C38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7BB12AA"/>
    <w:multiLevelType w:val="multilevel"/>
    <w:tmpl w:val="6972C6AA"/>
    <w:lvl w:ilvl="0">
      <w:start w:val="1"/>
      <w:numFmt w:val="lowerLetter"/>
      <w:lvlText w:val="%1."/>
      <w:lvlJc w:val="left"/>
      <w:pPr>
        <w:ind w:left="369" w:hanging="369"/>
      </w:pPr>
      <w:rPr>
        <w:rFonts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22698"/>
    <w:multiLevelType w:val="hybridMultilevel"/>
    <w:tmpl w:val="02D63140"/>
    <w:lvl w:ilvl="0" w:tplc="0C090019">
      <w:start w:val="1"/>
      <w:numFmt w:val="lowerLetter"/>
      <w:lvlText w:val="%1."/>
      <w:lvlJc w:val="left"/>
      <w:pPr>
        <w:ind w:left="1089" w:hanging="360"/>
      </w:pPr>
    </w:lvl>
    <w:lvl w:ilvl="1" w:tplc="0C090019">
      <w:start w:val="1"/>
      <w:numFmt w:val="lowerLetter"/>
      <w:lvlText w:val="%2."/>
      <w:lvlJc w:val="left"/>
      <w:pPr>
        <w:ind w:left="1809" w:hanging="360"/>
      </w:pPr>
    </w:lvl>
    <w:lvl w:ilvl="2" w:tplc="0C09001B">
      <w:start w:val="1"/>
      <w:numFmt w:val="lowerRoman"/>
      <w:lvlText w:val="%3."/>
      <w:lvlJc w:val="right"/>
      <w:pPr>
        <w:ind w:left="1740"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C7F1B3F"/>
    <w:multiLevelType w:val="singleLevel"/>
    <w:tmpl w:val="6004F720"/>
    <w:lvl w:ilvl="0">
      <w:start w:val="1"/>
      <w:numFmt w:val="bullet"/>
      <w:lvlText w:val=""/>
      <w:lvlJc w:val="left"/>
      <w:pPr>
        <w:ind w:left="2641" w:hanging="369"/>
      </w:pPr>
      <w:rPr>
        <w:rFonts w:ascii="Symbol" w:hAnsi="Symbol" w:hint="default"/>
        <w:color w:val="auto"/>
      </w:r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E025719"/>
    <w:multiLevelType w:val="hybridMultilevel"/>
    <w:tmpl w:val="333A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9"/>
  </w:num>
  <w:num w:numId="5">
    <w:abstractNumId w:val="8"/>
  </w:num>
  <w:num w:numId="6">
    <w:abstractNumId w:val="5"/>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9"/>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9"/>
  </w:num>
  <w:num w:numId="17">
    <w:abstractNumId w:val="9"/>
  </w:num>
  <w:num w:numId="18">
    <w:abstractNumId w:val="9"/>
  </w:num>
  <w:num w:numId="19">
    <w:abstractNumId w:val="9"/>
    <w:lvlOverride w:ilvl="0">
      <w:lvl w:ilvl="0">
        <w:start w:val="4"/>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28" w:hanging="369"/>
        </w:pPr>
        <w:rPr>
          <w:rFonts w:hint="default"/>
        </w:rPr>
      </w:lvl>
    </w:lvlOverride>
    <w:lvlOverride w:ilvl="2">
      <w:lvl w:ilvl="2">
        <w:start w:val="1"/>
        <w:numFmt w:val="lowerRoman"/>
        <w:pStyle w:val="ListNumber3"/>
        <w:lvlText w:val="%3."/>
        <w:lvlJc w:val="left"/>
        <w:pPr>
          <w:ind w:left="397" w:hanging="369"/>
        </w:pPr>
        <w:rPr>
          <w:rFonts w:hint="default"/>
        </w:rPr>
      </w:lvl>
    </w:lvlOverride>
    <w:lvlOverride w:ilvl="3">
      <w:lvl w:ilvl="3">
        <w:start w:val="1"/>
        <w:numFmt w:val="none"/>
        <w:pStyle w:val="ListNumber4"/>
        <w:lvlText w:val="%4"/>
        <w:lvlJc w:val="left"/>
        <w:pPr>
          <w:ind w:left="766" w:hanging="369"/>
        </w:pPr>
        <w:rPr>
          <w:rFonts w:hint="default"/>
        </w:rPr>
      </w:lvl>
    </w:lvlOverride>
    <w:lvlOverride w:ilvl="4">
      <w:lvl w:ilvl="4">
        <w:start w:val="1"/>
        <w:numFmt w:val="none"/>
        <w:pStyle w:val="ListNumber5"/>
        <w:lvlText w:val=""/>
        <w:lvlJc w:val="left"/>
        <w:pPr>
          <w:ind w:left="1135" w:hanging="369"/>
        </w:pPr>
        <w:rPr>
          <w:rFonts w:hint="default"/>
        </w:rPr>
      </w:lvl>
    </w:lvlOverride>
    <w:lvlOverride w:ilvl="5">
      <w:lvl w:ilvl="5">
        <w:start w:val="1"/>
        <w:numFmt w:val="none"/>
        <w:lvlText w:val=""/>
        <w:lvlJc w:val="left"/>
        <w:pPr>
          <w:ind w:left="1504" w:hanging="369"/>
        </w:pPr>
        <w:rPr>
          <w:rFonts w:hint="default"/>
        </w:rPr>
      </w:lvl>
    </w:lvlOverride>
    <w:lvlOverride w:ilvl="6">
      <w:lvl w:ilvl="6">
        <w:start w:val="1"/>
        <w:numFmt w:val="none"/>
        <w:lvlText w:val=""/>
        <w:lvlJc w:val="left"/>
        <w:pPr>
          <w:ind w:left="1873" w:hanging="369"/>
        </w:pPr>
        <w:rPr>
          <w:rFonts w:hint="default"/>
        </w:rPr>
      </w:lvl>
    </w:lvlOverride>
    <w:lvlOverride w:ilvl="7">
      <w:lvl w:ilvl="7">
        <w:start w:val="1"/>
        <w:numFmt w:val="none"/>
        <w:lvlText w:val=""/>
        <w:lvlJc w:val="left"/>
        <w:pPr>
          <w:ind w:left="2242" w:hanging="369"/>
        </w:pPr>
        <w:rPr>
          <w:rFonts w:hint="default"/>
        </w:rPr>
      </w:lvl>
    </w:lvlOverride>
    <w:lvlOverride w:ilvl="8">
      <w:lvl w:ilvl="8">
        <w:start w:val="1"/>
        <w:numFmt w:val="none"/>
        <w:lvlText w:val=""/>
        <w:lvlJc w:val="left"/>
        <w:pPr>
          <w:ind w:left="2611" w:hanging="369"/>
        </w:pPr>
        <w:rPr>
          <w:rFonts w:hint="default"/>
        </w:rPr>
      </w:lvl>
    </w:lvlOverride>
  </w:num>
  <w:num w:numId="20">
    <w:abstractNumId w:val="4"/>
  </w:num>
  <w:num w:numId="21">
    <w:abstractNumId w:val="1"/>
  </w:num>
  <w:num w:numId="22">
    <w:abstractNumId w:val="2"/>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C27"/>
    <w:rsid w:val="00001C72"/>
    <w:rsid w:val="00002A74"/>
    <w:rsid w:val="00002D63"/>
    <w:rsid w:val="00004AEE"/>
    <w:rsid w:val="00005CAA"/>
    <w:rsid w:val="00010210"/>
    <w:rsid w:val="000110D8"/>
    <w:rsid w:val="00012D66"/>
    <w:rsid w:val="00015ADA"/>
    <w:rsid w:val="0002069F"/>
    <w:rsid w:val="00020C99"/>
    <w:rsid w:val="000210F2"/>
    <w:rsid w:val="00022481"/>
    <w:rsid w:val="00022B6B"/>
    <w:rsid w:val="00024E8C"/>
    <w:rsid w:val="0002707B"/>
    <w:rsid w:val="00031B32"/>
    <w:rsid w:val="00036126"/>
    <w:rsid w:val="00043C3B"/>
    <w:rsid w:val="000472D0"/>
    <w:rsid w:val="0005148E"/>
    <w:rsid w:val="000530ED"/>
    <w:rsid w:val="000547F0"/>
    <w:rsid w:val="00054B08"/>
    <w:rsid w:val="00056A20"/>
    <w:rsid w:val="00056A27"/>
    <w:rsid w:val="000573C8"/>
    <w:rsid w:val="000611AB"/>
    <w:rsid w:val="0006151D"/>
    <w:rsid w:val="00062A46"/>
    <w:rsid w:val="0006398F"/>
    <w:rsid w:val="000715E3"/>
    <w:rsid w:val="000759E5"/>
    <w:rsid w:val="0007601C"/>
    <w:rsid w:val="00083392"/>
    <w:rsid w:val="00084AC6"/>
    <w:rsid w:val="00085310"/>
    <w:rsid w:val="00085816"/>
    <w:rsid w:val="00085E83"/>
    <w:rsid w:val="0008636F"/>
    <w:rsid w:val="00091608"/>
    <w:rsid w:val="0009196E"/>
    <w:rsid w:val="00091990"/>
    <w:rsid w:val="00092F92"/>
    <w:rsid w:val="0009333C"/>
    <w:rsid w:val="00093475"/>
    <w:rsid w:val="00093E5E"/>
    <w:rsid w:val="00093F0E"/>
    <w:rsid w:val="00094729"/>
    <w:rsid w:val="00095BE2"/>
    <w:rsid w:val="0009704F"/>
    <w:rsid w:val="000A0F11"/>
    <w:rsid w:val="000A125A"/>
    <w:rsid w:val="000A228F"/>
    <w:rsid w:val="000A538E"/>
    <w:rsid w:val="000A56A7"/>
    <w:rsid w:val="000A57CD"/>
    <w:rsid w:val="000B2746"/>
    <w:rsid w:val="000B2FF3"/>
    <w:rsid w:val="000B3758"/>
    <w:rsid w:val="000B7681"/>
    <w:rsid w:val="000B7B42"/>
    <w:rsid w:val="000C02B7"/>
    <w:rsid w:val="000C2814"/>
    <w:rsid w:val="000C451B"/>
    <w:rsid w:val="000C4E78"/>
    <w:rsid w:val="000C5342"/>
    <w:rsid w:val="000C706A"/>
    <w:rsid w:val="000D2887"/>
    <w:rsid w:val="000D2A33"/>
    <w:rsid w:val="000D3D3F"/>
    <w:rsid w:val="000D4F6F"/>
    <w:rsid w:val="000D6D63"/>
    <w:rsid w:val="000D706B"/>
    <w:rsid w:val="000D7810"/>
    <w:rsid w:val="000E0081"/>
    <w:rsid w:val="000E07CF"/>
    <w:rsid w:val="000E1C4B"/>
    <w:rsid w:val="000E6211"/>
    <w:rsid w:val="000E6D85"/>
    <w:rsid w:val="000E76B0"/>
    <w:rsid w:val="000F1D10"/>
    <w:rsid w:val="000F240D"/>
    <w:rsid w:val="000F4102"/>
    <w:rsid w:val="000F78FD"/>
    <w:rsid w:val="000F7FEC"/>
    <w:rsid w:val="00100BEF"/>
    <w:rsid w:val="00101400"/>
    <w:rsid w:val="00102E17"/>
    <w:rsid w:val="00103E71"/>
    <w:rsid w:val="0010664C"/>
    <w:rsid w:val="0010692C"/>
    <w:rsid w:val="001073B7"/>
    <w:rsid w:val="001073E5"/>
    <w:rsid w:val="0011498E"/>
    <w:rsid w:val="00116F28"/>
    <w:rsid w:val="00117A45"/>
    <w:rsid w:val="00117E54"/>
    <w:rsid w:val="001224AE"/>
    <w:rsid w:val="00123035"/>
    <w:rsid w:val="0012388C"/>
    <w:rsid w:val="00130B54"/>
    <w:rsid w:val="001337D4"/>
    <w:rsid w:val="001340EA"/>
    <w:rsid w:val="00134CE7"/>
    <w:rsid w:val="00135E8B"/>
    <w:rsid w:val="00137BCF"/>
    <w:rsid w:val="00141E02"/>
    <w:rsid w:val="001455A1"/>
    <w:rsid w:val="00147C12"/>
    <w:rsid w:val="00147EFC"/>
    <w:rsid w:val="001527A1"/>
    <w:rsid w:val="001530DC"/>
    <w:rsid w:val="001539AF"/>
    <w:rsid w:val="00154989"/>
    <w:rsid w:val="00155A9F"/>
    <w:rsid w:val="001567AF"/>
    <w:rsid w:val="0015684F"/>
    <w:rsid w:val="00160262"/>
    <w:rsid w:val="001611F9"/>
    <w:rsid w:val="0016186F"/>
    <w:rsid w:val="00161DD1"/>
    <w:rsid w:val="0016281C"/>
    <w:rsid w:val="001629B7"/>
    <w:rsid w:val="001631D4"/>
    <w:rsid w:val="0016433A"/>
    <w:rsid w:val="0016509F"/>
    <w:rsid w:val="0016780A"/>
    <w:rsid w:val="00171395"/>
    <w:rsid w:val="001713FA"/>
    <w:rsid w:val="00173EBF"/>
    <w:rsid w:val="00173FF6"/>
    <w:rsid w:val="001765DA"/>
    <w:rsid w:val="001813B4"/>
    <w:rsid w:val="001842A2"/>
    <w:rsid w:val="00184DA3"/>
    <w:rsid w:val="00185039"/>
    <w:rsid w:val="00185407"/>
    <w:rsid w:val="0018559D"/>
    <w:rsid w:val="00185DCA"/>
    <w:rsid w:val="00186465"/>
    <w:rsid w:val="001877B8"/>
    <w:rsid w:val="00187FA8"/>
    <w:rsid w:val="001922D0"/>
    <w:rsid w:val="00192F5E"/>
    <w:rsid w:val="00193E4E"/>
    <w:rsid w:val="001942D2"/>
    <w:rsid w:val="00197772"/>
    <w:rsid w:val="001A04C9"/>
    <w:rsid w:val="001A4A18"/>
    <w:rsid w:val="001A51C8"/>
    <w:rsid w:val="001A5736"/>
    <w:rsid w:val="001B0ECF"/>
    <w:rsid w:val="001B13D0"/>
    <w:rsid w:val="001B22B2"/>
    <w:rsid w:val="001B28C2"/>
    <w:rsid w:val="001B472B"/>
    <w:rsid w:val="001B4CA8"/>
    <w:rsid w:val="001B76E2"/>
    <w:rsid w:val="001C2A92"/>
    <w:rsid w:val="001C4F3D"/>
    <w:rsid w:val="001C7666"/>
    <w:rsid w:val="001D0CDC"/>
    <w:rsid w:val="001D16D9"/>
    <w:rsid w:val="001D1CF8"/>
    <w:rsid w:val="001D1D82"/>
    <w:rsid w:val="001D2FC4"/>
    <w:rsid w:val="001E1182"/>
    <w:rsid w:val="001E2E34"/>
    <w:rsid w:val="001E7949"/>
    <w:rsid w:val="001E7CC9"/>
    <w:rsid w:val="001F0E8B"/>
    <w:rsid w:val="001F171E"/>
    <w:rsid w:val="001F67A3"/>
    <w:rsid w:val="00200944"/>
    <w:rsid w:val="00202387"/>
    <w:rsid w:val="00202C90"/>
    <w:rsid w:val="002055B7"/>
    <w:rsid w:val="00213DE8"/>
    <w:rsid w:val="00213F1D"/>
    <w:rsid w:val="00216118"/>
    <w:rsid w:val="002209AB"/>
    <w:rsid w:val="002251E3"/>
    <w:rsid w:val="002262E6"/>
    <w:rsid w:val="00227A95"/>
    <w:rsid w:val="0023118C"/>
    <w:rsid w:val="00231632"/>
    <w:rsid w:val="002316BD"/>
    <w:rsid w:val="002320A0"/>
    <w:rsid w:val="00233687"/>
    <w:rsid w:val="002336F3"/>
    <w:rsid w:val="0023496A"/>
    <w:rsid w:val="002352B2"/>
    <w:rsid w:val="00245E74"/>
    <w:rsid w:val="002473FC"/>
    <w:rsid w:val="00251C74"/>
    <w:rsid w:val="00252E3C"/>
    <w:rsid w:val="00252EEA"/>
    <w:rsid w:val="002543F5"/>
    <w:rsid w:val="00261CF4"/>
    <w:rsid w:val="00262198"/>
    <w:rsid w:val="00264083"/>
    <w:rsid w:val="00264AF9"/>
    <w:rsid w:val="00265938"/>
    <w:rsid w:val="002714CE"/>
    <w:rsid w:val="00277426"/>
    <w:rsid w:val="00277A51"/>
    <w:rsid w:val="002835DF"/>
    <w:rsid w:val="00285F1B"/>
    <w:rsid w:val="002867C0"/>
    <w:rsid w:val="00290203"/>
    <w:rsid w:val="00290EDA"/>
    <w:rsid w:val="00291857"/>
    <w:rsid w:val="00292B81"/>
    <w:rsid w:val="0029322E"/>
    <w:rsid w:val="00294A0A"/>
    <w:rsid w:val="00296477"/>
    <w:rsid w:val="002974BC"/>
    <w:rsid w:val="002A45C5"/>
    <w:rsid w:val="002A4CAD"/>
    <w:rsid w:val="002A539B"/>
    <w:rsid w:val="002A53E3"/>
    <w:rsid w:val="002A56B4"/>
    <w:rsid w:val="002A5EC3"/>
    <w:rsid w:val="002B18AE"/>
    <w:rsid w:val="002B25E1"/>
    <w:rsid w:val="002B2AFB"/>
    <w:rsid w:val="002B3666"/>
    <w:rsid w:val="002B4912"/>
    <w:rsid w:val="002B6472"/>
    <w:rsid w:val="002B67D3"/>
    <w:rsid w:val="002B67FB"/>
    <w:rsid w:val="002C1C93"/>
    <w:rsid w:val="002C3257"/>
    <w:rsid w:val="002C3738"/>
    <w:rsid w:val="002C5066"/>
    <w:rsid w:val="002C7192"/>
    <w:rsid w:val="002C7877"/>
    <w:rsid w:val="002D1F9C"/>
    <w:rsid w:val="002D4403"/>
    <w:rsid w:val="002D4AAC"/>
    <w:rsid w:val="002D5592"/>
    <w:rsid w:val="002D6C33"/>
    <w:rsid w:val="002E1AB0"/>
    <w:rsid w:val="002E2C49"/>
    <w:rsid w:val="002E43EF"/>
    <w:rsid w:val="002E48F3"/>
    <w:rsid w:val="002E7B8A"/>
    <w:rsid w:val="002F045A"/>
    <w:rsid w:val="002F2A67"/>
    <w:rsid w:val="0030039D"/>
    <w:rsid w:val="00300715"/>
    <w:rsid w:val="0030097B"/>
    <w:rsid w:val="00301C28"/>
    <w:rsid w:val="0030326F"/>
    <w:rsid w:val="00303CDC"/>
    <w:rsid w:val="00310701"/>
    <w:rsid w:val="003109DA"/>
    <w:rsid w:val="00311510"/>
    <w:rsid w:val="00312E1B"/>
    <w:rsid w:val="00313200"/>
    <w:rsid w:val="003138AC"/>
    <w:rsid w:val="00315980"/>
    <w:rsid w:val="00316F7F"/>
    <w:rsid w:val="00320162"/>
    <w:rsid w:val="0032087E"/>
    <w:rsid w:val="003218E8"/>
    <w:rsid w:val="00325578"/>
    <w:rsid w:val="00325E87"/>
    <w:rsid w:val="0032616B"/>
    <w:rsid w:val="00326740"/>
    <w:rsid w:val="00330DCE"/>
    <w:rsid w:val="00331E11"/>
    <w:rsid w:val="00334761"/>
    <w:rsid w:val="00336FC9"/>
    <w:rsid w:val="00337EBC"/>
    <w:rsid w:val="0034033E"/>
    <w:rsid w:val="00341DCD"/>
    <w:rsid w:val="00343E78"/>
    <w:rsid w:val="0034482F"/>
    <w:rsid w:val="0034504D"/>
    <w:rsid w:val="0034563E"/>
    <w:rsid w:val="0034675F"/>
    <w:rsid w:val="00347383"/>
    <w:rsid w:val="003504CC"/>
    <w:rsid w:val="003518D6"/>
    <w:rsid w:val="0035231E"/>
    <w:rsid w:val="003534F5"/>
    <w:rsid w:val="0035460C"/>
    <w:rsid w:val="003556BD"/>
    <w:rsid w:val="00356115"/>
    <w:rsid w:val="0035692D"/>
    <w:rsid w:val="003629EC"/>
    <w:rsid w:val="00363F60"/>
    <w:rsid w:val="00364E6D"/>
    <w:rsid w:val="00365147"/>
    <w:rsid w:val="00365964"/>
    <w:rsid w:val="0037016E"/>
    <w:rsid w:val="00370E55"/>
    <w:rsid w:val="00372908"/>
    <w:rsid w:val="00374E96"/>
    <w:rsid w:val="00376457"/>
    <w:rsid w:val="0037694D"/>
    <w:rsid w:val="00381917"/>
    <w:rsid w:val="00381F55"/>
    <w:rsid w:val="003826B0"/>
    <w:rsid w:val="00383020"/>
    <w:rsid w:val="00383750"/>
    <w:rsid w:val="00391869"/>
    <w:rsid w:val="00394354"/>
    <w:rsid w:val="003975FD"/>
    <w:rsid w:val="003A0593"/>
    <w:rsid w:val="003A5EAC"/>
    <w:rsid w:val="003A7338"/>
    <w:rsid w:val="003B14AF"/>
    <w:rsid w:val="003B3CAA"/>
    <w:rsid w:val="003B49C0"/>
    <w:rsid w:val="003B5A88"/>
    <w:rsid w:val="003B60CC"/>
    <w:rsid w:val="003B6AC7"/>
    <w:rsid w:val="003B6FD5"/>
    <w:rsid w:val="003B7974"/>
    <w:rsid w:val="003C1B25"/>
    <w:rsid w:val="003C2443"/>
    <w:rsid w:val="003C31E0"/>
    <w:rsid w:val="003C5DA3"/>
    <w:rsid w:val="003D4BCD"/>
    <w:rsid w:val="003D63BE"/>
    <w:rsid w:val="003D70D9"/>
    <w:rsid w:val="003D7488"/>
    <w:rsid w:val="003E01D8"/>
    <w:rsid w:val="003E12A6"/>
    <w:rsid w:val="003E2100"/>
    <w:rsid w:val="003E2135"/>
    <w:rsid w:val="003E2BDB"/>
    <w:rsid w:val="003E45FA"/>
    <w:rsid w:val="003E53CA"/>
    <w:rsid w:val="003E5ED5"/>
    <w:rsid w:val="003F0CB7"/>
    <w:rsid w:val="003F4A2E"/>
    <w:rsid w:val="003F6F5B"/>
    <w:rsid w:val="00400F8F"/>
    <w:rsid w:val="00402479"/>
    <w:rsid w:val="0040342D"/>
    <w:rsid w:val="00403FB9"/>
    <w:rsid w:val="004049B7"/>
    <w:rsid w:val="00405E01"/>
    <w:rsid w:val="00405E1C"/>
    <w:rsid w:val="0041096E"/>
    <w:rsid w:val="0041164D"/>
    <w:rsid w:val="004118D4"/>
    <w:rsid w:val="0041192D"/>
    <w:rsid w:val="0041275D"/>
    <w:rsid w:val="004132AA"/>
    <w:rsid w:val="00413EE1"/>
    <w:rsid w:val="00414AFB"/>
    <w:rsid w:val="00416816"/>
    <w:rsid w:val="0041697B"/>
    <w:rsid w:val="00416E8D"/>
    <w:rsid w:val="0042128E"/>
    <w:rsid w:val="004218B9"/>
    <w:rsid w:val="00422C37"/>
    <w:rsid w:val="00423F93"/>
    <w:rsid w:val="0042465A"/>
    <w:rsid w:val="0042684A"/>
    <w:rsid w:val="00426FFA"/>
    <w:rsid w:val="004303E0"/>
    <w:rsid w:val="00432B60"/>
    <w:rsid w:val="00432BDC"/>
    <w:rsid w:val="004333E6"/>
    <w:rsid w:val="00440698"/>
    <w:rsid w:val="00450600"/>
    <w:rsid w:val="004540E2"/>
    <w:rsid w:val="00454454"/>
    <w:rsid w:val="00460DB1"/>
    <w:rsid w:val="00467924"/>
    <w:rsid w:val="0047107A"/>
    <w:rsid w:val="004712A5"/>
    <w:rsid w:val="00472561"/>
    <w:rsid w:val="0047266F"/>
    <w:rsid w:val="004741D4"/>
    <w:rsid w:val="004749A4"/>
    <w:rsid w:val="004756EB"/>
    <w:rsid w:val="00476D6B"/>
    <w:rsid w:val="0047781D"/>
    <w:rsid w:val="00477D1B"/>
    <w:rsid w:val="00477EF6"/>
    <w:rsid w:val="0048018F"/>
    <w:rsid w:val="0048157D"/>
    <w:rsid w:val="004861E6"/>
    <w:rsid w:val="00486683"/>
    <w:rsid w:val="0049013A"/>
    <w:rsid w:val="00492C16"/>
    <w:rsid w:val="0049455C"/>
    <w:rsid w:val="004962E6"/>
    <w:rsid w:val="004A0678"/>
    <w:rsid w:val="004A18B9"/>
    <w:rsid w:val="004A48A3"/>
    <w:rsid w:val="004A50DD"/>
    <w:rsid w:val="004A611E"/>
    <w:rsid w:val="004A6A2D"/>
    <w:rsid w:val="004B0D92"/>
    <w:rsid w:val="004B0EC0"/>
    <w:rsid w:val="004B32B2"/>
    <w:rsid w:val="004B33A9"/>
    <w:rsid w:val="004B5A51"/>
    <w:rsid w:val="004B66F1"/>
    <w:rsid w:val="004C101B"/>
    <w:rsid w:val="004C2BE5"/>
    <w:rsid w:val="004C3B7B"/>
    <w:rsid w:val="004C3EA0"/>
    <w:rsid w:val="004C4629"/>
    <w:rsid w:val="004D29B9"/>
    <w:rsid w:val="004D327F"/>
    <w:rsid w:val="004D36B6"/>
    <w:rsid w:val="004D46F2"/>
    <w:rsid w:val="004D6A9F"/>
    <w:rsid w:val="004D74CD"/>
    <w:rsid w:val="004E26D2"/>
    <w:rsid w:val="004E41A2"/>
    <w:rsid w:val="004F32CC"/>
    <w:rsid w:val="004F3D69"/>
    <w:rsid w:val="004F7169"/>
    <w:rsid w:val="004F7204"/>
    <w:rsid w:val="00500D66"/>
    <w:rsid w:val="005036A6"/>
    <w:rsid w:val="005100AF"/>
    <w:rsid w:val="00510443"/>
    <w:rsid w:val="00511639"/>
    <w:rsid w:val="00511E3E"/>
    <w:rsid w:val="00513791"/>
    <w:rsid w:val="00514C8E"/>
    <w:rsid w:val="00517F35"/>
    <w:rsid w:val="00523A57"/>
    <w:rsid w:val="00523ED3"/>
    <w:rsid w:val="00530937"/>
    <w:rsid w:val="00531DBF"/>
    <w:rsid w:val="005337FC"/>
    <w:rsid w:val="00534F2D"/>
    <w:rsid w:val="00545759"/>
    <w:rsid w:val="00545B53"/>
    <w:rsid w:val="00545BE0"/>
    <w:rsid w:val="00550E35"/>
    <w:rsid w:val="00553757"/>
    <w:rsid w:val="00554C6A"/>
    <w:rsid w:val="0055689E"/>
    <w:rsid w:val="00562E85"/>
    <w:rsid w:val="0056332F"/>
    <w:rsid w:val="00575018"/>
    <w:rsid w:val="005770F6"/>
    <w:rsid w:val="00577E3D"/>
    <w:rsid w:val="00580914"/>
    <w:rsid w:val="00581C39"/>
    <w:rsid w:val="005830A8"/>
    <w:rsid w:val="005834A4"/>
    <w:rsid w:val="00584F6B"/>
    <w:rsid w:val="005903B6"/>
    <w:rsid w:val="00591575"/>
    <w:rsid w:val="00592B20"/>
    <w:rsid w:val="00592F31"/>
    <w:rsid w:val="0059506F"/>
    <w:rsid w:val="005951A3"/>
    <w:rsid w:val="005955F4"/>
    <w:rsid w:val="005A0247"/>
    <w:rsid w:val="005A126E"/>
    <w:rsid w:val="005A22EF"/>
    <w:rsid w:val="005A36BD"/>
    <w:rsid w:val="005A4335"/>
    <w:rsid w:val="005A452F"/>
    <w:rsid w:val="005A703F"/>
    <w:rsid w:val="005B0855"/>
    <w:rsid w:val="005B0FF8"/>
    <w:rsid w:val="005B140D"/>
    <w:rsid w:val="005B19A7"/>
    <w:rsid w:val="005B202D"/>
    <w:rsid w:val="005B7857"/>
    <w:rsid w:val="005C1FEA"/>
    <w:rsid w:val="005C3495"/>
    <w:rsid w:val="005C3785"/>
    <w:rsid w:val="005C4F71"/>
    <w:rsid w:val="005C50A4"/>
    <w:rsid w:val="005C54F7"/>
    <w:rsid w:val="005D10C5"/>
    <w:rsid w:val="005D45B6"/>
    <w:rsid w:val="005D6AA9"/>
    <w:rsid w:val="005E04B3"/>
    <w:rsid w:val="005E13EA"/>
    <w:rsid w:val="005E15E0"/>
    <w:rsid w:val="005E3889"/>
    <w:rsid w:val="005E3DFC"/>
    <w:rsid w:val="005E60AF"/>
    <w:rsid w:val="005E7B4E"/>
    <w:rsid w:val="005F1DEA"/>
    <w:rsid w:val="005F4932"/>
    <w:rsid w:val="005F4A60"/>
    <w:rsid w:val="005F7B58"/>
    <w:rsid w:val="005F7CA1"/>
    <w:rsid w:val="00602FCB"/>
    <w:rsid w:val="00603040"/>
    <w:rsid w:val="00607D86"/>
    <w:rsid w:val="00607FC9"/>
    <w:rsid w:val="00610955"/>
    <w:rsid w:val="006117E2"/>
    <w:rsid w:val="00611BE2"/>
    <w:rsid w:val="0061297D"/>
    <w:rsid w:val="006138B2"/>
    <w:rsid w:val="0061490C"/>
    <w:rsid w:val="00616861"/>
    <w:rsid w:val="00616B1C"/>
    <w:rsid w:val="006174C5"/>
    <w:rsid w:val="00622B29"/>
    <w:rsid w:val="00622FE1"/>
    <w:rsid w:val="006247F1"/>
    <w:rsid w:val="0062521C"/>
    <w:rsid w:val="00630A2B"/>
    <w:rsid w:val="00630BA2"/>
    <w:rsid w:val="0063283F"/>
    <w:rsid w:val="00632DC7"/>
    <w:rsid w:val="00633896"/>
    <w:rsid w:val="00634CBA"/>
    <w:rsid w:val="006357FB"/>
    <w:rsid w:val="00635B9A"/>
    <w:rsid w:val="00637239"/>
    <w:rsid w:val="006373BA"/>
    <w:rsid w:val="006406FC"/>
    <w:rsid w:val="006414EC"/>
    <w:rsid w:val="00643714"/>
    <w:rsid w:val="00643A1F"/>
    <w:rsid w:val="0064407B"/>
    <w:rsid w:val="00646122"/>
    <w:rsid w:val="006472C5"/>
    <w:rsid w:val="006511C1"/>
    <w:rsid w:val="00651E28"/>
    <w:rsid w:val="00653E16"/>
    <w:rsid w:val="00655E6B"/>
    <w:rsid w:val="00657220"/>
    <w:rsid w:val="006572B0"/>
    <w:rsid w:val="0066104B"/>
    <w:rsid w:val="00661419"/>
    <w:rsid w:val="0066218C"/>
    <w:rsid w:val="006628CE"/>
    <w:rsid w:val="00664642"/>
    <w:rsid w:val="006655EE"/>
    <w:rsid w:val="00666A80"/>
    <w:rsid w:val="006672D7"/>
    <w:rsid w:val="00667394"/>
    <w:rsid w:val="0066764E"/>
    <w:rsid w:val="00667C10"/>
    <w:rsid w:val="00667EF4"/>
    <w:rsid w:val="00672B85"/>
    <w:rsid w:val="00672F33"/>
    <w:rsid w:val="00673B97"/>
    <w:rsid w:val="006744A7"/>
    <w:rsid w:val="00674E59"/>
    <w:rsid w:val="00676FCA"/>
    <w:rsid w:val="00677177"/>
    <w:rsid w:val="006778D8"/>
    <w:rsid w:val="0068056B"/>
    <w:rsid w:val="0068612E"/>
    <w:rsid w:val="00687858"/>
    <w:rsid w:val="00687C92"/>
    <w:rsid w:val="006903B7"/>
    <w:rsid w:val="00692CF9"/>
    <w:rsid w:val="0069534E"/>
    <w:rsid w:val="00696365"/>
    <w:rsid w:val="0069669C"/>
    <w:rsid w:val="006A064B"/>
    <w:rsid w:val="006A1200"/>
    <w:rsid w:val="006A218C"/>
    <w:rsid w:val="006A2C5A"/>
    <w:rsid w:val="006A4F4E"/>
    <w:rsid w:val="006A52E1"/>
    <w:rsid w:val="006A7C40"/>
    <w:rsid w:val="006B14DB"/>
    <w:rsid w:val="006B1FBA"/>
    <w:rsid w:val="006B21C4"/>
    <w:rsid w:val="006B262C"/>
    <w:rsid w:val="006B3709"/>
    <w:rsid w:val="006C0D73"/>
    <w:rsid w:val="006C1C21"/>
    <w:rsid w:val="006C458F"/>
    <w:rsid w:val="006C4A1A"/>
    <w:rsid w:val="006C4DA7"/>
    <w:rsid w:val="006C4FBE"/>
    <w:rsid w:val="006C67F5"/>
    <w:rsid w:val="006C6DCE"/>
    <w:rsid w:val="006C7826"/>
    <w:rsid w:val="006C7DAD"/>
    <w:rsid w:val="006D0393"/>
    <w:rsid w:val="006D1A83"/>
    <w:rsid w:val="006D2E5C"/>
    <w:rsid w:val="006D5D1E"/>
    <w:rsid w:val="006D76C0"/>
    <w:rsid w:val="006E1CFE"/>
    <w:rsid w:val="006E2A33"/>
    <w:rsid w:val="006E31A2"/>
    <w:rsid w:val="006E3CE0"/>
    <w:rsid w:val="006E5803"/>
    <w:rsid w:val="006E6D10"/>
    <w:rsid w:val="006E7CD4"/>
    <w:rsid w:val="006F0273"/>
    <w:rsid w:val="006F02B9"/>
    <w:rsid w:val="006F10C4"/>
    <w:rsid w:val="006F40E9"/>
    <w:rsid w:val="006F5603"/>
    <w:rsid w:val="006F5C09"/>
    <w:rsid w:val="006F5C6E"/>
    <w:rsid w:val="006F5FE8"/>
    <w:rsid w:val="006F6BDD"/>
    <w:rsid w:val="00701400"/>
    <w:rsid w:val="007037CF"/>
    <w:rsid w:val="00703BB8"/>
    <w:rsid w:val="00704B37"/>
    <w:rsid w:val="007058F3"/>
    <w:rsid w:val="00707EC0"/>
    <w:rsid w:val="00711C82"/>
    <w:rsid w:val="007127FE"/>
    <w:rsid w:val="00712A8B"/>
    <w:rsid w:val="00712EBC"/>
    <w:rsid w:val="00714387"/>
    <w:rsid w:val="00714B40"/>
    <w:rsid w:val="00716583"/>
    <w:rsid w:val="007167C0"/>
    <w:rsid w:val="007203C3"/>
    <w:rsid w:val="00720481"/>
    <w:rsid w:val="00721642"/>
    <w:rsid w:val="00721BC7"/>
    <w:rsid w:val="0072510B"/>
    <w:rsid w:val="00725F5B"/>
    <w:rsid w:val="00727C18"/>
    <w:rsid w:val="00727E2F"/>
    <w:rsid w:val="00733193"/>
    <w:rsid w:val="007331EF"/>
    <w:rsid w:val="007366C3"/>
    <w:rsid w:val="00736769"/>
    <w:rsid w:val="00737CBA"/>
    <w:rsid w:val="00743723"/>
    <w:rsid w:val="00747020"/>
    <w:rsid w:val="0074725D"/>
    <w:rsid w:val="007522BB"/>
    <w:rsid w:val="00752FF8"/>
    <w:rsid w:val="00753B28"/>
    <w:rsid w:val="00754C17"/>
    <w:rsid w:val="00756819"/>
    <w:rsid w:val="0075732A"/>
    <w:rsid w:val="00760262"/>
    <w:rsid w:val="0076292D"/>
    <w:rsid w:val="0076310C"/>
    <w:rsid w:val="00765FE3"/>
    <w:rsid w:val="00766009"/>
    <w:rsid w:val="0076744F"/>
    <w:rsid w:val="00767BCE"/>
    <w:rsid w:val="00767EFC"/>
    <w:rsid w:val="007707DE"/>
    <w:rsid w:val="00770B5D"/>
    <w:rsid w:val="007752F1"/>
    <w:rsid w:val="00776768"/>
    <w:rsid w:val="00782D61"/>
    <w:rsid w:val="007838F6"/>
    <w:rsid w:val="00784E40"/>
    <w:rsid w:val="007855B0"/>
    <w:rsid w:val="00786FFF"/>
    <w:rsid w:val="00787D99"/>
    <w:rsid w:val="00791024"/>
    <w:rsid w:val="007921C6"/>
    <w:rsid w:val="00792C72"/>
    <w:rsid w:val="00794818"/>
    <w:rsid w:val="00794F3F"/>
    <w:rsid w:val="007A09D4"/>
    <w:rsid w:val="007A1A36"/>
    <w:rsid w:val="007A2573"/>
    <w:rsid w:val="007A3B9C"/>
    <w:rsid w:val="007A4FEB"/>
    <w:rsid w:val="007A63DE"/>
    <w:rsid w:val="007B047A"/>
    <w:rsid w:val="007B106C"/>
    <w:rsid w:val="007B11FD"/>
    <w:rsid w:val="007B1A4E"/>
    <w:rsid w:val="007B1DF0"/>
    <w:rsid w:val="007B2282"/>
    <w:rsid w:val="007B32BD"/>
    <w:rsid w:val="007B371B"/>
    <w:rsid w:val="007B3D05"/>
    <w:rsid w:val="007B5503"/>
    <w:rsid w:val="007B6BEC"/>
    <w:rsid w:val="007B6D92"/>
    <w:rsid w:val="007B7E48"/>
    <w:rsid w:val="007C264F"/>
    <w:rsid w:val="007C3D87"/>
    <w:rsid w:val="007C41C4"/>
    <w:rsid w:val="007C4460"/>
    <w:rsid w:val="007C54BE"/>
    <w:rsid w:val="007C5F11"/>
    <w:rsid w:val="007C6BB3"/>
    <w:rsid w:val="007D14B4"/>
    <w:rsid w:val="007D1FA8"/>
    <w:rsid w:val="007D3AD7"/>
    <w:rsid w:val="007E1EB9"/>
    <w:rsid w:val="007E24F6"/>
    <w:rsid w:val="007E4ED3"/>
    <w:rsid w:val="007F5D60"/>
    <w:rsid w:val="007F64CF"/>
    <w:rsid w:val="00800F64"/>
    <w:rsid w:val="00801FB7"/>
    <w:rsid w:val="00802EC7"/>
    <w:rsid w:val="00802F0B"/>
    <w:rsid w:val="00803294"/>
    <w:rsid w:val="00803DCB"/>
    <w:rsid w:val="008040DD"/>
    <w:rsid w:val="00804922"/>
    <w:rsid w:val="00805370"/>
    <w:rsid w:val="00806C04"/>
    <w:rsid w:val="008104A4"/>
    <w:rsid w:val="00810A67"/>
    <w:rsid w:val="0081315B"/>
    <w:rsid w:val="00813AFE"/>
    <w:rsid w:val="00815C9D"/>
    <w:rsid w:val="0081633A"/>
    <w:rsid w:val="00821FED"/>
    <w:rsid w:val="00822DD1"/>
    <w:rsid w:val="008243E7"/>
    <w:rsid w:val="00833405"/>
    <w:rsid w:val="00833CF7"/>
    <w:rsid w:val="00833DD8"/>
    <w:rsid w:val="00834C07"/>
    <w:rsid w:val="008363E0"/>
    <w:rsid w:val="008363F5"/>
    <w:rsid w:val="008402B1"/>
    <w:rsid w:val="0084030A"/>
    <w:rsid w:val="00843160"/>
    <w:rsid w:val="00845490"/>
    <w:rsid w:val="00845601"/>
    <w:rsid w:val="00846A04"/>
    <w:rsid w:val="008524B9"/>
    <w:rsid w:val="00855C5C"/>
    <w:rsid w:val="00856DBF"/>
    <w:rsid w:val="0085792B"/>
    <w:rsid w:val="00860BD7"/>
    <w:rsid w:val="00861567"/>
    <w:rsid w:val="0086233C"/>
    <w:rsid w:val="00863BF5"/>
    <w:rsid w:val="00865CFA"/>
    <w:rsid w:val="00866A3E"/>
    <w:rsid w:val="00866E67"/>
    <w:rsid w:val="008715B3"/>
    <w:rsid w:val="0087313E"/>
    <w:rsid w:val="00873349"/>
    <w:rsid w:val="00874302"/>
    <w:rsid w:val="008765AD"/>
    <w:rsid w:val="00876DDE"/>
    <w:rsid w:val="0088186D"/>
    <w:rsid w:val="00881FD8"/>
    <w:rsid w:val="00883CE7"/>
    <w:rsid w:val="00892BBA"/>
    <w:rsid w:val="0089384D"/>
    <w:rsid w:val="008938F7"/>
    <w:rsid w:val="008940AA"/>
    <w:rsid w:val="00894761"/>
    <w:rsid w:val="008A187F"/>
    <w:rsid w:val="008A2332"/>
    <w:rsid w:val="008A3559"/>
    <w:rsid w:val="008A3744"/>
    <w:rsid w:val="008A3C96"/>
    <w:rsid w:val="008A4075"/>
    <w:rsid w:val="008B02E4"/>
    <w:rsid w:val="008B04F1"/>
    <w:rsid w:val="008B0BBA"/>
    <w:rsid w:val="008B1627"/>
    <w:rsid w:val="008B2922"/>
    <w:rsid w:val="008B395A"/>
    <w:rsid w:val="008B4019"/>
    <w:rsid w:val="008B505F"/>
    <w:rsid w:val="008B65C9"/>
    <w:rsid w:val="008B6751"/>
    <w:rsid w:val="008B68FD"/>
    <w:rsid w:val="008C00AD"/>
    <w:rsid w:val="008C27E5"/>
    <w:rsid w:val="008C2D4A"/>
    <w:rsid w:val="008C3AC2"/>
    <w:rsid w:val="008C3F3F"/>
    <w:rsid w:val="008C43AA"/>
    <w:rsid w:val="008C4C53"/>
    <w:rsid w:val="008C4EDE"/>
    <w:rsid w:val="008C5E8F"/>
    <w:rsid w:val="008C6A05"/>
    <w:rsid w:val="008C7DBB"/>
    <w:rsid w:val="008D1A9B"/>
    <w:rsid w:val="008D3900"/>
    <w:rsid w:val="008D53D3"/>
    <w:rsid w:val="008D6E1D"/>
    <w:rsid w:val="008D6EDB"/>
    <w:rsid w:val="008E19FF"/>
    <w:rsid w:val="008E36FE"/>
    <w:rsid w:val="008E4645"/>
    <w:rsid w:val="008E6CCC"/>
    <w:rsid w:val="008E722A"/>
    <w:rsid w:val="008F13FE"/>
    <w:rsid w:val="008F1640"/>
    <w:rsid w:val="008F39B4"/>
    <w:rsid w:val="008F4162"/>
    <w:rsid w:val="008F465A"/>
    <w:rsid w:val="00903E02"/>
    <w:rsid w:val="00907050"/>
    <w:rsid w:val="009103CD"/>
    <w:rsid w:val="00910F1B"/>
    <w:rsid w:val="009110D5"/>
    <w:rsid w:val="00911E8C"/>
    <w:rsid w:val="00911FB5"/>
    <w:rsid w:val="00913175"/>
    <w:rsid w:val="00915096"/>
    <w:rsid w:val="00916EDB"/>
    <w:rsid w:val="00917D72"/>
    <w:rsid w:val="00920602"/>
    <w:rsid w:val="009207C0"/>
    <w:rsid w:val="00920861"/>
    <w:rsid w:val="00922B13"/>
    <w:rsid w:val="009242EF"/>
    <w:rsid w:val="00924AB9"/>
    <w:rsid w:val="00925788"/>
    <w:rsid w:val="00925FCC"/>
    <w:rsid w:val="0092615F"/>
    <w:rsid w:val="00930001"/>
    <w:rsid w:val="0093024D"/>
    <w:rsid w:val="00932291"/>
    <w:rsid w:val="00933B1B"/>
    <w:rsid w:val="0093408E"/>
    <w:rsid w:val="009361D4"/>
    <w:rsid w:val="0094014D"/>
    <w:rsid w:val="00940467"/>
    <w:rsid w:val="00942973"/>
    <w:rsid w:val="00943E62"/>
    <w:rsid w:val="009451C8"/>
    <w:rsid w:val="00947507"/>
    <w:rsid w:val="00952DDF"/>
    <w:rsid w:val="00952EC4"/>
    <w:rsid w:val="00954D94"/>
    <w:rsid w:val="00961F21"/>
    <w:rsid w:val="00964D44"/>
    <w:rsid w:val="00967582"/>
    <w:rsid w:val="00972423"/>
    <w:rsid w:val="00973B2A"/>
    <w:rsid w:val="00976AD5"/>
    <w:rsid w:val="009812D4"/>
    <w:rsid w:val="00982653"/>
    <w:rsid w:val="00985829"/>
    <w:rsid w:val="009873F4"/>
    <w:rsid w:val="00991997"/>
    <w:rsid w:val="0099201F"/>
    <w:rsid w:val="009920D8"/>
    <w:rsid w:val="009922C1"/>
    <w:rsid w:val="00992331"/>
    <w:rsid w:val="00996BD8"/>
    <w:rsid w:val="00997173"/>
    <w:rsid w:val="009A20CB"/>
    <w:rsid w:val="009A31D4"/>
    <w:rsid w:val="009A371F"/>
    <w:rsid w:val="009A4869"/>
    <w:rsid w:val="009A5CB9"/>
    <w:rsid w:val="009B38BE"/>
    <w:rsid w:val="009B4556"/>
    <w:rsid w:val="009B49C5"/>
    <w:rsid w:val="009B682F"/>
    <w:rsid w:val="009C141E"/>
    <w:rsid w:val="009C3D0F"/>
    <w:rsid w:val="009C6C55"/>
    <w:rsid w:val="009C7479"/>
    <w:rsid w:val="009D40B6"/>
    <w:rsid w:val="009D6232"/>
    <w:rsid w:val="009D67D6"/>
    <w:rsid w:val="009E1B19"/>
    <w:rsid w:val="009E1D6D"/>
    <w:rsid w:val="009E4563"/>
    <w:rsid w:val="009E67BE"/>
    <w:rsid w:val="009E79B6"/>
    <w:rsid w:val="009E7F55"/>
    <w:rsid w:val="009F1079"/>
    <w:rsid w:val="009F35E2"/>
    <w:rsid w:val="009F438B"/>
    <w:rsid w:val="009F65F9"/>
    <w:rsid w:val="009F68BA"/>
    <w:rsid w:val="009F7050"/>
    <w:rsid w:val="00A05D62"/>
    <w:rsid w:val="00A06277"/>
    <w:rsid w:val="00A06325"/>
    <w:rsid w:val="00A07038"/>
    <w:rsid w:val="00A079DC"/>
    <w:rsid w:val="00A1037A"/>
    <w:rsid w:val="00A10BAB"/>
    <w:rsid w:val="00A111C2"/>
    <w:rsid w:val="00A126ED"/>
    <w:rsid w:val="00A12FFF"/>
    <w:rsid w:val="00A17C39"/>
    <w:rsid w:val="00A21440"/>
    <w:rsid w:val="00A238AA"/>
    <w:rsid w:val="00A31FEA"/>
    <w:rsid w:val="00A338E7"/>
    <w:rsid w:val="00A35CAA"/>
    <w:rsid w:val="00A36537"/>
    <w:rsid w:val="00A36E7F"/>
    <w:rsid w:val="00A410EA"/>
    <w:rsid w:val="00A41E65"/>
    <w:rsid w:val="00A426F9"/>
    <w:rsid w:val="00A43517"/>
    <w:rsid w:val="00A43E0A"/>
    <w:rsid w:val="00A45BE5"/>
    <w:rsid w:val="00A46247"/>
    <w:rsid w:val="00A47F07"/>
    <w:rsid w:val="00A530C7"/>
    <w:rsid w:val="00A53D4A"/>
    <w:rsid w:val="00A55F5B"/>
    <w:rsid w:val="00A60185"/>
    <w:rsid w:val="00A611EE"/>
    <w:rsid w:val="00A622EC"/>
    <w:rsid w:val="00A62861"/>
    <w:rsid w:val="00A64502"/>
    <w:rsid w:val="00A651F6"/>
    <w:rsid w:val="00A661EA"/>
    <w:rsid w:val="00A66263"/>
    <w:rsid w:val="00A66B4D"/>
    <w:rsid w:val="00A6775C"/>
    <w:rsid w:val="00A70A6C"/>
    <w:rsid w:val="00A830E5"/>
    <w:rsid w:val="00A83DF5"/>
    <w:rsid w:val="00A84BF3"/>
    <w:rsid w:val="00A86E3C"/>
    <w:rsid w:val="00A87135"/>
    <w:rsid w:val="00A93280"/>
    <w:rsid w:val="00A93C73"/>
    <w:rsid w:val="00A951EA"/>
    <w:rsid w:val="00A961A6"/>
    <w:rsid w:val="00A973E1"/>
    <w:rsid w:val="00A97F71"/>
    <w:rsid w:val="00AA1C65"/>
    <w:rsid w:val="00AA2548"/>
    <w:rsid w:val="00AA3B6E"/>
    <w:rsid w:val="00AA58C4"/>
    <w:rsid w:val="00AB11C8"/>
    <w:rsid w:val="00AB1A6B"/>
    <w:rsid w:val="00AB2248"/>
    <w:rsid w:val="00AB263B"/>
    <w:rsid w:val="00AB2D16"/>
    <w:rsid w:val="00AC08A8"/>
    <w:rsid w:val="00AC0BD0"/>
    <w:rsid w:val="00AC1F1E"/>
    <w:rsid w:val="00AC219C"/>
    <w:rsid w:val="00AC2A12"/>
    <w:rsid w:val="00AC38BA"/>
    <w:rsid w:val="00AC403E"/>
    <w:rsid w:val="00AC5375"/>
    <w:rsid w:val="00AC618C"/>
    <w:rsid w:val="00AD0347"/>
    <w:rsid w:val="00AD163D"/>
    <w:rsid w:val="00AD16D6"/>
    <w:rsid w:val="00AD20F6"/>
    <w:rsid w:val="00AD30EB"/>
    <w:rsid w:val="00AD56C8"/>
    <w:rsid w:val="00AD58F2"/>
    <w:rsid w:val="00AE057A"/>
    <w:rsid w:val="00AE5712"/>
    <w:rsid w:val="00AE5815"/>
    <w:rsid w:val="00AE6106"/>
    <w:rsid w:val="00AF35B4"/>
    <w:rsid w:val="00AF460F"/>
    <w:rsid w:val="00AF5EA3"/>
    <w:rsid w:val="00AF6573"/>
    <w:rsid w:val="00AF65FE"/>
    <w:rsid w:val="00AF666F"/>
    <w:rsid w:val="00AF7690"/>
    <w:rsid w:val="00B047D1"/>
    <w:rsid w:val="00B0512A"/>
    <w:rsid w:val="00B0529F"/>
    <w:rsid w:val="00B05828"/>
    <w:rsid w:val="00B05D52"/>
    <w:rsid w:val="00B07382"/>
    <w:rsid w:val="00B11367"/>
    <w:rsid w:val="00B1418B"/>
    <w:rsid w:val="00B151A0"/>
    <w:rsid w:val="00B1520C"/>
    <w:rsid w:val="00B1560E"/>
    <w:rsid w:val="00B15B05"/>
    <w:rsid w:val="00B20E2C"/>
    <w:rsid w:val="00B20F84"/>
    <w:rsid w:val="00B21195"/>
    <w:rsid w:val="00B21598"/>
    <w:rsid w:val="00B22B3D"/>
    <w:rsid w:val="00B22B57"/>
    <w:rsid w:val="00B24B22"/>
    <w:rsid w:val="00B25310"/>
    <w:rsid w:val="00B31669"/>
    <w:rsid w:val="00B32F8F"/>
    <w:rsid w:val="00B3376C"/>
    <w:rsid w:val="00B357AB"/>
    <w:rsid w:val="00B37FAA"/>
    <w:rsid w:val="00B4042F"/>
    <w:rsid w:val="00B40C49"/>
    <w:rsid w:val="00B41E1E"/>
    <w:rsid w:val="00B42C1C"/>
    <w:rsid w:val="00B43179"/>
    <w:rsid w:val="00B44163"/>
    <w:rsid w:val="00B458EF"/>
    <w:rsid w:val="00B46174"/>
    <w:rsid w:val="00B4690F"/>
    <w:rsid w:val="00B47C42"/>
    <w:rsid w:val="00B510B1"/>
    <w:rsid w:val="00B5122F"/>
    <w:rsid w:val="00B5417B"/>
    <w:rsid w:val="00B54DE9"/>
    <w:rsid w:val="00B553EC"/>
    <w:rsid w:val="00B55870"/>
    <w:rsid w:val="00B60059"/>
    <w:rsid w:val="00B66AAC"/>
    <w:rsid w:val="00B67F17"/>
    <w:rsid w:val="00B77732"/>
    <w:rsid w:val="00B77D99"/>
    <w:rsid w:val="00B80D6D"/>
    <w:rsid w:val="00B83CB2"/>
    <w:rsid w:val="00B906DE"/>
    <w:rsid w:val="00B9154F"/>
    <w:rsid w:val="00B91F1B"/>
    <w:rsid w:val="00B93DD0"/>
    <w:rsid w:val="00B94A7F"/>
    <w:rsid w:val="00B94B1B"/>
    <w:rsid w:val="00B97732"/>
    <w:rsid w:val="00BA0849"/>
    <w:rsid w:val="00BA1578"/>
    <w:rsid w:val="00BA206A"/>
    <w:rsid w:val="00BA56D7"/>
    <w:rsid w:val="00BA63A9"/>
    <w:rsid w:val="00BA65A8"/>
    <w:rsid w:val="00BA6A97"/>
    <w:rsid w:val="00BA6D19"/>
    <w:rsid w:val="00BA7461"/>
    <w:rsid w:val="00BA7DA9"/>
    <w:rsid w:val="00BB417D"/>
    <w:rsid w:val="00BB7847"/>
    <w:rsid w:val="00BB7F28"/>
    <w:rsid w:val="00BC07BF"/>
    <w:rsid w:val="00BC3B47"/>
    <w:rsid w:val="00BC4215"/>
    <w:rsid w:val="00BC4517"/>
    <w:rsid w:val="00BC5631"/>
    <w:rsid w:val="00BC5CB7"/>
    <w:rsid w:val="00BD0396"/>
    <w:rsid w:val="00BD1A6F"/>
    <w:rsid w:val="00BD5B71"/>
    <w:rsid w:val="00BE18FC"/>
    <w:rsid w:val="00BE1D5E"/>
    <w:rsid w:val="00BE3B00"/>
    <w:rsid w:val="00BE3E96"/>
    <w:rsid w:val="00BE3F59"/>
    <w:rsid w:val="00BE4DA5"/>
    <w:rsid w:val="00BE6D3C"/>
    <w:rsid w:val="00BE7852"/>
    <w:rsid w:val="00BF21A7"/>
    <w:rsid w:val="00BF309F"/>
    <w:rsid w:val="00BF6D87"/>
    <w:rsid w:val="00BF7CEE"/>
    <w:rsid w:val="00C03470"/>
    <w:rsid w:val="00C03880"/>
    <w:rsid w:val="00C03B25"/>
    <w:rsid w:val="00C05BA6"/>
    <w:rsid w:val="00C11C36"/>
    <w:rsid w:val="00C132E6"/>
    <w:rsid w:val="00C135CF"/>
    <w:rsid w:val="00C1667B"/>
    <w:rsid w:val="00C168AF"/>
    <w:rsid w:val="00C205A0"/>
    <w:rsid w:val="00C21602"/>
    <w:rsid w:val="00C23796"/>
    <w:rsid w:val="00C25CE7"/>
    <w:rsid w:val="00C2683F"/>
    <w:rsid w:val="00C30929"/>
    <w:rsid w:val="00C3184D"/>
    <w:rsid w:val="00C31A17"/>
    <w:rsid w:val="00C34320"/>
    <w:rsid w:val="00C37525"/>
    <w:rsid w:val="00C43084"/>
    <w:rsid w:val="00C44AA7"/>
    <w:rsid w:val="00C4714E"/>
    <w:rsid w:val="00C4729A"/>
    <w:rsid w:val="00C50941"/>
    <w:rsid w:val="00C5504F"/>
    <w:rsid w:val="00C55991"/>
    <w:rsid w:val="00C55DD3"/>
    <w:rsid w:val="00C60A1A"/>
    <w:rsid w:val="00C61E6B"/>
    <w:rsid w:val="00C62938"/>
    <w:rsid w:val="00C63376"/>
    <w:rsid w:val="00C65109"/>
    <w:rsid w:val="00C66CB4"/>
    <w:rsid w:val="00C716C4"/>
    <w:rsid w:val="00C71EEB"/>
    <w:rsid w:val="00C74762"/>
    <w:rsid w:val="00C74F97"/>
    <w:rsid w:val="00C753C4"/>
    <w:rsid w:val="00C76A08"/>
    <w:rsid w:val="00C8004A"/>
    <w:rsid w:val="00C803D7"/>
    <w:rsid w:val="00C81B27"/>
    <w:rsid w:val="00C8276E"/>
    <w:rsid w:val="00C8280B"/>
    <w:rsid w:val="00C83AD1"/>
    <w:rsid w:val="00C842AC"/>
    <w:rsid w:val="00C85B7B"/>
    <w:rsid w:val="00C86074"/>
    <w:rsid w:val="00C901E6"/>
    <w:rsid w:val="00C92AD5"/>
    <w:rsid w:val="00C93152"/>
    <w:rsid w:val="00C93FD9"/>
    <w:rsid w:val="00C96688"/>
    <w:rsid w:val="00C97145"/>
    <w:rsid w:val="00CA0723"/>
    <w:rsid w:val="00CA3E61"/>
    <w:rsid w:val="00CA4542"/>
    <w:rsid w:val="00CB08A6"/>
    <w:rsid w:val="00CB1690"/>
    <w:rsid w:val="00CB252E"/>
    <w:rsid w:val="00CB47BB"/>
    <w:rsid w:val="00CB580D"/>
    <w:rsid w:val="00CB6D76"/>
    <w:rsid w:val="00CC0953"/>
    <w:rsid w:val="00CC2128"/>
    <w:rsid w:val="00CC27E7"/>
    <w:rsid w:val="00CC2B33"/>
    <w:rsid w:val="00CC4365"/>
    <w:rsid w:val="00CD11B0"/>
    <w:rsid w:val="00CD275A"/>
    <w:rsid w:val="00CD5E0E"/>
    <w:rsid w:val="00CD7E84"/>
    <w:rsid w:val="00CE04FF"/>
    <w:rsid w:val="00CE4EB4"/>
    <w:rsid w:val="00CE71C2"/>
    <w:rsid w:val="00CF2242"/>
    <w:rsid w:val="00CF2E7E"/>
    <w:rsid w:val="00CF42D5"/>
    <w:rsid w:val="00CF4EDA"/>
    <w:rsid w:val="00CF562A"/>
    <w:rsid w:val="00CF5929"/>
    <w:rsid w:val="00CF6A2E"/>
    <w:rsid w:val="00D00281"/>
    <w:rsid w:val="00D00F57"/>
    <w:rsid w:val="00D01E11"/>
    <w:rsid w:val="00D021CB"/>
    <w:rsid w:val="00D02698"/>
    <w:rsid w:val="00D07194"/>
    <w:rsid w:val="00D10C4C"/>
    <w:rsid w:val="00D10F1A"/>
    <w:rsid w:val="00D116F8"/>
    <w:rsid w:val="00D11CC3"/>
    <w:rsid w:val="00D1442E"/>
    <w:rsid w:val="00D14FA8"/>
    <w:rsid w:val="00D15280"/>
    <w:rsid w:val="00D16440"/>
    <w:rsid w:val="00D17189"/>
    <w:rsid w:val="00D17414"/>
    <w:rsid w:val="00D17596"/>
    <w:rsid w:val="00D20229"/>
    <w:rsid w:val="00D22640"/>
    <w:rsid w:val="00D2371A"/>
    <w:rsid w:val="00D245D7"/>
    <w:rsid w:val="00D26D3A"/>
    <w:rsid w:val="00D27B74"/>
    <w:rsid w:val="00D30A7B"/>
    <w:rsid w:val="00D30DD4"/>
    <w:rsid w:val="00D33B43"/>
    <w:rsid w:val="00D34D04"/>
    <w:rsid w:val="00D441B2"/>
    <w:rsid w:val="00D44619"/>
    <w:rsid w:val="00D45C91"/>
    <w:rsid w:val="00D45EE3"/>
    <w:rsid w:val="00D46FEA"/>
    <w:rsid w:val="00D479A1"/>
    <w:rsid w:val="00D50618"/>
    <w:rsid w:val="00D509E9"/>
    <w:rsid w:val="00D516B6"/>
    <w:rsid w:val="00D53B1C"/>
    <w:rsid w:val="00D6101C"/>
    <w:rsid w:val="00D61714"/>
    <w:rsid w:val="00D620BE"/>
    <w:rsid w:val="00D622B9"/>
    <w:rsid w:val="00D62BC7"/>
    <w:rsid w:val="00D64ADB"/>
    <w:rsid w:val="00D652C8"/>
    <w:rsid w:val="00D656FF"/>
    <w:rsid w:val="00D65982"/>
    <w:rsid w:val="00D7197C"/>
    <w:rsid w:val="00D72439"/>
    <w:rsid w:val="00D73238"/>
    <w:rsid w:val="00D74FCA"/>
    <w:rsid w:val="00D76384"/>
    <w:rsid w:val="00D76F10"/>
    <w:rsid w:val="00D77795"/>
    <w:rsid w:val="00D77AE6"/>
    <w:rsid w:val="00D82448"/>
    <w:rsid w:val="00D83615"/>
    <w:rsid w:val="00D83AAD"/>
    <w:rsid w:val="00D84735"/>
    <w:rsid w:val="00D873FF"/>
    <w:rsid w:val="00D92DA2"/>
    <w:rsid w:val="00D9312B"/>
    <w:rsid w:val="00D97037"/>
    <w:rsid w:val="00D97BB6"/>
    <w:rsid w:val="00DA0444"/>
    <w:rsid w:val="00DA1B12"/>
    <w:rsid w:val="00DA278B"/>
    <w:rsid w:val="00DA4F90"/>
    <w:rsid w:val="00DA54C9"/>
    <w:rsid w:val="00DA5DBD"/>
    <w:rsid w:val="00DA6739"/>
    <w:rsid w:val="00DA6CAE"/>
    <w:rsid w:val="00DA70BD"/>
    <w:rsid w:val="00DA7555"/>
    <w:rsid w:val="00DB1906"/>
    <w:rsid w:val="00DB1A9E"/>
    <w:rsid w:val="00DB31D6"/>
    <w:rsid w:val="00DB3296"/>
    <w:rsid w:val="00DB372A"/>
    <w:rsid w:val="00DB4005"/>
    <w:rsid w:val="00DB44AD"/>
    <w:rsid w:val="00DB44E2"/>
    <w:rsid w:val="00DB61F1"/>
    <w:rsid w:val="00DB70E0"/>
    <w:rsid w:val="00DC0CCE"/>
    <w:rsid w:val="00DC1298"/>
    <w:rsid w:val="00DC273D"/>
    <w:rsid w:val="00DC325B"/>
    <w:rsid w:val="00DC34EB"/>
    <w:rsid w:val="00DC4E2E"/>
    <w:rsid w:val="00DC563A"/>
    <w:rsid w:val="00DC6B53"/>
    <w:rsid w:val="00DC6E72"/>
    <w:rsid w:val="00DC74A2"/>
    <w:rsid w:val="00DC78C0"/>
    <w:rsid w:val="00DD3FE7"/>
    <w:rsid w:val="00DD575E"/>
    <w:rsid w:val="00DE29B6"/>
    <w:rsid w:val="00DE2C10"/>
    <w:rsid w:val="00DE3133"/>
    <w:rsid w:val="00DE5EA7"/>
    <w:rsid w:val="00DF14C9"/>
    <w:rsid w:val="00DF1E5B"/>
    <w:rsid w:val="00DF2275"/>
    <w:rsid w:val="00DF285C"/>
    <w:rsid w:val="00DF3F5E"/>
    <w:rsid w:val="00DF469C"/>
    <w:rsid w:val="00DF4ED5"/>
    <w:rsid w:val="00DF5461"/>
    <w:rsid w:val="00DF5653"/>
    <w:rsid w:val="00E01638"/>
    <w:rsid w:val="00E020B2"/>
    <w:rsid w:val="00E0596E"/>
    <w:rsid w:val="00E0655D"/>
    <w:rsid w:val="00E06CFE"/>
    <w:rsid w:val="00E06D9F"/>
    <w:rsid w:val="00E06F66"/>
    <w:rsid w:val="00E13185"/>
    <w:rsid w:val="00E13CDA"/>
    <w:rsid w:val="00E14396"/>
    <w:rsid w:val="00E2111A"/>
    <w:rsid w:val="00E21678"/>
    <w:rsid w:val="00E21A1F"/>
    <w:rsid w:val="00E21B41"/>
    <w:rsid w:val="00E25312"/>
    <w:rsid w:val="00E262ED"/>
    <w:rsid w:val="00E270CE"/>
    <w:rsid w:val="00E30974"/>
    <w:rsid w:val="00E3253B"/>
    <w:rsid w:val="00E344AA"/>
    <w:rsid w:val="00E354F8"/>
    <w:rsid w:val="00E356E5"/>
    <w:rsid w:val="00E36F81"/>
    <w:rsid w:val="00E378A8"/>
    <w:rsid w:val="00E40B9B"/>
    <w:rsid w:val="00E437F4"/>
    <w:rsid w:val="00E43F87"/>
    <w:rsid w:val="00E44EA1"/>
    <w:rsid w:val="00E45765"/>
    <w:rsid w:val="00E5098C"/>
    <w:rsid w:val="00E53162"/>
    <w:rsid w:val="00E54ECD"/>
    <w:rsid w:val="00E574EF"/>
    <w:rsid w:val="00E57CD8"/>
    <w:rsid w:val="00E57E07"/>
    <w:rsid w:val="00E60213"/>
    <w:rsid w:val="00E6053A"/>
    <w:rsid w:val="00E6075E"/>
    <w:rsid w:val="00E62FAF"/>
    <w:rsid w:val="00E6401F"/>
    <w:rsid w:val="00E661B2"/>
    <w:rsid w:val="00E72CD0"/>
    <w:rsid w:val="00E74D29"/>
    <w:rsid w:val="00E75CA0"/>
    <w:rsid w:val="00E779DA"/>
    <w:rsid w:val="00E806FF"/>
    <w:rsid w:val="00E82EAC"/>
    <w:rsid w:val="00E83C74"/>
    <w:rsid w:val="00E83CEE"/>
    <w:rsid w:val="00E84CB7"/>
    <w:rsid w:val="00E85D76"/>
    <w:rsid w:val="00E8634C"/>
    <w:rsid w:val="00E91F18"/>
    <w:rsid w:val="00E9226D"/>
    <w:rsid w:val="00E93C4A"/>
    <w:rsid w:val="00E9627A"/>
    <w:rsid w:val="00E96424"/>
    <w:rsid w:val="00E9729D"/>
    <w:rsid w:val="00EA0EA3"/>
    <w:rsid w:val="00EA1CF6"/>
    <w:rsid w:val="00EA2A91"/>
    <w:rsid w:val="00EA39C3"/>
    <w:rsid w:val="00EA416C"/>
    <w:rsid w:val="00EA5440"/>
    <w:rsid w:val="00EA57B1"/>
    <w:rsid w:val="00EA5941"/>
    <w:rsid w:val="00EB0865"/>
    <w:rsid w:val="00EB23C0"/>
    <w:rsid w:val="00EB2948"/>
    <w:rsid w:val="00EB4EFB"/>
    <w:rsid w:val="00EB5F35"/>
    <w:rsid w:val="00EB60CE"/>
    <w:rsid w:val="00EB7D53"/>
    <w:rsid w:val="00EC20F5"/>
    <w:rsid w:val="00EC37F0"/>
    <w:rsid w:val="00EC596B"/>
    <w:rsid w:val="00EC6E01"/>
    <w:rsid w:val="00ED258E"/>
    <w:rsid w:val="00ED3702"/>
    <w:rsid w:val="00ED3B49"/>
    <w:rsid w:val="00ED445E"/>
    <w:rsid w:val="00ED5EEB"/>
    <w:rsid w:val="00EE13C5"/>
    <w:rsid w:val="00EE2F6D"/>
    <w:rsid w:val="00EE3146"/>
    <w:rsid w:val="00EE36DC"/>
    <w:rsid w:val="00EE3E94"/>
    <w:rsid w:val="00EE5D1E"/>
    <w:rsid w:val="00EE612B"/>
    <w:rsid w:val="00EE68D3"/>
    <w:rsid w:val="00EF10F0"/>
    <w:rsid w:val="00EF1C9E"/>
    <w:rsid w:val="00EF50BB"/>
    <w:rsid w:val="00EF5270"/>
    <w:rsid w:val="00EF5272"/>
    <w:rsid w:val="00EF675F"/>
    <w:rsid w:val="00EF71E4"/>
    <w:rsid w:val="00EF7732"/>
    <w:rsid w:val="00F00192"/>
    <w:rsid w:val="00F01DF6"/>
    <w:rsid w:val="00F01EA6"/>
    <w:rsid w:val="00F027B8"/>
    <w:rsid w:val="00F02DF8"/>
    <w:rsid w:val="00F0340D"/>
    <w:rsid w:val="00F035F2"/>
    <w:rsid w:val="00F04057"/>
    <w:rsid w:val="00F04474"/>
    <w:rsid w:val="00F059A6"/>
    <w:rsid w:val="00F111BC"/>
    <w:rsid w:val="00F11A90"/>
    <w:rsid w:val="00F149C9"/>
    <w:rsid w:val="00F14A04"/>
    <w:rsid w:val="00F153E5"/>
    <w:rsid w:val="00F15B75"/>
    <w:rsid w:val="00F15C2B"/>
    <w:rsid w:val="00F21C3C"/>
    <w:rsid w:val="00F23756"/>
    <w:rsid w:val="00F2464C"/>
    <w:rsid w:val="00F251BB"/>
    <w:rsid w:val="00F2523A"/>
    <w:rsid w:val="00F25FFA"/>
    <w:rsid w:val="00F267FD"/>
    <w:rsid w:val="00F310D2"/>
    <w:rsid w:val="00F31A98"/>
    <w:rsid w:val="00F31E11"/>
    <w:rsid w:val="00F341FB"/>
    <w:rsid w:val="00F36220"/>
    <w:rsid w:val="00F36F3D"/>
    <w:rsid w:val="00F377F0"/>
    <w:rsid w:val="00F37C48"/>
    <w:rsid w:val="00F41E09"/>
    <w:rsid w:val="00F424D7"/>
    <w:rsid w:val="00F443C0"/>
    <w:rsid w:val="00F477BD"/>
    <w:rsid w:val="00F50333"/>
    <w:rsid w:val="00F5252E"/>
    <w:rsid w:val="00F53491"/>
    <w:rsid w:val="00F54656"/>
    <w:rsid w:val="00F55386"/>
    <w:rsid w:val="00F56411"/>
    <w:rsid w:val="00F56961"/>
    <w:rsid w:val="00F60181"/>
    <w:rsid w:val="00F616FD"/>
    <w:rsid w:val="00F657D7"/>
    <w:rsid w:val="00F65A1C"/>
    <w:rsid w:val="00F66782"/>
    <w:rsid w:val="00F66F50"/>
    <w:rsid w:val="00F67F94"/>
    <w:rsid w:val="00F71E96"/>
    <w:rsid w:val="00F729B9"/>
    <w:rsid w:val="00F7628B"/>
    <w:rsid w:val="00F76FB8"/>
    <w:rsid w:val="00F77432"/>
    <w:rsid w:val="00F80E36"/>
    <w:rsid w:val="00F81162"/>
    <w:rsid w:val="00F817B5"/>
    <w:rsid w:val="00F82FF8"/>
    <w:rsid w:val="00F8330D"/>
    <w:rsid w:val="00F84305"/>
    <w:rsid w:val="00F8485C"/>
    <w:rsid w:val="00F84959"/>
    <w:rsid w:val="00F86406"/>
    <w:rsid w:val="00F87149"/>
    <w:rsid w:val="00F87F2C"/>
    <w:rsid w:val="00F87FFE"/>
    <w:rsid w:val="00F9138D"/>
    <w:rsid w:val="00F954C9"/>
    <w:rsid w:val="00F966F4"/>
    <w:rsid w:val="00FA0580"/>
    <w:rsid w:val="00FA4552"/>
    <w:rsid w:val="00FA4CF0"/>
    <w:rsid w:val="00FA61AA"/>
    <w:rsid w:val="00FA69A4"/>
    <w:rsid w:val="00FB1279"/>
    <w:rsid w:val="00FB1495"/>
    <w:rsid w:val="00FB399A"/>
    <w:rsid w:val="00FB7BCC"/>
    <w:rsid w:val="00FC07C6"/>
    <w:rsid w:val="00FC0A2F"/>
    <w:rsid w:val="00FC103A"/>
    <w:rsid w:val="00FC20F8"/>
    <w:rsid w:val="00FC49C2"/>
    <w:rsid w:val="00FC49D2"/>
    <w:rsid w:val="00FD1694"/>
    <w:rsid w:val="00FD2134"/>
    <w:rsid w:val="00FD28F9"/>
    <w:rsid w:val="00FD322D"/>
    <w:rsid w:val="00FD7636"/>
    <w:rsid w:val="00FD7C1D"/>
    <w:rsid w:val="00FD7D56"/>
    <w:rsid w:val="00FE13E3"/>
    <w:rsid w:val="00FE3229"/>
    <w:rsid w:val="00FE4485"/>
    <w:rsid w:val="00FE4611"/>
    <w:rsid w:val="00FE74C3"/>
    <w:rsid w:val="00FF215C"/>
    <w:rsid w:val="00FF3A26"/>
    <w:rsid w:val="00FF49E8"/>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226408"/>
  <w15:docId w15:val="{08280197-018C-4B07-87A0-124FF3D4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5"/>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4"/>
      </w:numPr>
    </w:pPr>
  </w:style>
  <w:style w:type="paragraph" w:styleId="ListNumber2">
    <w:name w:val="List Number 2"/>
    <w:basedOn w:val="Normal"/>
    <w:uiPriority w:val="99"/>
    <w:qFormat/>
    <w:rsid w:val="00186465"/>
    <w:pPr>
      <w:numPr>
        <w:ilvl w:val="1"/>
        <w:numId w:val="4"/>
      </w:numPr>
    </w:pPr>
  </w:style>
  <w:style w:type="paragraph" w:styleId="ListNumber3">
    <w:name w:val="List Number 3"/>
    <w:basedOn w:val="Normal"/>
    <w:uiPriority w:val="99"/>
    <w:qFormat/>
    <w:rsid w:val="009E79B6"/>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FootnoteText">
    <w:name w:val="footnote text"/>
    <w:basedOn w:val="Normal"/>
    <w:link w:val="FootnoteTextChar"/>
    <w:uiPriority w:val="99"/>
    <w:unhideWhenUsed/>
    <w:rsid w:val="007F5D60"/>
    <w:pPr>
      <w:autoSpaceDE/>
      <w:autoSpaceDN/>
      <w:adjustRightInd/>
      <w:spacing w:after="0" w:line="240" w:lineRule="auto"/>
    </w:pPr>
    <w:rPr>
      <w:rFonts w:ascii="Cambria" w:eastAsia="SimSun" w:hAnsi="Cambria"/>
      <w:sz w:val="24"/>
      <w:szCs w:val="24"/>
    </w:rPr>
  </w:style>
  <w:style w:type="character" w:customStyle="1" w:styleId="FootnoteTextChar">
    <w:name w:val="Footnote Text Char"/>
    <w:basedOn w:val="DefaultParagraphFont"/>
    <w:link w:val="FootnoteText"/>
    <w:uiPriority w:val="99"/>
    <w:rsid w:val="007F5D60"/>
    <w:rPr>
      <w:rFonts w:ascii="Cambria" w:eastAsia="SimSun" w:hAnsi="Cambria"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05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07250850">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2034110258">
      <w:bodyDiv w:val="1"/>
      <w:marLeft w:val="0"/>
      <w:marRight w:val="0"/>
      <w:marTop w:val="0"/>
      <w:marBottom w:val="0"/>
      <w:divBdr>
        <w:top w:val="none" w:sz="0" w:space="0" w:color="auto"/>
        <w:left w:val="none" w:sz="0" w:space="0" w:color="auto"/>
        <w:bottom w:val="none" w:sz="0" w:space="0" w:color="auto"/>
        <w:right w:val="none" w:sz="0" w:space="0" w:color="auto"/>
      </w:divBdr>
    </w:div>
    <w:div w:id="2038775153">
      <w:bodyDiv w:val="1"/>
      <w:marLeft w:val="0"/>
      <w:marRight w:val="0"/>
      <w:marTop w:val="0"/>
      <w:marBottom w:val="0"/>
      <w:divBdr>
        <w:top w:val="none" w:sz="0" w:space="0" w:color="auto"/>
        <w:left w:val="none" w:sz="0" w:space="0" w:color="auto"/>
        <w:bottom w:val="none" w:sz="0" w:space="0" w:color="auto"/>
        <w:right w:val="none" w:sz="0" w:space="0" w:color="auto"/>
      </w:divBdr>
    </w:div>
    <w:div w:id="20975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pbcnotices.environment.gov.au/publicnoticesreferral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esc.environment.gov.au/system/files/resources/012fa918-ee79-4131-9c8d-02c9b2de65cf/files/iesc-information-guidelines-may-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ublications.qld.gov.au/dataset/f7e68ccd-8c13-422f-bd46-1b391500423f/resource/ba880910-5117-433a-b90d-2c131874a8e6/download/guideline-subterranean-aquatic-fauna.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aterquality.gov.au/anz-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D5A47D55.dotm</Template>
  <TotalTime>0</TotalTime>
  <Pages>10</Pages>
  <Words>4893</Words>
  <Characters>27893</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2019-107: Moranbah North Extension Project (EPBC 2018/8338) – Expansion</dc:title>
  <dc:creator>IESC</dc:creator>
  <cp:lastModifiedBy>Durack, Bec</cp:lastModifiedBy>
  <cp:revision>2</cp:revision>
  <dcterms:created xsi:type="dcterms:W3CDTF">2019-11-21T04:26:00Z</dcterms:created>
  <dcterms:modified xsi:type="dcterms:W3CDTF">2019-11-21T04:26:00Z</dcterms:modified>
</cp:coreProperties>
</file>