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F6FE2" w14:textId="77777777" w:rsidR="00714B40" w:rsidRDefault="00714B40" w:rsidP="00714B40">
      <w:pPr>
        <w:pStyle w:val="Header"/>
        <w:suppressLineNumbers/>
        <w:ind w:hanging="1418"/>
        <w:sectPr w:rsidR="00714B40" w:rsidSect="000814AA">
          <w:headerReference w:type="even" r:id="rId7"/>
          <w:headerReference w:type="default" r:id="rId8"/>
          <w:footerReference w:type="even" r:id="rId9"/>
          <w:footerReference w:type="default" r:id="rId10"/>
          <w:headerReference w:type="first" r:id="rId11"/>
          <w:footerReference w:type="first" r:id="rId12"/>
          <w:pgSz w:w="11906" w:h="16838"/>
          <w:pgMar w:top="0" w:right="1440" w:bottom="1440" w:left="1440" w:header="425" w:footer="425" w:gutter="0"/>
          <w:pgNumType w:start="1"/>
          <w:cols w:space="708"/>
          <w:titlePg/>
          <w:docGrid w:linePitch="360"/>
        </w:sectPr>
      </w:pPr>
    </w:p>
    <w:p w14:paraId="4873FAE8" w14:textId="77777777" w:rsidR="001765DA" w:rsidRPr="00D622B9" w:rsidRDefault="00F027B8" w:rsidP="009E7F55">
      <w:pPr>
        <w:pStyle w:val="Heading1"/>
        <w:suppressLineNumbers/>
      </w:pPr>
      <w:bookmarkStart w:id="0" w:name="_GoBack"/>
      <w:r w:rsidRPr="00D622B9">
        <w:t>Advi</w:t>
      </w:r>
      <w:r w:rsidR="001765DA" w:rsidRPr="00D622B9">
        <w:t>ce to decision maker on coal mining</w:t>
      </w:r>
      <w:r w:rsidR="00E21678" w:rsidRPr="00D622B9">
        <w:t xml:space="preserve"> project </w:t>
      </w:r>
    </w:p>
    <w:p w14:paraId="246D6CE6" w14:textId="77777777" w:rsidR="004861E6" w:rsidRPr="007B4C0D" w:rsidRDefault="00D10C4C" w:rsidP="009E7F55">
      <w:pPr>
        <w:pStyle w:val="Heading2"/>
        <w:suppressLineNumbers/>
      </w:pPr>
      <w:r w:rsidRPr="007B4C0D">
        <w:t xml:space="preserve">IESC </w:t>
      </w:r>
      <w:r w:rsidR="00C43084" w:rsidRPr="007B4C0D">
        <w:t>201</w:t>
      </w:r>
      <w:r w:rsidR="007B4C0D" w:rsidRPr="007B4C0D">
        <w:t>8</w:t>
      </w:r>
      <w:r w:rsidR="00CC27E7" w:rsidRPr="007B4C0D">
        <w:t>-</w:t>
      </w:r>
      <w:r w:rsidRPr="007B4C0D">
        <w:t>0</w:t>
      </w:r>
      <w:r w:rsidR="007B4C0D" w:rsidRPr="007B4C0D">
        <w:t>97</w:t>
      </w:r>
      <w:r w:rsidR="001765DA" w:rsidRPr="007B4C0D">
        <w:t>:</w:t>
      </w:r>
      <w:r w:rsidR="002974BC" w:rsidRPr="007B4C0D">
        <w:t xml:space="preserve"> </w:t>
      </w:r>
      <w:r w:rsidR="007B4C0D" w:rsidRPr="007B4C0D">
        <w:rPr>
          <w:rFonts w:ascii="Arial Bold" w:hAnsi="Arial Bold"/>
        </w:rPr>
        <w:t>Middlemount Coal Mine Western Extension</w:t>
      </w:r>
      <w:r w:rsidR="00C803D7" w:rsidRPr="007B4C0D">
        <w:t xml:space="preserve"> </w:t>
      </w:r>
      <w:r w:rsidR="00D83AAD" w:rsidRPr="007B4C0D">
        <w:t>(</w:t>
      </w:r>
      <w:r w:rsidR="007B4C0D" w:rsidRPr="007B4C0D">
        <w:t>EPBC 2017/8130</w:t>
      </w:r>
      <w:r w:rsidR="00D83AAD" w:rsidRPr="007B4C0D">
        <w:t xml:space="preserve">) </w:t>
      </w:r>
      <w:r w:rsidR="00C803D7" w:rsidRPr="007B4C0D">
        <w:t>–</w:t>
      </w:r>
      <w:r w:rsidR="007B4C0D" w:rsidRPr="007B4C0D">
        <w:t xml:space="preserve"> </w:t>
      </w:r>
      <w:r w:rsidR="00C803D7" w:rsidRPr="007B4C0D">
        <w:t>Expansion</w:t>
      </w:r>
      <w:r w:rsidR="003E2135" w:rsidRPr="007B4C0D">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2A5EC3" w14:paraId="44252437" w14:textId="77777777" w:rsidTr="00784E40">
        <w:trPr>
          <w:trHeight w:val="563"/>
        </w:trPr>
        <w:tc>
          <w:tcPr>
            <w:tcW w:w="1810" w:type="dxa"/>
            <w:tcBorders>
              <w:top w:val="single" w:sz="4" w:space="0" w:color="auto"/>
              <w:bottom w:val="single" w:sz="4" w:space="0" w:color="auto"/>
            </w:tcBorders>
          </w:tcPr>
          <w:bookmarkEnd w:id="0"/>
          <w:p w14:paraId="14F78C7F" w14:textId="77777777" w:rsidR="001765DA" w:rsidRPr="00D622B9" w:rsidRDefault="001765DA" w:rsidP="00277A51">
            <w:pPr>
              <w:pStyle w:val="Heading6"/>
              <w:suppressLineNumbers/>
            </w:pPr>
            <w:r w:rsidRPr="00D622B9">
              <w:t>Requesting agency</w:t>
            </w:r>
          </w:p>
        </w:tc>
        <w:tc>
          <w:tcPr>
            <w:tcW w:w="7830" w:type="dxa"/>
            <w:tcBorders>
              <w:top w:val="single" w:sz="4" w:space="0" w:color="auto"/>
              <w:bottom w:val="single" w:sz="4" w:space="0" w:color="auto"/>
            </w:tcBorders>
          </w:tcPr>
          <w:p w14:paraId="77D5AEE9" w14:textId="77777777" w:rsidR="00B1520C" w:rsidRPr="00D622B9" w:rsidRDefault="00B1520C" w:rsidP="00277A51">
            <w:pPr>
              <w:pStyle w:val="Tabletext"/>
              <w:suppressLineNumbers/>
            </w:pPr>
            <w:r w:rsidRPr="00D622B9">
              <w:t xml:space="preserve">The </w:t>
            </w:r>
            <w:r w:rsidR="00C43084" w:rsidRPr="00D622B9">
              <w:t xml:space="preserve">Australian Government </w:t>
            </w:r>
            <w:r w:rsidR="001765DA" w:rsidRPr="00D622B9">
              <w:t xml:space="preserve">Department of </w:t>
            </w:r>
            <w:r w:rsidR="00616861" w:rsidRPr="00D622B9">
              <w:t>the</w:t>
            </w:r>
            <w:r w:rsidR="001765DA" w:rsidRPr="00D622B9">
              <w:t xml:space="preserve"> Environment</w:t>
            </w:r>
            <w:r w:rsidRPr="00D622B9">
              <w:t xml:space="preserve"> </w:t>
            </w:r>
            <w:r w:rsidR="00F7628B">
              <w:t xml:space="preserve">and Energy </w:t>
            </w:r>
          </w:p>
          <w:p w14:paraId="5BA42B7C" w14:textId="77777777" w:rsidR="003E2BDB" w:rsidRPr="00C43084" w:rsidRDefault="003E2BDB" w:rsidP="00277A51">
            <w:pPr>
              <w:pStyle w:val="Tabletext"/>
              <w:suppressLineNumbers/>
            </w:pPr>
          </w:p>
        </w:tc>
      </w:tr>
      <w:tr w:rsidR="001765DA" w:rsidRPr="002A5EC3" w14:paraId="0AAE3576" w14:textId="77777777" w:rsidTr="00784E40">
        <w:trPr>
          <w:trHeight w:val="19"/>
        </w:trPr>
        <w:tc>
          <w:tcPr>
            <w:tcW w:w="1810" w:type="dxa"/>
            <w:tcBorders>
              <w:top w:val="single" w:sz="4" w:space="0" w:color="auto"/>
              <w:bottom w:val="single" w:sz="4" w:space="0" w:color="auto"/>
            </w:tcBorders>
          </w:tcPr>
          <w:p w14:paraId="5FEB2899" w14:textId="77777777" w:rsidR="001765DA" w:rsidRPr="00D622B9" w:rsidRDefault="001765DA" w:rsidP="00277A51">
            <w:pPr>
              <w:pStyle w:val="Heading6"/>
              <w:suppressLineNumbers/>
            </w:pPr>
            <w:r w:rsidRPr="00D622B9">
              <w:t>Date of request</w:t>
            </w:r>
          </w:p>
        </w:tc>
        <w:tc>
          <w:tcPr>
            <w:tcW w:w="7830" w:type="dxa"/>
            <w:tcBorders>
              <w:top w:val="single" w:sz="4" w:space="0" w:color="auto"/>
              <w:bottom w:val="single" w:sz="4" w:space="0" w:color="auto"/>
            </w:tcBorders>
          </w:tcPr>
          <w:p w14:paraId="5B814E85" w14:textId="77777777" w:rsidR="001765DA" w:rsidRPr="002A5EC3" w:rsidRDefault="005A582F" w:rsidP="005A582F">
            <w:pPr>
              <w:pStyle w:val="Tabletext"/>
              <w:suppressLineNumbers/>
            </w:pPr>
            <w:r w:rsidRPr="005A582F">
              <w:t xml:space="preserve">26 September </w:t>
            </w:r>
            <w:r w:rsidR="00716583" w:rsidRPr="005A582F">
              <w:t>201</w:t>
            </w:r>
            <w:r w:rsidRPr="005A582F">
              <w:t>8</w:t>
            </w:r>
            <w:r w:rsidR="00E21678" w:rsidRPr="005A582F">
              <w:rPr>
                <w:b/>
              </w:rPr>
              <w:t xml:space="preserve"> </w:t>
            </w:r>
          </w:p>
        </w:tc>
      </w:tr>
      <w:tr w:rsidR="00185039" w:rsidRPr="002A5EC3" w14:paraId="4FD08171" w14:textId="77777777" w:rsidTr="00784E40">
        <w:trPr>
          <w:trHeight w:val="19"/>
        </w:trPr>
        <w:tc>
          <w:tcPr>
            <w:tcW w:w="1810" w:type="dxa"/>
            <w:tcBorders>
              <w:top w:val="single" w:sz="4" w:space="0" w:color="auto"/>
              <w:bottom w:val="single" w:sz="4" w:space="0" w:color="auto"/>
            </w:tcBorders>
          </w:tcPr>
          <w:p w14:paraId="5845ADFB" w14:textId="77777777" w:rsidR="00185039" w:rsidRPr="00D622B9" w:rsidRDefault="00185039" w:rsidP="00277A51">
            <w:pPr>
              <w:pStyle w:val="Heading6"/>
              <w:suppressLineNumbers/>
            </w:pPr>
            <w:r w:rsidRPr="00D622B9">
              <w:t>Date request accepted</w:t>
            </w:r>
          </w:p>
        </w:tc>
        <w:tc>
          <w:tcPr>
            <w:tcW w:w="7830" w:type="dxa"/>
            <w:tcBorders>
              <w:top w:val="single" w:sz="4" w:space="0" w:color="auto"/>
              <w:bottom w:val="single" w:sz="4" w:space="0" w:color="auto"/>
            </w:tcBorders>
          </w:tcPr>
          <w:p w14:paraId="04306648" w14:textId="77777777" w:rsidR="00185039" w:rsidRPr="002A5EC3" w:rsidRDefault="005A582F" w:rsidP="005A582F">
            <w:pPr>
              <w:pStyle w:val="Tabletext"/>
              <w:suppressLineNumbers/>
            </w:pPr>
            <w:r w:rsidRPr="005A582F">
              <w:t>27 September</w:t>
            </w:r>
            <w:r w:rsidR="00185039" w:rsidRPr="005A582F">
              <w:t xml:space="preserve"> 201</w:t>
            </w:r>
            <w:r w:rsidRPr="005A582F">
              <w:t>8</w:t>
            </w:r>
            <w:r w:rsidR="00185039" w:rsidRPr="005A582F">
              <w:rPr>
                <w:b/>
                <w:lang w:eastAsia="en-AU"/>
              </w:rPr>
              <w:t xml:space="preserve"> </w:t>
            </w:r>
          </w:p>
        </w:tc>
      </w:tr>
      <w:tr w:rsidR="00062A46" w:rsidRPr="002A5EC3" w14:paraId="219211C6" w14:textId="77777777" w:rsidTr="00784E40">
        <w:trPr>
          <w:trHeight w:val="19"/>
        </w:trPr>
        <w:tc>
          <w:tcPr>
            <w:tcW w:w="1810" w:type="dxa"/>
            <w:tcBorders>
              <w:top w:val="single" w:sz="4" w:space="0" w:color="auto"/>
              <w:bottom w:val="single" w:sz="4" w:space="0" w:color="auto"/>
            </w:tcBorders>
          </w:tcPr>
          <w:p w14:paraId="0D02A91D" w14:textId="77777777" w:rsidR="00062A46" w:rsidRPr="00D622B9" w:rsidRDefault="00062A46" w:rsidP="00277A51">
            <w:pPr>
              <w:pStyle w:val="Heading6"/>
              <w:suppressLineNumbers/>
            </w:pPr>
            <w:r w:rsidRPr="00D622B9">
              <w:t xml:space="preserve">Advice stage </w:t>
            </w:r>
          </w:p>
        </w:tc>
        <w:tc>
          <w:tcPr>
            <w:tcW w:w="7830" w:type="dxa"/>
            <w:tcBorders>
              <w:top w:val="single" w:sz="4" w:space="0" w:color="auto"/>
              <w:bottom w:val="single" w:sz="4" w:space="0" w:color="auto"/>
            </w:tcBorders>
          </w:tcPr>
          <w:p w14:paraId="3A1E87F1" w14:textId="77777777" w:rsidR="00C7303D" w:rsidRPr="00B451D3" w:rsidRDefault="00062A46" w:rsidP="00C7303D">
            <w:pPr>
              <w:pStyle w:val="Tabletext"/>
              <w:suppressLineNumbers/>
              <w:rPr>
                <w:lang w:eastAsia="en-AU"/>
              </w:rPr>
            </w:pPr>
            <w:r>
              <w:rPr>
                <w:lang w:eastAsia="en-AU"/>
              </w:rPr>
              <w:t xml:space="preserve">Assessment </w:t>
            </w:r>
          </w:p>
          <w:p w14:paraId="4051EA30" w14:textId="77777777" w:rsidR="00062A46" w:rsidRPr="00B451D3" w:rsidRDefault="00062A46" w:rsidP="00277A51">
            <w:pPr>
              <w:pStyle w:val="Tabletext"/>
              <w:suppressLineNumbers/>
              <w:rPr>
                <w:lang w:eastAsia="en-AU"/>
              </w:rPr>
            </w:pPr>
          </w:p>
        </w:tc>
      </w:tr>
    </w:tbl>
    <w:p w14:paraId="7BC0A6B4" w14:textId="77777777" w:rsidR="00C60A1A"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652EB9" w14:paraId="4DD18BFC" w14:textId="77777777" w:rsidTr="00784E40">
        <w:trPr>
          <w:trHeight w:val="2955"/>
        </w:trPr>
        <w:tc>
          <w:tcPr>
            <w:tcW w:w="9640" w:type="dxa"/>
            <w:shd w:val="clear" w:color="auto" w:fill="E7E6E6"/>
          </w:tcPr>
          <w:p w14:paraId="23CEC23B" w14:textId="518939FB" w:rsidR="00C60A1A" w:rsidRPr="00CD7E84" w:rsidRDefault="00C60A1A" w:rsidP="00A57E8B">
            <w:pPr>
              <w:pStyle w:val="NEWNormalTNR12"/>
              <w:spacing w:before="120" w:after="120" w:line="276" w:lineRule="auto"/>
              <w:ind w:left="34"/>
              <w:rPr>
                <w:rFonts w:ascii="Arial" w:hAnsi="Arial" w:cs="Arial"/>
                <w:sz w:val="20"/>
                <w:szCs w:val="20"/>
              </w:rPr>
            </w:pPr>
            <w:r w:rsidRPr="00CD7E84">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w:t>
            </w:r>
            <w:r w:rsidR="0035304F">
              <w:rPr>
                <w:rFonts w:ascii="Arial" w:hAnsi="Arial" w:cs="Arial"/>
                <w:sz w:val="20"/>
                <w:szCs w:val="20"/>
              </w:rPr>
              <w:t xml:space="preserve"> </w:t>
            </w:r>
            <w:r w:rsidRPr="00CD7E84">
              <w:rPr>
                <w:rFonts w:ascii="Arial" w:hAnsi="Arial" w:cs="Arial"/>
                <w:sz w:val="20"/>
                <w:szCs w:val="20"/>
              </w:rPr>
              <w:t>The advice is designed to ensure that decisions by regulators on coal seam gas or large coal mining developments are informed by the best available science.</w:t>
            </w:r>
          </w:p>
          <w:p w14:paraId="73EC5DA6" w14:textId="56E569C7" w:rsidR="00C60A1A" w:rsidRPr="00652EB9" w:rsidRDefault="00C60A1A" w:rsidP="0035304F">
            <w:pPr>
              <w:pStyle w:val="NEWNormalTNR12"/>
              <w:spacing w:before="120" w:after="120" w:line="276" w:lineRule="auto"/>
              <w:ind w:left="34"/>
              <w:rPr>
                <w:rFonts w:asciiTheme="minorHAnsi" w:hAnsiTheme="minorHAnsi"/>
                <w:sz w:val="20"/>
                <w:szCs w:val="20"/>
              </w:rPr>
            </w:pPr>
            <w:r w:rsidRPr="00CD7E84">
              <w:rPr>
                <w:rFonts w:ascii="Arial" w:hAnsi="Arial" w:cs="Arial"/>
                <w:sz w:val="20"/>
                <w:szCs w:val="20"/>
              </w:rPr>
              <w:t xml:space="preserve">The IESC was requested by the Australian Government Department of the Environment </w:t>
            </w:r>
            <w:r w:rsidR="00815C9D">
              <w:rPr>
                <w:rFonts w:ascii="Arial" w:hAnsi="Arial" w:cs="Arial"/>
                <w:sz w:val="20"/>
                <w:szCs w:val="20"/>
              </w:rPr>
              <w:t xml:space="preserve">and Energy </w:t>
            </w:r>
            <w:r w:rsidRPr="00CD7E84">
              <w:rPr>
                <w:rFonts w:ascii="Arial" w:hAnsi="Arial" w:cs="Arial"/>
                <w:sz w:val="20"/>
                <w:szCs w:val="20"/>
              </w:rPr>
              <w:t xml:space="preserve">to provide advice on </w:t>
            </w:r>
            <w:r w:rsidR="005A582F" w:rsidRPr="00EB32AD">
              <w:rPr>
                <w:rFonts w:ascii="Arial" w:hAnsi="Arial" w:cs="Arial"/>
                <w:sz w:val="20"/>
                <w:szCs w:val="20"/>
              </w:rPr>
              <w:t xml:space="preserve">Middlemount Coal Pty </w:t>
            </w:r>
            <w:proofErr w:type="spellStart"/>
            <w:r w:rsidR="005A582F" w:rsidRPr="00EB32AD">
              <w:rPr>
                <w:rFonts w:ascii="Arial" w:hAnsi="Arial" w:cs="Arial"/>
                <w:sz w:val="20"/>
                <w:szCs w:val="20"/>
              </w:rPr>
              <w:t>Ltd</w:t>
            </w:r>
            <w:r w:rsidRPr="00EB32AD">
              <w:rPr>
                <w:rFonts w:ascii="Arial" w:hAnsi="Arial" w:cs="Arial"/>
                <w:sz w:val="20"/>
                <w:szCs w:val="20"/>
              </w:rPr>
              <w:t>’s</w:t>
            </w:r>
            <w:proofErr w:type="spellEnd"/>
            <w:r w:rsidRPr="00EB32AD">
              <w:rPr>
                <w:rFonts w:ascii="Arial" w:hAnsi="Arial" w:cs="Arial"/>
                <w:sz w:val="20"/>
                <w:szCs w:val="20"/>
              </w:rPr>
              <w:t xml:space="preserve"> </w:t>
            </w:r>
            <w:r w:rsidR="006C3409">
              <w:rPr>
                <w:rFonts w:ascii="Arial" w:hAnsi="Arial" w:cs="Arial"/>
                <w:sz w:val="20"/>
                <w:szCs w:val="20"/>
              </w:rPr>
              <w:t xml:space="preserve">- </w:t>
            </w:r>
            <w:r w:rsidR="005A582F" w:rsidRPr="00EB32AD">
              <w:rPr>
                <w:rFonts w:ascii="Arial" w:hAnsi="Arial" w:cs="Arial"/>
                <w:sz w:val="20"/>
                <w:szCs w:val="20"/>
              </w:rPr>
              <w:t>Middlemount Coal Mine Western Extension Project</w:t>
            </w:r>
            <w:r w:rsidRPr="00EB32AD">
              <w:rPr>
                <w:rFonts w:ascii="Arial" w:hAnsi="Arial" w:cs="Arial"/>
                <w:sz w:val="20"/>
                <w:szCs w:val="20"/>
              </w:rPr>
              <w:t xml:space="preserve"> in </w:t>
            </w:r>
            <w:r w:rsidR="005A582F" w:rsidRPr="00EB32AD">
              <w:rPr>
                <w:rFonts w:ascii="Arial" w:hAnsi="Arial" w:cs="Arial"/>
                <w:sz w:val="20"/>
                <w:szCs w:val="20"/>
              </w:rPr>
              <w:t>Queensland</w:t>
            </w:r>
            <w:r w:rsidRPr="00EB32AD">
              <w:rPr>
                <w:rFonts w:ascii="Arial" w:hAnsi="Arial" w:cs="Arial"/>
                <w:sz w:val="20"/>
                <w:szCs w:val="20"/>
              </w:rPr>
              <w:t>.</w:t>
            </w:r>
            <w:r w:rsidR="0035304F">
              <w:rPr>
                <w:rFonts w:ascii="Arial" w:hAnsi="Arial" w:cs="Arial"/>
                <w:sz w:val="20"/>
                <w:szCs w:val="20"/>
              </w:rPr>
              <w:t xml:space="preserve"> </w:t>
            </w:r>
            <w:r w:rsidRPr="005A582F">
              <w:rPr>
                <w:rFonts w:ascii="Arial" w:hAnsi="Arial" w:cs="Arial"/>
                <w:sz w:val="20"/>
                <w:szCs w:val="20"/>
              </w:rPr>
              <w:t xml:space="preserve">This document </w:t>
            </w:r>
            <w:r w:rsidRPr="00CD7E84">
              <w:rPr>
                <w:rFonts w:ascii="Arial" w:hAnsi="Arial" w:cs="Arial"/>
                <w:sz w:val="20"/>
                <w:szCs w:val="20"/>
              </w:rPr>
              <w:t>provides the IESC’s advice in response to the requesting agency’s questions. These questions are directed at matters specific to the project to be considered during the requesting agency’s assessment process.</w:t>
            </w:r>
            <w:r w:rsidR="0035304F">
              <w:rPr>
                <w:rFonts w:ascii="Arial" w:hAnsi="Arial" w:cs="Arial"/>
                <w:sz w:val="20"/>
                <w:szCs w:val="20"/>
              </w:rPr>
              <w:t xml:space="preserve"> </w:t>
            </w:r>
            <w:r>
              <w:rPr>
                <w:rFonts w:ascii="Arial" w:hAnsi="Arial" w:cs="Arial"/>
                <w:sz w:val="20"/>
                <w:szCs w:val="20"/>
              </w:rPr>
              <w:t>T</w:t>
            </w:r>
            <w:r w:rsidRPr="00CD7E84">
              <w:rPr>
                <w:rFonts w:ascii="Arial" w:hAnsi="Arial" w:cs="Arial"/>
                <w:sz w:val="20"/>
                <w:szCs w:val="20"/>
              </w:rPr>
              <w:t>his advice</w:t>
            </w:r>
            <w:r>
              <w:rPr>
                <w:rFonts w:ascii="Arial" w:hAnsi="Arial" w:cs="Arial"/>
                <w:sz w:val="20"/>
                <w:szCs w:val="20"/>
              </w:rPr>
              <w:t xml:space="preserve"> draws upon the</w:t>
            </w:r>
            <w:r w:rsidRPr="00CD7E84">
              <w:rPr>
                <w:rFonts w:ascii="Arial" w:hAnsi="Arial" w:cs="Arial"/>
                <w:sz w:val="20"/>
                <w:szCs w:val="20"/>
              </w:rPr>
              <w:t xml:space="preserve"> available assessment docume</w:t>
            </w:r>
            <w:r w:rsidR="00F424D7">
              <w:rPr>
                <w:rFonts w:ascii="Arial" w:hAnsi="Arial" w:cs="Arial"/>
                <w:sz w:val="20"/>
                <w:szCs w:val="20"/>
              </w:rPr>
              <w:t xml:space="preserve">ntation, data and methodologies, </w:t>
            </w:r>
            <w:r>
              <w:rPr>
                <w:rFonts w:ascii="Arial" w:hAnsi="Arial" w:cs="Arial"/>
                <w:sz w:val="20"/>
                <w:szCs w:val="20"/>
              </w:rPr>
              <w:t>together with the expert deliberations of the IESC</w:t>
            </w:r>
            <w:r w:rsidR="001E2E34">
              <w:rPr>
                <w:rFonts w:ascii="Arial" w:hAnsi="Arial" w:cs="Arial"/>
                <w:sz w:val="20"/>
                <w:szCs w:val="20"/>
              </w:rPr>
              <w:t>,</w:t>
            </w:r>
            <w:r>
              <w:rPr>
                <w:rFonts w:ascii="Arial" w:hAnsi="Arial" w:cs="Arial"/>
                <w:sz w:val="20"/>
                <w:szCs w:val="20"/>
              </w:rPr>
              <w:t xml:space="preserve"> and is assessed </w:t>
            </w:r>
            <w:r w:rsidRPr="00CD7E84">
              <w:rPr>
                <w:rFonts w:ascii="Arial" w:hAnsi="Arial" w:cs="Arial"/>
                <w:sz w:val="20"/>
                <w:szCs w:val="20"/>
              </w:rPr>
              <w:t xml:space="preserve">against </w:t>
            </w:r>
            <w:r>
              <w:rPr>
                <w:rFonts w:ascii="Arial" w:hAnsi="Arial" w:cs="Arial"/>
                <w:sz w:val="20"/>
                <w:szCs w:val="20"/>
              </w:rPr>
              <w:t>the</w:t>
            </w:r>
            <w:r w:rsidRPr="00CD7E84">
              <w:rPr>
                <w:rFonts w:ascii="Arial" w:hAnsi="Arial" w:cs="Arial"/>
                <w:sz w:val="20"/>
                <w:szCs w:val="20"/>
              </w:rPr>
              <w:t xml:space="preserve"> </w:t>
            </w:r>
            <w:r>
              <w:rPr>
                <w:rFonts w:ascii="Arial" w:hAnsi="Arial" w:cs="Arial"/>
                <w:sz w:val="20"/>
                <w:szCs w:val="20"/>
              </w:rPr>
              <w:t xml:space="preserve">IESC </w:t>
            </w:r>
            <w:r w:rsidRPr="00CD7E84">
              <w:rPr>
                <w:rFonts w:ascii="Arial" w:hAnsi="Arial" w:cs="Arial"/>
                <w:sz w:val="20"/>
                <w:szCs w:val="20"/>
              </w:rPr>
              <w:t>Information Guidelines (</w:t>
            </w:r>
            <w:r w:rsidR="001E2E34" w:rsidRPr="001E2E34">
              <w:rPr>
                <w:rFonts w:ascii="Arial" w:hAnsi="Arial" w:cs="Arial"/>
                <w:sz w:val="20"/>
                <w:szCs w:val="20"/>
              </w:rPr>
              <w:t>IESC, 201</w:t>
            </w:r>
            <w:r w:rsidR="001E2E34">
              <w:rPr>
                <w:rFonts w:ascii="Arial" w:hAnsi="Arial" w:cs="Arial"/>
                <w:sz w:val="20"/>
                <w:szCs w:val="20"/>
              </w:rPr>
              <w:t>8</w:t>
            </w:r>
            <w:r w:rsidRPr="00CD7E84">
              <w:rPr>
                <w:rFonts w:ascii="Arial" w:hAnsi="Arial" w:cs="Arial"/>
                <w:sz w:val="20"/>
                <w:szCs w:val="20"/>
              </w:rPr>
              <w:t>).</w:t>
            </w:r>
          </w:p>
        </w:tc>
      </w:tr>
    </w:tbl>
    <w:p w14:paraId="7AF424ED" w14:textId="77777777" w:rsidR="00787D99" w:rsidRDefault="00787D99" w:rsidP="00D622B9">
      <w:pPr>
        <w:pStyle w:val="Heading3"/>
        <w:rPr>
          <w:color w:val="365F91" w:themeColor="accent1" w:themeShade="BF"/>
        </w:rPr>
      </w:pPr>
      <w:r w:rsidRPr="00DF5461">
        <w:t>Summary</w:t>
      </w:r>
      <w:r w:rsidRPr="00787D99">
        <w:rPr>
          <w:color w:val="365F91" w:themeColor="accent1" w:themeShade="BF"/>
        </w:rPr>
        <w:t xml:space="preserve"> </w:t>
      </w:r>
    </w:p>
    <w:p w14:paraId="033984E6" w14:textId="205851EC" w:rsidR="009C0F69" w:rsidRDefault="00C7303D" w:rsidP="009C0F69">
      <w:r w:rsidRPr="006E4337">
        <w:t>The Middlemount Coal Mine Western Extension</w:t>
      </w:r>
      <w:r w:rsidR="00291857" w:rsidRPr="006E4337">
        <w:t xml:space="preserve"> </w:t>
      </w:r>
      <w:r w:rsidRPr="006E4337">
        <w:t xml:space="preserve">proposes expansion of an existing approved open cut coal mine in Queensland. </w:t>
      </w:r>
      <w:r w:rsidR="00781916" w:rsidRPr="006E4337">
        <w:t xml:space="preserve">The </w:t>
      </w:r>
      <w:r w:rsidR="00843AB8" w:rsidRPr="006E4337">
        <w:t xml:space="preserve">proposed </w:t>
      </w:r>
      <w:r w:rsidR="00781916" w:rsidRPr="006E4337">
        <w:t>project</w:t>
      </w:r>
      <w:r w:rsidR="00843AB8" w:rsidRPr="006E4337">
        <w:t xml:space="preserve"> will extend the current mine life by </w:t>
      </w:r>
      <w:r w:rsidR="000814AA">
        <w:t>six</w:t>
      </w:r>
      <w:r w:rsidR="00843AB8" w:rsidRPr="006E4337">
        <w:t xml:space="preserve"> years and</w:t>
      </w:r>
      <w:r w:rsidR="00781916" w:rsidRPr="006E4337">
        <w:t xml:space="preserve"> recover an additional 21 </w:t>
      </w:r>
      <w:r w:rsidR="000814AA">
        <w:t>million tonnes (</w:t>
      </w:r>
      <w:r w:rsidR="00781916" w:rsidRPr="006E4337">
        <w:t>Mt</w:t>
      </w:r>
      <w:r w:rsidR="000814AA">
        <w:t>)</w:t>
      </w:r>
      <w:r w:rsidR="00781916" w:rsidRPr="006E4337">
        <w:t xml:space="preserve"> </w:t>
      </w:r>
      <w:r w:rsidR="00781916" w:rsidRPr="000814AA">
        <w:t xml:space="preserve">of </w:t>
      </w:r>
      <w:r w:rsidR="00785D06" w:rsidRPr="000814AA">
        <w:t xml:space="preserve">metallurgical </w:t>
      </w:r>
      <w:r w:rsidR="00357EE2" w:rsidRPr="000814AA">
        <w:t xml:space="preserve">and thermal </w:t>
      </w:r>
      <w:r w:rsidR="00781916" w:rsidRPr="000814AA">
        <w:t>coal</w:t>
      </w:r>
      <w:r w:rsidR="00781916" w:rsidRPr="006E4337">
        <w:t>.</w:t>
      </w:r>
      <w:r w:rsidR="009C0F69" w:rsidRPr="006E4337">
        <w:t xml:space="preserve"> The proposal expands on </w:t>
      </w:r>
      <w:r w:rsidR="00785D06" w:rsidRPr="006E4337">
        <w:t xml:space="preserve">the </w:t>
      </w:r>
      <w:r w:rsidR="009C0F69" w:rsidRPr="000814AA">
        <w:rPr>
          <w:i/>
        </w:rPr>
        <w:t>E</w:t>
      </w:r>
      <w:r w:rsidR="00930FDA" w:rsidRPr="000814AA">
        <w:rPr>
          <w:i/>
        </w:rPr>
        <w:t xml:space="preserve">nvironment Protection and Biodiversity Conservation </w:t>
      </w:r>
      <w:r w:rsidR="00EE001C" w:rsidRPr="000814AA">
        <w:t>(EPBC)</w:t>
      </w:r>
      <w:r w:rsidR="00EE001C" w:rsidRPr="006E4337">
        <w:t xml:space="preserve"> </w:t>
      </w:r>
      <w:r w:rsidR="00930FDA" w:rsidRPr="000814AA">
        <w:t>Act 1999</w:t>
      </w:r>
      <w:r w:rsidR="00930FDA" w:rsidRPr="006E4337">
        <w:t xml:space="preserve"> </w:t>
      </w:r>
      <w:r w:rsidR="009C0F69" w:rsidRPr="006E4337">
        <w:t>approval 2010/5394 and EPBC approval 2016/7717.</w:t>
      </w:r>
      <w:r w:rsidR="009C0F69">
        <w:t xml:space="preserve"> </w:t>
      </w:r>
    </w:p>
    <w:p w14:paraId="50AC1524" w14:textId="71932CC4" w:rsidR="00DF2860" w:rsidRPr="007A37BA" w:rsidRDefault="00F57255" w:rsidP="00291857">
      <w:r w:rsidRPr="000814AA">
        <w:t>The groundwater assessment appears generally appropriate, though the projected impacts are dependent on a number of assumptions that would benefit from further hydrogeological characterisation and investigation</w:t>
      </w:r>
      <w:r w:rsidR="009A42C9">
        <w:t>, based on field measurements, which would help improve confidence in the model’s predictions of groundwater drawdown</w:t>
      </w:r>
      <w:r w:rsidRPr="000814AA">
        <w:t>.</w:t>
      </w:r>
      <w:r w:rsidR="00072FD0" w:rsidRPr="000814AA">
        <w:t xml:space="preserve"> </w:t>
      </w:r>
    </w:p>
    <w:p w14:paraId="74B3D8A6" w14:textId="77777777" w:rsidR="009F239A" w:rsidRPr="006E4337" w:rsidRDefault="009F239A" w:rsidP="009F239A">
      <w:pPr>
        <w:rPr>
          <w:b/>
          <w:color w:val="FF0000"/>
        </w:rPr>
      </w:pPr>
      <w:r w:rsidRPr="007A37BA">
        <w:lastRenderedPageBreak/>
        <w:t xml:space="preserve">The surface water assessment is sound, covering water quality, changes to flows and the likely impact of unfilled final voids. The proponent has made good use of </w:t>
      </w:r>
      <w:r>
        <w:t xml:space="preserve">the </w:t>
      </w:r>
      <w:r w:rsidRPr="007A37BA">
        <w:t xml:space="preserve">data collected as part of existing and </w:t>
      </w:r>
      <w:r w:rsidRPr="006E4337">
        <w:t xml:space="preserve">surrounding mine operations. </w:t>
      </w:r>
      <w:r w:rsidR="009336A2" w:rsidRPr="006E4337">
        <w:t xml:space="preserve">Water balance modelling using OPSIM has been in place and continually updated since </w:t>
      </w:r>
      <w:r w:rsidR="000814AA">
        <w:t xml:space="preserve">the </w:t>
      </w:r>
      <w:r w:rsidR="009336A2" w:rsidRPr="000814AA">
        <w:t>inception</w:t>
      </w:r>
      <w:r w:rsidR="009336A2" w:rsidRPr="006E4337">
        <w:t xml:space="preserve"> of the mine. Flood modelling using URBS and TUFLOW has been developed and appears fit for purpose. </w:t>
      </w:r>
      <w:r w:rsidRPr="006E4337">
        <w:t xml:space="preserve">References and some detail of the water management plans in place for current approved operations have been provided </w:t>
      </w:r>
      <w:r w:rsidRPr="000814AA">
        <w:t>but without</w:t>
      </w:r>
      <w:r w:rsidRPr="006E4337">
        <w:t xml:space="preserve"> seeing the plans in their entirety, the </w:t>
      </w:r>
      <w:r w:rsidR="009114CF" w:rsidRPr="006E4337">
        <w:t xml:space="preserve">IESC </w:t>
      </w:r>
      <w:r w:rsidRPr="006E4337">
        <w:t xml:space="preserve">cannot assess their suitability </w:t>
      </w:r>
      <w:r w:rsidR="00F7561E" w:rsidRPr="006E4337">
        <w:t xml:space="preserve">for </w:t>
      </w:r>
      <w:r w:rsidRPr="006E4337">
        <w:t>the current proposal.</w:t>
      </w:r>
    </w:p>
    <w:p w14:paraId="328B4F97" w14:textId="3A17E630" w:rsidR="009F239A" w:rsidRPr="006E4337" w:rsidRDefault="00DF2102" w:rsidP="009F239A">
      <w:r w:rsidRPr="006E4337">
        <w:t xml:space="preserve">Ecological surveys reveal </w:t>
      </w:r>
      <w:r w:rsidRPr="000814AA">
        <w:t>t</w:t>
      </w:r>
      <w:r w:rsidR="009F239A" w:rsidRPr="000814AA">
        <w:t xml:space="preserve">he project area contains </w:t>
      </w:r>
      <w:r w:rsidR="00442741" w:rsidRPr="000814AA">
        <w:t>EPBC Act</w:t>
      </w:r>
      <w:r w:rsidR="000814AA">
        <w:t>-</w:t>
      </w:r>
      <w:r w:rsidR="00442741" w:rsidRPr="000814AA">
        <w:t xml:space="preserve">listed </w:t>
      </w:r>
      <w:r w:rsidR="009F239A" w:rsidRPr="000814AA">
        <w:t>Brigalow T</w:t>
      </w:r>
      <w:r w:rsidR="009114CF" w:rsidRPr="000814AA">
        <w:t xml:space="preserve">hreatened </w:t>
      </w:r>
      <w:r w:rsidR="009F239A" w:rsidRPr="000814AA">
        <w:t>E</w:t>
      </w:r>
      <w:r w:rsidR="009114CF" w:rsidRPr="000814AA">
        <w:t xml:space="preserve">cological </w:t>
      </w:r>
      <w:r w:rsidR="009F239A" w:rsidRPr="000814AA">
        <w:t>C</w:t>
      </w:r>
      <w:r w:rsidR="009114CF" w:rsidRPr="000814AA">
        <w:t>ommunity</w:t>
      </w:r>
      <w:r w:rsidR="00442741" w:rsidRPr="000814AA">
        <w:t xml:space="preserve"> (TEC)</w:t>
      </w:r>
      <w:r w:rsidR="00664DAF" w:rsidRPr="000814AA">
        <w:t>;</w:t>
      </w:r>
      <w:r w:rsidR="009F239A" w:rsidRPr="000814AA">
        <w:t xml:space="preserve"> habitat supporting the potential presence of four EPBC </w:t>
      </w:r>
      <w:r w:rsidR="000814AA">
        <w:t>Act-</w:t>
      </w:r>
      <w:r w:rsidR="009F239A" w:rsidRPr="000814AA">
        <w:t>listed species (one of which has been confirmed by targeted survey</w:t>
      </w:r>
      <w:r w:rsidR="000814AA">
        <w:t>s</w:t>
      </w:r>
      <w:r w:rsidR="009F239A" w:rsidRPr="000814AA">
        <w:t>)</w:t>
      </w:r>
      <w:r w:rsidR="00664DAF" w:rsidRPr="000814AA">
        <w:t>;</w:t>
      </w:r>
      <w:r w:rsidR="009F239A" w:rsidRPr="000814AA">
        <w:t xml:space="preserve"> a H</w:t>
      </w:r>
      <w:r w:rsidR="00442741" w:rsidRPr="000814AA">
        <w:t>igh Ecological Significance (HES)</w:t>
      </w:r>
      <w:r w:rsidR="009F239A" w:rsidRPr="000814AA">
        <w:t xml:space="preserve"> wetland and several </w:t>
      </w:r>
      <w:r w:rsidR="00474DC2" w:rsidRPr="000814AA">
        <w:t xml:space="preserve">Queensland </w:t>
      </w:r>
      <w:r w:rsidR="009F239A" w:rsidRPr="000814AA">
        <w:t xml:space="preserve">Regional </w:t>
      </w:r>
      <w:r w:rsidR="009114CF" w:rsidRPr="000814AA">
        <w:t>Ecosystem</w:t>
      </w:r>
      <w:r w:rsidR="00442741" w:rsidRPr="000814AA">
        <w:t>s (RE</w:t>
      </w:r>
      <w:r w:rsidR="000814AA">
        <w:t>s</w:t>
      </w:r>
      <w:r w:rsidR="00442741" w:rsidRPr="000814AA">
        <w:t>)</w:t>
      </w:r>
      <w:r w:rsidR="009F239A" w:rsidRPr="000814AA">
        <w:t>.</w:t>
      </w:r>
      <w:r w:rsidR="006413AA" w:rsidRPr="000814AA">
        <w:t xml:space="preserve"> The proponent has </w:t>
      </w:r>
      <w:r w:rsidR="00442741" w:rsidRPr="000814AA">
        <w:t>proposed</w:t>
      </w:r>
      <w:r w:rsidR="006413AA" w:rsidRPr="000814AA">
        <w:t xml:space="preserve"> offsets for predicted disturbance </w:t>
      </w:r>
      <w:r w:rsidRPr="000814AA">
        <w:t xml:space="preserve">of </w:t>
      </w:r>
      <w:r w:rsidR="006413AA" w:rsidRPr="000814AA">
        <w:t xml:space="preserve">these </w:t>
      </w:r>
      <w:r w:rsidR="004046C6" w:rsidRPr="000814AA">
        <w:t>ecological assets</w:t>
      </w:r>
      <w:r w:rsidR="006413AA" w:rsidRPr="000814AA">
        <w:t>.</w:t>
      </w:r>
      <w:r w:rsidR="000814AA">
        <w:t xml:space="preserve"> However, t</w:t>
      </w:r>
      <w:r w:rsidRPr="006E4337">
        <w:t xml:space="preserve">here is little information available in the proposal to address potential </w:t>
      </w:r>
      <w:r w:rsidR="00B400DB">
        <w:t xml:space="preserve">risks to </w:t>
      </w:r>
      <w:r w:rsidR="000814AA">
        <w:t>g</w:t>
      </w:r>
      <w:r w:rsidR="00730EC0" w:rsidRPr="006E4337">
        <w:t xml:space="preserve">roundwater </w:t>
      </w:r>
      <w:r w:rsidR="000814AA">
        <w:t>d</w:t>
      </w:r>
      <w:r w:rsidR="00730EC0" w:rsidRPr="006E4337">
        <w:t xml:space="preserve">ependent </w:t>
      </w:r>
      <w:r w:rsidR="000814AA">
        <w:t>ecosystem</w:t>
      </w:r>
      <w:r w:rsidR="00730EC0" w:rsidRPr="006E4337">
        <w:t>s (GDE</w:t>
      </w:r>
      <w:r w:rsidR="000814AA">
        <w:t>s</w:t>
      </w:r>
      <w:r w:rsidR="00730EC0" w:rsidRPr="006E4337">
        <w:t>),</w:t>
      </w:r>
      <w:r w:rsidRPr="006E4337">
        <w:t xml:space="preserve"> external, but nearby, to the project</w:t>
      </w:r>
      <w:r w:rsidR="004046C6" w:rsidRPr="006E4337">
        <w:t>,</w:t>
      </w:r>
      <w:r w:rsidRPr="006E4337">
        <w:t xml:space="preserve"> </w:t>
      </w:r>
      <w:r w:rsidR="004046C6" w:rsidRPr="00B400DB">
        <w:t>e</w:t>
      </w:r>
      <w:r w:rsidRPr="00B400DB">
        <w:t>.g.</w:t>
      </w:r>
      <w:r w:rsidRPr="006E4337">
        <w:t xml:space="preserve"> the wetlands to the north of the project area.</w:t>
      </w:r>
    </w:p>
    <w:p w14:paraId="2579344A" w14:textId="77777777" w:rsidR="00291857" w:rsidRPr="006E4337" w:rsidRDefault="00291857" w:rsidP="00291857">
      <w:r w:rsidRPr="006E4337">
        <w:rPr>
          <w:b/>
        </w:rPr>
        <w:t>Context</w:t>
      </w:r>
    </w:p>
    <w:p w14:paraId="35D7CBF5" w14:textId="186FAF88" w:rsidR="00FD7B20" w:rsidRPr="006E4337" w:rsidRDefault="00FD7B20" w:rsidP="00FD7B20">
      <w:r w:rsidRPr="006E4337">
        <w:t xml:space="preserve">The Middlemount Coal Mine Western </w:t>
      </w:r>
      <w:r w:rsidRPr="00B400DB">
        <w:t>Extension is approximately 3</w:t>
      </w:r>
      <w:r w:rsidR="004C29A2" w:rsidRPr="00B400DB">
        <w:t xml:space="preserve"> </w:t>
      </w:r>
      <w:r w:rsidRPr="00B400DB">
        <w:t>km</w:t>
      </w:r>
      <w:r w:rsidRPr="006E4337">
        <w:t xml:space="preserve"> south-west of Middlemount Township. </w:t>
      </w:r>
      <w:r w:rsidR="007D44DA" w:rsidRPr="006E4337">
        <w:t xml:space="preserve">Target seams for production include the </w:t>
      </w:r>
      <w:r w:rsidR="009F1540" w:rsidRPr="006E4337">
        <w:t xml:space="preserve">Middlemount, </w:t>
      </w:r>
      <w:r w:rsidR="00DF2102" w:rsidRPr="00B400DB">
        <w:t>Tralee and</w:t>
      </w:r>
      <w:r w:rsidR="00DF2102" w:rsidRPr="006E4337">
        <w:t xml:space="preserve"> </w:t>
      </w:r>
      <w:r w:rsidR="009F1540" w:rsidRPr="006E4337">
        <w:t>Pisces seams</w:t>
      </w:r>
      <w:r w:rsidRPr="006E4337">
        <w:t xml:space="preserve"> of the </w:t>
      </w:r>
      <w:proofErr w:type="spellStart"/>
      <w:r w:rsidRPr="006E4337">
        <w:t>Rangal</w:t>
      </w:r>
      <w:proofErr w:type="spellEnd"/>
      <w:r w:rsidRPr="006E4337">
        <w:t xml:space="preserve"> Coal Measures.</w:t>
      </w:r>
      <w:r w:rsidR="00DF1CA3" w:rsidRPr="006E4337">
        <w:t xml:space="preserve"> </w:t>
      </w:r>
      <w:r w:rsidR="00993D65" w:rsidRPr="006E4337">
        <w:t xml:space="preserve">The proposed </w:t>
      </w:r>
      <w:r w:rsidR="00993D65" w:rsidRPr="00B400DB">
        <w:t xml:space="preserve">project </w:t>
      </w:r>
      <w:r w:rsidR="006413AA" w:rsidRPr="00B400DB">
        <w:t>is</w:t>
      </w:r>
      <w:r w:rsidR="00993D65" w:rsidRPr="00B400DB">
        <w:t xml:space="preserve"> in the Roper</w:t>
      </w:r>
      <w:r w:rsidR="00993D65" w:rsidRPr="006E4337">
        <w:t xml:space="preserve"> Creek catchment within the Mackenzie River sub-basin of the greater Fitzroy Basin</w:t>
      </w:r>
      <w:r w:rsidR="009F1540" w:rsidRPr="006E4337">
        <w:t>, Queensland.</w:t>
      </w:r>
    </w:p>
    <w:p w14:paraId="32B83E03" w14:textId="5EA2A296" w:rsidR="00843AB8" w:rsidRPr="006E4337" w:rsidRDefault="003A25D6" w:rsidP="00843AB8">
      <w:r w:rsidRPr="006E4337">
        <w:t xml:space="preserve">The Middlemount coal mine is an open cut operation. </w:t>
      </w:r>
      <w:r w:rsidR="00993D65" w:rsidRPr="006E4337">
        <w:t xml:space="preserve">The </w:t>
      </w:r>
      <w:r w:rsidRPr="006E4337">
        <w:t xml:space="preserve">Middlemount Coal Mine Western Extension </w:t>
      </w:r>
      <w:r w:rsidR="00993D65" w:rsidRPr="006E4337">
        <w:t>project comprises an extension of operation</w:t>
      </w:r>
      <w:r w:rsidR="00347BA8" w:rsidRPr="006E4337">
        <w:t>s</w:t>
      </w:r>
      <w:r w:rsidR="00993D65" w:rsidRPr="006E4337">
        <w:t xml:space="preserve"> in the northwest of ML 70379 and into MLA 70027 to the east of the existing approved operation. </w:t>
      </w:r>
      <w:r w:rsidR="00DB7645" w:rsidRPr="006E4337">
        <w:t xml:space="preserve">Proposed surface disturbance </w:t>
      </w:r>
      <w:r w:rsidR="004046C6" w:rsidRPr="00B400DB">
        <w:t>of the extension</w:t>
      </w:r>
      <w:r w:rsidR="004046C6" w:rsidRPr="006E4337">
        <w:t xml:space="preserve"> </w:t>
      </w:r>
      <w:r w:rsidR="00DB7645" w:rsidRPr="006E4337">
        <w:t xml:space="preserve">is approximately 575 ha. </w:t>
      </w:r>
      <w:r w:rsidR="00993D65" w:rsidRPr="006E4337">
        <w:t xml:space="preserve">In addition, changes to approved infrastructure and </w:t>
      </w:r>
      <w:r w:rsidR="0035304F">
        <w:t xml:space="preserve">the </w:t>
      </w:r>
      <w:r w:rsidR="00993D65" w:rsidRPr="006E4337">
        <w:t>approved final landform are being sought to allow further road construction and an additional final void to be located in the south of ML 70379.</w:t>
      </w:r>
      <w:r w:rsidR="007D44DA" w:rsidRPr="006E4337">
        <w:t xml:space="preserve"> </w:t>
      </w:r>
      <w:r w:rsidR="00B86EEE" w:rsidRPr="00B400DB">
        <w:t>As part of the approval of Stage 2 of the project, the proponent is licensed to divert water flow in Roper Creek and Thirteen Mile Gully. The project proposes to extend and realign Thirteen Mile Gully to 1 km upstream of the existing levee.</w:t>
      </w:r>
      <w:r w:rsidR="00B86EEE" w:rsidRPr="006E4337">
        <w:t xml:space="preserve"> </w:t>
      </w:r>
      <w:r w:rsidR="007D44DA" w:rsidRPr="006E4337">
        <w:t xml:space="preserve">Current operations </w:t>
      </w:r>
      <w:r w:rsidR="00E00329" w:rsidRPr="006E4337">
        <w:t>are</w:t>
      </w:r>
      <w:r w:rsidR="007D44DA" w:rsidRPr="006E4337">
        <w:t xml:space="preserve"> managed under EA </w:t>
      </w:r>
      <w:r w:rsidR="00CC4208" w:rsidRPr="006E4337">
        <w:rPr>
          <w:rFonts w:eastAsia="Calibri"/>
          <w:lang w:eastAsia="en-AU"/>
        </w:rPr>
        <w:t>EPML00716913</w:t>
      </w:r>
      <w:r w:rsidR="00DB7645" w:rsidRPr="006E4337">
        <w:rPr>
          <w:rFonts w:eastAsia="Calibri"/>
          <w:lang w:eastAsia="en-AU"/>
        </w:rPr>
        <w:t xml:space="preserve"> (21 May 2018)</w:t>
      </w:r>
      <w:r w:rsidR="00CC4208" w:rsidRPr="006E4337">
        <w:rPr>
          <w:rFonts w:eastAsia="Calibri"/>
          <w:lang w:eastAsia="en-AU"/>
        </w:rPr>
        <w:t>.</w:t>
      </w:r>
      <w:r w:rsidR="00843AB8" w:rsidRPr="006E4337">
        <w:t xml:space="preserve"> The Interim IESC provided advice on the Stage 2 project on 31 July 2012. </w:t>
      </w:r>
    </w:p>
    <w:p w14:paraId="612FC1EB" w14:textId="77777777" w:rsidR="00843AB8" w:rsidRPr="006E4337" w:rsidRDefault="00843AB8" w:rsidP="00FD7B20">
      <w:r w:rsidRPr="006E4337">
        <w:t>W</w:t>
      </w:r>
      <w:r w:rsidRPr="006E4337">
        <w:rPr>
          <w:rStyle w:val="Heading4Char"/>
          <w:rFonts w:eastAsia="Calibri"/>
          <w:u w:val="none"/>
        </w:rPr>
        <w:t>ater-related assets in the surround</w:t>
      </w:r>
      <w:r w:rsidR="00DA3CDF" w:rsidRPr="006E4337">
        <w:rPr>
          <w:rStyle w:val="Heading4Char"/>
          <w:rFonts w:eastAsia="Calibri"/>
          <w:u w:val="none"/>
        </w:rPr>
        <w:t>ing</w:t>
      </w:r>
      <w:r w:rsidRPr="006E4337">
        <w:rPr>
          <w:rStyle w:val="Heading4Char"/>
          <w:rFonts w:eastAsia="Calibri"/>
          <w:u w:val="none"/>
        </w:rPr>
        <w:t xml:space="preserve"> region include a number of wetlands </w:t>
      </w:r>
      <w:r w:rsidR="008511FE" w:rsidRPr="006E4337">
        <w:rPr>
          <w:rStyle w:val="Heading4Char"/>
          <w:rFonts w:eastAsia="Calibri"/>
          <w:u w:val="none"/>
        </w:rPr>
        <w:t>offsite</w:t>
      </w:r>
      <w:r w:rsidR="00DF2102" w:rsidRPr="006E4337">
        <w:rPr>
          <w:rStyle w:val="Heading4Char"/>
          <w:rFonts w:eastAsia="Calibri"/>
          <w:u w:val="none"/>
        </w:rPr>
        <w:t xml:space="preserve">, </w:t>
      </w:r>
      <w:r w:rsidRPr="006E4337">
        <w:rPr>
          <w:rStyle w:val="Heading4Char"/>
          <w:rFonts w:eastAsia="Calibri"/>
          <w:u w:val="none"/>
        </w:rPr>
        <w:t>close to the northern boundary of the proposed project</w:t>
      </w:r>
      <w:r w:rsidR="00664DAF" w:rsidRPr="006E4337">
        <w:rPr>
          <w:rStyle w:val="Heading4Char"/>
          <w:rFonts w:eastAsia="Calibri"/>
          <w:u w:val="none"/>
        </w:rPr>
        <w:t xml:space="preserve"> </w:t>
      </w:r>
      <w:r w:rsidR="00664DAF" w:rsidRPr="00B400DB">
        <w:rPr>
          <w:rStyle w:val="Heading4Char"/>
          <w:rFonts w:eastAsia="Calibri"/>
          <w:u w:val="none"/>
        </w:rPr>
        <w:t>a</w:t>
      </w:r>
      <w:r w:rsidR="007D6EB6" w:rsidRPr="00B400DB">
        <w:rPr>
          <w:rStyle w:val="Heading4Char"/>
          <w:rFonts w:eastAsia="Calibri"/>
          <w:u w:val="none"/>
        </w:rPr>
        <w:t>s</w:t>
      </w:r>
      <w:r w:rsidR="007D6EB6" w:rsidRPr="006E4337">
        <w:rPr>
          <w:rStyle w:val="Heading4Char"/>
          <w:rFonts w:eastAsia="Calibri"/>
          <w:u w:val="none"/>
        </w:rPr>
        <w:t xml:space="preserve"> well as</w:t>
      </w:r>
      <w:r w:rsidR="008511FE" w:rsidRPr="006E4337">
        <w:rPr>
          <w:rStyle w:val="Heading4Char"/>
          <w:rFonts w:eastAsia="Calibri"/>
          <w:u w:val="none"/>
        </w:rPr>
        <w:t xml:space="preserve"> </w:t>
      </w:r>
      <w:r w:rsidRPr="006E4337">
        <w:rPr>
          <w:rStyle w:val="Heading4Char"/>
          <w:rFonts w:eastAsia="Calibri"/>
          <w:u w:val="none"/>
        </w:rPr>
        <w:t xml:space="preserve">five landholder bores used for water supply </w:t>
      </w:r>
      <w:r w:rsidRPr="00B400DB">
        <w:rPr>
          <w:rStyle w:val="Heading4Char"/>
          <w:rFonts w:eastAsia="Calibri"/>
          <w:u w:val="none"/>
        </w:rPr>
        <w:t>5</w:t>
      </w:r>
      <w:r w:rsidR="006413AA" w:rsidRPr="00B400DB">
        <w:rPr>
          <w:rStyle w:val="Heading4Char"/>
          <w:rFonts w:eastAsia="Calibri"/>
          <w:u w:val="none"/>
        </w:rPr>
        <w:t>-</w:t>
      </w:r>
      <w:r w:rsidRPr="00B400DB">
        <w:rPr>
          <w:rStyle w:val="Heading4Char"/>
          <w:rFonts w:eastAsia="Calibri"/>
          <w:u w:val="none"/>
        </w:rPr>
        <w:t>10</w:t>
      </w:r>
      <w:r w:rsidR="004C29A2" w:rsidRPr="00B400DB">
        <w:rPr>
          <w:rStyle w:val="Heading4Char"/>
          <w:rFonts w:eastAsia="Calibri"/>
          <w:u w:val="none"/>
        </w:rPr>
        <w:t xml:space="preserve"> </w:t>
      </w:r>
      <w:r w:rsidRPr="00B400DB">
        <w:rPr>
          <w:rStyle w:val="Heading4Char"/>
          <w:rFonts w:eastAsia="Calibri"/>
          <w:u w:val="none"/>
        </w:rPr>
        <w:t>km</w:t>
      </w:r>
      <w:r w:rsidRPr="006E4337">
        <w:rPr>
          <w:rStyle w:val="Heading4Char"/>
          <w:rFonts w:eastAsia="Calibri"/>
          <w:u w:val="none"/>
        </w:rPr>
        <w:t xml:space="preserve"> to the north. There is also the potential presence of </w:t>
      </w:r>
      <w:r w:rsidR="006413AA" w:rsidRPr="00B400DB">
        <w:rPr>
          <w:rStyle w:val="Heading4Char"/>
          <w:rFonts w:eastAsia="Calibri"/>
          <w:u w:val="none"/>
        </w:rPr>
        <w:t>groundwater</w:t>
      </w:r>
      <w:r w:rsidR="00DF2102" w:rsidRPr="00B400DB">
        <w:rPr>
          <w:rStyle w:val="Heading4Char"/>
          <w:rFonts w:eastAsia="Calibri"/>
          <w:u w:val="none"/>
        </w:rPr>
        <w:t>-</w:t>
      </w:r>
      <w:r w:rsidR="006413AA" w:rsidRPr="00B400DB">
        <w:rPr>
          <w:rStyle w:val="Heading4Char"/>
          <w:rFonts w:eastAsia="Calibri"/>
          <w:u w:val="none"/>
        </w:rPr>
        <w:t>dependent</w:t>
      </w:r>
      <w:r w:rsidR="006413AA" w:rsidRPr="006E4337">
        <w:rPr>
          <w:rStyle w:val="Heading4Char"/>
          <w:rFonts w:eastAsia="Calibri"/>
          <w:u w:val="none"/>
        </w:rPr>
        <w:t xml:space="preserve"> </w:t>
      </w:r>
      <w:r w:rsidRPr="006E4337">
        <w:rPr>
          <w:rStyle w:val="Heading4Char"/>
          <w:rFonts w:eastAsia="Calibri"/>
          <w:u w:val="none"/>
        </w:rPr>
        <w:t>terrestrial and riparian vegetation</w:t>
      </w:r>
      <w:r w:rsidR="008511FE" w:rsidRPr="006E4337">
        <w:rPr>
          <w:rStyle w:val="Heading4Char"/>
          <w:rFonts w:eastAsia="Calibri"/>
          <w:u w:val="none"/>
        </w:rPr>
        <w:t xml:space="preserve"> in these areas.</w:t>
      </w:r>
    </w:p>
    <w:p w14:paraId="002F437E" w14:textId="77777777" w:rsidR="00291857" w:rsidRPr="006E4337" w:rsidRDefault="00291857" w:rsidP="00D622B9">
      <w:pPr>
        <w:pStyle w:val="Heading3"/>
      </w:pPr>
      <w:r w:rsidRPr="006E4337">
        <w:t>Key Potential Impacts</w:t>
      </w:r>
    </w:p>
    <w:p w14:paraId="303CFA90" w14:textId="77777777" w:rsidR="004046C6" w:rsidRPr="006E4337" w:rsidRDefault="00F57255" w:rsidP="004046C6">
      <w:r w:rsidRPr="00B400DB">
        <w:t>On the basis of information in the Preliminary Documentation</w:t>
      </w:r>
      <w:r w:rsidR="00CE3AD6">
        <w:t xml:space="preserve"> (PD)</w:t>
      </w:r>
      <w:r w:rsidRPr="00B400DB">
        <w:t>, the key potential impacts are identified to be:</w:t>
      </w:r>
      <w:r w:rsidR="004046C6" w:rsidRPr="006E4337">
        <w:t xml:space="preserve"> </w:t>
      </w:r>
    </w:p>
    <w:p w14:paraId="2E652C39" w14:textId="77777777" w:rsidR="00DF2102" w:rsidRPr="00B400DB" w:rsidRDefault="00DF2102" w:rsidP="009336A2">
      <w:pPr>
        <w:pStyle w:val="ListBullet"/>
        <w:numPr>
          <w:ilvl w:val="0"/>
          <w:numId w:val="38"/>
        </w:numPr>
        <w:ind w:left="1080"/>
        <w:rPr>
          <w:lang w:val="en-AU"/>
        </w:rPr>
      </w:pPr>
      <w:proofErr w:type="gramStart"/>
      <w:r w:rsidRPr="00B400DB">
        <w:t>groundwater</w:t>
      </w:r>
      <w:proofErr w:type="gramEnd"/>
      <w:r w:rsidRPr="00B400DB">
        <w:t xml:space="preserve"> interaction/leakage from the final voids due to </w:t>
      </w:r>
      <w:r w:rsidR="004046C6" w:rsidRPr="00B400DB">
        <w:t xml:space="preserve">probable </w:t>
      </w:r>
      <w:r w:rsidRPr="00B400DB">
        <w:t xml:space="preserve">fracturing associated with the </w:t>
      </w:r>
      <w:proofErr w:type="spellStart"/>
      <w:r w:rsidRPr="00B400DB">
        <w:t>Jellinbah</w:t>
      </w:r>
      <w:proofErr w:type="spellEnd"/>
      <w:r w:rsidRPr="00B400DB">
        <w:t xml:space="preserve"> Fault that lies close to the easter</w:t>
      </w:r>
      <w:r w:rsidR="00794BCF" w:rsidRPr="00B400DB">
        <w:t>n</w:t>
      </w:r>
      <w:r w:rsidRPr="00B400DB">
        <w:t xml:space="preserve"> boundary of both voids. </w:t>
      </w:r>
    </w:p>
    <w:p w14:paraId="7A5E5AA0" w14:textId="77777777" w:rsidR="003A25D6" w:rsidRPr="00B400DB" w:rsidRDefault="00F20C42" w:rsidP="00544D73">
      <w:pPr>
        <w:pStyle w:val="ListBullet"/>
        <w:numPr>
          <w:ilvl w:val="0"/>
          <w:numId w:val="38"/>
        </w:numPr>
        <w:ind w:left="1080"/>
        <w:rPr>
          <w:lang w:val="en-AU"/>
        </w:rPr>
      </w:pPr>
      <w:proofErr w:type="gramStart"/>
      <w:r w:rsidRPr="00B400DB">
        <w:rPr>
          <w:lang w:val="en-AU"/>
        </w:rPr>
        <w:t>i</w:t>
      </w:r>
      <w:r w:rsidR="00C34F6B" w:rsidRPr="00B400DB">
        <w:rPr>
          <w:lang w:val="en-AU"/>
        </w:rPr>
        <w:t>ndirect</w:t>
      </w:r>
      <w:proofErr w:type="gramEnd"/>
      <w:r w:rsidR="00C34F6B" w:rsidRPr="00B400DB">
        <w:rPr>
          <w:lang w:val="en-AU"/>
        </w:rPr>
        <w:t xml:space="preserve"> impact as a result of groundwater drawdown to at </w:t>
      </w:r>
      <w:r w:rsidR="00843AB8" w:rsidRPr="00B400DB">
        <w:rPr>
          <w:lang w:val="en-AU"/>
        </w:rPr>
        <w:t xml:space="preserve">least two </w:t>
      </w:r>
      <w:r w:rsidR="003A25D6" w:rsidRPr="00B400DB">
        <w:rPr>
          <w:lang w:val="en-AU"/>
        </w:rPr>
        <w:t>wetlands</w:t>
      </w:r>
      <w:r w:rsidR="00C34F6B" w:rsidRPr="00B400DB">
        <w:rPr>
          <w:lang w:val="en-AU"/>
        </w:rPr>
        <w:t xml:space="preserve"> (extent</w:t>
      </w:r>
      <w:r w:rsidR="006D572F" w:rsidRPr="00B400DB">
        <w:rPr>
          <w:lang w:val="en-AU"/>
        </w:rPr>
        <w:t>s</w:t>
      </w:r>
      <w:r w:rsidR="00C34F6B" w:rsidRPr="00B400DB">
        <w:rPr>
          <w:lang w:val="en-AU"/>
        </w:rPr>
        <w:t xml:space="preserve"> and area</w:t>
      </w:r>
      <w:r w:rsidR="006D572F" w:rsidRPr="00B400DB">
        <w:rPr>
          <w:lang w:val="en-AU"/>
        </w:rPr>
        <w:t>s</w:t>
      </w:r>
      <w:r w:rsidR="00C34F6B" w:rsidRPr="00B400DB">
        <w:rPr>
          <w:lang w:val="en-AU"/>
        </w:rPr>
        <w:t xml:space="preserve"> unknow</w:t>
      </w:r>
      <w:r w:rsidR="00650243" w:rsidRPr="00B400DB">
        <w:rPr>
          <w:lang w:val="en-AU"/>
        </w:rPr>
        <w:t>n</w:t>
      </w:r>
      <w:r w:rsidR="00C34F6B" w:rsidRPr="00B400DB">
        <w:rPr>
          <w:lang w:val="en-AU"/>
        </w:rPr>
        <w:t xml:space="preserve">) </w:t>
      </w:r>
      <w:r w:rsidR="00650243" w:rsidRPr="00B400DB">
        <w:rPr>
          <w:lang w:val="en-AU"/>
        </w:rPr>
        <w:t xml:space="preserve">in adjoining property </w:t>
      </w:r>
      <w:r w:rsidR="007148FA" w:rsidRPr="00B400DB">
        <w:rPr>
          <w:lang w:val="en-AU"/>
        </w:rPr>
        <w:t>close to the northern boundary of the proposed project</w:t>
      </w:r>
      <w:r w:rsidR="00C34F6B" w:rsidRPr="00B400DB">
        <w:rPr>
          <w:lang w:val="en-AU"/>
        </w:rPr>
        <w:t xml:space="preserve">. </w:t>
      </w:r>
    </w:p>
    <w:p w14:paraId="10C796C0" w14:textId="1137F592" w:rsidR="009F5943" w:rsidRPr="00B400DB" w:rsidRDefault="00EE5B72" w:rsidP="003A25D6">
      <w:pPr>
        <w:pStyle w:val="ListBullet"/>
        <w:ind w:left="1080"/>
        <w:rPr>
          <w:lang w:val="en-AU"/>
        </w:rPr>
      </w:pPr>
      <w:proofErr w:type="gramStart"/>
      <w:r>
        <w:rPr>
          <w:lang w:val="en-AU"/>
        </w:rPr>
        <w:t>c</w:t>
      </w:r>
      <w:r w:rsidR="007148FA" w:rsidRPr="00B400DB">
        <w:rPr>
          <w:lang w:val="en-AU"/>
        </w:rPr>
        <w:t>hanges</w:t>
      </w:r>
      <w:proofErr w:type="gramEnd"/>
      <w:r w:rsidR="007148FA" w:rsidRPr="00B400DB">
        <w:rPr>
          <w:lang w:val="en-AU"/>
        </w:rPr>
        <w:t xml:space="preserve"> to water quantity and quality </w:t>
      </w:r>
      <w:r w:rsidR="006413AA" w:rsidRPr="00B400DB">
        <w:rPr>
          <w:lang w:val="en-AU"/>
        </w:rPr>
        <w:t xml:space="preserve">within the </w:t>
      </w:r>
      <w:r w:rsidR="00C856D4" w:rsidRPr="00B400DB">
        <w:rPr>
          <w:lang w:val="en-AU"/>
        </w:rPr>
        <w:t>floodplain</w:t>
      </w:r>
      <w:r w:rsidR="006413AA" w:rsidRPr="00B400DB">
        <w:rPr>
          <w:lang w:val="en-AU"/>
        </w:rPr>
        <w:t xml:space="preserve"> </w:t>
      </w:r>
      <w:r w:rsidR="00D51CDE" w:rsidRPr="00B400DB">
        <w:rPr>
          <w:lang w:val="en-AU"/>
        </w:rPr>
        <w:t>from the</w:t>
      </w:r>
      <w:r w:rsidR="007148FA" w:rsidRPr="00B400DB">
        <w:rPr>
          <w:lang w:val="en-AU"/>
        </w:rPr>
        <w:t xml:space="preserve"> two</w:t>
      </w:r>
      <w:r w:rsidR="00544D73" w:rsidRPr="00B400DB">
        <w:rPr>
          <w:lang w:val="en-AU"/>
        </w:rPr>
        <w:t xml:space="preserve"> final void</w:t>
      </w:r>
      <w:r w:rsidR="007148FA" w:rsidRPr="00B400DB">
        <w:rPr>
          <w:lang w:val="en-AU"/>
        </w:rPr>
        <w:t>s as a result of potential overtopping</w:t>
      </w:r>
      <w:r w:rsidR="0035304F">
        <w:rPr>
          <w:lang w:val="en-AU"/>
        </w:rPr>
        <w:t xml:space="preserve"> and</w:t>
      </w:r>
      <w:r w:rsidR="007148FA" w:rsidRPr="00B400DB">
        <w:rPr>
          <w:lang w:val="en-AU"/>
        </w:rPr>
        <w:t xml:space="preserve"> leakage into </w:t>
      </w:r>
      <w:r w:rsidR="00F7561E" w:rsidRPr="00B400DB">
        <w:rPr>
          <w:lang w:val="en-AU"/>
        </w:rPr>
        <w:t xml:space="preserve">or from </w:t>
      </w:r>
      <w:r w:rsidR="007148FA" w:rsidRPr="00B400DB">
        <w:rPr>
          <w:lang w:val="en-AU"/>
        </w:rPr>
        <w:t>groundwater</w:t>
      </w:r>
      <w:r>
        <w:rPr>
          <w:lang w:val="en-AU"/>
        </w:rPr>
        <w:t xml:space="preserve">. </w:t>
      </w:r>
      <w:r w:rsidR="00583F2C">
        <w:rPr>
          <w:lang w:val="en-AU"/>
        </w:rPr>
        <w:t xml:space="preserve">There is also a risk of </w:t>
      </w:r>
      <w:r w:rsidR="004046C6" w:rsidRPr="00B400DB">
        <w:rPr>
          <w:lang w:val="en-AU"/>
        </w:rPr>
        <w:t>density</w:t>
      </w:r>
      <w:r>
        <w:rPr>
          <w:lang w:val="en-AU"/>
        </w:rPr>
        <w:t>-</w:t>
      </w:r>
      <w:r w:rsidR="004046C6" w:rsidRPr="00B400DB">
        <w:rPr>
          <w:lang w:val="en-AU"/>
        </w:rPr>
        <w:t xml:space="preserve">driven </w:t>
      </w:r>
      <w:r w:rsidR="007148FA" w:rsidRPr="00B400DB">
        <w:rPr>
          <w:lang w:val="en-AU"/>
        </w:rPr>
        <w:t xml:space="preserve">groundwater flow </w:t>
      </w:r>
      <w:r w:rsidR="00F10DB8" w:rsidRPr="00B400DB">
        <w:rPr>
          <w:lang w:val="en-AU"/>
        </w:rPr>
        <w:t>arising from salinity build</w:t>
      </w:r>
      <w:r>
        <w:rPr>
          <w:lang w:val="en-AU"/>
        </w:rPr>
        <w:t>-</w:t>
      </w:r>
      <w:r w:rsidR="00F10DB8" w:rsidRPr="00B400DB">
        <w:rPr>
          <w:lang w:val="en-AU"/>
        </w:rPr>
        <w:t xml:space="preserve">up in the </w:t>
      </w:r>
      <w:r>
        <w:rPr>
          <w:lang w:val="en-AU"/>
        </w:rPr>
        <w:t>final</w:t>
      </w:r>
      <w:r w:rsidR="00F10DB8" w:rsidRPr="00B400DB">
        <w:rPr>
          <w:lang w:val="en-AU"/>
        </w:rPr>
        <w:t xml:space="preserve"> voids</w:t>
      </w:r>
      <w:r w:rsidR="007148FA" w:rsidRPr="00B400DB">
        <w:rPr>
          <w:lang w:val="en-AU"/>
        </w:rPr>
        <w:t xml:space="preserve">. </w:t>
      </w:r>
    </w:p>
    <w:p w14:paraId="53EF0982" w14:textId="0A22D7BA" w:rsidR="00F20C42" w:rsidRPr="00B400DB" w:rsidRDefault="00EE5B72" w:rsidP="003A25D6">
      <w:pPr>
        <w:pStyle w:val="ListBullet"/>
        <w:ind w:left="1080"/>
        <w:rPr>
          <w:lang w:val="en-AU"/>
        </w:rPr>
      </w:pPr>
      <w:proofErr w:type="gramStart"/>
      <w:r>
        <w:rPr>
          <w:lang w:val="en-AU"/>
        </w:rPr>
        <w:t>c</w:t>
      </w:r>
      <w:r w:rsidR="00F20C42" w:rsidRPr="00B400DB">
        <w:rPr>
          <w:lang w:val="en-AU"/>
        </w:rPr>
        <w:t>hanges</w:t>
      </w:r>
      <w:proofErr w:type="gramEnd"/>
      <w:r w:rsidR="00F20C42" w:rsidRPr="00B400DB">
        <w:rPr>
          <w:lang w:val="en-AU"/>
        </w:rPr>
        <w:t xml:space="preserve"> to surface water quality as a result of uncontrolled releases from site water management storages and potential impacts to downstream aquatic ecosystems and users. </w:t>
      </w:r>
    </w:p>
    <w:p w14:paraId="144C9E31" w14:textId="6D265911" w:rsidR="004C29A2" w:rsidRPr="006E4337" w:rsidRDefault="00EE5B72" w:rsidP="006663CF">
      <w:pPr>
        <w:pStyle w:val="ListBullet"/>
        <w:ind w:left="1080"/>
        <w:rPr>
          <w:lang w:val="en-AU"/>
        </w:rPr>
      </w:pPr>
      <w:proofErr w:type="gramStart"/>
      <w:r>
        <w:lastRenderedPageBreak/>
        <w:t>d</w:t>
      </w:r>
      <w:r w:rsidR="004C29A2" w:rsidRPr="00B400DB">
        <w:t>irect</w:t>
      </w:r>
      <w:proofErr w:type="gramEnd"/>
      <w:r w:rsidR="004C29A2" w:rsidRPr="00B400DB">
        <w:t xml:space="preserve"> removal of </w:t>
      </w:r>
      <w:r w:rsidR="00720F0C">
        <w:t>an approximately</w:t>
      </w:r>
      <w:r w:rsidR="004C29A2" w:rsidRPr="00B400DB">
        <w:t xml:space="preserve"> 0.75</w:t>
      </w:r>
      <w:r w:rsidR="00847C82">
        <w:t xml:space="preserve"> </w:t>
      </w:r>
      <w:r w:rsidR="004C29A2" w:rsidRPr="00B400DB">
        <w:t xml:space="preserve">ha wetland </w:t>
      </w:r>
      <w:r w:rsidR="006D572F" w:rsidRPr="00B400DB">
        <w:t xml:space="preserve">and surrounding </w:t>
      </w:r>
      <w:r>
        <w:t xml:space="preserve">regulated </w:t>
      </w:r>
      <w:r w:rsidR="006D572F" w:rsidRPr="00B400DB">
        <w:t xml:space="preserve">vegetation </w:t>
      </w:r>
      <w:r w:rsidR="004C29A2" w:rsidRPr="00B400DB">
        <w:t xml:space="preserve">defined in Queensland as being of High Ecological Significance (HES). </w:t>
      </w:r>
    </w:p>
    <w:p w14:paraId="5A5D68BC" w14:textId="77777777" w:rsidR="00347BA8" w:rsidRPr="006E4337" w:rsidRDefault="00347BA8" w:rsidP="00347BA8">
      <w:pPr>
        <w:pStyle w:val="ListBullet"/>
        <w:numPr>
          <w:ilvl w:val="0"/>
          <w:numId w:val="0"/>
        </w:numPr>
        <w:rPr>
          <w:lang w:val="en-AU"/>
        </w:rPr>
      </w:pPr>
      <w:r w:rsidRPr="006E4337">
        <w:rPr>
          <w:lang w:val="en-AU"/>
        </w:rPr>
        <w:t xml:space="preserve">The IESC has identified areas in which additional </w:t>
      </w:r>
      <w:r w:rsidRPr="00B400DB">
        <w:rPr>
          <w:lang w:val="en-AU"/>
        </w:rPr>
        <w:t xml:space="preserve">work </w:t>
      </w:r>
      <w:r w:rsidR="0051376B" w:rsidRPr="00B400DB">
        <w:rPr>
          <w:lang w:val="en-AU"/>
        </w:rPr>
        <w:t>or information</w:t>
      </w:r>
      <w:r w:rsidR="0051376B" w:rsidRPr="006E4337">
        <w:rPr>
          <w:lang w:val="en-AU"/>
        </w:rPr>
        <w:t xml:space="preserve"> </w:t>
      </w:r>
      <w:r w:rsidRPr="006E4337">
        <w:rPr>
          <w:lang w:val="en-AU"/>
        </w:rPr>
        <w:t>is required to address the key potential impacts, as detailed in this advice. These are summarised below.</w:t>
      </w:r>
    </w:p>
    <w:p w14:paraId="4C87D135" w14:textId="77777777" w:rsidR="00187D0A" w:rsidRPr="006E4337" w:rsidRDefault="00187D0A" w:rsidP="007A37BA">
      <w:pPr>
        <w:pStyle w:val="ListBullet"/>
        <w:ind w:left="1080"/>
        <w:rPr>
          <w:lang w:val="en-AU"/>
        </w:rPr>
      </w:pPr>
      <w:r w:rsidRPr="00B400DB">
        <w:rPr>
          <w:lang w:val="en-AU"/>
        </w:rPr>
        <w:t xml:space="preserve">Clarify the </w:t>
      </w:r>
      <w:r w:rsidR="004C29A2" w:rsidRPr="00B400DB">
        <w:rPr>
          <w:lang w:val="en-AU"/>
        </w:rPr>
        <w:t>hydrogeologic</w:t>
      </w:r>
      <w:r w:rsidR="00231AC4">
        <w:rPr>
          <w:lang w:val="en-AU"/>
        </w:rPr>
        <w:t>al</w:t>
      </w:r>
      <w:r w:rsidR="004C29A2" w:rsidRPr="00B400DB">
        <w:rPr>
          <w:lang w:val="en-AU"/>
        </w:rPr>
        <w:t xml:space="preserve"> character </w:t>
      </w:r>
      <w:r w:rsidRPr="00B400DB">
        <w:rPr>
          <w:lang w:val="en-AU"/>
        </w:rPr>
        <w:t xml:space="preserve">of the </w:t>
      </w:r>
      <w:proofErr w:type="spellStart"/>
      <w:r w:rsidRPr="00B400DB">
        <w:rPr>
          <w:lang w:val="en-AU"/>
        </w:rPr>
        <w:t>Jellinbah</w:t>
      </w:r>
      <w:proofErr w:type="spellEnd"/>
      <w:r w:rsidRPr="00B400DB">
        <w:rPr>
          <w:lang w:val="en-AU"/>
        </w:rPr>
        <w:t xml:space="preserve"> Fault</w:t>
      </w:r>
      <w:r w:rsidR="0051376B" w:rsidRPr="00B400DB">
        <w:rPr>
          <w:lang w:val="en-AU"/>
        </w:rPr>
        <w:t xml:space="preserve"> </w:t>
      </w:r>
      <w:r w:rsidR="0051376B" w:rsidRPr="00B400DB">
        <w:t>and associated fracture systems within the project area to reduce uncertainty in the groundwater model</w:t>
      </w:r>
      <w:r w:rsidR="0051376B" w:rsidRPr="00B400DB">
        <w:rPr>
          <w:lang w:val="en-AU"/>
        </w:rPr>
        <w:t xml:space="preserve"> conceptualisation</w:t>
      </w:r>
      <w:r w:rsidR="0051376B" w:rsidRPr="00B400DB">
        <w:t xml:space="preserve"> and associated predictions</w:t>
      </w:r>
      <w:r w:rsidRPr="00B400DB">
        <w:rPr>
          <w:lang w:val="en-AU"/>
        </w:rPr>
        <w:t>.</w:t>
      </w:r>
    </w:p>
    <w:p w14:paraId="1171C116" w14:textId="77777777" w:rsidR="0051376B" w:rsidRPr="00B400DB" w:rsidRDefault="0051376B" w:rsidP="007A37BA">
      <w:pPr>
        <w:pStyle w:val="ListBullet"/>
        <w:ind w:left="1080"/>
        <w:rPr>
          <w:lang w:val="en-AU"/>
        </w:rPr>
      </w:pPr>
      <w:r w:rsidRPr="00B400DB">
        <w:t xml:space="preserve">Provide greater detail of the fault </w:t>
      </w:r>
      <w:proofErr w:type="spellStart"/>
      <w:r w:rsidRPr="00B400DB">
        <w:t>characterisation</w:t>
      </w:r>
      <w:proofErr w:type="spellEnd"/>
      <w:r w:rsidRPr="00B400DB">
        <w:t xml:space="preserve"> drilling program that was referenced and used to inform the conceptual and numerical modelling.  </w:t>
      </w:r>
    </w:p>
    <w:p w14:paraId="540932DF" w14:textId="77777777" w:rsidR="00187D0A" w:rsidRPr="00B400DB" w:rsidRDefault="00AA6A19" w:rsidP="007A37BA">
      <w:pPr>
        <w:pStyle w:val="ListBullet"/>
        <w:ind w:left="1080"/>
        <w:rPr>
          <w:lang w:val="en-AU"/>
        </w:rPr>
      </w:pPr>
      <w:r>
        <w:rPr>
          <w:lang w:val="en-AU"/>
        </w:rPr>
        <w:t xml:space="preserve">Hydrogeological parameters (such as hydraulic conductivity </w:t>
      </w:r>
      <w:r w:rsidR="00D40856" w:rsidRPr="00B400DB">
        <w:rPr>
          <w:lang w:val="en-AU"/>
        </w:rPr>
        <w:t>and specific storage</w:t>
      </w:r>
      <w:r>
        <w:rPr>
          <w:lang w:val="en-AU"/>
        </w:rPr>
        <w:t>)</w:t>
      </w:r>
      <w:r w:rsidR="006413AA" w:rsidRPr="00B400DB">
        <w:rPr>
          <w:lang w:val="en-AU"/>
        </w:rPr>
        <w:t xml:space="preserve"> </w:t>
      </w:r>
      <w:r w:rsidR="00187D0A" w:rsidRPr="00B400DB">
        <w:rPr>
          <w:lang w:val="en-AU"/>
        </w:rPr>
        <w:t xml:space="preserve">should be measured and used </w:t>
      </w:r>
      <w:r w:rsidR="00D40856" w:rsidRPr="00B400DB">
        <w:rPr>
          <w:lang w:val="en-AU"/>
        </w:rPr>
        <w:t>to inform</w:t>
      </w:r>
      <w:r w:rsidR="00187D0A" w:rsidRPr="00B400DB">
        <w:rPr>
          <w:lang w:val="en-AU"/>
        </w:rPr>
        <w:t xml:space="preserve"> </w:t>
      </w:r>
      <w:r>
        <w:rPr>
          <w:lang w:val="en-AU"/>
        </w:rPr>
        <w:t xml:space="preserve">the </w:t>
      </w:r>
      <w:r w:rsidR="0051376B" w:rsidRPr="00B400DB">
        <w:rPr>
          <w:lang w:val="en-AU"/>
        </w:rPr>
        <w:t xml:space="preserve">numerical groundwater </w:t>
      </w:r>
      <w:r w:rsidR="00187D0A" w:rsidRPr="00B400DB">
        <w:rPr>
          <w:lang w:val="en-AU"/>
        </w:rPr>
        <w:t>model.</w:t>
      </w:r>
    </w:p>
    <w:p w14:paraId="7FF17298" w14:textId="5B55CCB8" w:rsidR="00091D65" w:rsidRPr="006E4337" w:rsidRDefault="0074769D" w:rsidP="00091D65">
      <w:pPr>
        <w:pStyle w:val="ListBullet"/>
        <w:numPr>
          <w:ilvl w:val="0"/>
          <w:numId w:val="38"/>
        </w:numPr>
        <w:ind w:left="1080"/>
      </w:pPr>
      <w:r>
        <w:t>Design and construction of t</w:t>
      </w:r>
      <w:r w:rsidR="00091D65" w:rsidRPr="006E4337">
        <w:t xml:space="preserve">he Thirteen Mile Gully diversion should </w:t>
      </w:r>
      <w:r w:rsidR="00730EC0" w:rsidRPr="006E4337">
        <w:t>follow recommendation</w:t>
      </w:r>
      <w:r w:rsidR="00451C3C">
        <w:t>s</w:t>
      </w:r>
      <w:r w:rsidR="00730EC0" w:rsidRPr="006E4337">
        <w:t xml:space="preserve"> by</w:t>
      </w:r>
      <w:r w:rsidR="00091D65" w:rsidRPr="006E4337">
        <w:t xml:space="preserve"> White et al</w:t>
      </w:r>
      <w:r>
        <w:t>.</w:t>
      </w:r>
      <w:r w:rsidR="00091D65" w:rsidRPr="006E4337">
        <w:t xml:space="preserve"> (2014) to incorporate channel variability to </w:t>
      </w:r>
      <w:r w:rsidR="004C29A2" w:rsidRPr="00B400DB">
        <w:t>support</w:t>
      </w:r>
      <w:r w:rsidR="004C29A2" w:rsidRPr="006E4337">
        <w:t xml:space="preserve"> </w:t>
      </w:r>
      <w:r w:rsidR="00091D65" w:rsidRPr="006E4337">
        <w:t>ecological function.</w:t>
      </w:r>
    </w:p>
    <w:p w14:paraId="6CC62C66" w14:textId="5CE7F203" w:rsidR="0063541A" w:rsidRDefault="0051376B" w:rsidP="007A37BA">
      <w:pPr>
        <w:pStyle w:val="ListBullet"/>
        <w:ind w:left="1080"/>
        <w:rPr>
          <w:lang w:val="en-AU"/>
        </w:rPr>
      </w:pPr>
      <w:r w:rsidRPr="00B400DB">
        <w:rPr>
          <w:lang w:val="en-AU"/>
        </w:rPr>
        <w:t>Further detail and</w:t>
      </w:r>
      <w:r w:rsidRPr="006E4337">
        <w:rPr>
          <w:lang w:val="en-AU"/>
        </w:rPr>
        <w:t xml:space="preserve"> c</w:t>
      </w:r>
      <w:r w:rsidR="0063541A" w:rsidRPr="006E4337">
        <w:rPr>
          <w:lang w:val="en-AU"/>
        </w:rPr>
        <w:t xml:space="preserve">haracterisation of </w:t>
      </w:r>
      <w:r w:rsidRPr="006E4337">
        <w:rPr>
          <w:lang w:val="en-AU"/>
        </w:rPr>
        <w:t xml:space="preserve">surface water </w:t>
      </w:r>
      <w:r w:rsidR="0063541A" w:rsidRPr="006E4337">
        <w:rPr>
          <w:lang w:val="en-AU"/>
        </w:rPr>
        <w:t xml:space="preserve">release events noted in the </w:t>
      </w:r>
      <w:r w:rsidR="00F57255" w:rsidRPr="006E4337">
        <w:rPr>
          <w:lang w:val="en-AU"/>
        </w:rPr>
        <w:t>PD</w:t>
      </w:r>
      <w:r w:rsidR="007E5A63">
        <w:rPr>
          <w:lang w:val="en-AU"/>
        </w:rPr>
        <w:t xml:space="preserve"> should be presented</w:t>
      </w:r>
      <w:r w:rsidR="0063541A" w:rsidRPr="006E4337">
        <w:rPr>
          <w:lang w:val="en-AU"/>
        </w:rPr>
        <w:t>.</w:t>
      </w:r>
      <w:r w:rsidR="00091D65" w:rsidRPr="006E4337">
        <w:rPr>
          <w:lang w:val="en-AU"/>
        </w:rPr>
        <w:t xml:space="preserve"> It is unclear if these </w:t>
      </w:r>
      <w:r w:rsidR="00720F0C">
        <w:rPr>
          <w:lang w:val="en-AU"/>
        </w:rPr>
        <w:t xml:space="preserve">releases </w:t>
      </w:r>
      <w:r w:rsidR="00091D65" w:rsidRPr="006E4337">
        <w:rPr>
          <w:lang w:val="en-AU"/>
        </w:rPr>
        <w:t xml:space="preserve">were </w:t>
      </w:r>
      <w:r w:rsidR="004C29A2" w:rsidRPr="00B400DB">
        <w:rPr>
          <w:lang w:val="en-AU"/>
        </w:rPr>
        <w:t>controlled</w:t>
      </w:r>
      <w:r w:rsidR="004C29A2" w:rsidRPr="006E4337">
        <w:rPr>
          <w:lang w:val="en-AU"/>
        </w:rPr>
        <w:t xml:space="preserve"> </w:t>
      </w:r>
      <w:r w:rsidR="00091D65" w:rsidRPr="006E4337">
        <w:rPr>
          <w:lang w:val="en-AU"/>
        </w:rPr>
        <w:t xml:space="preserve">or </w:t>
      </w:r>
      <w:r w:rsidR="004C29A2" w:rsidRPr="00B400DB">
        <w:rPr>
          <w:lang w:val="en-AU"/>
        </w:rPr>
        <w:t>uncontrolled</w:t>
      </w:r>
      <w:r w:rsidR="00091D65" w:rsidRPr="006E4337">
        <w:rPr>
          <w:lang w:val="en-AU"/>
        </w:rPr>
        <w:t xml:space="preserve">. If </w:t>
      </w:r>
      <w:r w:rsidR="004C29A2" w:rsidRPr="00B400DB">
        <w:rPr>
          <w:lang w:val="en-AU"/>
        </w:rPr>
        <w:t>uncontrolled</w:t>
      </w:r>
      <w:r w:rsidR="00091D65" w:rsidRPr="006E4337">
        <w:rPr>
          <w:lang w:val="en-AU"/>
        </w:rPr>
        <w:t>, management plans should be updated to account for the circumstances leading to the</w:t>
      </w:r>
      <w:r w:rsidR="00091D65">
        <w:rPr>
          <w:lang w:val="en-AU"/>
        </w:rPr>
        <w:t xml:space="preserve"> discharges.</w:t>
      </w:r>
    </w:p>
    <w:p w14:paraId="09A23693" w14:textId="318FD4AD" w:rsidR="00730EC0" w:rsidRPr="0028194A" w:rsidRDefault="00730EC0" w:rsidP="007A37BA">
      <w:pPr>
        <w:pStyle w:val="ListBullet"/>
        <w:ind w:left="1080"/>
        <w:rPr>
          <w:lang w:val="en-AU"/>
        </w:rPr>
      </w:pPr>
      <w:r w:rsidRPr="0028194A">
        <w:rPr>
          <w:lang w:val="en-AU"/>
        </w:rPr>
        <w:t>Site</w:t>
      </w:r>
      <w:r w:rsidR="007E5A63">
        <w:rPr>
          <w:lang w:val="en-AU"/>
        </w:rPr>
        <w:t>-</w:t>
      </w:r>
      <w:r w:rsidRPr="0028194A">
        <w:rPr>
          <w:lang w:val="en-AU"/>
        </w:rPr>
        <w:t xml:space="preserve">specific </w:t>
      </w:r>
      <w:r w:rsidR="0028194A" w:rsidRPr="00B400DB">
        <w:rPr>
          <w:lang w:val="en-AU"/>
        </w:rPr>
        <w:t>surface water quality guidelines should be derived from historical monitoring data for a range of parameters</w:t>
      </w:r>
      <w:r w:rsidR="00BE214B">
        <w:rPr>
          <w:lang w:val="en-AU"/>
        </w:rPr>
        <w:t>.</w:t>
      </w:r>
    </w:p>
    <w:p w14:paraId="2F146013" w14:textId="77777777" w:rsidR="009F239A" w:rsidRPr="006E4337" w:rsidRDefault="007E5A63" w:rsidP="009336A2">
      <w:pPr>
        <w:pStyle w:val="ListBullet"/>
        <w:ind w:left="1080"/>
      </w:pPr>
      <w:r>
        <w:t>Further c</w:t>
      </w:r>
      <w:r w:rsidR="00730EC0" w:rsidRPr="006E4337">
        <w:t>onsider</w:t>
      </w:r>
      <w:r>
        <w:t>ation of</w:t>
      </w:r>
      <w:r w:rsidR="00730EC0" w:rsidRPr="006E4337">
        <w:t xml:space="preserve"> how the project can be modified to retain </w:t>
      </w:r>
      <w:r w:rsidR="002C722B">
        <w:t>the HES</w:t>
      </w:r>
      <w:r w:rsidR="00730EC0" w:rsidRPr="006E4337">
        <w:t xml:space="preserve"> wetland. If the wetland cannot be retained</w:t>
      </w:r>
      <w:r w:rsidR="00730EC0" w:rsidRPr="00B400DB">
        <w:t>, f</w:t>
      </w:r>
      <w:r w:rsidR="009F239A" w:rsidRPr="00B400DB">
        <w:t>urther explanation</w:t>
      </w:r>
      <w:r w:rsidR="009F239A" w:rsidRPr="006E4337">
        <w:t xml:space="preserve"> of the suitability of proposed wetland offsets to account for the loss of the HES wetland</w:t>
      </w:r>
      <w:r w:rsidR="00730EC0" w:rsidRPr="006E4337">
        <w:t xml:space="preserve"> is needed</w:t>
      </w:r>
      <w:r w:rsidR="009F239A" w:rsidRPr="006E4337">
        <w:t xml:space="preserve">. </w:t>
      </w:r>
    </w:p>
    <w:p w14:paraId="3BB674FF" w14:textId="317C0733" w:rsidR="009F239A" w:rsidRPr="006E4337" w:rsidRDefault="009F239A" w:rsidP="009F239A">
      <w:pPr>
        <w:pStyle w:val="ListBullet"/>
        <w:ind w:left="1080"/>
        <w:rPr>
          <w:lang w:val="en-AU"/>
        </w:rPr>
      </w:pPr>
      <w:r w:rsidRPr="006E4337">
        <w:rPr>
          <w:lang w:val="en-AU"/>
        </w:rPr>
        <w:t xml:space="preserve">Placement of additional </w:t>
      </w:r>
      <w:r w:rsidRPr="00B400DB">
        <w:rPr>
          <w:lang w:val="en-AU"/>
        </w:rPr>
        <w:t>monitoring</w:t>
      </w:r>
      <w:r w:rsidRPr="006E4337">
        <w:rPr>
          <w:lang w:val="en-AU"/>
        </w:rPr>
        <w:t xml:space="preserve"> bores </w:t>
      </w:r>
      <w:r w:rsidR="00D40856" w:rsidRPr="006E4337">
        <w:rPr>
          <w:lang w:val="en-AU"/>
        </w:rPr>
        <w:t xml:space="preserve">screened </w:t>
      </w:r>
      <w:r w:rsidRPr="006E4337">
        <w:rPr>
          <w:lang w:val="en-AU"/>
        </w:rPr>
        <w:t xml:space="preserve">at appropriate depths </w:t>
      </w:r>
      <w:r w:rsidR="001533F6" w:rsidRPr="006E4337">
        <w:rPr>
          <w:lang w:val="en-AU"/>
        </w:rPr>
        <w:t xml:space="preserve">(including nested bores) </w:t>
      </w:r>
      <w:r w:rsidRPr="006E4337">
        <w:rPr>
          <w:lang w:val="en-AU"/>
        </w:rPr>
        <w:t xml:space="preserve">and </w:t>
      </w:r>
      <w:r w:rsidR="0035304F">
        <w:rPr>
          <w:lang w:val="en-AU"/>
        </w:rPr>
        <w:t xml:space="preserve">in </w:t>
      </w:r>
      <w:r w:rsidRPr="006E4337">
        <w:rPr>
          <w:lang w:val="en-AU"/>
        </w:rPr>
        <w:t xml:space="preserve">locations to provide information about </w:t>
      </w:r>
      <w:r w:rsidR="00720F0C">
        <w:rPr>
          <w:lang w:val="en-AU"/>
        </w:rPr>
        <w:t xml:space="preserve">the </w:t>
      </w:r>
      <w:r w:rsidR="001533F6">
        <w:rPr>
          <w:lang w:val="en-AU"/>
        </w:rPr>
        <w:t xml:space="preserve">hydrogeology of </w:t>
      </w:r>
      <w:r w:rsidR="00730EC0" w:rsidRPr="006E4337">
        <w:rPr>
          <w:lang w:val="en-AU"/>
        </w:rPr>
        <w:t>shallow groundwater</w:t>
      </w:r>
      <w:r w:rsidR="001533F6">
        <w:rPr>
          <w:lang w:val="en-AU"/>
        </w:rPr>
        <w:t xml:space="preserve">, in </w:t>
      </w:r>
      <w:r w:rsidRPr="006E4337">
        <w:rPr>
          <w:lang w:val="en-AU"/>
        </w:rPr>
        <w:t>the area</w:t>
      </w:r>
      <w:r w:rsidR="00720F0C">
        <w:rPr>
          <w:lang w:val="en-AU"/>
        </w:rPr>
        <w:t>s</w:t>
      </w:r>
      <w:r w:rsidRPr="006E4337">
        <w:rPr>
          <w:lang w:val="en-AU"/>
        </w:rPr>
        <w:t xml:space="preserve"> between the northern final void and neighbouring wetlands. This will inform assessment of </w:t>
      </w:r>
      <w:r w:rsidR="00730EC0" w:rsidRPr="006E4337">
        <w:rPr>
          <w:lang w:val="en-AU"/>
        </w:rPr>
        <w:t xml:space="preserve">risks to </w:t>
      </w:r>
      <w:r w:rsidRPr="006E4337">
        <w:rPr>
          <w:lang w:val="en-AU"/>
        </w:rPr>
        <w:t>potential GDEs</w:t>
      </w:r>
      <w:r w:rsidR="00B2396C" w:rsidRPr="006E4337">
        <w:rPr>
          <w:lang w:val="en-AU"/>
        </w:rPr>
        <w:t xml:space="preserve"> </w:t>
      </w:r>
      <w:r w:rsidR="00B2396C" w:rsidRPr="00B400DB">
        <w:rPr>
          <w:lang w:val="en-AU"/>
        </w:rPr>
        <w:t>associated with these wetlands</w:t>
      </w:r>
      <w:r w:rsidRPr="00B400DB">
        <w:rPr>
          <w:lang w:val="en-AU"/>
        </w:rPr>
        <w:t>.</w:t>
      </w:r>
    </w:p>
    <w:p w14:paraId="61B32809" w14:textId="77777777" w:rsidR="00187D0A" w:rsidRPr="006E4337" w:rsidRDefault="00187D0A" w:rsidP="007A37BA">
      <w:pPr>
        <w:pStyle w:val="ListBullet"/>
        <w:ind w:left="1080"/>
        <w:rPr>
          <w:lang w:val="en-AU"/>
        </w:rPr>
      </w:pPr>
      <w:r w:rsidRPr="006E4337">
        <w:rPr>
          <w:lang w:val="en-AU"/>
        </w:rPr>
        <w:t>Reconcile the discrepancy between the assertion that terrestrial vegetation is unlikely to be a GDE as the groundwater depth is beyond 12</w:t>
      </w:r>
      <w:r w:rsidR="001533F6">
        <w:rPr>
          <w:lang w:val="en-AU"/>
        </w:rPr>
        <w:t xml:space="preserve"> </w:t>
      </w:r>
      <w:proofErr w:type="spellStart"/>
      <w:r w:rsidR="001533F6">
        <w:t>metres</w:t>
      </w:r>
      <w:proofErr w:type="spellEnd"/>
      <w:r w:rsidR="001533F6">
        <w:t xml:space="preserve"> below ground level</w:t>
      </w:r>
      <w:r w:rsidRPr="006E4337">
        <w:rPr>
          <w:lang w:val="en-AU"/>
        </w:rPr>
        <w:t xml:space="preserve"> </w:t>
      </w:r>
      <w:r w:rsidR="001533F6">
        <w:rPr>
          <w:lang w:val="en-AU"/>
        </w:rPr>
        <w:t>(</w:t>
      </w:r>
      <w:proofErr w:type="spellStart"/>
      <w:r w:rsidRPr="006E4337">
        <w:rPr>
          <w:lang w:val="en-AU"/>
        </w:rPr>
        <w:t>mbgl</w:t>
      </w:r>
      <w:proofErr w:type="spellEnd"/>
      <w:r w:rsidR="001533F6">
        <w:rPr>
          <w:lang w:val="en-AU"/>
        </w:rPr>
        <w:t>)</w:t>
      </w:r>
      <w:r w:rsidRPr="006E4337">
        <w:rPr>
          <w:lang w:val="en-AU"/>
        </w:rPr>
        <w:t xml:space="preserve"> </w:t>
      </w:r>
      <w:r w:rsidRPr="00B400DB">
        <w:rPr>
          <w:lang w:val="en-AU"/>
        </w:rPr>
        <w:t xml:space="preserve">with </w:t>
      </w:r>
      <w:r w:rsidR="006413AA" w:rsidRPr="00B400DB">
        <w:rPr>
          <w:lang w:val="en-AU"/>
        </w:rPr>
        <w:t>findings by</w:t>
      </w:r>
      <w:r w:rsidR="006413AA" w:rsidRPr="006E4337">
        <w:rPr>
          <w:lang w:val="en-AU"/>
        </w:rPr>
        <w:t xml:space="preserve"> </w:t>
      </w:r>
      <w:r w:rsidRPr="006E4337">
        <w:rPr>
          <w:lang w:val="en-AU"/>
        </w:rPr>
        <w:t>Kath et al</w:t>
      </w:r>
      <w:r w:rsidR="001533F6">
        <w:rPr>
          <w:lang w:val="en-AU"/>
        </w:rPr>
        <w:t>.</w:t>
      </w:r>
      <w:r w:rsidRPr="006E4337">
        <w:rPr>
          <w:lang w:val="en-AU"/>
        </w:rPr>
        <w:t xml:space="preserve"> (2014)</w:t>
      </w:r>
      <w:r w:rsidR="001533F6">
        <w:rPr>
          <w:lang w:val="en-AU"/>
        </w:rPr>
        <w:t>,</w:t>
      </w:r>
      <w:r w:rsidRPr="006E4337">
        <w:rPr>
          <w:lang w:val="en-AU"/>
        </w:rPr>
        <w:t xml:space="preserve"> which shows that </w:t>
      </w:r>
      <w:r w:rsidR="009F239A" w:rsidRPr="00B400DB">
        <w:rPr>
          <w:lang w:val="en-AU"/>
        </w:rPr>
        <w:t>two species found in the project area (</w:t>
      </w:r>
      <w:r w:rsidR="009F239A" w:rsidRPr="00B400DB">
        <w:rPr>
          <w:i/>
          <w:lang w:val="en-AU"/>
        </w:rPr>
        <w:t xml:space="preserve">Eucalyptus </w:t>
      </w:r>
      <w:proofErr w:type="spellStart"/>
      <w:r w:rsidR="001533F6">
        <w:rPr>
          <w:i/>
          <w:lang w:val="en-AU"/>
        </w:rPr>
        <w:t>c</w:t>
      </w:r>
      <w:r w:rsidR="009F239A" w:rsidRPr="00B400DB">
        <w:rPr>
          <w:i/>
          <w:lang w:val="en-AU"/>
        </w:rPr>
        <w:t>amaldulensis</w:t>
      </w:r>
      <w:proofErr w:type="spellEnd"/>
      <w:r w:rsidR="009F239A" w:rsidRPr="00B400DB">
        <w:rPr>
          <w:lang w:val="en-AU"/>
        </w:rPr>
        <w:t xml:space="preserve"> and </w:t>
      </w:r>
      <w:r w:rsidR="009F239A" w:rsidRPr="00B400DB">
        <w:rPr>
          <w:i/>
          <w:lang w:val="en-AU"/>
        </w:rPr>
        <w:t>E</w:t>
      </w:r>
      <w:r w:rsidR="003B788D" w:rsidRPr="00B400DB">
        <w:rPr>
          <w:i/>
          <w:lang w:val="en-AU"/>
        </w:rPr>
        <w:t>.</w:t>
      </w:r>
      <w:r w:rsidR="009F239A" w:rsidRPr="00B400DB">
        <w:rPr>
          <w:i/>
          <w:lang w:val="en-AU"/>
        </w:rPr>
        <w:t xml:space="preserve"> </w:t>
      </w:r>
      <w:proofErr w:type="spellStart"/>
      <w:r w:rsidR="001533F6">
        <w:rPr>
          <w:i/>
          <w:lang w:val="en-AU"/>
        </w:rPr>
        <w:t>p</w:t>
      </w:r>
      <w:r w:rsidR="009F239A" w:rsidRPr="00B400DB">
        <w:rPr>
          <w:i/>
          <w:lang w:val="en-AU"/>
        </w:rPr>
        <w:t>opulnea</w:t>
      </w:r>
      <w:proofErr w:type="spellEnd"/>
      <w:r w:rsidR="009F239A" w:rsidRPr="00B400DB">
        <w:rPr>
          <w:lang w:val="en-AU"/>
        </w:rPr>
        <w:t>)</w:t>
      </w:r>
      <w:r w:rsidRPr="006E4337">
        <w:rPr>
          <w:lang w:val="en-AU"/>
        </w:rPr>
        <w:t xml:space="preserve"> can access groundwater </w:t>
      </w:r>
      <w:r w:rsidR="0029133F" w:rsidRPr="006E4337">
        <w:rPr>
          <w:lang w:val="en-AU"/>
        </w:rPr>
        <w:t>below this depth and below the average measured depth provided in the PD.</w:t>
      </w:r>
    </w:p>
    <w:p w14:paraId="3113D376" w14:textId="075D6A09" w:rsidR="0063541A" w:rsidRPr="006E4337" w:rsidRDefault="0063541A" w:rsidP="0063541A">
      <w:pPr>
        <w:pStyle w:val="ListBullet"/>
        <w:numPr>
          <w:ilvl w:val="0"/>
          <w:numId w:val="38"/>
        </w:numPr>
        <w:ind w:left="1080"/>
      </w:pPr>
      <w:r w:rsidRPr="006E4337">
        <w:rPr>
          <w:lang w:val="en-AU"/>
        </w:rPr>
        <w:t>Further stygofauna sampling is recommended, especially in alluvial sediments (when saturated)</w:t>
      </w:r>
      <w:r w:rsidR="005E16B4" w:rsidRPr="006E4337">
        <w:rPr>
          <w:lang w:val="en-AU"/>
        </w:rPr>
        <w:t>,</w:t>
      </w:r>
      <w:r w:rsidRPr="006E4337">
        <w:rPr>
          <w:lang w:val="en-AU"/>
        </w:rPr>
        <w:t xml:space="preserve"> and in bores in areas where drawdown is predicted. Results will guide risk assessment of drawdown on GDEs and development of a suitable monitoring program to </w:t>
      </w:r>
      <w:r w:rsidR="0014484A" w:rsidRPr="006E4337">
        <w:rPr>
          <w:lang w:val="en-AU"/>
        </w:rPr>
        <w:t xml:space="preserve">inform </w:t>
      </w:r>
      <w:r w:rsidRPr="006E4337">
        <w:rPr>
          <w:lang w:val="en-AU"/>
        </w:rPr>
        <w:t>an effective trigger-action-response plan</w:t>
      </w:r>
      <w:r w:rsidR="0035304F">
        <w:rPr>
          <w:lang w:val="en-AU"/>
        </w:rPr>
        <w:t xml:space="preserve"> (TARP)</w:t>
      </w:r>
      <w:r w:rsidRPr="006E4337">
        <w:rPr>
          <w:lang w:val="en-AU"/>
        </w:rPr>
        <w:t xml:space="preserve">. </w:t>
      </w:r>
    </w:p>
    <w:p w14:paraId="60A428D0" w14:textId="09933F6D" w:rsidR="00CC7323" w:rsidRPr="00B400DB" w:rsidRDefault="00D26DD9" w:rsidP="007A37BA">
      <w:pPr>
        <w:pStyle w:val="ListBullet"/>
        <w:numPr>
          <w:ilvl w:val="0"/>
          <w:numId w:val="38"/>
        </w:numPr>
        <w:ind w:left="1080"/>
      </w:pPr>
      <w:r w:rsidRPr="00B400DB">
        <w:rPr>
          <w:lang w:val="en-AU"/>
        </w:rPr>
        <w:t>Further consideration of the</w:t>
      </w:r>
      <w:r w:rsidR="004E6620" w:rsidRPr="00B400DB">
        <w:rPr>
          <w:lang w:val="en-AU"/>
        </w:rPr>
        <w:t xml:space="preserve"> long</w:t>
      </w:r>
      <w:r w:rsidR="0014484A" w:rsidRPr="00B400DB">
        <w:rPr>
          <w:lang w:val="en-AU"/>
        </w:rPr>
        <w:t>-</w:t>
      </w:r>
      <w:r w:rsidR="004E6620" w:rsidRPr="00B400DB">
        <w:rPr>
          <w:lang w:val="en-AU"/>
        </w:rPr>
        <w:t>term impact</w:t>
      </w:r>
      <w:r w:rsidR="008B6CB7" w:rsidRPr="00B400DB">
        <w:rPr>
          <w:lang w:val="en-AU"/>
        </w:rPr>
        <w:t>s</w:t>
      </w:r>
      <w:r w:rsidR="004E6620" w:rsidRPr="00B400DB">
        <w:rPr>
          <w:lang w:val="en-AU"/>
        </w:rPr>
        <w:t xml:space="preserve"> of increasing salinity in </w:t>
      </w:r>
      <w:r w:rsidR="0063541A" w:rsidRPr="00B400DB">
        <w:rPr>
          <w:lang w:val="en-AU"/>
        </w:rPr>
        <w:t>final voids</w:t>
      </w:r>
      <w:r w:rsidRPr="00B400DB">
        <w:rPr>
          <w:lang w:val="en-AU"/>
        </w:rPr>
        <w:t xml:space="preserve"> and the</w:t>
      </w:r>
      <w:r w:rsidR="0063541A" w:rsidRPr="00B400DB">
        <w:rPr>
          <w:lang w:val="en-AU"/>
        </w:rPr>
        <w:t xml:space="preserve"> potential </w:t>
      </w:r>
      <w:r w:rsidRPr="00B400DB">
        <w:rPr>
          <w:lang w:val="en-AU"/>
        </w:rPr>
        <w:t xml:space="preserve">for </w:t>
      </w:r>
      <w:r w:rsidR="0063541A" w:rsidRPr="00B400DB">
        <w:rPr>
          <w:lang w:val="en-AU"/>
        </w:rPr>
        <w:t>density</w:t>
      </w:r>
      <w:r w:rsidR="005E16B4" w:rsidRPr="00B400DB">
        <w:rPr>
          <w:lang w:val="en-AU"/>
        </w:rPr>
        <w:t>-driven</w:t>
      </w:r>
      <w:r w:rsidR="0063541A" w:rsidRPr="00B400DB">
        <w:rPr>
          <w:lang w:val="en-AU"/>
        </w:rPr>
        <w:t xml:space="preserve"> flow to reverse predicted groundwater flow.</w:t>
      </w:r>
      <w:r w:rsidRPr="00B400DB">
        <w:rPr>
          <w:lang w:val="en-AU"/>
        </w:rPr>
        <w:t xml:space="preserve"> This is particularly important given the proximity of the </w:t>
      </w:r>
      <w:proofErr w:type="spellStart"/>
      <w:r w:rsidRPr="00B400DB">
        <w:rPr>
          <w:lang w:val="en-AU"/>
        </w:rPr>
        <w:t>Jellinbah</w:t>
      </w:r>
      <w:proofErr w:type="spellEnd"/>
      <w:r w:rsidRPr="00B400DB">
        <w:rPr>
          <w:lang w:val="en-AU"/>
        </w:rPr>
        <w:t xml:space="preserve"> Fault to the two final voids. </w:t>
      </w:r>
    </w:p>
    <w:p w14:paraId="14BE9054" w14:textId="77777777" w:rsidR="007203C3" w:rsidRDefault="00766009" w:rsidP="007A37BA">
      <w:pPr>
        <w:pStyle w:val="Heading3"/>
      </w:pPr>
      <w:r>
        <w:t>Response to questions</w:t>
      </w:r>
    </w:p>
    <w:p w14:paraId="6DB3950B" w14:textId="361151DF" w:rsidR="00B63108" w:rsidRPr="00554C87" w:rsidRDefault="00603D67" w:rsidP="00B63108">
      <w:pPr>
        <w:pStyle w:val="Default"/>
        <w:spacing w:after="200" w:line="276" w:lineRule="auto"/>
        <w:rPr>
          <w:color w:val="auto"/>
        </w:rPr>
      </w:pPr>
      <w:r>
        <w:rPr>
          <w:rFonts w:ascii="Arial" w:eastAsia="Times New Roman" w:hAnsi="Arial" w:cs="Arial"/>
          <w:color w:val="auto"/>
          <w:sz w:val="20"/>
          <w:szCs w:val="20"/>
          <w:lang w:eastAsia="en-US"/>
        </w:rPr>
        <w:t>I</w:t>
      </w:r>
      <w:r w:rsidRPr="000D03C9">
        <w:rPr>
          <w:rFonts w:ascii="Arial" w:eastAsia="Times New Roman" w:hAnsi="Arial" w:cs="Arial"/>
          <w:color w:val="auto"/>
          <w:sz w:val="20"/>
          <w:szCs w:val="20"/>
          <w:lang w:eastAsia="en-US"/>
        </w:rPr>
        <w:t xml:space="preserve">n response to the </w:t>
      </w:r>
      <w:r w:rsidRPr="00554C87">
        <w:rPr>
          <w:rFonts w:ascii="Arial" w:eastAsia="Times New Roman" w:hAnsi="Arial" w:cs="Arial"/>
          <w:color w:val="auto"/>
          <w:sz w:val="20"/>
          <w:szCs w:val="20"/>
          <w:lang w:eastAsia="en-US"/>
        </w:rPr>
        <w:t>requesting agenc</w:t>
      </w:r>
      <w:r>
        <w:rPr>
          <w:rFonts w:ascii="Arial" w:eastAsia="Times New Roman" w:hAnsi="Arial" w:cs="Arial"/>
          <w:color w:val="auto"/>
          <w:sz w:val="20"/>
          <w:szCs w:val="20"/>
          <w:lang w:eastAsia="en-US"/>
        </w:rPr>
        <w:t>y’s</w:t>
      </w:r>
      <w:r w:rsidRPr="00554C87">
        <w:rPr>
          <w:rFonts w:ascii="Arial" w:eastAsia="Times New Roman" w:hAnsi="Arial" w:cs="Arial"/>
          <w:color w:val="auto"/>
          <w:sz w:val="20"/>
          <w:szCs w:val="20"/>
          <w:lang w:eastAsia="en-US"/>
        </w:rPr>
        <w:t xml:space="preserve"> specific questions</w:t>
      </w:r>
      <w:r>
        <w:rPr>
          <w:rFonts w:ascii="Arial" w:eastAsia="Times New Roman" w:hAnsi="Arial" w:cs="Arial"/>
          <w:color w:val="auto"/>
          <w:sz w:val="20"/>
          <w:szCs w:val="20"/>
          <w:lang w:eastAsia="en-US"/>
        </w:rPr>
        <w:t>, t</w:t>
      </w:r>
      <w:r w:rsidR="00B63108" w:rsidRPr="000D03C9">
        <w:rPr>
          <w:rFonts w:ascii="Arial" w:eastAsia="Times New Roman" w:hAnsi="Arial" w:cs="Arial"/>
          <w:color w:val="auto"/>
          <w:sz w:val="20"/>
          <w:szCs w:val="20"/>
          <w:lang w:eastAsia="en-US"/>
        </w:rPr>
        <w:t>he IESC’s advice</w:t>
      </w:r>
      <w:r w:rsidR="00B63108" w:rsidRPr="00554C87">
        <w:rPr>
          <w:rFonts w:ascii="Arial" w:eastAsia="Times New Roman" w:hAnsi="Arial" w:cs="Arial"/>
          <w:color w:val="auto"/>
          <w:sz w:val="20"/>
          <w:szCs w:val="20"/>
          <w:lang w:eastAsia="en-US"/>
        </w:rPr>
        <w:t xml:space="preserve"> is provided below. </w:t>
      </w:r>
    </w:p>
    <w:p w14:paraId="1D69BF7C" w14:textId="77777777" w:rsidR="00B63108" w:rsidRPr="00554C87" w:rsidRDefault="00B63108" w:rsidP="00B63108">
      <w:pPr>
        <w:pStyle w:val="Question"/>
        <w:shd w:val="clear" w:color="auto" w:fill="E7E6E6"/>
        <w:rPr>
          <w:lang w:eastAsia="en-AU"/>
        </w:rPr>
      </w:pPr>
      <w:r w:rsidRPr="00AC3329">
        <w:rPr>
          <w:color w:val="393939"/>
          <w:lang w:eastAsia="en-AU"/>
        </w:rPr>
        <w:lastRenderedPageBreak/>
        <w:t xml:space="preserve">Question 1 - Could the Committee please advise on the </w:t>
      </w:r>
      <w:r w:rsidRPr="00E64B31">
        <w:rPr>
          <w:color w:val="393939"/>
          <w:lang w:eastAsia="en-AU"/>
        </w:rPr>
        <w:t>adequacy of information</w:t>
      </w:r>
      <w:r w:rsidRPr="00AC3329">
        <w:rPr>
          <w:color w:val="393939"/>
          <w:lang w:eastAsia="en-AU"/>
        </w:rPr>
        <w:t xml:space="preserve"> provided </w:t>
      </w:r>
      <w:r w:rsidRPr="00AC3329">
        <w:rPr>
          <w:color w:val="4E5455"/>
          <w:lang w:eastAsia="en-AU"/>
        </w:rPr>
        <w:t>i</w:t>
      </w:r>
      <w:r w:rsidRPr="00AC3329">
        <w:rPr>
          <w:color w:val="393939"/>
          <w:lang w:eastAsia="en-AU"/>
        </w:rPr>
        <w:t>n the draft PD (including the adequacy and rel</w:t>
      </w:r>
      <w:r w:rsidRPr="00AC3329">
        <w:rPr>
          <w:color w:val="252525"/>
          <w:lang w:eastAsia="en-AU"/>
        </w:rPr>
        <w:t>i</w:t>
      </w:r>
      <w:r w:rsidRPr="00AC3329">
        <w:rPr>
          <w:color w:val="393939"/>
          <w:lang w:eastAsia="en-AU"/>
        </w:rPr>
        <w:t>ability of groundwater modell</w:t>
      </w:r>
      <w:r w:rsidRPr="00AC3329">
        <w:rPr>
          <w:color w:val="252525"/>
          <w:lang w:eastAsia="en-AU"/>
        </w:rPr>
        <w:t>i</w:t>
      </w:r>
      <w:r w:rsidRPr="00AC3329">
        <w:rPr>
          <w:color w:val="393939"/>
          <w:lang w:eastAsia="en-AU"/>
        </w:rPr>
        <w:t>ng)</w:t>
      </w:r>
      <w:r w:rsidRPr="00AC3329">
        <w:rPr>
          <w:color w:val="4E5455"/>
          <w:lang w:eastAsia="en-AU"/>
        </w:rPr>
        <w:t xml:space="preserve">, </w:t>
      </w:r>
      <w:r w:rsidRPr="00AC3329">
        <w:rPr>
          <w:color w:val="393939"/>
          <w:lang w:eastAsia="en-AU"/>
        </w:rPr>
        <w:t>and the veracity of conclusions made by the proponent, for understanding and assessing the project's potential water-related impacts. In particular groundwater drawdown impacts and changes to surface water regimes</w:t>
      </w:r>
      <w:r w:rsidRPr="00AC3329">
        <w:rPr>
          <w:color w:val="252525"/>
          <w:lang w:eastAsia="en-AU"/>
        </w:rPr>
        <w:t xml:space="preserve">. </w:t>
      </w:r>
      <w:r w:rsidRPr="00AC3329">
        <w:rPr>
          <w:color w:val="393939"/>
          <w:lang w:eastAsia="en-AU"/>
        </w:rPr>
        <w:t>If the information is not sufficient, what additional material would assist in the identification and assessment of potential impacts to water resources?</w:t>
      </w:r>
    </w:p>
    <w:p w14:paraId="7CE3AE84" w14:textId="5BB690A7" w:rsidR="00B405E6" w:rsidRPr="006E4337" w:rsidRDefault="00B405E6" w:rsidP="007A37BA">
      <w:pPr>
        <w:pStyle w:val="ListNumber"/>
        <w:numPr>
          <w:ilvl w:val="0"/>
          <w:numId w:val="5"/>
        </w:numPr>
        <w:rPr>
          <w:rFonts w:eastAsia="Calibri"/>
        </w:rPr>
      </w:pPr>
      <w:r w:rsidRPr="006E4337">
        <w:t xml:space="preserve">The proponent has generally presented appropriate information to understand and assess the </w:t>
      </w:r>
      <w:r w:rsidR="0014484A" w:rsidRPr="006E4337">
        <w:t xml:space="preserve">proposed </w:t>
      </w:r>
      <w:r w:rsidRPr="00B400DB">
        <w:t>project</w:t>
      </w:r>
      <w:r w:rsidR="006663CF" w:rsidRPr="00B400DB">
        <w:t>’s potential water</w:t>
      </w:r>
      <w:r w:rsidR="007B47DB" w:rsidRPr="00B400DB">
        <w:t>-</w:t>
      </w:r>
      <w:r w:rsidR="006663CF" w:rsidRPr="00B400DB">
        <w:t>related impacts</w:t>
      </w:r>
      <w:r w:rsidRPr="006E4337">
        <w:t xml:space="preserve">. The use of </w:t>
      </w:r>
      <w:r w:rsidR="006663CF" w:rsidRPr="006E4337">
        <w:t xml:space="preserve">historical </w:t>
      </w:r>
      <w:r w:rsidR="006663CF" w:rsidRPr="00B400DB">
        <w:t>site</w:t>
      </w:r>
      <w:r w:rsidR="00AA33C6" w:rsidRPr="00B400DB">
        <w:t>-</w:t>
      </w:r>
      <w:r w:rsidR="006663CF" w:rsidRPr="00B400DB">
        <w:t>specific and regional</w:t>
      </w:r>
      <w:r w:rsidRPr="006E4337">
        <w:t xml:space="preserve"> surface water and groundwater data in the assessment of project</w:t>
      </w:r>
      <w:r w:rsidR="0014484A" w:rsidRPr="006E4337">
        <w:t>-</w:t>
      </w:r>
      <w:r w:rsidRPr="006E4337">
        <w:t xml:space="preserve">related impacts is commended. Further </w:t>
      </w:r>
      <w:r w:rsidR="008A6CFC">
        <w:t xml:space="preserve">consideration and </w:t>
      </w:r>
      <w:r w:rsidRPr="006E4337">
        <w:t>information on: shallow groundwater levels within the Quaternary Alluvium; characterisation of local and regional faults</w:t>
      </w:r>
      <w:r w:rsidR="00AA33C6" w:rsidRPr="006E4337">
        <w:t xml:space="preserve"> and associated fracture systems</w:t>
      </w:r>
      <w:r w:rsidRPr="006E4337">
        <w:t xml:space="preserve">; historical discharges; </w:t>
      </w:r>
      <w:r w:rsidR="00BE214B">
        <w:t xml:space="preserve">field sampling and </w:t>
      </w:r>
      <w:r w:rsidRPr="006E4337">
        <w:t xml:space="preserve">geochemical </w:t>
      </w:r>
      <w:r w:rsidR="00223320">
        <w:t xml:space="preserve">characteristics </w:t>
      </w:r>
      <w:r w:rsidRPr="006E4337">
        <w:t xml:space="preserve">of waste rock; and GDEs is needed to ensure all potential impacts to water resources are addressed. These are discussed in </w:t>
      </w:r>
      <w:r w:rsidR="006663CF" w:rsidRPr="00B400DB">
        <w:t>more detail</w:t>
      </w:r>
      <w:r w:rsidR="006663CF" w:rsidRPr="006E4337">
        <w:t xml:space="preserve"> </w:t>
      </w:r>
      <w:r w:rsidRPr="006E4337">
        <w:t>below.</w:t>
      </w:r>
    </w:p>
    <w:p w14:paraId="45AB002E" w14:textId="77777777" w:rsidR="00505B7C" w:rsidRPr="006E4337" w:rsidRDefault="00B405E6" w:rsidP="00A4698D">
      <w:pPr>
        <w:pStyle w:val="ListNumber"/>
        <w:rPr>
          <w:rStyle w:val="Heading4Char"/>
          <w:rFonts w:eastAsia="Calibri"/>
        </w:rPr>
      </w:pPr>
      <w:r w:rsidRPr="006E4337">
        <w:rPr>
          <w:u w:val="single"/>
        </w:rPr>
        <w:t>Groundwater</w:t>
      </w:r>
    </w:p>
    <w:p w14:paraId="4C32B2DC" w14:textId="33E9595D" w:rsidR="009C6787" w:rsidRDefault="00787E2C" w:rsidP="009C6787">
      <w:pPr>
        <w:pStyle w:val="ListNumber"/>
        <w:numPr>
          <w:ilvl w:val="0"/>
          <w:numId w:val="5"/>
        </w:numPr>
        <w:rPr>
          <w:rStyle w:val="Heading4Char"/>
          <w:rFonts w:eastAsia="Calibri"/>
          <w:u w:val="none"/>
        </w:rPr>
      </w:pPr>
      <w:r w:rsidRPr="006E4337">
        <w:rPr>
          <w:rStyle w:val="Heading4Char"/>
          <w:rFonts w:eastAsia="Calibri"/>
          <w:u w:val="none"/>
        </w:rPr>
        <w:t xml:space="preserve">The groundwater assessment in general has been </w:t>
      </w:r>
      <w:r w:rsidR="006663CF" w:rsidRPr="00B400DB">
        <w:rPr>
          <w:rStyle w:val="Heading4Char"/>
          <w:rFonts w:eastAsia="Calibri"/>
          <w:u w:val="none"/>
        </w:rPr>
        <w:t>appropriately</w:t>
      </w:r>
      <w:r w:rsidR="006663CF" w:rsidRPr="006E4337">
        <w:rPr>
          <w:rStyle w:val="Heading4Char"/>
          <w:rFonts w:eastAsia="Calibri"/>
          <w:u w:val="none"/>
        </w:rPr>
        <w:t xml:space="preserve"> </w:t>
      </w:r>
      <w:r w:rsidRPr="006E4337">
        <w:rPr>
          <w:rStyle w:val="Heading4Char"/>
          <w:rFonts w:eastAsia="Calibri"/>
          <w:u w:val="none"/>
        </w:rPr>
        <w:t xml:space="preserve">considered and documented. The primary </w:t>
      </w:r>
      <w:r w:rsidR="00A4698D" w:rsidRPr="006E4337">
        <w:rPr>
          <w:rStyle w:val="Heading4Char"/>
          <w:rFonts w:eastAsia="Calibri"/>
          <w:u w:val="none"/>
        </w:rPr>
        <w:t>stated objectives</w:t>
      </w:r>
      <w:r w:rsidRPr="006E4337">
        <w:rPr>
          <w:rStyle w:val="Heading4Char"/>
          <w:rFonts w:eastAsia="Calibri"/>
          <w:u w:val="none"/>
        </w:rPr>
        <w:t xml:space="preserve"> of the numerical groundwater model </w:t>
      </w:r>
      <w:r w:rsidR="006663CF" w:rsidRPr="00B400DB">
        <w:rPr>
          <w:rStyle w:val="Heading4Char"/>
          <w:rFonts w:eastAsia="Calibri"/>
          <w:u w:val="none"/>
        </w:rPr>
        <w:t>are</w:t>
      </w:r>
      <w:r w:rsidR="006663CF" w:rsidRPr="006E4337">
        <w:rPr>
          <w:rStyle w:val="Heading4Char"/>
          <w:rFonts w:eastAsia="Calibri"/>
          <w:u w:val="none"/>
        </w:rPr>
        <w:t xml:space="preserve"> </w:t>
      </w:r>
      <w:r w:rsidR="00505B7C" w:rsidRPr="006E4337">
        <w:rPr>
          <w:rStyle w:val="Heading4Char"/>
          <w:rFonts w:eastAsia="Calibri"/>
          <w:u w:val="none"/>
        </w:rPr>
        <w:t xml:space="preserve">to </w:t>
      </w:r>
      <w:r w:rsidR="0002709D" w:rsidRPr="006E4337">
        <w:rPr>
          <w:rStyle w:val="Heading4Char"/>
          <w:rFonts w:eastAsia="Calibri"/>
          <w:u w:val="none"/>
        </w:rPr>
        <w:t>predict mine inflows and to assess groundwater drawdown impacts on the surrounding environment.</w:t>
      </w:r>
      <w:r w:rsidR="00A467C8" w:rsidRPr="006E4337">
        <w:rPr>
          <w:rStyle w:val="Heading4Char"/>
          <w:rFonts w:eastAsia="Calibri"/>
          <w:u w:val="none"/>
        </w:rPr>
        <w:t xml:space="preserve"> </w:t>
      </w:r>
      <w:r w:rsidR="00851485" w:rsidRPr="006E4337">
        <w:t>The proponent has provided an appropriate assessment of potential cumulative groundwater impacts for the project</w:t>
      </w:r>
      <w:r w:rsidR="0014484A" w:rsidRPr="006E4337">
        <w:t xml:space="preserve"> </w:t>
      </w:r>
      <w:r w:rsidR="00851485" w:rsidRPr="006E4337">
        <w:t>through incorporation of information from neighbouring mines and the proposed coal seam gas</w:t>
      </w:r>
      <w:r w:rsidR="0035304F">
        <w:t xml:space="preserve"> (CSG)</w:t>
      </w:r>
      <w:r w:rsidR="00851485" w:rsidRPr="006E4337">
        <w:t xml:space="preserve"> project into the numerical model.</w:t>
      </w:r>
      <w:r w:rsidR="00A4698D" w:rsidRPr="006E4337">
        <w:rPr>
          <w:rStyle w:val="Heading4Char"/>
          <w:rFonts w:eastAsia="Calibri"/>
          <w:u w:val="none"/>
        </w:rPr>
        <w:t xml:space="preserve"> Ho</w:t>
      </w:r>
      <w:r w:rsidRPr="006E4337">
        <w:rPr>
          <w:rStyle w:val="Heading4Char"/>
          <w:rFonts w:eastAsia="Calibri"/>
          <w:u w:val="none"/>
        </w:rPr>
        <w:t>wever</w:t>
      </w:r>
      <w:r w:rsidR="0014484A" w:rsidRPr="006E4337">
        <w:rPr>
          <w:rStyle w:val="Heading4Char"/>
          <w:rFonts w:eastAsia="Calibri"/>
          <w:u w:val="none"/>
        </w:rPr>
        <w:t>,</w:t>
      </w:r>
      <w:r w:rsidRPr="006E4337">
        <w:rPr>
          <w:rStyle w:val="Heading4Char"/>
          <w:rFonts w:eastAsia="Calibri"/>
          <w:u w:val="none"/>
        </w:rPr>
        <w:t xml:space="preserve"> </w:t>
      </w:r>
      <w:r w:rsidR="00A4698D" w:rsidRPr="006E4337">
        <w:rPr>
          <w:rStyle w:val="Heading4Char"/>
          <w:rFonts w:eastAsia="Calibri"/>
          <w:u w:val="none"/>
        </w:rPr>
        <w:t>f</w:t>
      </w:r>
      <w:r w:rsidR="00CE2C1E" w:rsidRPr="006E4337">
        <w:rPr>
          <w:rStyle w:val="Heading4Char"/>
          <w:rFonts w:eastAsia="Calibri"/>
          <w:u w:val="none"/>
        </w:rPr>
        <w:t>urther consideration of the conceptual model</w:t>
      </w:r>
      <w:r w:rsidR="006F5B50" w:rsidRPr="006E4337">
        <w:rPr>
          <w:rStyle w:val="Heading4Char"/>
          <w:rFonts w:eastAsia="Calibri"/>
          <w:u w:val="none"/>
        </w:rPr>
        <w:t xml:space="preserve"> and</w:t>
      </w:r>
      <w:r w:rsidR="00CE2C1E" w:rsidRPr="006E4337">
        <w:rPr>
          <w:rStyle w:val="Heading4Char"/>
          <w:rFonts w:eastAsia="Calibri"/>
          <w:u w:val="none"/>
        </w:rPr>
        <w:t xml:space="preserve"> </w:t>
      </w:r>
      <w:r w:rsidR="00851485" w:rsidRPr="006E4337">
        <w:rPr>
          <w:rStyle w:val="Heading4Char"/>
          <w:rFonts w:eastAsia="Calibri"/>
          <w:u w:val="none"/>
        </w:rPr>
        <w:t xml:space="preserve">model </w:t>
      </w:r>
      <w:r w:rsidR="00CE2C1E" w:rsidRPr="006E4337">
        <w:rPr>
          <w:rStyle w:val="Heading4Char"/>
          <w:rFonts w:eastAsia="Calibri"/>
          <w:u w:val="none"/>
        </w:rPr>
        <w:t>parameterisation is needed</w:t>
      </w:r>
      <w:r w:rsidRPr="006E4337">
        <w:rPr>
          <w:rStyle w:val="Heading4Char"/>
          <w:rFonts w:eastAsia="Calibri"/>
          <w:u w:val="none"/>
        </w:rPr>
        <w:t xml:space="preserve">, especially as additional data </w:t>
      </w:r>
      <w:r w:rsidR="001B7667" w:rsidRPr="00B400DB">
        <w:rPr>
          <w:rStyle w:val="Heading4Char"/>
          <w:rFonts w:eastAsia="Calibri"/>
          <w:u w:val="none"/>
        </w:rPr>
        <w:t>are</w:t>
      </w:r>
      <w:r w:rsidR="001B7667" w:rsidRPr="006E4337">
        <w:rPr>
          <w:rStyle w:val="Heading4Char"/>
          <w:rFonts w:eastAsia="Calibri"/>
          <w:u w:val="none"/>
        </w:rPr>
        <w:t xml:space="preserve"> </w:t>
      </w:r>
      <w:r w:rsidRPr="006E4337">
        <w:rPr>
          <w:rStyle w:val="Heading4Char"/>
          <w:rFonts w:eastAsia="Calibri"/>
          <w:u w:val="none"/>
        </w:rPr>
        <w:t>collected,</w:t>
      </w:r>
      <w:r w:rsidR="00CE2C1E" w:rsidRPr="006E4337">
        <w:rPr>
          <w:rStyle w:val="Heading4Char"/>
          <w:rFonts w:eastAsia="Calibri"/>
          <w:u w:val="none"/>
        </w:rPr>
        <w:t xml:space="preserve"> to improve </w:t>
      </w:r>
      <w:r w:rsidR="00B405E6" w:rsidRPr="006E4337">
        <w:rPr>
          <w:rStyle w:val="Heading4Char"/>
          <w:rFonts w:eastAsia="Calibri"/>
          <w:u w:val="none"/>
        </w:rPr>
        <w:t>confidence in the</w:t>
      </w:r>
      <w:r w:rsidR="00B405E6">
        <w:rPr>
          <w:rStyle w:val="Heading4Char"/>
          <w:rFonts w:eastAsia="Calibri"/>
          <w:u w:val="none"/>
        </w:rPr>
        <w:t xml:space="preserve"> model</w:t>
      </w:r>
      <w:r w:rsidR="00CE2C1E">
        <w:rPr>
          <w:rStyle w:val="Heading4Char"/>
          <w:rFonts w:eastAsia="Calibri"/>
          <w:u w:val="none"/>
        </w:rPr>
        <w:t xml:space="preserve">. </w:t>
      </w:r>
    </w:p>
    <w:p w14:paraId="50048D12" w14:textId="3D928BF9" w:rsidR="0014484A" w:rsidRDefault="0014484A" w:rsidP="009C6787">
      <w:pPr>
        <w:pStyle w:val="ListNumber"/>
        <w:numPr>
          <w:ilvl w:val="0"/>
          <w:numId w:val="5"/>
        </w:numPr>
        <w:rPr>
          <w:rStyle w:val="Heading4Char"/>
          <w:rFonts w:eastAsia="Calibri"/>
          <w:u w:val="none"/>
        </w:rPr>
      </w:pPr>
      <w:r w:rsidRPr="00847C82">
        <w:rPr>
          <w:rStyle w:val="Heading4Char"/>
          <w:rFonts w:eastAsia="Calibri"/>
          <w:u w:val="none"/>
        </w:rPr>
        <w:t>The provision of an uncertainty analysis gives more confidence in projected outcomes.</w:t>
      </w:r>
      <w:r w:rsidRPr="0031651B">
        <w:rPr>
          <w:rStyle w:val="Heading4Char"/>
          <w:rFonts w:eastAsia="Calibri"/>
          <w:u w:val="none"/>
        </w:rPr>
        <w:t xml:space="preserve"> </w:t>
      </w:r>
      <w:r w:rsidR="00A447E3">
        <w:rPr>
          <w:rStyle w:val="Heading4Char"/>
          <w:rFonts w:eastAsia="Calibri"/>
          <w:u w:val="none"/>
        </w:rPr>
        <w:t>A good example of this is shown in Figure 7.2 (</w:t>
      </w:r>
      <w:r w:rsidR="0035304F">
        <w:rPr>
          <w:rStyle w:val="Heading4Char"/>
          <w:rFonts w:eastAsia="Calibri"/>
          <w:u w:val="none"/>
        </w:rPr>
        <w:t>PD</w:t>
      </w:r>
      <w:r w:rsidR="00A447E3">
        <w:rPr>
          <w:rStyle w:val="Heading4Char"/>
          <w:rFonts w:eastAsia="Calibri"/>
          <w:u w:val="none"/>
        </w:rPr>
        <w:t xml:space="preserve">, </w:t>
      </w:r>
      <w:r w:rsidR="00CD7805">
        <w:rPr>
          <w:rStyle w:val="Heading4Char"/>
          <w:rFonts w:eastAsia="Calibri"/>
          <w:u w:val="none"/>
        </w:rPr>
        <w:t>Attachment</w:t>
      </w:r>
      <w:r w:rsidR="00A447E3">
        <w:rPr>
          <w:rStyle w:val="Heading4Char"/>
          <w:rFonts w:eastAsia="Calibri"/>
          <w:u w:val="none"/>
        </w:rPr>
        <w:t xml:space="preserve"> F, p. 26), where the 5 per cent and 95 per cent drawdown extents are presented for layers </w:t>
      </w:r>
      <w:r w:rsidR="0035304F">
        <w:rPr>
          <w:rStyle w:val="Heading4Char"/>
          <w:rFonts w:eastAsia="Calibri"/>
          <w:u w:val="none"/>
        </w:rPr>
        <w:t>two</w:t>
      </w:r>
      <w:r w:rsidR="00A447E3">
        <w:rPr>
          <w:rStyle w:val="Heading4Char"/>
          <w:rFonts w:eastAsia="Calibri"/>
          <w:u w:val="none"/>
        </w:rPr>
        <w:t xml:space="preserve"> and </w:t>
      </w:r>
      <w:r w:rsidR="0035304F">
        <w:rPr>
          <w:rStyle w:val="Heading4Char"/>
          <w:rFonts w:eastAsia="Calibri"/>
          <w:u w:val="none"/>
        </w:rPr>
        <w:t>three</w:t>
      </w:r>
      <w:r w:rsidR="00A447E3">
        <w:rPr>
          <w:rStyle w:val="Heading4Char"/>
          <w:rFonts w:eastAsia="Calibri"/>
          <w:u w:val="none"/>
        </w:rPr>
        <w:t xml:space="preserve"> (Tertiary and </w:t>
      </w:r>
      <w:r w:rsidR="00AC5C9B">
        <w:rPr>
          <w:rStyle w:val="Heading4Char"/>
          <w:rFonts w:eastAsia="Calibri"/>
          <w:u w:val="none"/>
        </w:rPr>
        <w:t>w</w:t>
      </w:r>
      <w:r w:rsidR="00A447E3">
        <w:rPr>
          <w:rStyle w:val="Heading4Char"/>
          <w:rFonts w:eastAsia="Calibri"/>
          <w:u w:val="none"/>
        </w:rPr>
        <w:t xml:space="preserve">eathered </w:t>
      </w:r>
      <w:r w:rsidR="00AC5C9B">
        <w:rPr>
          <w:rStyle w:val="Heading4Char"/>
          <w:rFonts w:eastAsia="Calibri"/>
          <w:u w:val="none"/>
        </w:rPr>
        <w:t>Permian</w:t>
      </w:r>
      <w:r w:rsidR="00A447E3">
        <w:rPr>
          <w:rStyle w:val="Heading4Char"/>
          <w:rFonts w:eastAsia="Calibri"/>
          <w:u w:val="none"/>
        </w:rPr>
        <w:t>) of the groundwater model. This information is important in identifying potential risk of drawdown to the northern wetlands</w:t>
      </w:r>
      <w:r w:rsidR="0031651B">
        <w:rPr>
          <w:rStyle w:val="Heading4Char"/>
          <w:rFonts w:eastAsia="Calibri"/>
          <w:u w:val="none"/>
        </w:rPr>
        <w:t xml:space="preserve">. Drawdown extents for layer </w:t>
      </w:r>
      <w:r w:rsidR="0035304F">
        <w:rPr>
          <w:rStyle w:val="Heading4Char"/>
          <w:rFonts w:eastAsia="Calibri"/>
          <w:u w:val="none"/>
        </w:rPr>
        <w:t>one</w:t>
      </w:r>
      <w:r w:rsidR="0031651B">
        <w:rPr>
          <w:rStyle w:val="Heading4Char"/>
          <w:rFonts w:eastAsia="Calibri"/>
          <w:u w:val="none"/>
        </w:rPr>
        <w:t xml:space="preserve"> (alluvial sediments) are not presented. When additional bores and hydrogeolo</w:t>
      </w:r>
      <w:r w:rsidR="00AC5C9B">
        <w:rPr>
          <w:rStyle w:val="Heading4Char"/>
          <w:rFonts w:eastAsia="Calibri"/>
          <w:u w:val="none"/>
        </w:rPr>
        <w:t>gi</w:t>
      </w:r>
      <w:r w:rsidR="0031651B">
        <w:rPr>
          <w:rStyle w:val="Heading4Char"/>
          <w:rFonts w:eastAsia="Calibri"/>
          <w:u w:val="none"/>
        </w:rPr>
        <w:t xml:space="preserve">cal information are available to better characterise groundwater within this unit, predicted drawdown extents for layer </w:t>
      </w:r>
      <w:r w:rsidR="0035304F">
        <w:rPr>
          <w:rStyle w:val="Heading4Char"/>
          <w:rFonts w:eastAsia="Calibri"/>
          <w:u w:val="none"/>
        </w:rPr>
        <w:t>one</w:t>
      </w:r>
      <w:r w:rsidR="0031651B">
        <w:rPr>
          <w:rStyle w:val="Heading4Char"/>
          <w:rFonts w:eastAsia="Calibri"/>
          <w:u w:val="none"/>
        </w:rPr>
        <w:t xml:space="preserve"> should be generated to inform appropriate management and monitoring options for GDEs within the zone of predicted impact. </w:t>
      </w:r>
    </w:p>
    <w:p w14:paraId="59A4BBA3" w14:textId="6F10C31A" w:rsidR="00B405E6" w:rsidRPr="006E4337" w:rsidRDefault="009C6787" w:rsidP="009C6787">
      <w:pPr>
        <w:pStyle w:val="ListNumber"/>
        <w:numPr>
          <w:ilvl w:val="0"/>
          <w:numId w:val="5"/>
        </w:numPr>
        <w:rPr>
          <w:rFonts w:eastAsia="Calibri"/>
        </w:rPr>
      </w:pPr>
      <w:r w:rsidRPr="006E4337">
        <w:rPr>
          <w:rStyle w:val="Heading4Char"/>
          <w:rFonts w:eastAsia="Calibri"/>
          <w:u w:val="none"/>
        </w:rPr>
        <w:t>T</w:t>
      </w:r>
      <w:r w:rsidR="00B405E6" w:rsidRPr="006E4337">
        <w:rPr>
          <w:rStyle w:val="Heading4Char"/>
          <w:rFonts w:eastAsia="Calibri"/>
          <w:u w:val="none"/>
        </w:rPr>
        <w:t>he</w:t>
      </w:r>
      <w:r w:rsidR="00B405E6" w:rsidRPr="006E4337">
        <w:t xml:space="preserve"> current hydrological conceptualisation (</w:t>
      </w:r>
      <w:r w:rsidR="0035304F">
        <w:t xml:space="preserve">PD, </w:t>
      </w:r>
      <w:r w:rsidR="00CD7805">
        <w:t>Attachment</w:t>
      </w:r>
      <w:r w:rsidR="0035304F">
        <w:t xml:space="preserve"> F</w:t>
      </w:r>
      <w:r w:rsidR="00B405E6" w:rsidRPr="006E4337">
        <w:t xml:space="preserve">, </w:t>
      </w:r>
      <w:proofErr w:type="gramStart"/>
      <w:r w:rsidR="00B405E6" w:rsidRPr="006E4337">
        <w:t>Figure</w:t>
      </w:r>
      <w:proofErr w:type="gramEnd"/>
      <w:r w:rsidR="00B405E6" w:rsidRPr="006E4337">
        <w:t xml:space="preserve"> 6.8) is plausible </w:t>
      </w:r>
      <w:r w:rsidR="001B7667" w:rsidRPr="00B400DB">
        <w:t>but</w:t>
      </w:r>
      <w:r w:rsidR="00B405E6" w:rsidRPr="006E4337">
        <w:t xml:space="preserve"> further consideration is needed on the representation of the </w:t>
      </w:r>
      <w:proofErr w:type="spellStart"/>
      <w:r w:rsidR="00B405E6" w:rsidRPr="006E4337">
        <w:t>Jellinbah</w:t>
      </w:r>
      <w:proofErr w:type="spellEnd"/>
      <w:r w:rsidR="00B405E6" w:rsidRPr="006E4337">
        <w:t xml:space="preserve"> Fault. The </w:t>
      </w:r>
      <w:proofErr w:type="spellStart"/>
      <w:r w:rsidR="00B405E6" w:rsidRPr="006E4337">
        <w:t>Jellinbah</w:t>
      </w:r>
      <w:proofErr w:type="spellEnd"/>
      <w:r w:rsidR="00B405E6" w:rsidRPr="006E4337">
        <w:t xml:space="preserve"> Fault is stated to dip east</w:t>
      </w:r>
      <w:r w:rsidR="0014484A" w:rsidRPr="006E4337">
        <w:t>;</w:t>
      </w:r>
      <w:r w:rsidR="00B405E6" w:rsidRPr="006E4337">
        <w:t xml:space="preserve"> however</w:t>
      </w:r>
      <w:r w:rsidR="0014484A" w:rsidRPr="006E4337">
        <w:t>,</w:t>
      </w:r>
      <w:r w:rsidR="00B405E6" w:rsidRPr="006E4337">
        <w:t xml:space="preserve"> the conceptual model presents the fault as a vertical feature. In addition, </w:t>
      </w:r>
      <w:r w:rsidR="00B405E6" w:rsidRPr="00B400DB">
        <w:t>alternat</w:t>
      </w:r>
      <w:r w:rsidR="00446A89" w:rsidRPr="00B400DB">
        <w:t>ive</w:t>
      </w:r>
      <w:r w:rsidR="00B405E6" w:rsidRPr="00B400DB">
        <w:t xml:space="preserve"> conceptualisation</w:t>
      </w:r>
      <w:r w:rsidR="00446A89" w:rsidRPr="00B400DB">
        <w:t>s</w:t>
      </w:r>
      <w:r w:rsidR="00B405E6" w:rsidRPr="006E4337">
        <w:t xml:space="preserve"> should be considered (i.e. hydrogeological connections with GDEs) to allow</w:t>
      </w:r>
      <w:r w:rsidR="00533D46" w:rsidRPr="006E4337">
        <w:t xml:space="preserve"> a more comprehensive </w:t>
      </w:r>
      <w:r w:rsidR="00B405E6" w:rsidRPr="006E4337">
        <w:t xml:space="preserve">assessment of drawdown impacts.  </w:t>
      </w:r>
    </w:p>
    <w:p w14:paraId="1FBF3CBA" w14:textId="5824C58C" w:rsidR="00753309" w:rsidRPr="006E4337" w:rsidRDefault="00C61553" w:rsidP="00A4698D">
      <w:pPr>
        <w:pStyle w:val="ListNumber"/>
        <w:numPr>
          <w:ilvl w:val="0"/>
          <w:numId w:val="5"/>
        </w:numPr>
      </w:pPr>
      <w:r w:rsidRPr="006E4337">
        <w:t>F</w:t>
      </w:r>
      <w:r w:rsidR="00237B0B" w:rsidRPr="006E4337">
        <w:t xml:space="preserve">urther information is </w:t>
      </w:r>
      <w:r w:rsidRPr="006E4337">
        <w:t xml:space="preserve">also </w:t>
      </w:r>
      <w:r w:rsidR="00237B0B" w:rsidRPr="006E4337">
        <w:t xml:space="preserve">needed on the location and characteristics of faults </w:t>
      </w:r>
      <w:r w:rsidR="00113285" w:rsidRPr="006E4337">
        <w:t>identified</w:t>
      </w:r>
      <w:r w:rsidR="00237B0B" w:rsidRPr="006E4337">
        <w:t xml:space="preserve"> within the project area</w:t>
      </w:r>
      <w:r w:rsidR="001B7667" w:rsidRPr="006E4337">
        <w:t>,</w:t>
      </w:r>
      <w:r w:rsidR="00DB5AE0" w:rsidRPr="006E4337">
        <w:t xml:space="preserve"> </w:t>
      </w:r>
      <w:r w:rsidR="001B7667" w:rsidRPr="00B400DB">
        <w:t>particularly</w:t>
      </w:r>
      <w:r w:rsidR="00237B0B" w:rsidRPr="006E4337">
        <w:t xml:space="preserve"> t</w:t>
      </w:r>
      <w:r w:rsidR="00DB5AE0" w:rsidRPr="006E4337">
        <w:t>he</w:t>
      </w:r>
      <w:r w:rsidR="00237B0B" w:rsidRPr="006E4337">
        <w:t xml:space="preserve"> </w:t>
      </w:r>
      <w:proofErr w:type="spellStart"/>
      <w:r w:rsidR="00237B0B" w:rsidRPr="006E4337">
        <w:t>Jellinbah</w:t>
      </w:r>
      <w:proofErr w:type="spellEnd"/>
      <w:r w:rsidR="00237B0B" w:rsidRPr="006E4337">
        <w:t xml:space="preserve"> </w:t>
      </w:r>
      <w:r w:rsidR="006E77AC" w:rsidRPr="006E4337">
        <w:t xml:space="preserve">Fault </w:t>
      </w:r>
      <w:r w:rsidR="00237B0B" w:rsidRPr="006E4337">
        <w:t xml:space="preserve">and other minor faults noted in </w:t>
      </w:r>
      <w:r w:rsidR="0035304F">
        <w:t xml:space="preserve">PD </w:t>
      </w:r>
      <w:r w:rsidR="00CD7805">
        <w:t>Attachment</w:t>
      </w:r>
      <w:r w:rsidR="0035304F">
        <w:t xml:space="preserve"> F</w:t>
      </w:r>
      <w:r w:rsidRPr="006E4337">
        <w:t xml:space="preserve"> </w:t>
      </w:r>
      <w:r w:rsidR="00237B0B" w:rsidRPr="006E4337">
        <w:t xml:space="preserve">Figure </w:t>
      </w:r>
      <w:r w:rsidRPr="006E4337">
        <w:t>5.4</w:t>
      </w:r>
      <w:r w:rsidR="006E77AC" w:rsidRPr="006E4337">
        <w:t xml:space="preserve">. </w:t>
      </w:r>
      <w:r w:rsidRPr="006E4337">
        <w:t xml:space="preserve">The </w:t>
      </w:r>
      <w:proofErr w:type="spellStart"/>
      <w:r w:rsidRPr="006E4337">
        <w:t>Jellinbah</w:t>
      </w:r>
      <w:proofErr w:type="spellEnd"/>
      <w:r w:rsidRPr="006E4337">
        <w:t xml:space="preserve"> Fault is a prominent geological feature within the project area. Its location </w:t>
      </w:r>
      <w:r w:rsidR="001B7667" w:rsidRPr="00B400DB">
        <w:t>coincides</w:t>
      </w:r>
      <w:r w:rsidRPr="006E4337">
        <w:t xml:space="preserve"> with the eastern boundary of the two final voids. An </w:t>
      </w:r>
      <w:r w:rsidR="00C07371" w:rsidRPr="006E4337">
        <w:t>intensive fault investigation drilling program</w:t>
      </w:r>
      <w:r w:rsidR="00B405E6" w:rsidRPr="006E4337">
        <w:t xml:space="preserve"> (36 bores drilled</w:t>
      </w:r>
      <w:r w:rsidR="00787E2C" w:rsidRPr="006E4337">
        <w:t xml:space="preserve"> along the fault</w:t>
      </w:r>
      <w:r w:rsidR="00B405E6" w:rsidRPr="006E4337">
        <w:t>)</w:t>
      </w:r>
      <w:r w:rsidR="0095396E" w:rsidRPr="006E4337">
        <w:t xml:space="preserve"> </w:t>
      </w:r>
      <w:r w:rsidR="00446A89" w:rsidRPr="00B400DB">
        <w:t>was</w:t>
      </w:r>
      <w:r w:rsidR="0095396E" w:rsidRPr="006E4337">
        <w:t xml:space="preserve"> carried out </w:t>
      </w:r>
      <w:r w:rsidRPr="006E4337">
        <w:t xml:space="preserve">in 2017 </w:t>
      </w:r>
      <w:r w:rsidR="0095396E" w:rsidRPr="006E4337">
        <w:t>(</w:t>
      </w:r>
      <w:r w:rsidR="0035304F">
        <w:t xml:space="preserve">PD, </w:t>
      </w:r>
      <w:r w:rsidR="00CD7805">
        <w:t>Attachment</w:t>
      </w:r>
      <w:r w:rsidR="0035304F">
        <w:t xml:space="preserve"> F</w:t>
      </w:r>
      <w:r w:rsidRPr="006E4337">
        <w:t>, p. 56</w:t>
      </w:r>
      <w:r w:rsidR="0095396E" w:rsidRPr="006E4337">
        <w:t>).</w:t>
      </w:r>
      <w:r w:rsidR="00A4698D" w:rsidRPr="006E4337">
        <w:t xml:space="preserve"> </w:t>
      </w:r>
      <w:r w:rsidR="00B405E6" w:rsidRPr="006E4337">
        <w:t xml:space="preserve">However only a </w:t>
      </w:r>
      <w:r w:rsidR="00E620A0" w:rsidRPr="006E4337">
        <w:t>summary of this investigation was presented</w:t>
      </w:r>
      <w:r w:rsidR="0057276E" w:rsidRPr="006E4337">
        <w:t xml:space="preserve"> </w:t>
      </w:r>
      <w:r w:rsidR="0057276E" w:rsidRPr="00B400DB">
        <w:t>and therefore cannot be fully assessed</w:t>
      </w:r>
      <w:r w:rsidR="00A4698D" w:rsidRPr="00B400DB">
        <w:t>.</w:t>
      </w:r>
      <w:r w:rsidR="00A4698D" w:rsidRPr="006E4337">
        <w:t xml:space="preserve"> The summary </w:t>
      </w:r>
      <w:r w:rsidR="00E620A0" w:rsidRPr="006E4337">
        <w:t>not</w:t>
      </w:r>
      <w:r w:rsidR="00A4698D" w:rsidRPr="006E4337">
        <w:t>e</w:t>
      </w:r>
      <w:r w:rsidR="00DA3CDF" w:rsidRPr="006E4337">
        <w:t>s</w:t>
      </w:r>
      <w:r w:rsidR="00E620A0" w:rsidRPr="006E4337">
        <w:t xml:space="preserve"> intersections </w:t>
      </w:r>
      <w:r w:rsidR="00A4698D" w:rsidRPr="006E4337">
        <w:t>with</w:t>
      </w:r>
      <w:r w:rsidR="00E620A0" w:rsidRPr="006E4337">
        <w:t xml:space="preserve"> groundwater and potential presence of localised fracture </w:t>
      </w:r>
      <w:r w:rsidR="00113285" w:rsidRPr="006E4337">
        <w:t xml:space="preserve">zones. </w:t>
      </w:r>
    </w:p>
    <w:p w14:paraId="06895D40" w14:textId="77777777" w:rsidR="00DA3CDF" w:rsidRPr="006E4337" w:rsidRDefault="00E620A0" w:rsidP="007A37BA">
      <w:pPr>
        <w:pStyle w:val="ListNumber"/>
        <w:numPr>
          <w:ilvl w:val="1"/>
          <w:numId w:val="5"/>
        </w:numPr>
      </w:pPr>
      <w:r w:rsidRPr="006E4337">
        <w:t xml:space="preserve">Information from this </w:t>
      </w:r>
      <w:r w:rsidR="00DA3CDF" w:rsidRPr="006E4337">
        <w:t>drilling program</w:t>
      </w:r>
      <w:r w:rsidR="004046C6" w:rsidRPr="00B400DB">
        <w:t>, if not already obtained</w:t>
      </w:r>
      <w:r w:rsidR="005E16B4" w:rsidRPr="00B400DB">
        <w:t>,</w:t>
      </w:r>
      <w:r w:rsidRPr="006E4337">
        <w:t xml:space="preserve"> should</w:t>
      </w:r>
      <w:r w:rsidR="00113285" w:rsidRPr="006E4337">
        <w:t>:</w:t>
      </w:r>
      <w:r w:rsidRPr="006E4337">
        <w:t xml:space="preserve"> </w:t>
      </w:r>
    </w:p>
    <w:p w14:paraId="5ECB2422" w14:textId="6177897C" w:rsidR="00357EE2" w:rsidRPr="00B400DB" w:rsidRDefault="00E620A0" w:rsidP="007A37BA">
      <w:pPr>
        <w:pStyle w:val="ListNumber"/>
        <w:numPr>
          <w:ilvl w:val="2"/>
          <w:numId w:val="5"/>
        </w:numPr>
      </w:pPr>
      <w:r w:rsidRPr="00B400DB">
        <w:t xml:space="preserve">confirm </w:t>
      </w:r>
      <w:r w:rsidR="00B405E6" w:rsidRPr="00B400DB">
        <w:t xml:space="preserve">the </w:t>
      </w:r>
      <w:r w:rsidR="0057276E" w:rsidRPr="00B400DB">
        <w:t xml:space="preserve">location and </w:t>
      </w:r>
      <w:r w:rsidR="00446A89" w:rsidRPr="00B400DB">
        <w:t>nature of the fault</w:t>
      </w:r>
      <w:r w:rsidR="0057276E" w:rsidRPr="00B400DB">
        <w:t xml:space="preserve"> within the project area, including its damage</w:t>
      </w:r>
      <w:r w:rsidR="00F3460A">
        <w:t>d</w:t>
      </w:r>
      <w:r w:rsidR="0057276E" w:rsidRPr="00B400DB">
        <w:t xml:space="preserve"> zone;</w:t>
      </w:r>
    </w:p>
    <w:p w14:paraId="32361BEC" w14:textId="77777777" w:rsidR="006E77AC" w:rsidRPr="00B400DB" w:rsidRDefault="006E77AC" w:rsidP="006E77AC">
      <w:pPr>
        <w:pStyle w:val="ListNumber"/>
        <w:numPr>
          <w:ilvl w:val="2"/>
          <w:numId w:val="5"/>
        </w:numPr>
      </w:pPr>
      <w:r w:rsidRPr="00B400DB">
        <w:lastRenderedPageBreak/>
        <w:t xml:space="preserve">include the presentation of cross-sections through the geological model within the project area; </w:t>
      </w:r>
    </w:p>
    <w:p w14:paraId="60D9F1F7" w14:textId="77777777" w:rsidR="00113285" w:rsidRPr="00B400DB" w:rsidRDefault="00954636" w:rsidP="007A37BA">
      <w:pPr>
        <w:pStyle w:val="ListNumber"/>
        <w:numPr>
          <w:ilvl w:val="2"/>
          <w:numId w:val="5"/>
        </w:numPr>
      </w:pPr>
      <w:r>
        <w:t>describe</w:t>
      </w:r>
      <w:r w:rsidRPr="00B400DB">
        <w:t xml:space="preserve"> </w:t>
      </w:r>
      <w:r w:rsidR="00357EE2" w:rsidRPr="00B400DB">
        <w:t xml:space="preserve">the fault’s </w:t>
      </w:r>
      <w:r w:rsidR="00E620A0" w:rsidRPr="00B400DB">
        <w:t>potential influence on groundwater flow paths</w:t>
      </w:r>
      <w:r w:rsidR="00446A89" w:rsidRPr="00B400DB">
        <w:t xml:space="preserve"> </w:t>
      </w:r>
      <w:r>
        <w:t xml:space="preserve">during mining operations (e.g. variation in stress conditions) </w:t>
      </w:r>
      <w:r w:rsidR="00357EE2" w:rsidRPr="00B400DB">
        <w:t>and leakage from final voids</w:t>
      </w:r>
      <w:r w:rsidR="00101979">
        <w:t>;</w:t>
      </w:r>
      <w:r w:rsidR="006E77AC" w:rsidRPr="00B400DB">
        <w:t xml:space="preserve"> and</w:t>
      </w:r>
    </w:p>
    <w:p w14:paraId="24248AA4" w14:textId="77777777" w:rsidR="0057276E" w:rsidRPr="00B400DB" w:rsidRDefault="006E1166" w:rsidP="0057276E">
      <w:pPr>
        <w:pStyle w:val="ListNumber"/>
        <w:numPr>
          <w:ilvl w:val="2"/>
          <w:numId w:val="5"/>
        </w:numPr>
      </w:pPr>
      <w:proofErr w:type="gramStart"/>
      <w:r w:rsidRPr="00B400DB">
        <w:t>inform</w:t>
      </w:r>
      <w:proofErr w:type="gramEnd"/>
      <w:r w:rsidRPr="00B400DB">
        <w:t xml:space="preserve"> the hydrogeological conceptual model and </w:t>
      </w:r>
      <w:r w:rsidR="00753309" w:rsidRPr="00B400DB">
        <w:t>be incorporated into the groundwater model</w:t>
      </w:r>
      <w:r w:rsidR="006E77AC" w:rsidRPr="00B400DB">
        <w:t xml:space="preserve">. </w:t>
      </w:r>
    </w:p>
    <w:p w14:paraId="28E77D5C" w14:textId="10B16805" w:rsidR="00753309" w:rsidRPr="006E4337" w:rsidRDefault="005F7200" w:rsidP="00BF6D89">
      <w:pPr>
        <w:pStyle w:val="ListNumber"/>
        <w:numPr>
          <w:ilvl w:val="0"/>
          <w:numId w:val="5"/>
        </w:numPr>
      </w:pPr>
      <w:r w:rsidRPr="006E4337">
        <w:t xml:space="preserve">The scale </w:t>
      </w:r>
      <w:r w:rsidR="00787E2C" w:rsidRPr="006E4337">
        <w:t xml:space="preserve">and construction </w:t>
      </w:r>
      <w:r w:rsidRPr="006E4337">
        <w:t xml:space="preserve">of the numerical model </w:t>
      </w:r>
      <w:r w:rsidR="00101979">
        <w:t>are</w:t>
      </w:r>
      <w:r w:rsidRPr="006E4337">
        <w:t xml:space="preserve"> adequate to limit</w:t>
      </w:r>
      <w:r w:rsidR="00787E2C" w:rsidRPr="006E4337">
        <w:t xml:space="preserve"> boundary</w:t>
      </w:r>
      <w:r w:rsidRPr="006E4337">
        <w:t xml:space="preserve"> effects</w:t>
      </w:r>
      <w:r w:rsidR="00787E2C" w:rsidRPr="006E4337">
        <w:t>,</w:t>
      </w:r>
      <w:r w:rsidRPr="006E4337">
        <w:t xml:space="preserve"> and </w:t>
      </w:r>
      <w:r w:rsidR="00357EE2" w:rsidRPr="00B400DB">
        <w:t>the model</w:t>
      </w:r>
      <w:r w:rsidR="00357EE2" w:rsidRPr="006E4337">
        <w:t xml:space="preserve"> </w:t>
      </w:r>
      <w:r w:rsidRPr="006E4337">
        <w:t xml:space="preserve">considers </w:t>
      </w:r>
      <w:r w:rsidR="00787E2C" w:rsidRPr="006E4337">
        <w:t xml:space="preserve">the presence of the </w:t>
      </w:r>
      <w:proofErr w:type="spellStart"/>
      <w:r w:rsidR="00787E2C" w:rsidRPr="006E4337">
        <w:t>Jellinbah</w:t>
      </w:r>
      <w:proofErr w:type="spellEnd"/>
      <w:r w:rsidR="00787E2C" w:rsidRPr="006E4337">
        <w:t xml:space="preserve"> Fault and cumulative impacts with nearby coal and CSG operations</w:t>
      </w:r>
      <w:r w:rsidRPr="006E4337">
        <w:t>.</w:t>
      </w:r>
      <w:r w:rsidR="00753309" w:rsidRPr="006E4337">
        <w:t xml:space="preserve"> However the following aspects require further information and consideration</w:t>
      </w:r>
      <w:r w:rsidR="00947433" w:rsidRPr="006E4337">
        <w:t>.</w:t>
      </w:r>
    </w:p>
    <w:p w14:paraId="53C10CB6" w14:textId="77777777" w:rsidR="00005AC2" w:rsidRPr="006E4337" w:rsidRDefault="005F7200" w:rsidP="007A37BA">
      <w:pPr>
        <w:pStyle w:val="ListNumber"/>
        <w:numPr>
          <w:ilvl w:val="1"/>
          <w:numId w:val="5"/>
        </w:numPr>
      </w:pPr>
      <w:r w:rsidRPr="006E4337">
        <w:t xml:space="preserve">Model layer thicknesses </w:t>
      </w:r>
      <w:r w:rsidR="001B7667" w:rsidRPr="00B400DB">
        <w:t>should</w:t>
      </w:r>
      <w:r w:rsidRPr="006E4337">
        <w:t xml:space="preserve"> be provided</w:t>
      </w:r>
      <w:r w:rsidR="00A40E6C" w:rsidRPr="006E4337">
        <w:t>.</w:t>
      </w:r>
      <w:r w:rsidR="00005AC2" w:rsidRPr="006E4337">
        <w:t xml:space="preserve"> </w:t>
      </w:r>
    </w:p>
    <w:p w14:paraId="3011773D" w14:textId="77777777" w:rsidR="006E1166" w:rsidRPr="006E4337" w:rsidRDefault="005F7200" w:rsidP="007A37BA">
      <w:pPr>
        <w:pStyle w:val="ListNumber"/>
        <w:numPr>
          <w:ilvl w:val="1"/>
          <w:numId w:val="5"/>
        </w:numPr>
      </w:pPr>
      <w:r w:rsidRPr="00B400DB">
        <w:t>E</w:t>
      </w:r>
      <w:r w:rsidR="00357EE2" w:rsidRPr="00B400DB">
        <w:t>vapotranspiration</w:t>
      </w:r>
      <w:r w:rsidR="001B7667" w:rsidRPr="00B400DB">
        <w:t xml:space="preserve"> (ET)</w:t>
      </w:r>
      <w:r w:rsidRPr="006E4337">
        <w:t xml:space="preserve"> </w:t>
      </w:r>
      <w:r w:rsidR="00A40E6C" w:rsidRPr="006E4337">
        <w:t xml:space="preserve">was </w:t>
      </w:r>
      <w:r w:rsidRPr="006E4337">
        <w:t>not applied due to depth</w:t>
      </w:r>
      <w:r w:rsidR="00753309" w:rsidRPr="006E4337">
        <w:t xml:space="preserve"> of </w:t>
      </w:r>
      <w:r w:rsidRPr="006E4337">
        <w:t>water below the groundwater surface</w:t>
      </w:r>
      <w:r w:rsidR="006E77AC" w:rsidRPr="006E4337">
        <w:t>.</w:t>
      </w:r>
      <w:r w:rsidRPr="006E4337">
        <w:t xml:space="preserve"> </w:t>
      </w:r>
      <w:r w:rsidR="006E77AC" w:rsidRPr="006E4337">
        <w:t>However</w:t>
      </w:r>
      <w:r w:rsidR="00101979">
        <w:t>,</w:t>
      </w:r>
      <w:r w:rsidR="006E77AC" w:rsidRPr="006E4337">
        <w:t xml:space="preserve"> </w:t>
      </w:r>
      <w:r w:rsidRPr="006E4337">
        <w:t xml:space="preserve">given the presence of </w:t>
      </w:r>
      <w:r w:rsidR="00357EE2" w:rsidRPr="00B400DB">
        <w:t>overlying</w:t>
      </w:r>
      <w:r w:rsidR="00357EE2" w:rsidRPr="006E4337">
        <w:t xml:space="preserve"> </w:t>
      </w:r>
      <w:r w:rsidRPr="006E4337">
        <w:t xml:space="preserve">vegetation in the </w:t>
      </w:r>
      <w:r w:rsidR="004046C6" w:rsidRPr="00B400DB">
        <w:t>project and</w:t>
      </w:r>
      <w:r w:rsidR="004046C6" w:rsidRPr="006E4337">
        <w:t xml:space="preserve"> </w:t>
      </w:r>
      <w:r w:rsidRPr="006E4337">
        <w:t xml:space="preserve">surrounding area, further consideration of ET is needed. </w:t>
      </w:r>
    </w:p>
    <w:p w14:paraId="29181FD3" w14:textId="0B509EA0" w:rsidR="006E1166" w:rsidRPr="006E4337" w:rsidRDefault="005F7200" w:rsidP="007A37BA">
      <w:pPr>
        <w:pStyle w:val="ListNumber"/>
        <w:numPr>
          <w:ilvl w:val="1"/>
          <w:numId w:val="5"/>
        </w:numPr>
      </w:pPr>
      <w:r w:rsidRPr="006E4337">
        <w:t>Recharge (</w:t>
      </w:r>
      <w:r w:rsidRPr="00B400DB">
        <w:t>0.</w:t>
      </w:r>
      <w:r w:rsidR="00ED101C" w:rsidRPr="00B400DB">
        <w:t>0</w:t>
      </w:r>
      <w:r w:rsidRPr="00B400DB">
        <w:t>6</w:t>
      </w:r>
      <w:r w:rsidRPr="006E4337">
        <w:t xml:space="preserve"> mm/year) </w:t>
      </w:r>
      <w:r w:rsidR="006E77AC" w:rsidRPr="006E4337">
        <w:t xml:space="preserve">as </w:t>
      </w:r>
      <w:r w:rsidR="006E1166" w:rsidRPr="006E4337">
        <w:t xml:space="preserve">applied to layer </w:t>
      </w:r>
      <w:r w:rsidR="0035304F">
        <w:t>one</w:t>
      </w:r>
      <w:r w:rsidR="006E1166" w:rsidRPr="006E4337">
        <w:t xml:space="preserve"> only (</w:t>
      </w:r>
      <w:r w:rsidR="00357EE2" w:rsidRPr="00B400DB">
        <w:t>alluvial</w:t>
      </w:r>
      <w:r w:rsidR="00357EE2" w:rsidRPr="006E4337">
        <w:t xml:space="preserve"> </w:t>
      </w:r>
      <w:r w:rsidR="006E1166" w:rsidRPr="006E4337">
        <w:t>sediments)</w:t>
      </w:r>
      <w:r w:rsidR="006E77AC" w:rsidRPr="006E4337">
        <w:t xml:space="preserve"> </w:t>
      </w:r>
      <w:r w:rsidR="00720F0C">
        <w:t xml:space="preserve">and </w:t>
      </w:r>
      <w:r w:rsidR="006E77AC" w:rsidRPr="006E4337">
        <w:t>appears unrealistically low and below detectable limits.</w:t>
      </w:r>
      <w:r w:rsidR="006E1166" w:rsidRPr="006E4337">
        <w:t xml:space="preserve"> </w:t>
      </w:r>
      <w:r w:rsidR="00113285" w:rsidRPr="006E4337">
        <w:t>Justification</w:t>
      </w:r>
      <w:r w:rsidR="006E1166" w:rsidRPr="006E4337">
        <w:t xml:space="preserve"> should be provide</w:t>
      </w:r>
      <w:r w:rsidR="00357EE2" w:rsidRPr="00B400DB">
        <w:t>d</w:t>
      </w:r>
      <w:r w:rsidR="006E1166" w:rsidRPr="006E4337">
        <w:t xml:space="preserve"> on how this value was derived and how recharge is accounted for in areas not containing </w:t>
      </w:r>
      <w:r w:rsidR="00113285" w:rsidRPr="006E4337">
        <w:t>alluvial</w:t>
      </w:r>
      <w:r w:rsidR="006E1166" w:rsidRPr="006E4337">
        <w:t xml:space="preserve"> sediments. </w:t>
      </w:r>
    </w:p>
    <w:p w14:paraId="1D89B221" w14:textId="230D1250" w:rsidR="006E1166" w:rsidRPr="006E4337" w:rsidRDefault="00A40E6C" w:rsidP="007A37BA">
      <w:pPr>
        <w:pStyle w:val="ListNumber"/>
        <w:numPr>
          <w:ilvl w:val="1"/>
          <w:numId w:val="5"/>
        </w:numPr>
      </w:pPr>
      <w:r w:rsidRPr="006E4337">
        <w:t xml:space="preserve">Hydraulic parameters are based on </w:t>
      </w:r>
      <w:r w:rsidR="006E1166" w:rsidRPr="006E4337">
        <w:t xml:space="preserve">the 2010 model for the Stage 2 project and </w:t>
      </w:r>
      <w:r w:rsidR="006E1166" w:rsidRPr="00B400DB">
        <w:t>do</w:t>
      </w:r>
      <w:r w:rsidR="00100938" w:rsidRPr="00B400DB">
        <w:t xml:space="preserve"> not</w:t>
      </w:r>
      <w:r w:rsidR="006E1166" w:rsidRPr="006E4337">
        <w:t xml:space="preserve"> appear to be based on any </w:t>
      </w:r>
      <w:r w:rsidRPr="006E4337">
        <w:t xml:space="preserve">field </w:t>
      </w:r>
      <w:r w:rsidR="00B54754" w:rsidRPr="006E4337">
        <w:t>testin</w:t>
      </w:r>
      <w:r w:rsidR="002E5F94" w:rsidRPr="006E4337">
        <w:t>g. Future groundwater drilling and monitoring activi</w:t>
      </w:r>
      <w:r w:rsidR="00113285" w:rsidRPr="006E4337">
        <w:t>ti</w:t>
      </w:r>
      <w:r w:rsidR="002E5F94" w:rsidRPr="006E4337">
        <w:t xml:space="preserve">es should consider pump testing to derive site-specific hydraulic parameters. </w:t>
      </w:r>
      <w:r w:rsidR="006E1166" w:rsidRPr="006E4337">
        <w:t xml:space="preserve"> </w:t>
      </w:r>
    </w:p>
    <w:p w14:paraId="4683529C" w14:textId="0B675215" w:rsidR="005F7200" w:rsidRPr="006E4337" w:rsidRDefault="00B54754" w:rsidP="007A37BA">
      <w:pPr>
        <w:pStyle w:val="ListNumber"/>
        <w:numPr>
          <w:ilvl w:val="1"/>
          <w:numId w:val="5"/>
        </w:numPr>
      </w:pPr>
      <w:r w:rsidRPr="006E4337">
        <w:t>Pit inflows have been estimate</w:t>
      </w:r>
      <w:r w:rsidR="00947433" w:rsidRPr="006E4337">
        <w:t>d</w:t>
      </w:r>
      <w:r w:rsidRPr="006E4337">
        <w:t xml:space="preserve"> from the groundwater model</w:t>
      </w:r>
      <w:r w:rsidRPr="006E4337">
        <w:rPr>
          <w:rStyle w:val="Heading4Char"/>
          <w:rFonts w:eastAsia="Calibri"/>
          <w:u w:val="none"/>
        </w:rPr>
        <w:t>.</w:t>
      </w:r>
      <w:r w:rsidRPr="006E4337">
        <w:t xml:space="preserve"> Model estimates of groundwater inflow should be verified with </w:t>
      </w:r>
      <w:r w:rsidR="006E77AC" w:rsidRPr="006E4337">
        <w:t>site</w:t>
      </w:r>
      <w:r w:rsidR="00954636">
        <w:t>-</w:t>
      </w:r>
      <w:r w:rsidR="006E77AC" w:rsidRPr="006E4337">
        <w:t xml:space="preserve">based </w:t>
      </w:r>
      <w:r w:rsidRPr="006E4337">
        <w:t xml:space="preserve">measurements. </w:t>
      </w:r>
    </w:p>
    <w:p w14:paraId="37051479" w14:textId="409BBD93" w:rsidR="004E738F" w:rsidRPr="006E4337" w:rsidRDefault="004E738F" w:rsidP="004E738F">
      <w:pPr>
        <w:pStyle w:val="ListNumber"/>
        <w:numPr>
          <w:ilvl w:val="0"/>
          <w:numId w:val="5"/>
        </w:numPr>
      </w:pPr>
      <w:r w:rsidRPr="006E4337">
        <w:t xml:space="preserve">These issues </w:t>
      </w:r>
      <w:r w:rsidR="00DD4A18" w:rsidRPr="00B400DB">
        <w:t>should</w:t>
      </w:r>
      <w:r w:rsidR="00DD4A18" w:rsidRPr="006E4337">
        <w:t xml:space="preserve"> </w:t>
      </w:r>
      <w:r w:rsidRPr="006E4337">
        <w:t xml:space="preserve">be addressed by </w:t>
      </w:r>
      <w:r w:rsidR="0050317A" w:rsidRPr="00B400DB">
        <w:t xml:space="preserve">ongoing </w:t>
      </w:r>
      <w:r w:rsidR="006647B0" w:rsidRPr="00B400DB">
        <w:t xml:space="preserve">collection of </w:t>
      </w:r>
      <w:r w:rsidRPr="00B400DB">
        <w:t>site-specific</w:t>
      </w:r>
      <w:r w:rsidRPr="006E4337">
        <w:t xml:space="preserve"> hydrogeological information and using </w:t>
      </w:r>
      <w:r w:rsidR="006647B0" w:rsidRPr="00B400DB">
        <w:t>it</w:t>
      </w:r>
      <w:r w:rsidR="006647B0" w:rsidRPr="006E4337">
        <w:t xml:space="preserve"> </w:t>
      </w:r>
      <w:r w:rsidRPr="006E4337">
        <w:t xml:space="preserve">to </w:t>
      </w:r>
      <w:r w:rsidR="00954636">
        <w:t>inform</w:t>
      </w:r>
      <w:r w:rsidRPr="006E4337">
        <w:t xml:space="preserve"> </w:t>
      </w:r>
      <w:r w:rsidRPr="00B400DB">
        <w:t>model conceptualisation</w:t>
      </w:r>
      <w:r w:rsidR="0035304F">
        <w:t xml:space="preserve"> and</w:t>
      </w:r>
      <w:r w:rsidRPr="00B400DB">
        <w:t xml:space="preserve"> calibration</w:t>
      </w:r>
      <w:r w:rsidR="00613D69">
        <w:t>.</w:t>
      </w:r>
      <w:r w:rsidRPr="00B400DB">
        <w:t xml:space="preserve"> </w:t>
      </w:r>
      <w:r w:rsidR="0035304F">
        <w:t>U</w:t>
      </w:r>
      <w:r w:rsidRPr="00B400DB">
        <w:t>ncertainty</w:t>
      </w:r>
      <w:r w:rsidR="00613D69">
        <w:t xml:space="preserve"> analysis</w:t>
      </w:r>
      <w:r w:rsidRPr="00B400DB">
        <w:t xml:space="preserve"> that explores a </w:t>
      </w:r>
      <w:r w:rsidR="00E96CE1">
        <w:t xml:space="preserve">broad range of realistic </w:t>
      </w:r>
      <w:r w:rsidRPr="00B400DB">
        <w:t>parameter</w:t>
      </w:r>
      <w:r w:rsidR="00E96CE1">
        <w:t>s</w:t>
      </w:r>
      <w:r w:rsidRPr="00B400DB">
        <w:t xml:space="preserve"> and model conceptualisation</w:t>
      </w:r>
      <w:r w:rsidR="0035304F">
        <w:t xml:space="preserve"> should be completed</w:t>
      </w:r>
      <w:r w:rsidRPr="00B400DB">
        <w:t>.</w:t>
      </w:r>
      <w:r w:rsidRPr="006E4337">
        <w:t xml:space="preserve"> </w:t>
      </w:r>
    </w:p>
    <w:p w14:paraId="58EF2BB7" w14:textId="31C49914" w:rsidR="002F64DB" w:rsidRPr="006E4337" w:rsidRDefault="002F64DB" w:rsidP="002F64DB">
      <w:pPr>
        <w:pStyle w:val="ListNumber"/>
        <w:numPr>
          <w:ilvl w:val="0"/>
          <w:numId w:val="5"/>
        </w:numPr>
      </w:pPr>
      <w:r w:rsidRPr="006E4337">
        <w:t xml:space="preserve">The groundwater assessment concluded that riparian and terrestrial vegetation is unlikely to be dependent on groundwater, given the depth to groundwater </w:t>
      </w:r>
      <w:r w:rsidR="00DD4A18" w:rsidRPr="00B400DB">
        <w:t>is</w:t>
      </w:r>
      <w:r w:rsidR="00DD4A18" w:rsidRPr="006E4337">
        <w:t xml:space="preserve"> </w:t>
      </w:r>
      <w:r w:rsidRPr="006E4337">
        <w:t>greater than 20</w:t>
      </w:r>
      <w:r w:rsidR="00474DC2" w:rsidRPr="006E4337">
        <w:t xml:space="preserve"> </w:t>
      </w:r>
      <w:r w:rsidRPr="006E4337">
        <w:t>m</w:t>
      </w:r>
      <w:r w:rsidR="00DD4A18" w:rsidRPr="006E4337">
        <w:t>,</w:t>
      </w:r>
      <w:r w:rsidRPr="006E4337">
        <w:t xml:space="preserve"> and the ephemeral nature of </w:t>
      </w:r>
      <w:r w:rsidR="00DD4A18" w:rsidRPr="00B400DB">
        <w:t>the</w:t>
      </w:r>
      <w:r w:rsidR="00DD4A18" w:rsidRPr="006E4337">
        <w:t xml:space="preserve"> </w:t>
      </w:r>
      <w:r w:rsidRPr="006E4337">
        <w:t xml:space="preserve">watercourses. The IESC notes </w:t>
      </w:r>
      <w:r w:rsidRPr="00B400DB">
        <w:t xml:space="preserve">that </w:t>
      </w:r>
      <w:r w:rsidR="00D92FC1" w:rsidRPr="00B400DB">
        <w:t>two</w:t>
      </w:r>
      <w:r w:rsidR="006647B0" w:rsidRPr="00B400DB">
        <w:t xml:space="preserve"> of the</w:t>
      </w:r>
      <w:r w:rsidRPr="00B400DB">
        <w:t xml:space="preserve"> tree species</w:t>
      </w:r>
      <w:r w:rsidR="00DD4A18" w:rsidRPr="00B400DB">
        <w:t xml:space="preserve"> occurring in the project area</w:t>
      </w:r>
      <w:r w:rsidRPr="006E4337">
        <w:t xml:space="preserve"> can access groundwater below this depth </w:t>
      </w:r>
      <w:r w:rsidR="00947433" w:rsidRPr="006E4337">
        <w:t>(Kath et al</w:t>
      </w:r>
      <w:r w:rsidR="00130647">
        <w:t>.</w:t>
      </w:r>
      <w:r w:rsidR="00947433" w:rsidRPr="006E4337">
        <w:t xml:space="preserve"> </w:t>
      </w:r>
      <w:r w:rsidR="00BF50D5" w:rsidRPr="006E4337">
        <w:t>2014</w:t>
      </w:r>
      <w:r w:rsidR="00947433" w:rsidRPr="006E4337">
        <w:t>)</w:t>
      </w:r>
      <w:r w:rsidRPr="006E4337">
        <w:t xml:space="preserve">. </w:t>
      </w:r>
    </w:p>
    <w:p w14:paraId="6A6CE970" w14:textId="77777777" w:rsidR="00113285" w:rsidRPr="006E4337" w:rsidRDefault="002F64DB" w:rsidP="002F64DB">
      <w:pPr>
        <w:pStyle w:val="ListNumber"/>
        <w:numPr>
          <w:ilvl w:val="1"/>
          <w:numId w:val="5"/>
        </w:numPr>
      </w:pPr>
      <w:r w:rsidRPr="006E4337">
        <w:t xml:space="preserve">While alluvial sediments have been reported dry during drilling, the </w:t>
      </w:r>
      <w:r w:rsidR="003C6FF5" w:rsidRPr="006E4337">
        <w:t xml:space="preserve">Quaternary Alluvium </w:t>
      </w:r>
      <w:r w:rsidRPr="006E4337">
        <w:t xml:space="preserve">is </w:t>
      </w:r>
      <w:r w:rsidR="00F842CA" w:rsidRPr="006E4337">
        <w:t>stated to provide some recharge to underlying units and flow into su</w:t>
      </w:r>
      <w:r w:rsidR="000C7F94" w:rsidRPr="006E4337">
        <w:t>r</w:t>
      </w:r>
      <w:r w:rsidR="00F842CA" w:rsidRPr="006E4337">
        <w:t xml:space="preserve">face water drainages following rainfall. There are no </w:t>
      </w:r>
      <w:r w:rsidR="00DD4A18" w:rsidRPr="00F6408F">
        <w:t>monitoring</w:t>
      </w:r>
      <w:r w:rsidR="00DD4A18" w:rsidRPr="006E4337">
        <w:t xml:space="preserve"> </w:t>
      </w:r>
      <w:r w:rsidR="00F842CA" w:rsidRPr="006E4337">
        <w:t>bores with</w:t>
      </w:r>
      <w:r w:rsidR="000C7F94" w:rsidRPr="006E4337">
        <w:t>in</w:t>
      </w:r>
      <w:r w:rsidR="00F842CA" w:rsidRPr="006E4337">
        <w:t xml:space="preserve"> the Quaternary Alluvium providing ongoing reference point</w:t>
      </w:r>
      <w:r w:rsidR="00113285" w:rsidRPr="006E4337">
        <w:t>s</w:t>
      </w:r>
      <w:r w:rsidR="00F842CA" w:rsidRPr="006E4337">
        <w:t xml:space="preserve"> for </w:t>
      </w:r>
      <w:r w:rsidR="00D92FC1" w:rsidRPr="00B400DB">
        <w:t>measuring</w:t>
      </w:r>
      <w:r w:rsidR="00D92FC1" w:rsidRPr="006E4337">
        <w:t xml:space="preserve"> </w:t>
      </w:r>
      <w:r w:rsidR="00F842CA" w:rsidRPr="006E4337">
        <w:t xml:space="preserve">groundwater fluctuations. </w:t>
      </w:r>
    </w:p>
    <w:p w14:paraId="6F446558" w14:textId="114BFFC3" w:rsidR="002F64DB" w:rsidRPr="006E4337" w:rsidRDefault="00F842CA" w:rsidP="002F64DB">
      <w:pPr>
        <w:pStyle w:val="ListNumber"/>
        <w:numPr>
          <w:ilvl w:val="1"/>
          <w:numId w:val="5"/>
        </w:numPr>
      </w:pPr>
      <w:r w:rsidRPr="006E4337">
        <w:t>In addition, t</w:t>
      </w:r>
      <w:r w:rsidR="002F64DB" w:rsidRPr="006E4337">
        <w:t>he</w:t>
      </w:r>
      <w:r w:rsidR="005E16B4" w:rsidRPr="00B400DB">
        <w:t xml:space="preserve">re </w:t>
      </w:r>
      <w:r w:rsidR="00613D69">
        <w:t>are</w:t>
      </w:r>
      <w:r w:rsidR="005E16B4" w:rsidRPr="00B400DB">
        <w:t xml:space="preserve"> a</w:t>
      </w:r>
      <w:r w:rsidR="002F64DB" w:rsidRPr="006E4337">
        <w:t xml:space="preserve"> </w:t>
      </w:r>
      <w:r w:rsidR="00DD4A18" w:rsidRPr="00B400DB">
        <w:t>lack</w:t>
      </w:r>
      <w:r w:rsidR="00DD4A18" w:rsidRPr="006E4337">
        <w:t xml:space="preserve"> </w:t>
      </w:r>
      <w:r w:rsidR="002F64DB" w:rsidRPr="006E4337">
        <w:t xml:space="preserve">of </w:t>
      </w:r>
      <w:r w:rsidR="00DD4A18" w:rsidRPr="00B400DB">
        <w:t>monitoring</w:t>
      </w:r>
      <w:r w:rsidR="00DD4A18" w:rsidRPr="006E4337">
        <w:t xml:space="preserve"> </w:t>
      </w:r>
      <w:r w:rsidR="002F64DB" w:rsidRPr="006E4337">
        <w:t>bores</w:t>
      </w:r>
      <w:r w:rsidR="00A73DC4" w:rsidRPr="006E4337">
        <w:t xml:space="preserve"> </w:t>
      </w:r>
      <w:r w:rsidR="00A73DC4" w:rsidRPr="00B400DB">
        <w:t>near the wetland</w:t>
      </w:r>
      <w:r w:rsidR="005E16B4" w:rsidRPr="006E4337">
        <w:t>s</w:t>
      </w:r>
      <w:r w:rsidR="002F64DB" w:rsidRPr="006E4337">
        <w:t xml:space="preserve"> to determine the likely depth to groundwater </w:t>
      </w:r>
      <w:r w:rsidRPr="006E4337">
        <w:t>at wetland sites</w:t>
      </w:r>
      <w:r w:rsidR="002F64DB" w:rsidRPr="006E4337">
        <w:t xml:space="preserve"> (e.g. </w:t>
      </w:r>
      <w:r w:rsidRPr="006E4337">
        <w:t xml:space="preserve">the HES wetland and </w:t>
      </w:r>
      <w:r w:rsidR="002F64DB" w:rsidRPr="006E4337">
        <w:t>individual wetlands</w:t>
      </w:r>
      <w:r w:rsidRPr="006E4337">
        <w:t xml:space="preserve"> to the north</w:t>
      </w:r>
      <w:r w:rsidR="002F64DB" w:rsidRPr="006E4337">
        <w:t>)</w:t>
      </w:r>
      <w:r w:rsidRPr="006E4337">
        <w:t xml:space="preserve">. This inhibits the assessment of groundwater dependence and potential impacts due to groundwater drawdown. </w:t>
      </w:r>
      <w:r w:rsidR="002F64DB" w:rsidRPr="006E4337">
        <w:t xml:space="preserve">This information should be </w:t>
      </w:r>
      <w:r w:rsidRPr="006E4337">
        <w:t xml:space="preserve">gathered </w:t>
      </w:r>
      <w:r w:rsidR="0035304F">
        <w:t>using</w:t>
      </w:r>
      <w:r w:rsidRPr="006E4337">
        <w:t xml:space="preserve"> </w:t>
      </w:r>
      <w:r w:rsidRPr="00B400DB">
        <w:t>strategically</w:t>
      </w:r>
      <w:r w:rsidR="00474DC2" w:rsidRPr="00B400DB">
        <w:t xml:space="preserve"> </w:t>
      </w:r>
      <w:r w:rsidRPr="00B400DB">
        <w:t>placed</w:t>
      </w:r>
      <w:r w:rsidRPr="006E4337">
        <w:t xml:space="preserve"> </w:t>
      </w:r>
      <w:r w:rsidR="004046C6" w:rsidRPr="00B400DB">
        <w:t>nested</w:t>
      </w:r>
      <w:r w:rsidR="004046C6" w:rsidRPr="006E4337">
        <w:t xml:space="preserve"> </w:t>
      </w:r>
      <w:r w:rsidRPr="006E4337">
        <w:t>monitoring bores</w:t>
      </w:r>
      <w:r w:rsidR="00613D69">
        <w:t xml:space="preserve"> </w:t>
      </w:r>
      <w:r w:rsidR="0035304F">
        <w:t>that would enable</w:t>
      </w:r>
      <w:r w:rsidR="00613D69">
        <w:t xml:space="preserve"> vertical and horizontal hydraulic gradients to be determined</w:t>
      </w:r>
      <w:r w:rsidR="002F64DB" w:rsidRPr="006E4337">
        <w:t>.</w:t>
      </w:r>
    </w:p>
    <w:p w14:paraId="2DF0E43F" w14:textId="30EE5FAF" w:rsidR="006F5B50" w:rsidRPr="006E4337" w:rsidRDefault="00C07371" w:rsidP="007A37BA">
      <w:pPr>
        <w:pStyle w:val="ListNumber"/>
        <w:numPr>
          <w:ilvl w:val="0"/>
          <w:numId w:val="5"/>
        </w:numPr>
      </w:pPr>
      <w:r w:rsidRPr="006E4337">
        <w:rPr>
          <w:rStyle w:val="Heading4Char"/>
          <w:rFonts w:eastAsia="Calibri"/>
          <w:u w:val="none"/>
        </w:rPr>
        <w:t xml:space="preserve">The potential interactions of the final void with groundwater are assumed </w:t>
      </w:r>
      <w:r w:rsidR="00613D69">
        <w:rPr>
          <w:rStyle w:val="Heading4Char"/>
          <w:rFonts w:eastAsia="Calibri"/>
          <w:u w:val="none"/>
        </w:rPr>
        <w:t xml:space="preserve">by the proponent </w:t>
      </w:r>
      <w:r w:rsidRPr="006E4337">
        <w:rPr>
          <w:rStyle w:val="Heading4Char"/>
          <w:rFonts w:eastAsia="Calibri"/>
          <w:u w:val="none"/>
        </w:rPr>
        <w:t>to be as an evaporative sink</w:t>
      </w:r>
      <w:r w:rsidR="00474DC2" w:rsidRPr="006E4337">
        <w:rPr>
          <w:rStyle w:val="Heading4Char"/>
          <w:rFonts w:eastAsia="Calibri"/>
          <w:u w:val="none"/>
        </w:rPr>
        <w:t xml:space="preserve"> (</w:t>
      </w:r>
      <w:r w:rsidR="0035304F">
        <w:rPr>
          <w:rStyle w:val="Heading4Char"/>
          <w:rFonts w:eastAsia="Calibri"/>
          <w:u w:val="none"/>
        </w:rPr>
        <w:t xml:space="preserve">PD, </w:t>
      </w:r>
      <w:r w:rsidR="00CD7805">
        <w:rPr>
          <w:rStyle w:val="Heading4Char"/>
          <w:rFonts w:eastAsia="Calibri"/>
          <w:u w:val="none"/>
        </w:rPr>
        <w:t>Attachment</w:t>
      </w:r>
      <w:r w:rsidR="0035304F">
        <w:rPr>
          <w:rStyle w:val="Heading4Char"/>
          <w:rFonts w:eastAsia="Calibri"/>
          <w:u w:val="none"/>
        </w:rPr>
        <w:t xml:space="preserve"> F</w:t>
      </w:r>
      <w:r w:rsidR="006264C9">
        <w:rPr>
          <w:rStyle w:val="Heading4Char"/>
          <w:rFonts w:eastAsia="Calibri"/>
          <w:u w:val="none"/>
        </w:rPr>
        <w:t xml:space="preserve">, </w:t>
      </w:r>
      <w:r w:rsidR="00474DC2" w:rsidRPr="006E4337">
        <w:rPr>
          <w:rStyle w:val="Heading4Char"/>
          <w:rFonts w:eastAsia="Calibri"/>
          <w:u w:val="none"/>
        </w:rPr>
        <w:t>p. 84)</w:t>
      </w:r>
      <w:r w:rsidR="007670E1" w:rsidRPr="006E4337">
        <w:rPr>
          <w:rStyle w:val="Heading4Char"/>
          <w:rFonts w:eastAsia="Calibri"/>
          <w:u w:val="none"/>
        </w:rPr>
        <w:t xml:space="preserve">. </w:t>
      </w:r>
      <w:r w:rsidR="00223320">
        <w:rPr>
          <w:rStyle w:val="Heading4Char"/>
          <w:rFonts w:eastAsia="Calibri"/>
          <w:u w:val="none"/>
        </w:rPr>
        <w:t>However, t</w:t>
      </w:r>
      <w:r w:rsidR="00474DC2" w:rsidRPr="006E4337">
        <w:rPr>
          <w:rStyle w:val="Heading4Char"/>
          <w:rFonts w:eastAsia="Calibri"/>
          <w:u w:val="none"/>
        </w:rPr>
        <w:t xml:space="preserve">he IESC </w:t>
      </w:r>
      <w:r w:rsidR="00223320">
        <w:rPr>
          <w:rStyle w:val="Heading4Char"/>
          <w:rFonts w:eastAsia="Calibri"/>
          <w:u w:val="none"/>
        </w:rPr>
        <w:t>notes that</w:t>
      </w:r>
      <w:r w:rsidR="00223320" w:rsidRPr="006E4337">
        <w:rPr>
          <w:rStyle w:val="Heading4Char"/>
          <w:rFonts w:eastAsia="Calibri"/>
          <w:u w:val="none"/>
        </w:rPr>
        <w:t xml:space="preserve"> </w:t>
      </w:r>
      <w:r w:rsidRPr="006E4337">
        <w:rPr>
          <w:rStyle w:val="Heading4Char"/>
          <w:rFonts w:eastAsia="Calibri"/>
          <w:u w:val="none"/>
        </w:rPr>
        <w:t>as the water</w:t>
      </w:r>
      <w:r w:rsidR="007670E1" w:rsidRPr="006E4337">
        <w:rPr>
          <w:rStyle w:val="Heading4Char"/>
          <w:rFonts w:eastAsia="Calibri"/>
          <w:u w:val="none"/>
        </w:rPr>
        <w:t xml:space="preserve"> within the final voids</w:t>
      </w:r>
      <w:r w:rsidRPr="006E4337">
        <w:rPr>
          <w:rStyle w:val="Heading4Char"/>
          <w:rFonts w:eastAsia="Calibri"/>
          <w:u w:val="none"/>
        </w:rPr>
        <w:t xml:space="preserve"> becomes more saline</w:t>
      </w:r>
      <w:r w:rsidR="00DD4A18" w:rsidRPr="00B400DB">
        <w:rPr>
          <w:rStyle w:val="Heading4Char"/>
          <w:rFonts w:eastAsia="Calibri"/>
          <w:u w:val="none"/>
        </w:rPr>
        <w:t>,</w:t>
      </w:r>
      <w:r w:rsidRPr="006E4337">
        <w:rPr>
          <w:rStyle w:val="Heading4Char"/>
          <w:rFonts w:eastAsia="Calibri"/>
          <w:u w:val="none"/>
        </w:rPr>
        <w:t xml:space="preserve"> the possibility of density</w:t>
      </w:r>
      <w:r w:rsidR="00A73DC4" w:rsidRPr="006E4337">
        <w:rPr>
          <w:rStyle w:val="Heading4Char"/>
          <w:rFonts w:eastAsia="Calibri"/>
          <w:u w:val="none"/>
        </w:rPr>
        <w:t>-</w:t>
      </w:r>
      <w:r w:rsidR="00A73DC4" w:rsidRPr="00B400DB">
        <w:rPr>
          <w:rStyle w:val="Heading4Char"/>
          <w:rFonts w:eastAsia="Calibri"/>
          <w:u w:val="none"/>
        </w:rPr>
        <w:t>driven</w:t>
      </w:r>
      <w:r w:rsidRPr="006E4337">
        <w:rPr>
          <w:rStyle w:val="Heading4Char"/>
          <w:rFonts w:eastAsia="Calibri"/>
          <w:u w:val="none"/>
        </w:rPr>
        <w:t xml:space="preserve"> flow reversing the </w:t>
      </w:r>
      <w:r w:rsidR="00D92FC1" w:rsidRPr="00B400DB">
        <w:rPr>
          <w:rStyle w:val="Heading4Char"/>
          <w:rFonts w:eastAsia="Calibri"/>
          <w:u w:val="none"/>
        </w:rPr>
        <w:t>direction of</w:t>
      </w:r>
      <w:r w:rsidR="00D92FC1" w:rsidRPr="006E4337">
        <w:rPr>
          <w:rStyle w:val="Heading4Char"/>
          <w:rFonts w:eastAsia="Calibri"/>
          <w:u w:val="none"/>
        </w:rPr>
        <w:t xml:space="preserve"> </w:t>
      </w:r>
      <w:r w:rsidRPr="006E4337">
        <w:rPr>
          <w:rStyle w:val="Heading4Char"/>
          <w:rFonts w:eastAsia="Calibri"/>
          <w:u w:val="none"/>
        </w:rPr>
        <w:t xml:space="preserve">groundwater flow </w:t>
      </w:r>
      <w:r w:rsidR="004046C6" w:rsidRPr="00B400DB">
        <w:rPr>
          <w:rStyle w:val="Heading4Char"/>
          <w:rFonts w:eastAsia="Calibri"/>
          <w:u w:val="none"/>
        </w:rPr>
        <w:t>away from the voids</w:t>
      </w:r>
      <w:r w:rsidR="004046C6" w:rsidRPr="006E4337">
        <w:rPr>
          <w:rStyle w:val="Heading4Char"/>
          <w:rFonts w:eastAsia="Calibri"/>
          <w:u w:val="none"/>
        </w:rPr>
        <w:t xml:space="preserve"> </w:t>
      </w:r>
      <w:r w:rsidR="002E4DB9" w:rsidRPr="006E4337">
        <w:rPr>
          <w:rStyle w:val="Heading4Char"/>
          <w:rFonts w:eastAsia="Calibri"/>
          <w:u w:val="none"/>
        </w:rPr>
        <w:t>should</w:t>
      </w:r>
      <w:r w:rsidRPr="006E4337">
        <w:rPr>
          <w:rStyle w:val="Heading4Char"/>
          <w:rFonts w:eastAsia="Calibri"/>
          <w:u w:val="none"/>
        </w:rPr>
        <w:t xml:space="preserve"> be considered.</w:t>
      </w:r>
      <w:r w:rsidRPr="006E4337">
        <w:t xml:space="preserve"> </w:t>
      </w:r>
    </w:p>
    <w:p w14:paraId="0D71015B" w14:textId="651252EC" w:rsidR="00C07371" w:rsidRPr="006E4337" w:rsidRDefault="006F5B50" w:rsidP="007A37BA">
      <w:pPr>
        <w:pStyle w:val="ListNumber"/>
        <w:numPr>
          <w:ilvl w:val="0"/>
          <w:numId w:val="5"/>
        </w:numPr>
      </w:pPr>
      <w:r w:rsidRPr="006E4337">
        <w:rPr>
          <w:rStyle w:val="Heading4Char"/>
          <w:rFonts w:eastAsia="Calibri"/>
          <w:u w:val="none"/>
        </w:rPr>
        <w:lastRenderedPageBreak/>
        <w:t xml:space="preserve">The peer review recommended the addition of groundwater monitoring </w:t>
      </w:r>
      <w:r w:rsidR="0035304F">
        <w:rPr>
          <w:rStyle w:val="Heading4Char"/>
          <w:rFonts w:eastAsia="Calibri"/>
          <w:u w:val="none"/>
        </w:rPr>
        <w:t xml:space="preserve">bores </w:t>
      </w:r>
      <w:r w:rsidRPr="006E4337">
        <w:rPr>
          <w:rStyle w:val="Heading4Char"/>
          <w:rFonts w:eastAsia="Calibri"/>
          <w:u w:val="none"/>
        </w:rPr>
        <w:t xml:space="preserve">between the </w:t>
      </w:r>
      <w:r w:rsidR="0035304F">
        <w:rPr>
          <w:rStyle w:val="Heading4Char"/>
          <w:rFonts w:eastAsia="Calibri"/>
          <w:u w:val="none"/>
        </w:rPr>
        <w:t xml:space="preserve">project area and </w:t>
      </w:r>
      <w:r w:rsidRPr="006E4337">
        <w:rPr>
          <w:rStyle w:val="Heading4Char"/>
          <w:rFonts w:eastAsia="Calibri"/>
          <w:u w:val="none"/>
        </w:rPr>
        <w:t>landholder</w:t>
      </w:r>
      <w:r w:rsidR="0035304F">
        <w:rPr>
          <w:rStyle w:val="Heading4Char"/>
          <w:rFonts w:eastAsia="Calibri"/>
          <w:u w:val="none"/>
        </w:rPr>
        <w:t xml:space="preserve"> bores</w:t>
      </w:r>
      <w:r w:rsidRPr="006E4337">
        <w:rPr>
          <w:rStyle w:val="Heading4Char"/>
          <w:rFonts w:eastAsia="Calibri"/>
          <w:u w:val="none"/>
        </w:rPr>
        <w:t xml:space="preserve"> to the north</w:t>
      </w:r>
      <w:r w:rsidR="00AA5A2B" w:rsidRPr="006E4337">
        <w:rPr>
          <w:rStyle w:val="Heading4Char"/>
          <w:rFonts w:eastAsia="Calibri"/>
          <w:u w:val="none"/>
        </w:rPr>
        <w:t xml:space="preserve">. </w:t>
      </w:r>
      <w:r w:rsidR="00BD3FAD" w:rsidRPr="00B400DB">
        <w:rPr>
          <w:rStyle w:val="Heading4Char"/>
          <w:rFonts w:eastAsia="Calibri"/>
          <w:u w:val="none"/>
        </w:rPr>
        <w:t xml:space="preserve">The IESC supports this recommendation as it will </w:t>
      </w:r>
      <w:r w:rsidR="00701BDC" w:rsidRPr="00B400DB">
        <w:rPr>
          <w:rStyle w:val="Heading4Char"/>
          <w:rFonts w:eastAsia="Calibri"/>
          <w:u w:val="none"/>
        </w:rPr>
        <w:t xml:space="preserve">provide ongoing groundwater monitoring </w:t>
      </w:r>
      <w:r w:rsidR="00254A51" w:rsidRPr="00B400DB">
        <w:rPr>
          <w:rStyle w:val="Heading4Char"/>
          <w:rFonts w:eastAsia="Calibri"/>
          <w:u w:val="none"/>
        </w:rPr>
        <w:t>and</w:t>
      </w:r>
      <w:r w:rsidR="00701BDC" w:rsidRPr="00B400DB">
        <w:rPr>
          <w:rStyle w:val="Heading4Char"/>
          <w:rFonts w:eastAsia="Calibri"/>
          <w:u w:val="none"/>
        </w:rPr>
        <w:t xml:space="preserve"> help </w:t>
      </w:r>
      <w:r w:rsidR="00BD3FAD" w:rsidRPr="00B400DB">
        <w:rPr>
          <w:rStyle w:val="Heading4Char"/>
          <w:rFonts w:eastAsia="Calibri"/>
          <w:u w:val="none"/>
        </w:rPr>
        <w:t>validate groundwater drawdown predictions in this area</w:t>
      </w:r>
      <w:r w:rsidR="00701BDC" w:rsidRPr="00B400DB">
        <w:rPr>
          <w:rStyle w:val="Heading4Char"/>
          <w:rFonts w:eastAsia="Calibri"/>
          <w:u w:val="none"/>
        </w:rPr>
        <w:t>.</w:t>
      </w:r>
      <w:r w:rsidR="00BD3FAD" w:rsidRPr="006E4337">
        <w:rPr>
          <w:rStyle w:val="Heading4Char"/>
          <w:rFonts w:eastAsia="Calibri"/>
          <w:u w:val="none"/>
        </w:rPr>
        <w:t xml:space="preserve"> </w:t>
      </w:r>
    </w:p>
    <w:p w14:paraId="434DC9F0" w14:textId="77777777" w:rsidR="00B63108" w:rsidRPr="006E4337" w:rsidRDefault="00B63108" w:rsidP="000F27A7">
      <w:pPr>
        <w:pStyle w:val="Default"/>
        <w:keepNext/>
        <w:spacing w:line="276" w:lineRule="auto"/>
        <w:rPr>
          <w:rStyle w:val="Heading4Char"/>
          <w:rFonts w:ascii="Arial" w:eastAsia="Calibri" w:hAnsi="Arial"/>
          <w:color w:val="auto"/>
          <w:sz w:val="20"/>
          <w:szCs w:val="20"/>
        </w:rPr>
      </w:pPr>
      <w:r w:rsidRPr="006E4337">
        <w:rPr>
          <w:rStyle w:val="Heading4Char"/>
          <w:rFonts w:ascii="Arial" w:eastAsia="Calibri" w:hAnsi="Arial"/>
          <w:sz w:val="20"/>
          <w:szCs w:val="20"/>
        </w:rPr>
        <w:t>Surface Water</w:t>
      </w:r>
    </w:p>
    <w:p w14:paraId="1A48D9C7" w14:textId="77777777" w:rsidR="007F5CD2" w:rsidRPr="006E4337" w:rsidRDefault="007F5CD2" w:rsidP="00B63108">
      <w:pPr>
        <w:pStyle w:val="Default"/>
        <w:spacing w:line="276" w:lineRule="auto"/>
        <w:rPr>
          <w:rStyle w:val="Heading4Char"/>
          <w:rFonts w:ascii="Arial" w:eastAsia="Calibri" w:hAnsi="Arial"/>
          <w:sz w:val="20"/>
          <w:szCs w:val="20"/>
        </w:rPr>
      </w:pPr>
    </w:p>
    <w:p w14:paraId="77D755BF" w14:textId="5DAE723C" w:rsidR="00B405E6" w:rsidRPr="00E00EAD" w:rsidRDefault="00B405E6" w:rsidP="00B405E6">
      <w:pPr>
        <w:pStyle w:val="ListNumber"/>
        <w:numPr>
          <w:ilvl w:val="0"/>
          <w:numId w:val="5"/>
        </w:numPr>
        <w:rPr>
          <w:rStyle w:val="Heading4Char"/>
          <w:rFonts w:eastAsia="Calibri"/>
          <w:u w:val="none"/>
        </w:rPr>
      </w:pPr>
      <w:r w:rsidRPr="006E4337">
        <w:rPr>
          <w:rStyle w:val="Heading4Char"/>
          <w:rFonts w:eastAsia="Calibri"/>
          <w:u w:val="none"/>
        </w:rPr>
        <w:t xml:space="preserve">The surface water </w:t>
      </w:r>
      <w:r w:rsidRPr="006E4337" w:rsidDel="008B2115">
        <w:rPr>
          <w:rStyle w:val="Heading4Char"/>
          <w:rFonts w:eastAsia="Calibri"/>
          <w:u w:val="none"/>
        </w:rPr>
        <w:t>assessmen</w:t>
      </w:r>
      <w:r w:rsidRPr="006E4337">
        <w:rPr>
          <w:rStyle w:val="Heading4Char"/>
          <w:rFonts w:eastAsia="Calibri"/>
          <w:u w:val="none"/>
        </w:rPr>
        <w:t xml:space="preserve">t and modelling </w:t>
      </w:r>
      <w:r w:rsidR="00D92FC1" w:rsidRPr="00E00EAD">
        <w:rPr>
          <w:rStyle w:val="Heading4Char"/>
          <w:rFonts w:eastAsia="Calibri"/>
          <w:u w:val="none"/>
        </w:rPr>
        <w:t>have</w:t>
      </w:r>
      <w:r w:rsidR="00D92FC1" w:rsidRPr="006E4337">
        <w:rPr>
          <w:rStyle w:val="Heading4Char"/>
          <w:rFonts w:eastAsia="Calibri"/>
          <w:u w:val="none"/>
        </w:rPr>
        <w:t xml:space="preserve"> </w:t>
      </w:r>
      <w:r w:rsidRPr="006E4337">
        <w:rPr>
          <w:rStyle w:val="Heading4Char"/>
          <w:rFonts w:eastAsia="Calibri"/>
          <w:u w:val="none"/>
        </w:rPr>
        <w:t>been well considered and documented. Adopted data, methodologies and predictions are considered reasonable for the assessment of changes to</w:t>
      </w:r>
      <w:r w:rsidRPr="00B76690">
        <w:rPr>
          <w:rStyle w:val="Heading4Char"/>
          <w:rFonts w:eastAsia="Calibri"/>
          <w:u w:val="none"/>
        </w:rPr>
        <w:t xml:space="preserve"> </w:t>
      </w:r>
      <w:r w:rsidRPr="006E4337">
        <w:rPr>
          <w:rStyle w:val="Heading4Char"/>
          <w:rFonts w:eastAsia="Calibri"/>
          <w:u w:val="none"/>
        </w:rPr>
        <w:t xml:space="preserve">surface water flow and flood characteristics as a result of existing and proposed diversions and ongoing changes to </w:t>
      </w:r>
      <w:r w:rsidR="00113285" w:rsidRPr="006E4337">
        <w:rPr>
          <w:rStyle w:val="Heading4Char"/>
          <w:rFonts w:eastAsia="Calibri"/>
          <w:u w:val="none"/>
        </w:rPr>
        <w:t>landform</w:t>
      </w:r>
      <w:r w:rsidRPr="006E4337">
        <w:rPr>
          <w:rStyle w:val="Heading4Char"/>
          <w:rFonts w:eastAsia="Calibri"/>
          <w:u w:val="none"/>
        </w:rPr>
        <w:t xml:space="preserve">. Further attention to parameter uncertainty could be considered in future model updates to improve confidence in model predictions. The site water management simulations look </w:t>
      </w:r>
      <w:r w:rsidR="00DD4A18" w:rsidRPr="00E00EAD">
        <w:rPr>
          <w:rStyle w:val="Heading4Char"/>
          <w:rFonts w:eastAsia="Calibri"/>
          <w:u w:val="none"/>
        </w:rPr>
        <w:t>realistic</w:t>
      </w:r>
      <w:r w:rsidR="00D92FC1" w:rsidRPr="00E00EAD">
        <w:rPr>
          <w:rStyle w:val="Heading4Char"/>
          <w:rFonts w:eastAsia="Calibri"/>
          <w:u w:val="none"/>
        </w:rPr>
        <w:t xml:space="preserve"> although</w:t>
      </w:r>
      <w:r w:rsidRPr="006E4337">
        <w:rPr>
          <w:rStyle w:val="Heading4Char"/>
          <w:rFonts w:eastAsia="Calibri"/>
          <w:u w:val="none"/>
        </w:rPr>
        <w:t xml:space="preserve"> the accounting and reporting of water </w:t>
      </w:r>
      <w:r w:rsidR="0035304F">
        <w:rPr>
          <w:rStyle w:val="Heading4Char"/>
          <w:rFonts w:eastAsia="Calibri"/>
          <w:u w:val="none"/>
        </w:rPr>
        <w:t xml:space="preserve">use </w:t>
      </w:r>
      <w:r w:rsidRPr="006E4337">
        <w:rPr>
          <w:rStyle w:val="Heading4Char"/>
          <w:rFonts w:eastAsia="Calibri"/>
          <w:u w:val="none"/>
        </w:rPr>
        <w:t>could be improved</w:t>
      </w:r>
      <w:r w:rsidR="00FE06E2" w:rsidRPr="006E4337">
        <w:rPr>
          <w:rStyle w:val="Heading4Char"/>
          <w:rFonts w:eastAsia="Calibri"/>
          <w:u w:val="none"/>
        </w:rPr>
        <w:t xml:space="preserve"> by referring to the </w:t>
      </w:r>
      <w:r w:rsidR="00720F0C">
        <w:rPr>
          <w:rStyle w:val="Heading4Char"/>
          <w:rFonts w:eastAsia="Calibri"/>
          <w:u w:val="none"/>
        </w:rPr>
        <w:t xml:space="preserve">Minerals Council of Australia (MCA) </w:t>
      </w:r>
      <w:r w:rsidR="00FE06E2" w:rsidRPr="006E4337">
        <w:rPr>
          <w:rStyle w:val="Heading4Char"/>
          <w:rFonts w:eastAsia="Calibri"/>
          <w:u w:val="none"/>
        </w:rPr>
        <w:t>Water Accounting Framework (Minerals Council of Australia 2014).</w:t>
      </w:r>
      <w:r w:rsidRPr="006E4337">
        <w:rPr>
          <w:rStyle w:val="Heading4Char"/>
          <w:rFonts w:eastAsia="Calibri"/>
          <w:u w:val="none"/>
        </w:rPr>
        <w:t xml:space="preserve"> </w:t>
      </w:r>
    </w:p>
    <w:p w14:paraId="1B0171E8" w14:textId="77777777" w:rsidR="00D16794" w:rsidRPr="006E4337" w:rsidRDefault="00D16794" w:rsidP="007A37BA">
      <w:pPr>
        <w:pStyle w:val="ListNumber"/>
        <w:numPr>
          <w:ilvl w:val="0"/>
          <w:numId w:val="5"/>
        </w:numPr>
        <w:rPr>
          <w:rFonts w:eastAsia="Calibri"/>
          <w:u w:val="single"/>
        </w:rPr>
      </w:pPr>
      <w:r w:rsidRPr="006E4337">
        <w:t>Flood impact management is stated to be suitable to</w:t>
      </w:r>
      <w:r w:rsidR="00EB3D99" w:rsidRPr="006E4337">
        <w:t xml:space="preserve"> manage the 0.1% AEP flood. </w:t>
      </w:r>
      <w:r w:rsidR="00DD4A18" w:rsidRPr="00E00EAD">
        <w:t>The IESC notes</w:t>
      </w:r>
      <w:r w:rsidR="00EB3D99" w:rsidRPr="006E4337">
        <w:t xml:space="preserve"> that the degree of non-linearity assumed for the flood model is lower than usually adopted (0.7), and it is doubtful that there is sufficient evidence in the locally calibrated event to support this</w:t>
      </w:r>
      <w:r w:rsidR="00613D69">
        <w:t xml:space="preserve"> assumption</w:t>
      </w:r>
      <w:r w:rsidR="00EB3D99" w:rsidRPr="006E4337">
        <w:t xml:space="preserve">. However, this </w:t>
      </w:r>
      <w:r w:rsidR="00947433" w:rsidRPr="006E4337">
        <w:t xml:space="preserve">is </w:t>
      </w:r>
      <w:r w:rsidR="00EB3D99" w:rsidRPr="006E4337">
        <w:t xml:space="preserve">likely to result in the flood estimates being conservatively high, so this provides additional confidence in the assessed level of flood </w:t>
      </w:r>
      <w:r w:rsidR="00DD4A18" w:rsidRPr="00E00EAD">
        <w:t>protection</w:t>
      </w:r>
      <w:r w:rsidR="00EB3D99" w:rsidRPr="006E4337">
        <w:t>.</w:t>
      </w:r>
    </w:p>
    <w:p w14:paraId="217B8BF4" w14:textId="123666F0" w:rsidR="00743EAF" w:rsidRPr="006E4337" w:rsidRDefault="00622AF0" w:rsidP="007A37BA">
      <w:pPr>
        <w:pStyle w:val="ListNumber"/>
        <w:numPr>
          <w:ilvl w:val="0"/>
          <w:numId w:val="5"/>
        </w:numPr>
        <w:rPr>
          <w:rFonts w:eastAsia="Calibri"/>
          <w:u w:val="single"/>
        </w:rPr>
      </w:pPr>
      <w:r w:rsidRPr="006E4337">
        <w:t>The outcome of the d</w:t>
      </w:r>
      <w:r w:rsidR="00096EF6" w:rsidRPr="006E4337">
        <w:t xml:space="preserve">iversion is stated to be consistent with </w:t>
      </w:r>
      <w:r w:rsidR="00474DC2" w:rsidRPr="006E4337">
        <w:t xml:space="preserve">Queensland </w:t>
      </w:r>
      <w:r w:rsidR="00096EF6" w:rsidRPr="006E4337">
        <w:t>watercourse diversion guidelines. The functional characteristics of the realigned diversion are stated to be the same as the existing diversion.</w:t>
      </w:r>
      <w:r w:rsidR="00EB3D99" w:rsidRPr="006E4337">
        <w:t xml:space="preserve"> </w:t>
      </w:r>
      <w:r w:rsidR="00E069B9" w:rsidRPr="006E4337">
        <w:t>S</w:t>
      </w:r>
      <w:r w:rsidR="00EB3D99" w:rsidRPr="006E4337">
        <w:t>ome variability in channel characteristics, as illustrated in Figure 6.2, should be incorporated into the design</w:t>
      </w:r>
      <w:r w:rsidR="00E069B9" w:rsidRPr="006E4337">
        <w:t xml:space="preserve"> </w:t>
      </w:r>
      <w:r w:rsidR="00E069B9" w:rsidRPr="00E00EAD">
        <w:t xml:space="preserve">as recommended by White </w:t>
      </w:r>
      <w:r w:rsidR="00E069B9" w:rsidRPr="00E00EAD">
        <w:rPr>
          <w:i/>
        </w:rPr>
        <w:t>et al</w:t>
      </w:r>
      <w:r w:rsidR="00130647">
        <w:rPr>
          <w:i/>
        </w:rPr>
        <w:t>.</w:t>
      </w:r>
      <w:r w:rsidR="00E069B9" w:rsidRPr="00E00EAD">
        <w:t xml:space="preserve"> (2014</w:t>
      </w:r>
      <w:r w:rsidR="00E069B9" w:rsidRPr="006E4337">
        <w:t>)</w:t>
      </w:r>
      <w:r w:rsidR="00A51A36" w:rsidRPr="006E4337">
        <w:t>.</w:t>
      </w:r>
      <w:r w:rsidR="00D5000F" w:rsidRPr="006E4337">
        <w:t xml:space="preserve"> </w:t>
      </w:r>
    </w:p>
    <w:p w14:paraId="1BB4CBBC" w14:textId="77777777" w:rsidR="00743EAF" w:rsidRPr="006E4337" w:rsidRDefault="00743EAF">
      <w:pPr>
        <w:pStyle w:val="ListNumber"/>
        <w:rPr>
          <w:rFonts w:eastAsia="Calibri"/>
          <w:u w:val="single"/>
        </w:rPr>
      </w:pPr>
      <w:r w:rsidRPr="006E4337">
        <w:rPr>
          <w:u w:val="single"/>
        </w:rPr>
        <w:t xml:space="preserve">Site water management </w:t>
      </w:r>
    </w:p>
    <w:p w14:paraId="01F8B8B4" w14:textId="7008CB0A" w:rsidR="00096EF6" w:rsidRPr="006E4337" w:rsidRDefault="00396871" w:rsidP="00BD3676">
      <w:pPr>
        <w:pStyle w:val="ListNumber"/>
        <w:numPr>
          <w:ilvl w:val="0"/>
          <w:numId w:val="5"/>
        </w:numPr>
        <w:rPr>
          <w:rStyle w:val="Heading4Char"/>
          <w:rFonts w:eastAsia="Calibri"/>
        </w:rPr>
      </w:pPr>
      <w:r w:rsidRPr="00E00EAD">
        <w:t xml:space="preserve">Overall the </w:t>
      </w:r>
      <w:r w:rsidR="00AC4040">
        <w:t xml:space="preserve">Middlemount </w:t>
      </w:r>
      <w:r w:rsidR="0035304F">
        <w:t>c</w:t>
      </w:r>
      <w:r w:rsidR="00AC4040">
        <w:t xml:space="preserve">oal </w:t>
      </w:r>
      <w:r w:rsidRPr="006E4337">
        <w:t xml:space="preserve">mine has a water deficit </w:t>
      </w:r>
      <w:r w:rsidR="00743EAF" w:rsidRPr="006E4337">
        <w:t xml:space="preserve">with </w:t>
      </w:r>
      <w:r w:rsidR="0035304F">
        <w:t xml:space="preserve">the </w:t>
      </w:r>
      <w:r w:rsidR="00743EAF" w:rsidRPr="006E4337">
        <w:t xml:space="preserve">need for water </w:t>
      </w:r>
      <w:r w:rsidR="0035304F">
        <w:t xml:space="preserve">to be supplied </w:t>
      </w:r>
      <w:r w:rsidR="00743EAF" w:rsidRPr="006E4337">
        <w:t xml:space="preserve">via </w:t>
      </w:r>
      <w:r w:rsidR="00613D69">
        <w:t xml:space="preserve">a </w:t>
      </w:r>
      <w:r w:rsidR="00743EAF" w:rsidRPr="006E4337">
        <w:t xml:space="preserve">pipeline from </w:t>
      </w:r>
      <w:r w:rsidRPr="006E4337">
        <w:t xml:space="preserve">the former </w:t>
      </w:r>
      <w:r w:rsidR="00743EAF" w:rsidRPr="006E4337">
        <w:t xml:space="preserve">German </w:t>
      </w:r>
      <w:r w:rsidRPr="006E4337">
        <w:t>C</w:t>
      </w:r>
      <w:r w:rsidR="00743EAF" w:rsidRPr="006E4337">
        <w:t>reek mine. Using regional rainfall data, the water balance model has been in place since mine operations commenced and is stated to have been continually updated. The variation in model parameters with land-use is consistent with both physical reasonin</w:t>
      </w:r>
      <w:r w:rsidR="00F3460A">
        <w:t>g and with regional information</w:t>
      </w:r>
      <w:r w:rsidR="00743EAF" w:rsidRPr="006E4337">
        <w:t xml:space="preserve"> and the proponent is to be commended for calibrating the model </w:t>
      </w:r>
      <w:r w:rsidR="008B1F4D" w:rsidRPr="00E00EAD">
        <w:t>with data from the local mine site</w:t>
      </w:r>
      <w:r w:rsidR="003A3C01" w:rsidRPr="006E4337">
        <w:rPr>
          <w:rStyle w:val="Heading4Char"/>
          <w:rFonts w:eastAsia="Calibri"/>
          <w:u w:val="none"/>
        </w:rPr>
        <w:t>.</w:t>
      </w:r>
      <w:r w:rsidR="00BD3676" w:rsidRPr="006E4337">
        <w:rPr>
          <w:rStyle w:val="Heading4Char"/>
          <w:rFonts w:eastAsia="Calibri"/>
          <w:u w:val="none"/>
        </w:rPr>
        <w:t xml:space="preserve"> To improve the accounting of water it would be helpful to report aspects of the water balance as monitored, modelled, </w:t>
      </w:r>
      <w:r w:rsidR="00113285" w:rsidRPr="006E4337">
        <w:rPr>
          <w:rStyle w:val="Heading4Char"/>
          <w:rFonts w:eastAsia="Calibri"/>
          <w:u w:val="none"/>
        </w:rPr>
        <w:t>and estimated</w:t>
      </w:r>
      <w:r w:rsidR="00613D69">
        <w:rPr>
          <w:rStyle w:val="Heading4Char"/>
          <w:rFonts w:eastAsia="Calibri"/>
          <w:u w:val="none"/>
        </w:rPr>
        <w:t xml:space="preserve"> as outlined in the </w:t>
      </w:r>
      <w:r w:rsidR="00720F0C">
        <w:rPr>
          <w:rStyle w:val="Heading4Char"/>
          <w:rFonts w:eastAsia="Calibri"/>
          <w:u w:val="none"/>
        </w:rPr>
        <w:t xml:space="preserve">MCA’s </w:t>
      </w:r>
      <w:r w:rsidR="00613D69">
        <w:rPr>
          <w:rStyle w:val="Heading4Char"/>
          <w:rFonts w:eastAsia="Calibri"/>
          <w:u w:val="none"/>
        </w:rPr>
        <w:t>Water Accounting Framework (Minerals Council of Australia 2014)</w:t>
      </w:r>
      <w:r w:rsidR="00BD3676" w:rsidRPr="006E4337">
        <w:rPr>
          <w:rStyle w:val="Heading4Char"/>
          <w:rFonts w:eastAsia="Calibri"/>
          <w:u w:val="none"/>
        </w:rPr>
        <w:t>.</w:t>
      </w:r>
    </w:p>
    <w:p w14:paraId="3DD276DB" w14:textId="48B83730" w:rsidR="003A3C01" w:rsidRPr="006E4337" w:rsidRDefault="003A3C01" w:rsidP="003A3C01">
      <w:pPr>
        <w:pStyle w:val="ListNumber"/>
        <w:numPr>
          <w:ilvl w:val="0"/>
          <w:numId w:val="5"/>
        </w:numPr>
        <w:rPr>
          <w:rFonts w:cs="Times New Roman"/>
        </w:rPr>
      </w:pPr>
      <w:r w:rsidRPr="006E4337">
        <w:t xml:space="preserve">Monitoring data for the receiving environment for the three release events </w:t>
      </w:r>
      <w:r w:rsidR="008B1F4D" w:rsidRPr="006E4337">
        <w:t xml:space="preserve">from </w:t>
      </w:r>
      <w:r w:rsidR="00A73DC4" w:rsidRPr="00E00EAD">
        <w:t>the two</w:t>
      </w:r>
      <w:r w:rsidR="00A73DC4" w:rsidRPr="006E4337">
        <w:t xml:space="preserve"> </w:t>
      </w:r>
      <w:r w:rsidR="008B1F4D" w:rsidRPr="00E00EAD">
        <w:t>sediment dams between</w:t>
      </w:r>
      <w:r w:rsidRPr="006E4337">
        <w:t xml:space="preserve"> </w:t>
      </w:r>
      <w:r w:rsidR="00113285" w:rsidRPr="006E4337">
        <w:t>January</w:t>
      </w:r>
      <w:r w:rsidRPr="006E4337">
        <w:t xml:space="preserve"> 2013 and February </w:t>
      </w:r>
      <w:r w:rsidRPr="00E00EAD">
        <w:t>2014 need</w:t>
      </w:r>
      <w:r w:rsidRPr="006E4337">
        <w:t xml:space="preserve"> to be provided. Investigations into the three release events were stated to be have been completed to ensure compliance with the EA conditions</w:t>
      </w:r>
      <w:r w:rsidR="00D40415" w:rsidRPr="006E4337">
        <w:t>. H</w:t>
      </w:r>
      <w:r w:rsidRPr="006E4337">
        <w:t xml:space="preserve">owever limited information on the reason for </w:t>
      </w:r>
      <w:r w:rsidRPr="00E00EAD">
        <w:t>release</w:t>
      </w:r>
      <w:r w:rsidR="00E069B9" w:rsidRPr="00E00EAD">
        <w:t>,</w:t>
      </w:r>
      <w:r w:rsidRPr="00E00EAD">
        <w:t xml:space="preserve"> and associated monitoring </w:t>
      </w:r>
      <w:r w:rsidR="00BD3676" w:rsidRPr="00E00EAD">
        <w:t xml:space="preserve">data </w:t>
      </w:r>
      <w:r w:rsidRPr="00E00EAD">
        <w:t>during and after release</w:t>
      </w:r>
      <w:r w:rsidR="00E069B9" w:rsidRPr="00E00EAD">
        <w:t>,</w:t>
      </w:r>
      <w:r w:rsidRPr="00E00EAD">
        <w:t xml:space="preserve"> </w:t>
      </w:r>
      <w:r w:rsidR="001F3BCC" w:rsidRPr="00E00EAD">
        <w:t>are</w:t>
      </w:r>
      <w:r w:rsidRPr="00E00EAD">
        <w:t xml:space="preserve"> not presented</w:t>
      </w:r>
      <w:r w:rsidRPr="006E4337">
        <w:t xml:space="preserve">. Given the site water </w:t>
      </w:r>
      <w:r w:rsidR="00BA4A40" w:rsidRPr="006E4337">
        <w:t xml:space="preserve">balance </w:t>
      </w:r>
      <w:r w:rsidRPr="006E4337">
        <w:t xml:space="preserve">has a general water deficit and that the likelihood for discharges is low, the nature and reason for the three releases need to be </w:t>
      </w:r>
      <w:r w:rsidR="00D40415" w:rsidRPr="006E4337">
        <w:t xml:space="preserve">addressed and associated management plans updated to reflect the possibility of another </w:t>
      </w:r>
      <w:r w:rsidR="00113285" w:rsidRPr="006E4337">
        <w:t>occurrence</w:t>
      </w:r>
      <w:r w:rsidR="0072554C" w:rsidRPr="006E4337">
        <w:t>. A</w:t>
      </w:r>
      <w:r w:rsidR="00D40415" w:rsidRPr="006E4337">
        <w:t xml:space="preserve">dequate responses (based on prior knowledge) </w:t>
      </w:r>
      <w:r w:rsidR="0072554C" w:rsidRPr="006E4337">
        <w:t xml:space="preserve">need to be put </w:t>
      </w:r>
      <w:r w:rsidR="00D40415" w:rsidRPr="006E4337">
        <w:t xml:space="preserve">in place to reduce the likelihood of </w:t>
      </w:r>
      <w:r w:rsidR="00113285" w:rsidRPr="006E4337">
        <w:t>reoccurrence</w:t>
      </w:r>
      <w:r w:rsidR="00D40415" w:rsidRPr="006E4337">
        <w:t xml:space="preserve"> and </w:t>
      </w:r>
      <w:r w:rsidR="00BA4A40" w:rsidRPr="006E4337">
        <w:t>potential</w:t>
      </w:r>
      <w:r w:rsidR="00D40415" w:rsidRPr="006E4337">
        <w:t xml:space="preserve"> downstream impacts. </w:t>
      </w:r>
    </w:p>
    <w:p w14:paraId="4E268282" w14:textId="14B3C645" w:rsidR="00743EAF" w:rsidRPr="00E00EAD" w:rsidRDefault="009114CF" w:rsidP="007D6EB6">
      <w:pPr>
        <w:pStyle w:val="ListNumber"/>
        <w:numPr>
          <w:ilvl w:val="0"/>
          <w:numId w:val="5"/>
        </w:numPr>
        <w:rPr>
          <w:rFonts w:eastAsia="Calibri"/>
          <w:u w:val="single"/>
        </w:rPr>
      </w:pPr>
      <w:r w:rsidRPr="00E00EAD">
        <w:t xml:space="preserve">The February 2014 release event was noted to not comply with water quality </w:t>
      </w:r>
      <w:r w:rsidR="00BA4A40" w:rsidRPr="00E00EAD">
        <w:t xml:space="preserve">guidelines </w:t>
      </w:r>
      <w:r w:rsidRPr="00E00EAD">
        <w:t>due to elevated concentrations of zinc and copper (</w:t>
      </w:r>
      <w:r w:rsidR="0035304F">
        <w:t xml:space="preserve">PD </w:t>
      </w:r>
      <w:r w:rsidRPr="00E00EAD">
        <w:t xml:space="preserve">Attachment D, p. 40). The proponent </w:t>
      </w:r>
      <w:r w:rsidR="00E069B9" w:rsidRPr="00E00EAD">
        <w:t>state</w:t>
      </w:r>
      <w:r w:rsidR="001F3BCC" w:rsidRPr="00E00EAD">
        <w:t>d</w:t>
      </w:r>
      <w:r w:rsidRPr="00E00EAD">
        <w:t xml:space="preserve"> that these contaminants were also elevated at the upstream reference site, suggesting naturally high background levels. The reasons for these exceedances at the reference site </w:t>
      </w:r>
      <w:r w:rsidR="00E069B9" w:rsidRPr="00E00EAD">
        <w:t>are</w:t>
      </w:r>
      <w:r w:rsidRPr="00E00EAD">
        <w:t xml:space="preserve"> not adequately considered or discussed. The IESC notes that monitoring of the receiving environment under natural flow conditions and during discharge events is a requirement under the EA (EA 21</w:t>
      </w:r>
      <w:r w:rsidR="001F3BCC" w:rsidRPr="00E00EAD">
        <w:t> </w:t>
      </w:r>
      <w:r w:rsidRPr="00E00EAD">
        <w:t>May</w:t>
      </w:r>
      <w:r w:rsidR="001F3BCC" w:rsidRPr="00E00EAD">
        <w:t> </w:t>
      </w:r>
      <w:r w:rsidRPr="00E00EAD">
        <w:t>2018, condition C19). However, there is currently no</w:t>
      </w:r>
      <w:r w:rsidR="004046C6" w:rsidRPr="00E00EAD">
        <w:t>t</w:t>
      </w:r>
      <w:r w:rsidRPr="00E00EAD">
        <w:t xml:space="preserve"> enough monitoring data available, for a range of </w:t>
      </w:r>
      <w:r w:rsidRPr="00E00EAD">
        <w:lastRenderedPageBreak/>
        <w:t>parameters, at these locations to make any statistically supported conclusions about instream water quality. Further monitoring and investigation should be considered to determine the cause of elevated metal concentrations</w:t>
      </w:r>
      <w:r w:rsidR="005E799C">
        <w:t>,</w:t>
      </w:r>
      <w:r w:rsidRPr="00E00EAD">
        <w:t xml:space="preserve"> including zinc and copper at the upstream reference site. This investigation </w:t>
      </w:r>
      <w:r w:rsidR="001F3BCC" w:rsidRPr="00E00EAD">
        <w:t>together w</w:t>
      </w:r>
      <w:r w:rsidR="00794BCF" w:rsidRPr="00E00EAD">
        <w:t>ith ongoing water quality monit</w:t>
      </w:r>
      <w:r w:rsidR="001F3BCC" w:rsidRPr="00E00EAD">
        <w:t xml:space="preserve">oring </w:t>
      </w:r>
      <w:r w:rsidRPr="00E00EAD">
        <w:t>should establish a robust dataset from which site-specific water quality guideline values can be derived.</w:t>
      </w:r>
      <w:r w:rsidR="00B405E6" w:rsidRPr="00E00EAD">
        <w:t xml:space="preserve"> </w:t>
      </w:r>
    </w:p>
    <w:p w14:paraId="366982A1" w14:textId="2284DF30" w:rsidR="00096EF6" w:rsidRPr="006E4337" w:rsidRDefault="00BF6D89" w:rsidP="007D6EB6">
      <w:pPr>
        <w:pStyle w:val="ListNumber"/>
        <w:numPr>
          <w:ilvl w:val="0"/>
          <w:numId w:val="5"/>
        </w:numPr>
      </w:pPr>
      <w:r w:rsidRPr="006E4337">
        <w:t xml:space="preserve">The geochemical assessment is </w:t>
      </w:r>
      <w:r w:rsidR="00CD7805">
        <w:t xml:space="preserve">based on samples taken in 2012 and indicates </w:t>
      </w:r>
      <w:r w:rsidR="00BB4BD7" w:rsidRPr="006E4337">
        <w:t>a low potential</w:t>
      </w:r>
      <w:r w:rsidRPr="006E4337">
        <w:t xml:space="preserve"> for acid generation. </w:t>
      </w:r>
      <w:r w:rsidR="00BB4BD7" w:rsidRPr="006E4337">
        <w:t>However, there is a residual risk due to variability of materials and aerial oxidation</w:t>
      </w:r>
      <w:r w:rsidR="00BB4BD7">
        <w:t xml:space="preserve"> </w:t>
      </w:r>
      <w:r w:rsidR="00BB4BD7" w:rsidRPr="00E00EAD">
        <w:t>pathways</w:t>
      </w:r>
      <w:r w:rsidR="00E069B9" w:rsidRPr="00E00EAD">
        <w:t>.</w:t>
      </w:r>
      <w:r w:rsidR="00BB4BD7" w:rsidRPr="00E00EAD">
        <w:t xml:space="preserve"> </w:t>
      </w:r>
      <w:r w:rsidR="00E069B9" w:rsidRPr="00E00EAD">
        <w:t>T</w:t>
      </w:r>
      <w:r w:rsidR="00BB4BD7" w:rsidRPr="00E00EAD">
        <w:t>herefore</w:t>
      </w:r>
      <w:r w:rsidR="00BA4A40" w:rsidRPr="006E4337">
        <w:t>,</w:t>
      </w:r>
      <w:r w:rsidR="00BB4BD7" w:rsidRPr="006E4337">
        <w:t xml:space="preserve"> the p</w:t>
      </w:r>
      <w:r w:rsidR="004A5F0D" w:rsidRPr="006E4337">
        <w:t>otential for acid generation remains and sampling should continue</w:t>
      </w:r>
      <w:r w:rsidR="0072554C" w:rsidRPr="006E4337">
        <w:t xml:space="preserve"> </w:t>
      </w:r>
      <w:r w:rsidR="00D5185F" w:rsidRPr="006E4337">
        <w:t>until after mine closure</w:t>
      </w:r>
      <w:r w:rsidR="008B1F4D" w:rsidRPr="00E00EAD">
        <w:t>.</w:t>
      </w:r>
    </w:p>
    <w:p w14:paraId="08C52652" w14:textId="77777777" w:rsidR="00B63108" w:rsidRPr="006E4337" w:rsidRDefault="00B63108" w:rsidP="007A37BA">
      <w:pPr>
        <w:pStyle w:val="Default"/>
        <w:keepNext/>
        <w:spacing w:line="276" w:lineRule="auto"/>
        <w:rPr>
          <w:rStyle w:val="Heading4Char"/>
          <w:rFonts w:ascii="Arial" w:eastAsia="Calibri" w:hAnsi="Arial"/>
          <w:color w:val="auto"/>
          <w:sz w:val="20"/>
          <w:szCs w:val="20"/>
        </w:rPr>
      </w:pPr>
      <w:r w:rsidRPr="006E4337">
        <w:rPr>
          <w:rStyle w:val="Heading4Char"/>
          <w:rFonts w:ascii="Arial" w:eastAsia="Calibri" w:hAnsi="Arial"/>
          <w:sz w:val="20"/>
          <w:szCs w:val="20"/>
        </w:rPr>
        <w:t>Ecology</w:t>
      </w:r>
    </w:p>
    <w:p w14:paraId="0E5BC460" w14:textId="77777777" w:rsidR="00622AF0" w:rsidRPr="006E4337" w:rsidRDefault="00622AF0" w:rsidP="00096EF6">
      <w:pPr>
        <w:pStyle w:val="Default"/>
        <w:spacing w:line="276" w:lineRule="auto"/>
        <w:rPr>
          <w:rStyle w:val="Heading4Char"/>
          <w:rFonts w:ascii="Arial" w:eastAsia="Calibri" w:hAnsi="Arial"/>
          <w:sz w:val="20"/>
          <w:szCs w:val="20"/>
        </w:rPr>
      </w:pPr>
    </w:p>
    <w:p w14:paraId="71894D45" w14:textId="70F27062" w:rsidR="00990E10" w:rsidRPr="006E4337" w:rsidRDefault="00B405E6" w:rsidP="007A37BA">
      <w:pPr>
        <w:pStyle w:val="ListNumber"/>
        <w:numPr>
          <w:ilvl w:val="0"/>
          <w:numId w:val="5"/>
        </w:numPr>
      </w:pPr>
      <w:r w:rsidRPr="006E4337">
        <w:rPr>
          <w:rStyle w:val="Heading4Char"/>
          <w:rFonts w:eastAsia="Calibri"/>
          <w:u w:val="none"/>
        </w:rPr>
        <w:t>The ecological assessment was focused within the project area and did not consider wetlands to the north</w:t>
      </w:r>
      <w:r w:rsidR="0072554C" w:rsidRPr="006E4337">
        <w:rPr>
          <w:rStyle w:val="Heading4Char"/>
          <w:rFonts w:eastAsia="Calibri"/>
          <w:u w:val="none"/>
        </w:rPr>
        <w:t xml:space="preserve"> of the mine</w:t>
      </w:r>
      <w:r w:rsidRPr="006E4337">
        <w:rPr>
          <w:rStyle w:val="Heading4Char"/>
          <w:rFonts w:eastAsia="Calibri"/>
          <w:u w:val="none"/>
        </w:rPr>
        <w:t xml:space="preserve">. The assessment of </w:t>
      </w:r>
      <w:r w:rsidR="00E069B9" w:rsidRPr="00E00EAD">
        <w:rPr>
          <w:rStyle w:val="Heading4Char"/>
          <w:rFonts w:eastAsia="Calibri"/>
          <w:u w:val="none"/>
        </w:rPr>
        <w:t>s</w:t>
      </w:r>
      <w:r w:rsidR="00E069B9" w:rsidRPr="006E4337">
        <w:rPr>
          <w:rStyle w:val="Heading4Char"/>
          <w:rFonts w:eastAsia="Calibri"/>
          <w:u w:val="none"/>
        </w:rPr>
        <w:t xml:space="preserve">tygofauna </w:t>
      </w:r>
      <w:r w:rsidRPr="006E4337">
        <w:rPr>
          <w:rStyle w:val="Heading4Char"/>
          <w:rFonts w:eastAsia="Calibri"/>
          <w:u w:val="none"/>
        </w:rPr>
        <w:t>was limited</w:t>
      </w:r>
      <w:r w:rsidR="00E069B9" w:rsidRPr="006E4337">
        <w:rPr>
          <w:rStyle w:val="Heading4Char"/>
          <w:rFonts w:eastAsia="Calibri"/>
          <w:u w:val="none"/>
        </w:rPr>
        <w:t xml:space="preserve"> </w:t>
      </w:r>
      <w:r w:rsidR="00E069B9" w:rsidRPr="00E00EAD">
        <w:rPr>
          <w:rStyle w:val="Heading4Char"/>
          <w:rFonts w:eastAsia="Calibri"/>
          <w:u w:val="none"/>
        </w:rPr>
        <w:t xml:space="preserve">(see </w:t>
      </w:r>
      <w:r w:rsidR="00F7561E" w:rsidRPr="00E00EAD">
        <w:rPr>
          <w:rStyle w:val="Heading4Char"/>
          <w:rFonts w:eastAsia="Calibri"/>
          <w:u w:val="none"/>
        </w:rPr>
        <w:t>Paragraph</w:t>
      </w:r>
      <w:r w:rsidR="00E069B9" w:rsidRPr="00E00EAD">
        <w:rPr>
          <w:rStyle w:val="Heading4Char"/>
          <w:rFonts w:eastAsia="Calibri"/>
          <w:u w:val="none"/>
        </w:rPr>
        <w:t xml:space="preserve"> </w:t>
      </w:r>
      <w:r w:rsidR="00CD7805">
        <w:rPr>
          <w:rStyle w:val="Heading4Char"/>
          <w:rFonts w:eastAsia="Calibri"/>
          <w:u w:val="none"/>
        </w:rPr>
        <w:t>22-</w:t>
      </w:r>
      <w:r w:rsidR="00F7561E" w:rsidRPr="00E00EAD">
        <w:rPr>
          <w:rStyle w:val="Heading4Char"/>
          <w:rFonts w:eastAsia="Calibri"/>
          <w:u w:val="none"/>
        </w:rPr>
        <w:t>2</w:t>
      </w:r>
      <w:r w:rsidR="00D14CDC">
        <w:rPr>
          <w:rStyle w:val="Heading4Char"/>
          <w:rFonts w:eastAsia="Calibri"/>
          <w:u w:val="none"/>
        </w:rPr>
        <w:t>3</w:t>
      </w:r>
      <w:r w:rsidR="00E069B9" w:rsidRPr="00E00EAD">
        <w:rPr>
          <w:rStyle w:val="Heading4Char"/>
          <w:rFonts w:eastAsia="Calibri"/>
          <w:u w:val="none"/>
        </w:rPr>
        <w:t>)</w:t>
      </w:r>
      <w:r w:rsidRPr="006E4337">
        <w:rPr>
          <w:rStyle w:val="Heading4Char"/>
          <w:rFonts w:eastAsia="Calibri"/>
          <w:u w:val="none"/>
        </w:rPr>
        <w:t xml:space="preserve">. </w:t>
      </w:r>
      <w:r w:rsidR="00627D17" w:rsidRPr="006E4337">
        <w:t>Potential GDEs within the project area and surrounds include terrestrial vegetation within the western extension area</w:t>
      </w:r>
      <w:r w:rsidR="003B788D" w:rsidRPr="006E4337">
        <w:t xml:space="preserve"> </w:t>
      </w:r>
      <w:r w:rsidR="003B788D" w:rsidRPr="00E00EAD">
        <w:t>and</w:t>
      </w:r>
      <w:r w:rsidR="003B788D" w:rsidRPr="006E4337">
        <w:t xml:space="preserve"> </w:t>
      </w:r>
      <w:r w:rsidR="00627D17" w:rsidRPr="006E4337">
        <w:t>riparian vegetation along surface water drainage line</w:t>
      </w:r>
      <w:r w:rsidR="00BA4A40" w:rsidRPr="006E4337">
        <w:t>s</w:t>
      </w:r>
      <w:r w:rsidR="00627D17" w:rsidRPr="006E4337">
        <w:t xml:space="preserve"> and wetlands, including the HES wetland within the </w:t>
      </w:r>
      <w:r w:rsidR="00113285" w:rsidRPr="006E4337">
        <w:t>project</w:t>
      </w:r>
      <w:r w:rsidR="00627D17" w:rsidRPr="006E4337">
        <w:t xml:space="preserve"> area.</w:t>
      </w:r>
    </w:p>
    <w:p w14:paraId="3B664B53" w14:textId="0AEFE2FC" w:rsidR="009142C5" w:rsidRPr="006E4337" w:rsidRDefault="009142C5" w:rsidP="007A37BA">
      <w:pPr>
        <w:pStyle w:val="ListNumber"/>
        <w:numPr>
          <w:ilvl w:val="0"/>
          <w:numId w:val="5"/>
        </w:numPr>
      </w:pPr>
      <w:r w:rsidRPr="006E4337">
        <w:t xml:space="preserve">The proponent </w:t>
      </w:r>
      <w:r w:rsidR="00794BCF" w:rsidRPr="006E4337">
        <w:t xml:space="preserve">concluded </w:t>
      </w:r>
      <w:r w:rsidR="00F3460A">
        <w:t xml:space="preserve">that </w:t>
      </w:r>
      <w:r w:rsidR="00794BCF" w:rsidRPr="006E4337">
        <w:t>terrestrial</w:t>
      </w:r>
      <w:r w:rsidRPr="006E4337">
        <w:t xml:space="preserve"> </w:t>
      </w:r>
      <w:r w:rsidR="0012170B" w:rsidRPr="006E4337">
        <w:t>vegetation within the project area</w:t>
      </w:r>
      <w:r w:rsidRPr="006E4337">
        <w:t xml:space="preserve"> </w:t>
      </w:r>
      <w:r w:rsidR="005E799C">
        <w:t>is</w:t>
      </w:r>
      <w:r w:rsidR="005E799C" w:rsidRPr="006E4337">
        <w:t xml:space="preserve"> </w:t>
      </w:r>
      <w:r w:rsidRPr="006E4337">
        <w:t xml:space="preserve">unlikely to be </w:t>
      </w:r>
      <w:r w:rsidR="005E799C">
        <w:t>groundwater-dependent because</w:t>
      </w:r>
      <w:r w:rsidRPr="006E4337">
        <w:t xml:space="preserve"> groundwater </w:t>
      </w:r>
      <w:r w:rsidR="005E799C">
        <w:t>was</w:t>
      </w:r>
      <w:r w:rsidR="00847C82">
        <w:t xml:space="preserve"> </w:t>
      </w:r>
      <w:r w:rsidR="00BA4A40" w:rsidRPr="006E4337">
        <w:t xml:space="preserve">deeper </w:t>
      </w:r>
      <w:r w:rsidRPr="006E4337">
        <w:t xml:space="preserve">than </w:t>
      </w:r>
      <w:r w:rsidRPr="00E00EAD">
        <w:t>12</w:t>
      </w:r>
      <w:r w:rsidR="003B788D" w:rsidRPr="00E00EAD">
        <w:t xml:space="preserve"> </w:t>
      </w:r>
      <w:proofErr w:type="spellStart"/>
      <w:r w:rsidRPr="00E00EAD">
        <w:t>mbgl</w:t>
      </w:r>
      <w:proofErr w:type="spellEnd"/>
      <w:r w:rsidR="008D1ADD" w:rsidRPr="006E4337">
        <w:t>.</w:t>
      </w:r>
      <w:r w:rsidR="00742FA8" w:rsidRPr="006E4337">
        <w:t xml:space="preserve"> </w:t>
      </w:r>
      <w:r w:rsidR="00BA4A40" w:rsidRPr="006E4337">
        <w:t>T</w:t>
      </w:r>
      <w:r w:rsidRPr="006E4337">
        <w:t xml:space="preserve">he absence of </w:t>
      </w:r>
      <w:r w:rsidR="00BA4A40" w:rsidRPr="006E4337">
        <w:t>appropriately</w:t>
      </w:r>
      <w:r w:rsidRPr="006E4337">
        <w:t xml:space="preserve"> distributed monitoring bores,</w:t>
      </w:r>
      <w:r w:rsidR="00D5000F" w:rsidRPr="006E4337">
        <w:t xml:space="preserve"> particularly in the Quaternary </w:t>
      </w:r>
      <w:r w:rsidR="00BA4A40" w:rsidRPr="006E4337">
        <w:t xml:space="preserve">Alluvium </w:t>
      </w:r>
      <w:r w:rsidR="0012170B" w:rsidRPr="006E4337">
        <w:t>and within the Tertiary units to the north</w:t>
      </w:r>
      <w:r w:rsidR="00D5000F" w:rsidRPr="006E4337">
        <w:t>,</w:t>
      </w:r>
      <w:r w:rsidRPr="006E4337">
        <w:t xml:space="preserve"> </w:t>
      </w:r>
      <w:r w:rsidR="00BA4A40" w:rsidRPr="006E4337">
        <w:t>prevent field measurement of</w:t>
      </w:r>
      <w:r w:rsidRPr="006E4337">
        <w:t xml:space="preserve"> groundwater depth. Kath et al</w:t>
      </w:r>
      <w:r w:rsidR="00243D7C" w:rsidRPr="006E4337">
        <w:t>.</w:t>
      </w:r>
      <w:r w:rsidRPr="006E4337">
        <w:t xml:space="preserve"> </w:t>
      </w:r>
      <w:r w:rsidR="005E799C">
        <w:t>(</w:t>
      </w:r>
      <w:r w:rsidRPr="006E4337">
        <w:t>2014</w:t>
      </w:r>
      <w:r w:rsidR="005E799C">
        <w:t>)</w:t>
      </w:r>
      <w:r w:rsidRPr="006E4337">
        <w:t xml:space="preserve"> shows that </w:t>
      </w:r>
      <w:r w:rsidR="003B788D" w:rsidRPr="00E00EAD">
        <w:rPr>
          <w:i/>
        </w:rPr>
        <w:t xml:space="preserve">E. </w:t>
      </w:r>
      <w:proofErr w:type="spellStart"/>
      <w:r w:rsidRPr="00E00EAD">
        <w:rPr>
          <w:i/>
        </w:rPr>
        <w:t>camaldulensis</w:t>
      </w:r>
      <w:proofErr w:type="spellEnd"/>
      <w:r w:rsidRPr="006E4337">
        <w:t xml:space="preserve"> and </w:t>
      </w:r>
      <w:r w:rsidR="00243D7C" w:rsidRPr="00E00EAD">
        <w:rPr>
          <w:i/>
        </w:rPr>
        <w:t>E</w:t>
      </w:r>
      <w:r w:rsidRPr="00E00EAD">
        <w:rPr>
          <w:i/>
        </w:rPr>
        <w:t xml:space="preserve">. </w:t>
      </w:r>
      <w:proofErr w:type="spellStart"/>
      <w:r w:rsidRPr="00E00EAD">
        <w:rPr>
          <w:i/>
        </w:rPr>
        <w:t>populnea</w:t>
      </w:r>
      <w:proofErr w:type="spellEnd"/>
      <w:r w:rsidRPr="00E00EAD">
        <w:t xml:space="preserve"> </w:t>
      </w:r>
      <w:r w:rsidR="00E069B9" w:rsidRPr="00E00EAD">
        <w:t>(both species that occur in the project area)</w:t>
      </w:r>
      <w:r w:rsidR="00E069B9" w:rsidRPr="006E4337">
        <w:t xml:space="preserve"> </w:t>
      </w:r>
      <w:r w:rsidRPr="006E4337">
        <w:t xml:space="preserve">may access groundwater at depths over </w:t>
      </w:r>
      <w:r w:rsidRPr="00E00EAD">
        <w:t>22</w:t>
      </w:r>
      <w:r w:rsidR="003B788D" w:rsidRPr="00E00EAD">
        <w:t xml:space="preserve"> </w:t>
      </w:r>
      <w:proofErr w:type="spellStart"/>
      <w:r w:rsidRPr="00E00EAD">
        <w:t>mbgl</w:t>
      </w:r>
      <w:proofErr w:type="spellEnd"/>
      <w:r w:rsidR="005E799C">
        <w:t xml:space="preserve">. </w:t>
      </w:r>
    </w:p>
    <w:p w14:paraId="5E648159" w14:textId="735313DE" w:rsidR="006F03BA" w:rsidRPr="006E4337" w:rsidRDefault="004A5F0D" w:rsidP="007A37BA">
      <w:pPr>
        <w:pStyle w:val="ListNumber"/>
        <w:numPr>
          <w:ilvl w:val="0"/>
          <w:numId w:val="5"/>
        </w:numPr>
      </w:pPr>
      <w:r w:rsidRPr="006E4337">
        <w:t>The project proposes to remove 0.75</w:t>
      </w:r>
      <w:r w:rsidR="00847C82">
        <w:t xml:space="preserve"> </w:t>
      </w:r>
      <w:r w:rsidRPr="006E4337">
        <w:t>ha of</w:t>
      </w:r>
      <w:r w:rsidR="000F27A7" w:rsidRPr="006E4337">
        <w:t xml:space="preserve"> HES</w:t>
      </w:r>
      <w:r w:rsidRPr="006E4337">
        <w:t xml:space="preserve"> wetland within the project area. </w:t>
      </w:r>
      <w:r w:rsidR="00113285" w:rsidRPr="006E4337">
        <w:t xml:space="preserve">State of Queensland’s (2018) </w:t>
      </w:r>
      <w:proofErr w:type="spellStart"/>
      <w:r w:rsidR="00113285" w:rsidRPr="006E4337">
        <w:t>WetlandInfo</w:t>
      </w:r>
      <w:proofErr w:type="spellEnd"/>
      <w:r w:rsidR="00113285" w:rsidRPr="006E4337">
        <w:t xml:space="preserve"> mapping </w:t>
      </w:r>
      <w:r w:rsidR="00BA4A40" w:rsidRPr="006E4337">
        <w:t>shows</w:t>
      </w:r>
      <w:r w:rsidRPr="006E4337">
        <w:t xml:space="preserve"> </w:t>
      </w:r>
      <w:r w:rsidR="00CE2291" w:rsidRPr="006E4337">
        <w:t xml:space="preserve">two </w:t>
      </w:r>
      <w:r w:rsidRPr="006E4337">
        <w:t>wetlands to the north of the project</w:t>
      </w:r>
      <w:r w:rsidR="004D406F" w:rsidRPr="006E4337">
        <w:t>, which</w:t>
      </w:r>
      <w:r w:rsidRPr="006E4337">
        <w:t xml:space="preserve"> are </w:t>
      </w:r>
      <w:r w:rsidR="00E05BCF">
        <w:t>potentially</w:t>
      </w:r>
      <w:r w:rsidRPr="006E4337">
        <w:t xml:space="preserve"> within the zone of groundwater drawdown.</w:t>
      </w:r>
      <w:r w:rsidR="00BC1C05" w:rsidRPr="006E4337">
        <w:t xml:space="preserve"> </w:t>
      </w:r>
      <w:r w:rsidR="00627D17" w:rsidRPr="006E4337">
        <w:t>The c</w:t>
      </w:r>
      <w:r w:rsidR="00BC1C05" w:rsidRPr="006E4337">
        <w:t xml:space="preserve">haracteristics </w:t>
      </w:r>
      <w:r w:rsidR="00627D17" w:rsidRPr="006E4337">
        <w:t xml:space="preserve">of these wetlands </w:t>
      </w:r>
      <w:r w:rsidR="00BC1C05" w:rsidRPr="006E4337">
        <w:t>have not been survey</w:t>
      </w:r>
      <w:r w:rsidR="00CE2291" w:rsidRPr="006E4337">
        <w:t>ed</w:t>
      </w:r>
      <w:r w:rsidR="00BC1C05" w:rsidRPr="006E4337">
        <w:t xml:space="preserve"> and assessed. </w:t>
      </w:r>
      <w:r w:rsidR="00E069B9" w:rsidRPr="00E00EAD">
        <w:t>Although t</w:t>
      </w:r>
      <w:r w:rsidR="000469B3" w:rsidRPr="006E4337">
        <w:t>hese wetlands may</w:t>
      </w:r>
      <w:r w:rsidR="008D1ADD" w:rsidRPr="006E4337">
        <w:t xml:space="preserve"> </w:t>
      </w:r>
      <w:r w:rsidR="000469B3" w:rsidRPr="006E4337">
        <w:t xml:space="preserve">be supported by </w:t>
      </w:r>
      <w:r w:rsidR="00BC1C05" w:rsidRPr="006E4337">
        <w:t xml:space="preserve">perched groundwater </w:t>
      </w:r>
      <w:r w:rsidR="000469B3" w:rsidRPr="006E4337">
        <w:t xml:space="preserve">within the </w:t>
      </w:r>
      <w:r w:rsidR="000469B3" w:rsidRPr="00E00EAD">
        <w:t>Tertiary units, there</w:t>
      </w:r>
      <w:r w:rsidR="000469B3" w:rsidRPr="006E4337">
        <w:t xml:space="preserve"> are no shallow bores close to these features to </w:t>
      </w:r>
      <w:r w:rsidR="00BA4A40" w:rsidRPr="006E4337">
        <w:t xml:space="preserve">measure </w:t>
      </w:r>
      <w:r w:rsidR="000469B3" w:rsidRPr="006E4337">
        <w:t xml:space="preserve">their groundwater regime. </w:t>
      </w:r>
    </w:p>
    <w:p w14:paraId="50C31723" w14:textId="77777777" w:rsidR="00BC1C05" w:rsidRPr="006E4337" w:rsidRDefault="00BC1C05" w:rsidP="007A37BA">
      <w:pPr>
        <w:pStyle w:val="ListNumber"/>
        <w:numPr>
          <w:ilvl w:val="0"/>
          <w:numId w:val="5"/>
        </w:numPr>
      </w:pPr>
      <w:r w:rsidRPr="006E4337">
        <w:t xml:space="preserve">Although the diverted creeks are ephemeral, the planned diversion should incorporate suitable instream habitat heterogeneity (White et al. 2014) to optimise habitat diversity for benthic biota and promote </w:t>
      </w:r>
      <w:proofErr w:type="spellStart"/>
      <w:r w:rsidRPr="006E4337">
        <w:t>hyporheic</w:t>
      </w:r>
      <w:proofErr w:type="spellEnd"/>
      <w:r w:rsidRPr="006E4337">
        <w:t xml:space="preserve"> exchange during periods of flow.  Deeper sections (e.g. pools) </w:t>
      </w:r>
      <w:r w:rsidR="00F45FC1" w:rsidRPr="00E00EAD">
        <w:t>could be included that would</w:t>
      </w:r>
      <w:r w:rsidR="00F45FC1" w:rsidRPr="006E4337">
        <w:t xml:space="preserve"> </w:t>
      </w:r>
      <w:r w:rsidRPr="006E4337">
        <w:t xml:space="preserve">hold water longer after flow ceases and act as </w:t>
      </w:r>
      <w:proofErr w:type="spellStart"/>
      <w:r w:rsidRPr="006E4337">
        <w:t>refugial</w:t>
      </w:r>
      <w:proofErr w:type="spellEnd"/>
      <w:r w:rsidRPr="006E4337">
        <w:t xml:space="preserve"> pools for aquatic biota.</w:t>
      </w:r>
    </w:p>
    <w:p w14:paraId="675B7174" w14:textId="5228C58C" w:rsidR="0012170B" w:rsidRPr="004363B9" w:rsidRDefault="00BC1C05" w:rsidP="007A37BA">
      <w:pPr>
        <w:pStyle w:val="ListNumber"/>
        <w:numPr>
          <w:ilvl w:val="0"/>
          <w:numId w:val="5"/>
        </w:numPr>
      </w:pPr>
      <w:r w:rsidRPr="006E4337">
        <w:t>Stygofauna are stated to be unlikely to be present within the project disturbance footprint, due to a combination of groundwater depth (&gt;30</w:t>
      </w:r>
      <w:r w:rsidR="00F7561E" w:rsidRPr="006E4337">
        <w:t xml:space="preserve"> </w:t>
      </w:r>
      <w:proofErr w:type="spellStart"/>
      <w:r w:rsidRPr="006E4337">
        <w:t>mbgl</w:t>
      </w:r>
      <w:proofErr w:type="spellEnd"/>
      <w:r w:rsidRPr="006E4337">
        <w:t xml:space="preserve">) in the Permian aquifer and the level of salinity (&gt;20,000 µS/cm) in both the Permian and Tertiary aquifers. </w:t>
      </w:r>
      <w:r w:rsidR="008D1ADD" w:rsidRPr="006E4337">
        <w:t xml:space="preserve">Stygofauna have been collected in </w:t>
      </w:r>
      <w:r w:rsidR="00474DC2" w:rsidRPr="006E4337">
        <w:t xml:space="preserve">Queensland </w:t>
      </w:r>
      <w:r w:rsidR="008D1ADD" w:rsidRPr="006E4337">
        <w:t xml:space="preserve">from waters up to 54,800 µS/cm (Glanville et al. 2016), suggesting </w:t>
      </w:r>
      <w:r w:rsidR="00241CE4">
        <w:t>that</w:t>
      </w:r>
      <w:r w:rsidR="008D1ADD" w:rsidRPr="006E4337">
        <w:t xml:space="preserve"> salinity cannot be used to rule out potential </w:t>
      </w:r>
      <w:r w:rsidR="003B788D" w:rsidRPr="00F210ED">
        <w:t>stygofauna presence</w:t>
      </w:r>
      <w:r w:rsidR="008D1ADD" w:rsidRPr="003E6019">
        <w:t xml:space="preserve">. </w:t>
      </w:r>
      <w:r w:rsidRPr="003E6019">
        <w:t xml:space="preserve">The Quaternary </w:t>
      </w:r>
      <w:r w:rsidR="003B788D" w:rsidRPr="003E6019">
        <w:t xml:space="preserve">Alluvium </w:t>
      </w:r>
      <w:r w:rsidRPr="003E6019">
        <w:t xml:space="preserve">is stated to be predominantly dry in the mine vicinity and therefore unlikely to support stygofauna. However, </w:t>
      </w:r>
      <w:r w:rsidR="00E069B9" w:rsidRPr="00AB4F22">
        <w:t>there are few empirical data</w:t>
      </w:r>
      <w:r w:rsidRPr="003E6019">
        <w:t xml:space="preserve"> available to justify this conclusion</w:t>
      </w:r>
      <w:r w:rsidR="00E069B9" w:rsidRPr="003E6019">
        <w:t xml:space="preserve"> and further sampling is recommended (</w:t>
      </w:r>
      <w:r w:rsidR="00CD7805">
        <w:t xml:space="preserve">see </w:t>
      </w:r>
      <w:r w:rsidR="00F7561E" w:rsidRPr="003E6019">
        <w:t>Paragraph</w:t>
      </w:r>
      <w:r w:rsidR="00E069B9" w:rsidRPr="003E6019">
        <w:t>. 2</w:t>
      </w:r>
      <w:r w:rsidR="00C514F8">
        <w:t>3</w:t>
      </w:r>
      <w:r w:rsidR="00E069B9" w:rsidRPr="004363B9">
        <w:t>)</w:t>
      </w:r>
      <w:r w:rsidR="00F45FC1" w:rsidRPr="004363B9">
        <w:t xml:space="preserve">. </w:t>
      </w:r>
    </w:p>
    <w:p w14:paraId="3A1C63E1" w14:textId="2FE3A2EF" w:rsidR="00A52946" w:rsidRPr="006E4337" w:rsidRDefault="00CB63C6" w:rsidP="007D6EB6">
      <w:pPr>
        <w:pStyle w:val="ListNumber"/>
        <w:numPr>
          <w:ilvl w:val="0"/>
          <w:numId w:val="5"/>
        </w:numPr>
      </w:pPr>
      <w:r w:rsidRPr="006E4337">
        <w:t xml:space="preserve">Although desktop analyses implied stygofauna were unlikely to be found in the project area, stygofauna sampling of bores around the Middlemount Coal Mine in 2011 revealed at least </w:t>
      </w:r>
      <w:r w:rsidR="00D51363" w:rsidRPr="006E4337">
        <w:t xml:space="preserve">two </w:t>
      </w:r>
      <w:r w:rsidRPr="006E4337">
        <w:t>taxa (</w:t>
      </w:r>
      <w:proofErr w:type="spellStart"/>
      <w:r w:rsidRPr="006E4337">
        <w:t>Oligochaeta</w:t>
      </w:r>
      <w:proofErr w:type="spellEnd"/>
      <w:r w:rsidRPr="006E4337">
        <w:t xml:space="preserve"> and </w:t>
      </w:r>
      <w:proofErr w:type="spellStart"/>
      <w:r w:rsidRPr="006E4337">
        <w:t>Copepoda</w:t>
      </w:r>
      <w:proofErr w:type="spellEnd"/>
      <w:r w:rsidRPr="006E4337">
        <w:t>) from bores within and outside the maximum zone of drawdown (</w:t>
      </w:r>
      <w:r w:rsidR="00CD7805">
        <w:t xml:space="preserve">PD, </w:t>
      </w:r>
      <w:r w:rsidRPr="006E4337">
        <w:t>Att</w:t>
      </w:r>
      <w:r w:rsidR="00CD7805">
        <w:t>achment</w:t>
      </w:r>
      <w:r w:rsidRPr="006E4337">
        <w:t xml:space="preserve"> E, p 55).</w:t>
      </w:r>
      <w:r w:rsidR="00001917" w:rsidRPr="006E4337">
        <w:t xml:space="preserve"> Given these findings, further stygofauna sampling is recommended, especially in alluvial sediments (when saturated)</w:t>
      </w:r>
      <w:r w:rsidR="00F3460A">
        <w:t>,</w:t>
      </w:r>
      <w:r w:rsidR="00001917" w:rsidRPr="006E4337">
        <w:t xml:space="preserve"> and in groundwater bores in areas where groundwater drawdown is predicted. Appropriate sampling methods are described in the guidelines by DSITI (2015). Where possible, sampling should match up with baseline monitoring of groundwater levels and water quality. Results will allow the proponent to judge the extent of Type 1 GDEs</w:t>
      </w:r>
      <w:r w:rsidR="00172837" w:rsidRPr="006E4337">
        <w:t xml:space="preserve"> </w:t>
      </w:r>
      <w:r w:rsidR="003B788D" w:rsidRPr="004363B9">
        <w:t>(</w:t>
      </w:r>
      <w:r w:rsidR="009772CF" w:rsidRPr="004363B9">
        <w:t xml:space="preserve">e.g. </w:t>
      </w:r>
      <w:r w:rsidR="003B788D" w:rsidRPr="004363B9">
        <w:t xml:space="preserve">aquifers </w:t>
      </w:r>
      <w:r w:rsidR="003B788D" w:rsidRPr="004363B9">
        <w:lastRenderedPageBreak/>
        <w:t>harbouring stygofauna)</w:t>
      </w:r>
      <w:r w:rsidR="003B788D" w:rsidRPr="006E4337">
        <w:t xml:space="preserve"> </w:t>
      </w:r>
      <w:r w:rsidR="00172837" w:rsidRPr="006E4337">
        <w:t>and</w:t>
      </w:r>
      <w:r w:rsidR="00001917" w:rsidRPr="006E4337">
        <w:t xml:space="preserve"> </w:t>
      </w:r>
      <w:r w:rsidR="00172837" w:rsidRPr="006E4337">
        <w:t>the risk of</w:t>
      </w:r>
      <w:r w:rsidR="00001917" w:rsidRPr="006E4337">
        <w:t xml:space="preserve"> potential impacts of the proposed </w:t>
      </w:r>
      <w:r w:rsidR="00172837" w:rsidRPr="006E4337">
        <w:t>project so that</w:t>
      </w:r>
      <w:r w:rsidR="00001917" w:rsidRPr="006E4337">
        <w:t xml:space="preserve"> a suitable monitoring program </w:t>
      </w:r>
      <w:r w:rsidR="00172837" w:rsidRPr="006E4337">
        <w:t>can be devised to guide</w:t>
      </w:r>
      <w:r w:rsidR="00001917" w:rsidRPr="006E4337">
        <w:t xml:space="preserve"> an effective </w:t>
      </w:r>
      <w:r w:rsidR="0035304F">
        <w:t>TARP</w:t>
      </w:r>
      <w:r w:rsidR="00001917" w:rsidRPr="006E4337">
        <w:t xml:space="preserve">. </w:t>
      </w:r>
    </w:p>
    <w:p w14:paraId="6E30886D" w14:textId="77777777" w:rsidR="00E46FEA" w:rsidRDefault="00B63108" w:rsidP="007A37BA">
      <w:pPr>
        <w:pStyle w:val="Default"/>
        <w:keepNext/>
        <w:spacing w:after="240" w:line="276" w:lineRule="auto"/>
        <w:rPr>
          <w:rStyle w:val="Heading4Char"/>
          <w:rFonts w:ascii="Arial" w:eastAsia="Calibri" w:hAnsi="Arial"/>
          <w:color w:val="auto"/>
          <w:sz w:val="20"/>
          <w:szCs w:val="20"/>
        </w:rPr>
      </w:pPr>
      <w:r w:rsidRPr="006E4337">
        <w:rPr>
          <w:rStyle w:val="Heading4Char"/>
          <w:rFonts w:ascii="Arial" w:eastAsia="Calibri" w:hAnsi="Arial"/>
          <w:sz w:val="20"/>
          <w:szCs w:val="20"/>
        </w:rPr>
        <w:t>Final Landform</w:t>
      </w:r>
      <w:r w:rsidR="000C5C1E">
        <w:rPr>
          <w:rStyle w:val="Heading4Char"/>
          <w:rFonts w:ascii="Arial" w:eastAsia="Calibri" w:hAnsi="Arial"/>
          <w:sz w:val="20"/>
          <w:szCs w:val="20"/>
        </w:rPr>
        <w:t xml:space="preserve"> </w:t>
      </w:r>
    </w:p>
    <w:p w14:paraId="56EEA7B2" w14:textId="77777777" w:rsidR="001616E7" w:rsidRPr="006E4337" w:rsidRDefault="00E46FEA" w:rsidP="00E46FEA">
      <w:pPr>
        <w:pStyle w:val="ListNumber"/>
        <w:numPr>
          <w:ilvl w:val="0"/>
          <w:numId w:val="5"/>
        </w:numPr>
      </w:pPr>
      <w:r w:rsidRPr="006E4337">
        <w:t xml:space="preserve">The proponent has not examined the potential for hydraulic loading from out-of-pit waste rock dumps to </w:t>
      </w:r>
      <w:r w:rsidR="008D1ADD" w:rsidRPr="006E4337">
        <w:t xml:space="preserve">modify </w:t>
      </w:r>
      <w:r w:rsidRPr="006E4337">
        <w:t>the groundwater regime. The implications of processes associated with hydraulic loading for vegetation</w:t>
      </w:r>
      <w:r w:rsidR="003B788D" w:rsidRPr="006E4337">
        <w:t xml:space="preserve">, </w:t>
      </w:r>
      <w:r w:rsidR="003B788D" w:rsidRPr="004363B9">
        <w:t>surface-groundwater interaction</w:t>
      </w:r>
      <w:r w:rsidR="009772CF" w:rsidRPr="006E4337">
        <w:t>s</w:t>
      </w:r>
      <w:r w:rsidRPr="006E4337">
        <w:t xml:space="preserve"> and landform stability should be</w:t>
      </w:r>
      <w:r w:rsidR="00FC7747" w:rsidRPr="006E4337">
        <w:t xml:space="preserve"> considered</w:t>
      </w:r>
      <w:r w:rsidRPr="006E4337">
        <w:t xml:space="preserve">. </w:t>
      </w:r>
      <w:r w:rsidR="00CA487E" w:rsidRPr="006E4337">
        <w:t xml:space="preserve">In addition, the ongoing characterisation of this material is needed to inform final landform management. </w:t>
      </w:r>
    </w:p>
    <w:p w14:paraId="1CA4394C" w14:textId="0D408F1F" w:rsidR="00B63108" w:rsidRPr="006E4337" w:rsidRDefault="00C605EB" w:rsidP="007A37BA">
      <w:pPr>
        <w:pStyle w:val="ListNumber"/>
        <w:numPr>
          <w:ilvl w:val="0"/>
          <w:numId w:val="5"/>
        </w:numPr>
        <w:rPr>
          <w:b/>
          <w:color w:val="FF0000"/>
        </w:rPr>
      </w:pPr>
      <w:r w:rsidRPr="006E4337">
        <w:t xml:space="preserve">The surface water assessment states that </w:t>
      </w:r>
      <w:r w:rsidR="00CD7805">
        <w:t>the</w:t>
      </w:r>
      <w:r w:rsidRPr="006E4337">
        <w:t xml:space="preserve"> voids will not interact </w:t>
      </w:r>
      <w:r w:rsidR="003B788D" w:rsidRPr="004363B9">
        <w:t>with each other</w:t>
      </w:r>
      <w:r w:rsidR="003B788D" w:rsidRPr="006E4337">
        <w:t xml:space="preserve"> </w:t>
      </w:r>
      <w:r w:rsidRPr="006E4337">
        <w:t xml:space="preserve">as levels are primarily driven by climatic conditions rather than groundwater inflows. However, this appears to be inconsistent </w:t>
      </w:r>
      <w:r w:rsidR="00E069B9" w:rsidRPr="00F210ED">
        <w:t>with</w:t>
      </w:r>
      <w:r w:rsidR="00E069B9" w:rsidRPr="006E4337">
        <w:t xml:space="preserve"> </w:t>
      </w:r>
      <w:r w:rsidRPr="006E4337">
        <w:t xml:space="preserve">the groundwater assessment </w:t>
      </w:r>
      <w:r w:rsidR="00CD7805">
        <w:t>which suggests t</w:t>
      </w:r>
      <w:r w:rsidRPr="006E4337">
        <w:t xml:space="preserve">hat </w:t>
      </w:r>
      <w:r w:rsidR="00CD7805">
        <w:t xml:space="preserve">a flow gradient from </w:t>
      </w:r>
      <w:r w:rsidRPr="006E4337">
        <w:t>the northern void to the southern void</w:t>
      </w:r>
      <w:r w:rsidR="00CD7805">
        <w:t xml:space="preserve"> will develop</w:t>
      </w:r>
      <w:r w:rsidR="00A73DC4" w:rsidRPr="006E4337">
        <w:t xml:space="preserve"> </w:t>
      </w:r>
      <w:r w:rsidR="00A73DC4" w:rsidRPr="00F210ED">
        <w:t xml:space="preserve">as </w:t>
      </w:r>
      <w:r w:rsidR="00A73DC4" w:rsidRPr="003E6019">
        <w:t>the predicted water levels in the voids are at different levels</w:t>
      </w:r>
      <w:r w:rsidRPr="006E4337">
        <w:t xml:space="preserve">. The proponent should clarify this relationship and interaction. </w:t>
      </w:r>
    </w:p>
    <w:p w14:paraId="6336E615" w14:textId="77777777" w:rsidR="00B63108" w:rsidRPr="006E4337" w:rsidRDefault="00B63108" w:rsidP="00B63108">
      <w:pPr>
        <w:pStyle w:val="Question"/>
        <w:shd w:val="clear" w:color="auto" w:fill="E7E6E6"/>
        <w:rPr>
          <w:lang w:eastAsia="en-AU"/>
        </w:rPr>
      </w:pPr>
      <w:r w:rsidRPr="006E4337">
        <w:rPr>
          <w:color w:val="393939"/>
          <w:lang w:eastAsia="en-AU"/>
        </w:rPr>
        <w:t xml:space="preserve">Question 2. Could the Committee please </w:t>
      </w:r>
      <w:proofErr w:type="gramStart"/>
      <w:r w:rsidRPr="006E4337">
        <w:rPr>
          <w:color w:val="393939"/>
          <w:lang w:eastAsia="en-AU"/>
        </w:rPr>
        <w:t>advise</w:t>
      </w:r>
      <w:proofErr w:type="gramEnd"/>
      <w:r w:rsidRPr="006E4337">
        <w:rPr>
          <w:color w:val="393939"/>
          <w:lang w:eastAsia="en-AU"/>
        </w:rPr>
        <w:t xml:space="preserve"> on the nature and extent of the project's expected impacts on water resources? In particular impacts to GDEs, groundwater users, and surface water resources?</w:t>
      </w:r>
    </w:p>
    <w:p w14:paraId="4C25ACCA" w14:textId="77777777" w:rsidR="00815A08" w:rsidRPr="006E4337" w:rsidRDefault="0012320E" w:rsidP="007D6EB6">
      <w:pPr>
        <w:pStyle w:val="ListNumber"/>
        <w:numPr>
          <w:ilvl w:val="0"/>
          <w:numId w:val="5"/>
        </w:numPr>
      </w:pPr>
      <w:r w:rsidRPr="006E4337">
        <w:t>From</w:t>
      </w:r>
      <w:r w:rsidR="003C3843" w:rsidRPr="006E4337">
        <w:t xml:space="preserve"> </w:t>
      </w:r>
      <w:r w:rsidR="00815A08" w:rsidRPr="006E4337">
        <w:t xml:space="preserve">the information presented </w:t>
      </w:r>
      <w:r w:rsidR="00CC7323" w:rsidRPr="006E4337">
        <w:t>in the PD</w:t>
      </w:r>
      <w:r w:rsidR="00C7218E" w:rsidRPr="006E4337">
        <w:t>,</w:t>
      </w:r>
      <w:r w:rsidR="00CC7323" w:rsidRPr="006E4337">
        <w:t xml:space="preserve"> the IESC </w:t>
      </w:r>
      <w:r w:rsidR="00912E9D" w:rsidRPr="006E4337">
        <w:t>consider</w:t>
      </w:r>
      <w:r w:rsidR="00E069B9" w:rsidRPr="006E4337">
        <w:t>s</w:t>
      </w:r>
      <w:r w:rsidR="00912E9D" w:rsidRPr="006E4337">
        <w:t xml:space="preserve"> the</w:t>
      </w:r>
      <w:r w:rsidR="00CC7323" w:rsidRPr="006E4337">
        <w:t xml:space="preserve"> nature and extent of impacts to </w:t>
      </w:r>
      <w:r w:rsidR="00C7218E" w:rsidRPr="006E4337">
        <w:t>water resources</w:t>
      </w:r>
      <w:r w:rsidR="00912E9D" w:rsidRPr="006E4337">
        <w:t xml:space="preserve"> to include:</w:t>
      </w:r>
    </w:p>
    <w:p w14:paraId="5C629035" w14:textId="77777777" w:rsidR="003B788D" w:rsidRPr="006E4337" w:rsidRDefault="00D61237" w:rsidP="007A37BA">
      <w:pPr>
        <w:pStyle w:val="ListNumber"/>
        <w:numPr>
          <w:ilvl w:val="1"/>
          <w:numId w:val="5"/>
        </w:numPr>
      </w:pPr>
      <w:proofErr w:type="gramStart"/>
      <w:r w:rsidRPr="006E4337">
        <w:t>direct</w:t>
      </w:r>
      <w:proofErr w:type="gramEnd"/>
      <w:r w:rsidRPr="006E4337">
        <w:t xml:space="preserve"> removal of </w:t>
      </w:r>
      <w:r w:rsidR="00085C35" w:rsidRPr="006E4337">
        <w:t xml:space="preserve">0.75 ha of HES wetland </w:t>
      </w:r>
      <w:r w:rsidR="009772CF" w:rsidRPr="006E4337">
        <w:t xml:space="preserve">and surrounding regulated vegetation </w:t>
      </w:r>
      <w:r w:rsidR="001B40FC" w:rsidRPr="006E4337">
        <w:t>at</w:t>
      </w:r>
      <w:r w:rsidR="00085C35" w:rsidRPr="006E4337">
        <w:t xml:space="preserve"> the </w:t>
      </w:r>
      <w:r w:rsidR="001B40FC" w:rsidRPr="006E4337">
        <w:t xml:space="preserve">northern boundary </w:t>
      </w:r>
      <w:r w:rsidR="00085C35" w:rsidRPr="006E4337">
        <w:t>of the project</w:t>
      </w:r>
      <w:r w:rsidR="009E362A" w:rsidRPr="006E4337">
        <w:t>.</w:t>
      </w:r>
    </w:p>
    <w:p w14:paraId="4C431E64" w14:textId="6333A315" w:rsidR="00284F74" w:rsidRPr="003E6019" w:rsidRDefault="007C23F3" w:rsidP="007A37BA">
      <w:pPr>
        <w:pStyle w:val="ListNumber"/>
        <w:numPr>
          <w:ilvl w:val="1"/>
          <w:numId w:val="5"/>
        </w:numPr>
      </w:pPr>
      <w:proofErr w:type="gramStart"/>
      <w:r w:rsidRPr="003E6019">
        <w:t>direct</w:t>
      </w:r>
      <w:proofErr w:type="gramEnd"/>
      <w:r w:rsidRPr="003E6019">
        <w:t xml:space="preserve"> removal of 1</w:t>
      </w:r>
      <w:r w:rsidR="00847C82">
        <w:t xml:space="preserve"> </w:t>
      </w:r>
      <w:r w:rsidRPr="003E6019">
        <w:t xml:space="preserve">km of </w:t>
      </w:r>
      <w:r w:rsidR="00113285" w:rsidRPr="003E6019">
        <w:t>riparian</w:t>
      </w:r>
      <w:r w:rsidRPr="003E6019">
        <w:t xml:space="preserve"> vegetation along Thirteen Mile Gully to accommodate the proposed diversio</w:t>
      </w:r>
      <w:r w:rsidR="009E362A" w:rsidRPr="003E6019">
        <w:t>n.</w:t>
      </w:r>
    </w:p>
    <w:p w14:paraId="45F1B3B3" w14:textId="212930AF" w:rsidR="00085C35" w:rsidRPr="006E4337" w:rsidRDefault="009E362A" w:rsidP="007A37BA">
      <w:pPr>
        <w:pStyle w:val="ListNumber"/>
        <w:numPr>
          <w:ilvl w:val="1"/>
          <w:numId w:val="5"/>
        </w:numPr>
      </w:pPr>
      <w:proofErr w:type="gramStart"/>
      <w:r w:rsidRPr="006E4337">
        <w:t>t</w:t>
      </w:r>
      <w:r w:rsidR="00882669" w:rsidRPr="006E4337">
        <w:t>he</w:t>
      </w:r>
      <w:proofErr w:type="gramEnd"/>
      <w:r w:rsidR="00882669" w:rsidRPr="006E4337">
        <w:t xml:space="preserve"> removal of terrestrial vegetation within the western extension area</w:t>
      </w:r>
      <w:r w:rsidRPr="006E4337">
        <w:t xml:space="preserve">, including </w:t>
      </w:r>
      <w:r w:rsidR="00882669" w:rsidRPr="006E4337">
        <w:t>22</w:t>
      </w:r>
      <w:r w:rsidR="00BF50D5" w:rsidRPr="006E4337">
        <w:t> </w:t>
      </w:r>
      <w:r w:rsidR="00882669" w:rsidRPr="006E4337">
        <w:t>ha of EPBC</w:t>
      </w:r>
      <w:r w:rsidR="00CD7805">
        <w:t xml:space="preserve"> Act</w:t>
      </w:r>
      <w:r w:rsidR="00882669" w:rsidRPr="006E4337">
        <w:t xml:space="preserve">-listed Brigalow TEC and 15.5 ha of associated </w:t>
      </w:r>
      <w:proofErr w:type="spellStart"/>
      <w:r w:rsidR="00882669" w:rsidRPr="006E4337">
        <w:t>gilgai</w:t>
      </w:r>
      <w:proofErr w:type="spellEnd"/>
      <w:r w:rsidR="00882669" w:rsidRPr="006E4337">
        <w:t xml:space="preserve"> habitat (</w:t>
      </w:r>
      <w:r w:rsidR="00CD7805">
        <w:t xml:space="preserve">PD, Attachment C </w:t>
      </w:r>
      <w:r w:rsidR="00882669" w:rsidRPr="006E4337">
        <w:t>Photo 15</w:t>
      </w:r>
      <w:r w:rsidR="00CD7805">
        <w:t xml:space="preserve">, </w:t>
      </w:r>
      <w:r w:rsidR="00882669" w:rsidRPr="006E4337">
        <w:t>p</w:t>
      </w:r>
      <w:r w:rsidR="00CD7805">
        <w:t>.</w:t>
      </w:r>
      <w:r w:rsidR="00882669" w:rsidRPr="006E4337">
        <w:t>7</w:t>
      </w:r>
      <w:r w:rsidR="00CD7805">
        <w:t>2</w:t>
      </w:r>
      <w:r w:rsidR="00882669" w:rsidRPr="006E4337">
        <w:t>) suitable for the EPBC</w:t>
      </w:r>
      <w:r w:rsidR="00CD7805">
        <w:t xml:space="preserve"> Act</w:t>
      </w:r>
      <w:r w:rsidR="00882669" w:rsidRPr="006E4337">
        <w:t>-listed Ornamental Snake</w:t>
      </w:r>
      <w:r w:rsidR="00C856D4" w:rsidRPr="006E4337">
        <w:t xml:space="preserve"> </w:t>
      </w:r>
      <w:r w:rsidR="00C856D4" w:rsidRPr="003E6019">
        <w:t>(</w:t>
      </w:r>
      <w:proofErr w:type="spellStart"/>
      <w:r w:rsidR="00C856D4" w:rsidRPr="003E6019">
        <w:rPr>
          <w:i/>
        </w:rPr>
        <w:t>Denisonia</w:t>
      </w:r>
      <w:proofErr w:type="spellEnd"/>
      <w:r w:rsidR="00C856D4" w:rsidRPr="003E6019">
        <w:rPr>
          <w:i/>
        </w:rPr>
        <w:t xml:space="preserve"> </w:t>
      </w:r>
      <w:proofErr w:type="spellStart"/>
      <w:r w:rsidR="00C856D4" w:rsidRPr="003E6019">
        <w:rPr>
          <w:i/>
        </w:rPr>
        <w:t>maculata</w:t>
      </w:r>
      <w:proofErr w:type="spellEnd"/>
      <w:r w:rsidR="00C856D4" w:rsidRPr="003E6019">
        <w:t>)</w:t>
      </w:r>
      <w:r w:rsidR="00882669" w:rsidRPr="006E4337">
        <w:t xml:space="preserve">. </w:t>
      </w:r>
    </w:p>
    <w:p w14:paraId="6487BDE8" w14:textId="77777777" w:rsidR="00CC7323" w:rsidRPr="00AB4F22" w:rsidRDefault="004C456D" w:rsidP="007A37BA">
      <w:pPr>
        <w:pStyle w:val="ListNumber"/>
        <w:numPr>
          <w:ilvl w:val="1"/>
          <w:numId w:val="5"/>
        </w:numPr>
      </w:pPr>
      <w:proofErr w:type="gramStart"/>
      <w:r w:rsidRPr="006E4337">
        <w:t>groundwater</w:t>
      </w:r>
      <w:proofErr w:type="gramEnd"/>
      <w:r w:rsidRPr="006E4337">
        <w:t xml:space="preserve"> drawdown within the</w:t>
      </w:r>
      <w:r w:rsidR="007C23F3" w:rsidRPr="006E4337">
        <w:t xml:space="preserve"> deeper</w:t>
      </w:r>
      <w:r w:rsidRPr="006E4337">
        <w:t xml:space="preserve"> </w:t>
      </w:r>
      <w:proofErr w:type="spellStart"/>
      <w:r w:rsidRPr="006E4337">
        <w:t>Rangal</w:t>
      </w:r>
      <w:proofErr w:type="spellEnd"/>
      <w:r w:rsidRPr="006E4337">
        <w:t xml:space="preserve"> Coal Measures</w:t>
      </w:r>
      <w:r w:rsidR="007C23F3" w:rsidRPr="003E6019">
        <w:t xml:space="preserve">, </w:t>
      </w:r>
      <w:r w:rsidR="009E362A" w:rsidRPr="003E6019">
        <w:t xml:space="preserve">weathered Permian </w:t>
      </w:r>
      <w:r w:rsidR="007C23F3" w:rsidRPr="003E6019">
        <w:t>and shallow Tertiary units</w:t>
      </w:r>
      <w:r w:rsidR="007C23F3" w:rsidRPr="006E4337">
        <w:t xml:space="preserve">. </w:t>
      </w:r>
      <w:r w:rsidR="004F68F6" w:rsidRPr="006E4337">
        <w:t xml:space="preserve">Groundwater drawdown </w:t>
      </w:r>
      <w:r w:rsidR="007C23F3" w:rsidRPr="006E4337">
        <w:t xml:space="preserve">within the Tertiary units has the potential to </w:t>
      </w:r>
      <w:r w:rsidR="00075287" w:rsidRPr="006E4337">
        <w:t>impact</w:t>
      </w:r>
      <w:r w:rsidR="00231077" w:rsidRPr="006E4337">
        <w:t xml:space="preserve"> </w:t>
      </w:r>
      <w:r w:rsidR="007C23F3" w:rsidRPr="006E4337">
        <w:t>the two</w:t>
      </w:r>
      <w:r w:rsidR="00231077" w:rsidRPr="006E4337">
        <w:t xml:space="preserve"> wetlands</w:t>
      </w:r>
      <w:r w:rsidR="007C23F3" w:rsidRPr="006E4337">
        <w:t xml:space="preserve"> offsite near the northern boundary of the project. </w:t>
      </w:r>
      <w:r w:rsidR="00075287" w:rsidRPr="006E4337">
        <w:t>T</w:t>
      </w:r>
      <w:r w:rsidR="00231077" w:rsidRPr="006E4337">
        <w:t>he groundwater model predicts drawdown with</w:t>
      </w:r>
      <w:r w:rsidR="00C7218E" w:rsidRPr="006E4337">
        <w:t>in</w:t>
      </w:r>
      <w:r w:rsidR="00231077" w:rsidRPr="006E4337">
        <w:t xml:space="preserve"> the Tertiary</w:t>
      </w:r>
      <w:r w:rsidR="007C23F3" w:rsidRPr="006E4337">
        <w:t xml:space="preserve"> unit</w:t>
      </w:r>
      <w:r w:rsidR="00231077" w:rsidRPr="006E4337">
        <w:t xml:space="preserve"> and weathered Permian </w:t>
      </w:r>
      <w:r w:rsidR="00075287" w:rsidRPr="006E4337">
        <w:t>extending to these wetlands</w:t>
      </w:r>
      <w:r w:rsidR="00231077" w:rsidRPr="006E4337">
        <w:t xml:space="preserve">. </w:t>
      </w:r>
      <w:r w:rsidR="009F5C2A" w:rsidRPr="006E4337">
        <w:t xml:space="preserve">The </w:t>
      </w:r>
      <w:r w:rsidR="007C23F3" w:rsidRPr="006E4337">
        <w:t xml:space="preserve">potential </w:t>
      </w:r>
      <w:r w:rsidR="009F5C2A" w:rsidRPr="006E4337">
        <w:t xml:space="preserve">nature and extent of impacts </w:t>
      </w:r>
      <w:r w:rsidR="007C23F3" w:rsidRPr="006E4337">
        <w:t>to these wetlands ha</w:t>
      </w:r>
      <w:r w:rsidR="00882669" w:rsidRPr="006E4337">
        <w:t>ve</w:t>
      </w:r>
      <w:r w:rsidR="007C23F3" w:rsidRPr="006E4337">
        <w:t xml:space="preserve"> not been considered. </w:t>
      </w:r>
      <w:r w:rsidR="00882669" w:rsidRPr="006E4337">
        <w:t xml:space="preserve">The current predictions of groundwater drawdown indicate that the five privately owned bores used for water supply to the north of the project </w:t>
      </w:r>
      <w:r w:rsidR="00882669" w:rsidRPr="00AB4F22">
        <w:t xml:space="preserve">are not within the zone of groundwater </w:t>
      </w:r>
      <w:r w:rsidR="00BF00F5" w:rsidRPr="00AB4F22">
        <w:t>drawdown</w:t>
      </w:r>
      <w:r w:rsidR="00882669" w:rsidRPr="00AB4F22">
        <w:t xml:space="preserve">. </w:t>
      </w:r>
    </w:p>
    <w:p w14:paraId="468D4BFE" w14:textId="77777777" w:rsidR="006E40F2" w:rsidRPr="006E4337" w:rsidRDefault="00BF00F5" w:rsidP="006E40F2">
      <w:pPr>
        <w:pStyle w:val="ListNumber"/>
        <w:numPr>
          <w:ilvl w:val="1"/>
          <w:numId w:val="5"/>
        </w:numPr>
      </w:pPr>
      <w:proofErr w:type="gramStart"/>
      <w:r w:rsidRPr="00AB4F22">
        <w:t>potential</w:t>
      </w:r>
      <w:proofErr w:type="gramEnd"/>
      <w:r w:rsidRPr="006E4337">
        <w:t xml:space="preserve"> </w:t>
      </w:r>
      <w:r w:rsidR="00113285" w:rsidRPr="006E4337">
        <w:t>changes</w:t>
      </w:r>
      <w:r w:rsidR="00B065CA" w:rsidRPr="006E4337">
        <w:t xml:space="preserve"> to </w:t>
      </w:r>
      <w:r w:rsidR="008564CA" w:rsidRPr="006E4337">
        <w:t xml:space="preserve">the </w:t>
      </w:r>
      <w:r w:rsidR="00B065CA" w:rsidRPr="006E4337">
        <w:t>surface water regime</w:t>
      </w:r>
      <w:r w:rsidR="008564CA" w:rsidRPr="006E4337">
        <w:t xml:space="preserve"> </w:t>
      </w:r>
      <w:r w:rsidRPr="00AB4F22">
        <w:t>of</w:t>
      </w:r>
      <w:r w:rsidRPr="006E4337">
        <w:t xml:space="preserve"> </w:t>
      </w:r>
      <w:r w:rsidR="008564CA" w:rsidRPr="006E4337">
        <w:t>Roper Creek</w:t>
      </w:r>
      <w:r w:rsidR="00B065CA" w:rsidRPr="006E4337">
        <w:t xml:space="preserve"> as a result of </w:t>
      </w:r>
      <w:r w:rsidR="008564CA" w:rsidRPr="006E4337">
        <w:t xml:space="preserve">the proposed </w:t>
      </w:r>
      <w:r w:rsidR="00B065CA" w:rsidRPr="006E4337">
        <w:t>diversion</w:t>
      </w:r>
      <w:r w:rsidR="007720C7" w:rsidRPr="006E4337">
        <w:t xml:space="preserve"> and levees and associated impacts during flood events</w:t>
      </w:r>
      <w:r w:rsidR="00F5280F" w:rsidRPr="006E4337">
        <w:t xml:space="preserve">. </w:t>
      </w:r>
      <w:r w:rsidR="002D495B" w:rsidRPr="006E4337">
        <w:t>The proponent states that the diversion will provide environmental function equal to the currently approved diversion</w:t>
      </w:r>
      <w:r w:rsidR="00F5280F" w:rsidRPr="006E4337">
        <w:t xml:space="preserve">. </w:t>
      </w:r>
      <w:r w:rsidR="006E40F2" w:rsidRPr="006E4337">
        <w:t xml:space="preserve">The waste rock emplacements will reduce the extent </w:t>
      </w:r>
      <w:r w:rsidRPr="00AB4F22">
        <w:t>and</w:t>
      </w:r>
      <w:r w:rsidR="00785D06" w:rsidRPr="00AB4F22">
        <w:t xml:space="preserve"> alter</w:t>
      </w:r>
      <w:r w:rsidRPr="00AB4F22">
        <w:t xml:space="preserve"> inundation frequency</w:t>
      </w:r>
      <w:r w:rsidRPr="006E4337">
        <w:t xml:space="preserve"> </w:t>
      </w:r>
      <w:r w:rsidR="006E40F2" w:rsidRPr="006E4337">
        <w:t>of the floodplain and increase flow velocities within the diversion and other drainage channels, permanently reducing potential floodplain habitat.</w:t>
      </w:r>
    </w:p>
    <w:p w14:paraId="35A91987" w14:textId="77777777" w:rsidR="00785D06" w:rsidRPr="006E4337" w:rsidRDefault="008564CA" w:rsidP="00742E2A">
      <w:pPr>
        <w:pStyle w:val="ListNumber"/>
        <w:numPr>
          <w:ilvl w:val="1"/>
          <w:numId w:val="5"/>
        </w:numPr>
      </w:pPr>
      <w:proofErr w:type="gramStart"/>
      <w:r w:rsidRPr="00AB4F22">
        <w:t>c</w:t>
      </w:r>
      <w:r w:rsidR="00B12278" w:rsidRPr="00AB4F22">
        <w:t>hanges</w:t>
      </w:r>
      <w:proofErr w:type="gramEnd"/>
      <w:r w:rsidR="00B12278" w:rsidRPr="00AB4F22">
        <w:t xml:space="preserve"> to surface water quality as a result of uncontrolled releases</w:t>
      </w:r>
      <w:r w:rsidR="00F5280F" w:rsidRPr="00AB4F22">
        <w:t xml:space="preserve"> </w:t>
      </w:r>
      <w:r w:rsidR="009E362A" w:rsidRPr="00AB4F22">
        <w:t xml:space="preserve">from </w:t>
      </w:r>
      <w:r w:rsidR="00D4673C" w:rsidRPr="00AB4F22">
        <w:t xml:space="preserve">the </w:t>
      </w:r>
      <w:r w:rsidR="009772CF" w:rsidRPr="00AB4F22">
        <w:t xml:space="preserve">various </w:t>
      </w:r>
      <w:r w:rsidR="009E362A" w:rsidRPr="00AB4F22">
        <w:t xml:space="preserve">onsite </w:t>
      </w:r>
      <w:r w:rsidR="00D4673C" w:rsidRPr="00AB4F22">
        <w:t>water storage dams (e.g. sediment dams)</w:t>
      </w:r>
      <w:r w:rsidR="009E362A" w:rsidRPr="00AB4F22">
        <w:t xml:space="preserve"> </w:t>
      </w:r>
      <w:r w:rsidR="00F5280F" w:rsidRPr="00AB4F22">
        <w:t xml:space="preserve">and potential impacts to downstream ecosystems. </w:t>
      </w:r>
    </w:p>
    <w:p w14:paraId="33452A1C" w14:textId="4616F658" w:rsidR="00E05615" w:rsidRDefault="00D14CDC" w:rsidP="00742E2A">
      <w:pPr>
        <w:pStyle w:val="ListNumber"/>
        <w:numPr>
          <w:ilvl w:val="1"/>
          <w:numId w:val="5"/>
        </w:numPr>
      </w:pPr>
      <w:proofErr w:type="gramStart"/>
      <w:r>
        <w:t>c</w:t>
      </w:r>
      <w:r w:rsidR="00050DFA" w:rsidRPr="00AB4F22">
        <w:t>hanges</w:t>
      </w:r>
      <w:proofErr w:type="gramEnd"/>
      <w:r w:rsidR="00050DFA" w:rsidRPr="00AB4F22">
        <w:t xml:space="preserve"> to surface water quality </w:t>
      </w:r>
      <w:r w:rsidR="00E05615">
        <w:t xml:space="preserve">due to leakage and/or uncontrolled release of </w:t>
      </w:r>
      <w:r w:rsidR="00050DFA" w:rsidRPr="00AB4F22">
        <w:t xml:space="preserve">poor and highly variable </w:t>
      </w:r>
      <w:r w:rsidR="00E05615">
        <w:t>quality</w:t>
      </w:r>
      <w:r w:rsidR="00E05615" w:rsidRPr="00AB4F22">
        <w:t xml:space="preserve"> </w:t>
      </w:r>
      <w:r w:rsidR="00050DFA" w:rsidRPr="00AB4F22">
        <w:t>groundwater</w:t>
      </w:r>
      <w:r w:rsidR="00E05615">
        <w:t>. T</w:t>
      </w:r>
      <w:r w:rsidR="00E05615" w:rsidRPr="006E4337">
        <w:t xml:space="preserve">he storage and management of groundwater inflows will be important to ensure elevated concentrations of particular parameters </w:t>
      </w:r>
      <w:r w:rsidR="00E05615" w:rsidRPr="00AB4F22">
        <w:t xml:space="preserve">(e.g. Se, Ag and </w:t>
      </w:r>
      <w:r w:rsidR="00E05615" w:rsidRPr="00AB4F22">
        <w:lastRenderedPageBreak/>
        <w:t>hydrocarbons)</w:t>
      </w:r>
      <w:r w:rsidR="00E05615" w:rsidRPr="006E4337">
        <w:t xml:space="preserve"> do not pose a risk to </w:t>
      </w:r>
      <w:r w:rsidR="00E05615">
        <w:t xml:space="preserve">surface water, nearby GDEs and </w:t>
      </w:r>
      <w:r w:rsidR="00E05615" w:rsidRPr="006E4337">
        <w:t>downstream aquatic ecosystems in the event of an uncontrolled release</w:t>
      </w:r>
      <w:r w:rsidR="00E05615">
        <w:t xml:space="preserve">. </w:t>
      </w:r>
    </w:p>
    <w:p w14:paraId="1B7F86FE" w14:textId="77777777" w:rsidR="000C5C1E" w:rsidRPr="006E4337" w:rsidRDefault="00AD7592" w:rsidP="000C5C1E">
      <w:pPr>
        <w:pStyle w:val="ListNumber"/>
        <w:numPr>
          <w:ilvl w:val="1"/>
          <w:numId w:val="5"/>
        </w:numPr>
      </w:pPr>
      <w:proofErr w:type="gramStart"/>
      <w:r w:rsidRPr="006E4337">
        <w:t>changes</w:t>
      </w:r>
      <w:proofErr w:type="gramEnd"/>
      <w:r w:rsidRPr="006E4337">
        <w:t xml:space="preserve"> to groundwater quantity and surface water and groundwater quality from the two final voids as a result of potential overtopping </w:t>
      </w:r>
      <w:r w:rsidR="00745BCA" w:rsidRPr="00BE7975">
        <w:t xml:space="preserve">onto the </w:t>
      </w:r>
      <w:r w:rsidRPr="00BE7975">
        <w:t>floodplain</w:t>
      </w:r>
      <w:r w:rsidRPr="006E4337">
        <w:t xml:space="preserve">, leakage into groundwater and ongoing influence (i.e. ‘take’) on groundwater flow paths in </w:t>
      </w:r>
      <w:r w:rsidR="00113285" w:rsidRPr="006E4337">
        <w:t>perpetuity</w:t>
      </w:r>
      <w:r w:rsidRPr="006E4337">
        <w:t xml:space="preserve">. </w:t>
      </w:r>
      <w:r w:rsidR="000C5C1E" w:rsidRPr="006E4337">
        <w:t xml:space="preserve">The groundwater modelling indicates the </w:t>
      </w:r>
      <w:r w:rsidR="000C5C1E" w:rsidRPr="00BE7975">
        <w:t>void</w:t>
      </w:r>
      <w:r w:rsidR="00BF00F5" w:rsidRPr="00BE7975">
        <w:t>s</w:t>
      </w:r>
      <w:r w:rsidR="000C5C1E" w:rsidRPr="00BE7975">
        <w:t xml:space="preserve"> </w:t>
      </w:r>
      <w:r w:rsidR="00C856D4" w:rsidRPr="00BE7975">
        <w:t>will</w:t>
      </w:r>
      <w:r w:rsidR="00C856D4" w:rsidRPr="006E4337">
        <w:t xml:space="preserve"> </w:t>
      </w:r>
      <w:r w:rsidR="000C5C1E" w:rsidRPr="006E4337">
        <w:t>behave as an evaporative sink. The</w:t>
      </w:r>
      <w:r w:rsidRPr="006E4337">
        <w:t xml:space="preserve"> water quality modelling </w:t>
      </w:r>
      <w:r w:rsidR="000C5C1E" w:rsidRPr="006E4337">
        <w:t xml:space="preserve">indicates </w:t>
      </w:r>
      <w:r w:rsidRPr="006E4337">
        <w:t xml:space="preserve">both final voids </w:t>
      </w:r>
      <w:r w:rsidR="00BF00F5" w:rsidRPr="00BE7975">
        <w:t>will</w:t>
      </w:r>
      <w:r w:rsidR="00BF00F5" w:rsidRPr="006E4337">
        <w:t xml:space="preserve"> </w:t>
      </w:r>
      <w:r w:rsidRPr="006E4337">
        <w:t>become hypersaline within 100 years</w:t>
      </w:r>
      <w:r w:rsidR="000C5C1E" w:rsidRPr="006E4337">
        <w:t>, and</w:t>
      </w:r>
      <w:r w:rsidR="00050DFA" w:rsidRPr="006E4337">
        <w:t xml:space="preserve"> are</w:t>
      </w:r>
      <w:r w:rsidR="000C5C1E" w:rsidRPr="006E4337">
        <w:t xml:space="preserve"> likely to continue increasing in salinity until saturation is reached and salts precipitate. These voids will be a permanent legacy of mining on the environment. </w:t>
      </w:r>
    </w:p>
    <w:p w14:paraId="066A8DA0" w14:textId="77777777" w:rsidR="00B63108" w:rsidRPr="00245424" w:rsidRDefault="00B63108" w:rsidP="00B63108">
      <w:pPr>
        <w:pStyle w:val="Question"/>
        <w:shd w:val="clear" w:color="auto" w:fill="E7E6E6"/>
        <w:rPr>
          <w:lang w:eastAsia="en-AU"/>
        </w:rPr>
      </w:pPr>
      <w:r w:rsidRPr="00245424">
        <w:rPr>
          <w:color w:val="393939"/>
          <w:lang w:eastAsia="en-AU"/>
        </w:rPr>
        <w:t xml:space="preserve">Question 3. Could the Committee please </w:t>
      </w:r>
      <w:proofErr w:type="gramStart"/>
      <w:r w:rsidRPr="00245424">
        <w:rPr>
          <w:color w:val="393939"/>
          <w:lang w:eastAsia="en-AU"/>
        </w:rPr>
        <w:t>advise</w:t>
      </w:r>
      <w:proofErr w:type="gramEnd"/>
      <w:r w:rsidRPr="00245424">
        <w:rPr>
          <w:color w:val="393939"/>
          <w:lang w:eastAsia="en-AU"/>
        </w:rPr>
        <w:t xml:space="preserve"> on the adequacy of the proponent's proposed avoidance, monitoring and management measures intended to mitigate impacts to water resources? If the proposed measures are not considered sufficient, what additional measures would assist in the avoidance, monitoring and management of potential impacts to water resources?</w:t>
      </w:r>
    </w:p>
    <w:p w14:paraId="40C7F450" w14:textId="77777777" w:rsidR="006B5458" w:rsidRPr="00BE7975" w:rsidRDefault="00B148F4" w:rsidP="007A37BA">
      <w:pPr>
        <w:pStyle w:val="ListNumber"/>
        <w:numPr>
          <w:ilvl w:val="0"/>
          <w:numId w:val="5"/>
        </w:numPr>
      </w:pPr>
      <w:r w:rsidRPr="006E4337">
        <w:t>The proponent has referenced a number of management plans</w:t>
      </w:r>
      <w:r w:rsidR="00F5280F" w:rsidRPr="006E4337">
        <w:t xml:space="preserve"> relevant to</w:t>
      </w:r>
      <w:r w:rsidR="00801BDE" w:rsidRPr="006E4337">
        <w:t xml:space="preserve"> the</w:t>
      </w:r>
      <w:r w:rsidR="00F5280F" w:rsidRPr="006E4337">
        <w:t xml:space="preserve"> existing operation. </w:t>
      </w:r>
      <w:r w:rsidR="009B40D5" w:rsidRPr="006E4337">
        <w:t>These plans were not provided for review</w:t>
      </w:r>
      <w:r w:rsidR="004C456D" w:rsidRPr="006E4337">
        <w:t xml:space="preserve">. A summary of proposed monitoring and management measures </w:t>
      </w:r>
      <w:r w:rsidR="00C856D4" w:rsidRPr="00BE7975">
        <w:t>is</w:t>
      </w:r>
      <w:r w:rsidR="00C856D4" w:rsidRPr="006E4337">
        <w:t xml:space="preserve"> </w:t>
      </w:r>
      <w:r w:rsidR="00F5280F" w:rsidRPr="006E4337">
        <w:t xml:space="preserve">provided </w:t>
      </w:r>
      <w:r w:rsidR="004C456D" w:rsidRPr="006E4337">
        <w:t>for groundwater and surface water</w:t>
      </w:r>
      <w:r w:rsidR="00801BDE" w:rsidRPr="006E4337">
        <w:t>.</w:t>
      </w:r>
      <w:r w:rsidR="004C456D" w:rsidRPr="006E4337">
        <w:t xml:space="preserve"> </w:t>
      </w:r>
      <w:r w:rsidR="00F5280F" w:rsidRPr="006E4337">
        <w:t>Based on the summary information provided</w:t>
      </w:r>
      <w:r w:rsidR="00996C9C" w:rsidRPr="006E4337">
        <w:t>,</w:t>
      </w:r>
      <w:r w:rsidR="00801BDE" w:rsidRPr="006E4337">
        <w:t xml:space="preserve"> the IESC </w:t>
      </w:r>
      <w:r w:rsidR="002F2D4B" w:rsidRPr="006E4337">
        <w:t>suggests the following</w:t>
      </w:r>
      <w:r w:rsidR="00251EA4" w:rsidRPr="006E4337">
        <w:t xml:space="preserve"> </w:t>
      </w:r>
      <w:r w:rsidR="00251EA4" w:rsidRPr="00BE7975">
        <w:t xml:space="preserve">to </w:t>
      </w:r>
      <w:r w:rsidR="00C137A8" w:rsidRPr="00BE7975">
        <w:t>improve the monitoring, management and mitigation of impacts to water resources</w:t>
      </w:r>
      <w:r w:rsidR="00996C9C" w:rsidRPr="00BE7975">
        <w:t>.</w:t>
      </w:r>
    </w:p>
    <w:p w14:paraId="51F47BF3" w14:textId="77777777" w:rsidR="006B5458" w:rsidRPr="006E4337" w:rsidRDefault="006B5458" w:rsidP="007A37BA">
      <w:pPr>
        <w:pStyle w:val="ListNumber"/>
        <w:ind w:left="0" w:firstLine="0"/>
        <w:rPr>
          <w:u w:val="single"/>
        </w:rPr>
      </w:pPr>
      <w:r w:rsidRPr="006E4337">
        <w:rPr>
          <w:u w:val="single"/>
        </w:rPr>
        <w:t xml:space="preserve">Groundwater </w:t>
      </w:r>
    </w:p>
    <w:p w14:paraId="2B43FFC8" w14:textId="3E69BD5A" w:rsidR="00EA3639" w:rsidRPr="006E4337" w:rsidRDefault="00EA3639" w:rsidP="007A37BA">
      <w:pPr>
        <w:pStyle w:val="ListBullet5"/>
        <w:numPr>
          <w:ilvl w:val="0"/>
          <w:numId w:val="5"/>
        </w:numPr>
      </w:pPr>
      <w:r w:rsidRPr="006E4337">
        <w:t xml:space="preserve">The current groundwater monitoring </w:t>
      </w:r>
      <w:r w:rsidR="00113285" w:rsidRPr="006E4337">
        <w:t>network</w:t>
      </w:r>
      <w:r w:rsidRPr="006E4337">
        <w:t xml:space="preserve"> is focused on the Duaringa Formation and the </w:t>
      </w:r>
      <w:proofErr w:type="spellStart"/>
      <w:r w:rsidRPr="006E4337">
        <w:t>Rangal</w:t>
      </w:r>
      <w:proofErr w:type="spellEnd"/>
      <w:r w:rsidRPr="006E4337">
        <w:t xml:space="preserve"> Coal Measures. No monitoring bores are completed within the Quaternary Alluvium. </w:t>
      </w:r>
      <w:r w:rsidR="00C137A8" w:rsidRPr="00BE7975">
        <w:t xml:space="preserve">The </w:t>
      </w:r>
      <w:r w:rsidR="00931A6A" w:rsidRPr="00BE7975">
        <w:t>proponent’s</w:t>
      </w:r>
      <w:r w:rsidR="00C137A8" w:rsidRPr="00BE7975">
        <w:t xml:space="preserve"> commitment to install e</w:t>
      </w:r>
      <w:r w:rsidRPr="00BE7975">
        <w:t>lectronic</w:t>
      </w:r>
      <w:r w:rsidRPr="006E4337">
        <w:t xml:space="preserve"> water level loggers in selected bores to collect data </w:t>
      </w:r>
      <w:r w:rsidR="00223320">
        <w:t xml:space="preserve">(e.g. hydraulic </w:t>
      </w:r>
      <w:proofErr w:type="spellStart"/>
      <w:r w:rsidR="00223320">
        <w:t>paramaters</w:t>
      </w:r>
      <w:proofErr w:type="spellEnd"/>
      <w:r w:rsidR="00223320">
        <w:t xml:space="preserve"> such as in situ specific storage) </w:t>
      </w:r>
      <w:r w:rsidRPr="006E4337">
        <w:t xml:space="preserve">more frequently </w:t>
      </w:r>
      <w:r w:rsidR="002B5DD6" w:rsidRPr="006E4337">
        <w:t xml:space="preserve">is supported and will </w:t>
      </w:r>
      <w:r w:rsidRPr="006E4337">
        <w:t>be valuable</w:t>
      </w:r>
      <w:r w:rsidR="002B5DD6" w:rsidRPr="006E4337">
        <w:t>,</w:t>
      </w:r>
      <w:r w:rsidRPr="006E4337">
        <w:t xml:space="preserve"> </w:t>
      </w:r>
      <w:r w:rsidR="00251EA4" w:rsidRPr="006E4337">
        <w:t xml:space="preserve">especially with the addition of </w:t>
      </w:r>
      <w:r w:rsidRPr="006E4337">
        <w:t xml:space="preserve">strategic </w:t>
      </w:r>
      <w:r w:rsidR="009114CF" w:rsidRPr="00BE7975">
        <w:t>monitoring</w:t>
      </w:r>
      <w:r w:rsidR="009114CF" w:rsidRPr="006E4337">
        <w:t xml:space="preserve"> </w:t>
      </w:r>
      <w:r w:rsidRPr="006E4337">
        <w:t xml:space="preserve">bores within </w:t>
      </w:r>
      <w:r w:rsidR="001F7356">
        <w:t xml:space="preserve">the </w:t>
      </w:r>
      <w:r w:rsidRPr="006E4337">
        <w:t>alluvium along Roper Creek and near the wetlands to the north</w:t>
      </w:r>
      <w:r w:rsidR="001F7356">
        <w:t xml:space="preserve"> of the project</w:t>
      </w:r>
      <w:r w:rsidRPr="006E4337">
        <w:t xml:space="preserve">. </w:t>
      </w:r>
      <w:r w:rsidR="002B5DD6" w:rsidRPr="006E4337">
        <w:t>The proposed q</w:t>
      </w:r>
      <w:r w:rsidRPr="006E4337">
        <w:t xml:space="preserve">uarterly manual water level monitoring to verify logger data is reasonable. </w:t>
      </w:r>
    </w:p>
    <w:p w14:paraId="6AB861B6" w14:textId="0D84D62E" w:rsidR="006B5458" w:rsidRPr="006E4337" w:rsidRDefault="0047355C" w:rsidP="007F15CD">
      <w:pPr>
        <w:pStyle w:val="ListBullet5"/>
        <w:numPr>
          <w:ilvl w:val="1"/>
          <w:numId w:val="5"/>
        </w:numPr>
      </w:pPr>
      <w:r w:rsidRPr="006E4337">
        <w:t>A</w:t>
      </w:r>
      <w:r w:rsidR="006B5458" w:rsidRPr="006E4337">
        <w:t xml:space="preserve">dditional </w:t>
      </w:r>
      <w:r w:rsidR="00050DFA" w:rsidRPr="006E4337">
        <w:t xml:space="preserve">nested </w:t>
      </w:r>
      <w:r w:rsidRPr="006E4337">
        <w:t xml:space="preserve">groundwater </w:t>
      </w:r>
      <w:r w:rsidR="009114CF" w:rsidRPr="00BE7975">
        <w:t>monitoring</w:t>
      </w:r>
      <w:r w:rsidR="009114CF" w:rsidRPr="006E4337">
        <w:t xml:space="preserve"> </w:t>
      </w:r>
      <w:r w:rsidR="006B5458" w:rsidRPr="006E4337">
        <w:t>bores</w:t>
      </w:r>
      <w:r w:rsidRPr="006E4337">
        <w:t xml:space="preserve"> are needed</w:t>
      </w:r>
      <w:r w:rsidR="00995E17">
        <w:t>,</w:t>
      </w:r>
      <w:r w:rsidRPr="006E4337">
        <w:t xml:space="preserve"> </w:t>
      </w:r>
      <w:r w:rsidR="00050DFA" w:rsidRPr="006E4337">
        <w:t xml:space="preserve">screened </w:t>
      </w:r>
      <w:r w:rsidR="006B5458" w:rsidRPr="006E4337">
        <w:t xml:space="preserve">at </w:t>
      </w:r>
      <w:r w:rsidR="00C241C5" w:rsidRPr="00BE7975">
        <w:t xml:space="preserve">suitable </w:t>
      </w:r>
      <w:r w:rsidR="006B5458" w:rsidRPr="00BE7975">
        <w:t>depth</w:t>
      </w:r>
      <w:r w:rsidR="00C241C5" w:rsidRPr="00BE7975">
        <w:t>s</w:t>
      </w:r>
      <w:r w:rsidR="006B5458" w:rsidRPr="006E4337">
        <w:t xml:space="preserve"> and </w:t>
      </w:r>
      <w:r w:rsidR="00050DFA" w:rsidRPr="006E4337">
        <w:t>located</w:t>
      </w:r>
      <w:r w:rsidR="006B5458" w:rsidRPr="006E4337">
        <w:t xml:space="preserve"> to the north </w:t>
      </w:r>
      <w:r w:rsidR="001F7356">
        <w:t xml:space="preserve">of the project </w:t>
      </w:r>
      <w:r w:rsidR="006B5458" w:rsidRPr="006E4337">
        <w:t>to monitor groundwater levels and quality.</w:t>
      </w:r>
      <w:r w:rsidRPr="006E4337">
        <w:t xml:space="preserve"> These should i</w:t>
      </w:r>
      <w:r w:rsidR="006B5458" w:rsidRPr="006E4337">
        <w:t xml:space="preserve">deally </w:t>
      </w:r>
      <w:r w:rsidRPr="006E4337">
        <w:t xml:space="preserve">be </w:t>
      </w:r>
      <w:r w:rsidR="006B5458" w:rsidRPr="006E4337">
        <w:t>nested bore</w:t>
      </w:r>
      <w:r w:rsidR="00C241C5" w:rsidRPr="00BE7975">
        <w:t>s</w:t>
      </w:r>
      <w:r w:rsidR="002B5DD6" w:rsidRPr="00BE7975">
        <w:t>,</w:t>
      </w:r>
      <w:r w:rsidR="006B5458" w:rsidRPr="00BE7975">
        <w:t xml:space="preserve"> </w:t>
      </w:r>
      <w:r w:rsidR="00C241C5" w:rsidRPr="00BE7975">
        <w:t>screened</w:t>
      </w:r>
      <w:r w:rsidR="00C241C5" w:rsidRPr="006E4337">
        <w:t xml:space="preserve"> </w:t>
      </w:r>
      <w:r w:rsidR="006B5458" w:rsidRPr="006E4337">
        <w:t>within the Tertiary</w:t>
      </w:r>
      <w:r w:rsidR="001F7356">
        <w:t xml:space="preserve">, </w:t>
      </w:r>
      <w:r w:rsidR="00251EA4" w:rsidRPr="006E4337">
        <w:t>w</w:t>
      </w:r>
      <w:r w:rsidR="006B5458" w:rsidRPr="006E4337">
        <w:t>eathe</w:t>
      </w:r>
      <w:r w:rsidR="00743EAF" w:rsidRPr="006E4337">
        <w:t>r</w:t>
      </w:r>
      <w:r w:rsidR="006B5458" w:rsidRPr="006E4337">
        <w:t xml:space="preserve">ed </w:t>
      </w:r>
      <w:r w:rsidR="00743EAF" w:rsidRPr="006E4337">
        <w:t>Permian</w:t>
      </w:r>
      <w:r w:rsidRPr="006E4337">
        <w:t xml:space="preserve"> and deeper </w:t>
      </w:r>
      <w:proofErr w:type="spellStart"/>
      <w:r w:rsidRPr="006E4337">
        <w:t>Rangal</w:t>
      </w:r>
      <w:proofErr w:type="spellEnd"/>
      <w:r w:rsidRPr="006E4337">
        <w:t xml:space="preserve"> Coal Measures. </w:t>
      </w:r>
      <w:r w:rsidR="00EA3639" w:rsidRPr="006E4337">
        <w:t xml:space="preserve">Consideration should also be given to the </w:t>
      </w:r>
      <w:r w:rsidR="002B5DD6" w:rsidRPr="006E4337">
        <w:t>completion</w:t>
      </w:r>
      <w:r w:rsidR="00EA3639" w:rsidRPr="006E4337">
        <w:t xml:space="preserve"> of monitoring bores within the </w:t>
      </w:r>
      <w:r w:rsidR="003C6FF5" w:rsidRPr="006E4337">
        <w:t>Quaternary A</w:t>
      </w:r>
      <w:r w:rsidR="00EA3639" w:rsidRPr="006E4337">
        <w:t xml:space="preserve">lluvium to </w:t>
      </w:r>
      <w:r w:rsidR="003C6FF5" w:rsidRPr="006E4337">
        <w:t xml:space="preserve">observe groundwater levels and associated fluctuations, particularly during and following periods of rainfall. </w:t>
      </w:r>
    </w:p>
    <w:p w14:paraId="3E897CF3" w14:textId="3F8BDF0F" w:rsidR="00050DFA" w:rsidRPr="006E4337" w:rsidRDefault="003171A0" w:rsidP="00995E17">
      <w:pPr>
        <w:pStyle w:val="ListNumber"/>
        <w:numPr>
          <w:ilvl w:val="0"/>
          <w:numId w:val="5"/>
        </w:numPr>
      </w:pPr>
      <w:r w:rsidRPr="00DB5C2A">
        <w:t xml:space="preserve">The current EA trigger levels for groundwater appear to be derived from various guidelines (Queensland, ANZECC etc.) for different beneficial uses/environmental values (e.g. </w:t>
      </w:r>
      <w:proofErr w:type="spellStart"/>
      <w:r w:rsidRPr="00DB5C2A">
        <w:t>Se</w:t>
      </w:r>
      <w:proofErr w:type="spellEnd"/>
      <w:r w:rsidRPr="00DB5C2A">
        <w:t xml:space="preserve"> is the 80% species protection value from ANZECC/ARMCANZ for aquatic ecosystems). </w:t>
      </w:r>
      <w:r w:rsidR="00050DFA" w:rsidRPr="00DB5C2A">
        <w:t xml:space="preserve">Silver was removed </w:t>
      </w:r>
      <w:r w:rsidRPr="00DB5C2A">
        <w:t xml:space="preserve">from groundwater quality </w:t>
      </w:r>
      <w:proofErr w:type="gramStart"/>
      <w:r w:rsidRPr="00DB5C2A">
        <w:t>monitoring</w:t>
      </w:r>
      <w:r>
        <w:t xml:space="preserve"> </w:t>
      </w:r>
      <w:r w:rsidRPr="00DB5C2A">
        <w:t xml:space="preserve"> </w:t>
      </w:r>
      <w:r w:rsidR="00050DFA" w:rsidRPr="00DB5C2A">
        <w:t>as</w:t>
      </w:r>
      <w:proofErr w:type="gramEnd"/>
      <w:r w:rsidR="00050DFA" w:rsidRPr="00DB5C2A">
        <w:t xml:space="preserve"> a trigger despite exceedances being observed. The proponent states that this was because of a lack of ANZECC/ARMCANZ water quality guidelines. The proponent should reinstate monitoring </w:t>
      </w:r>
      <w:r w:rsidR="0073367E">
        <w:t>of silver in groundwater using the</w:t>
      </w:r>
      <w:r w:rsidR="00050DFA" w:rsidRPr="00DB5C2A">
        <w:t xml:space="preserve"> ANZG (2018) surface water aquatic ecosystem protection guideline </w:t>
      </w:r>
      <w:r w:rsidR="0073367E">
        <w:t>value of</w:t>
      </w:r>
      <w:r w:rsidR="00050DFA" w:rsidRPr="00DB5C2A">
        <w:t xml:space="preserve"> 0.05 µg/L. </w:t>
      </w:r>
    </w:p>
    <w:p w14:paraId="3B8B5D74" w14:textId="73F92667" w:rsidR="006B5458" w:rsidRPr="006E4337" w:rsidRDefault="003171A0" w:rsidP="007A37BA">
      <w:pPr>
        <w:pStyle w:val="ListNumber"/>
        <w:ind w:left="0" w:firstLine="0"/>
        <w:rPr>
          <w:u w:val="single"/>
        </w:rPr>
      </w:pPr>
      <w:r w:rsidRPr="006E4337">
        <w:rPr>
          <w:u w:val="single"/>
        </w:rPr>
        <w:t>Surface water</w:t>
      </w:r>
    </w:p>
    <w:p w14:paraId="6C8D098C" w14:textId="7C84A007" w:rsidR="003C6FF5" w:rsidRPr="00B400DB" w:rsidRDefault="003804A0" w:rsidP="007F15CD">
      <w:pPr>
        <w:pStyle w:val="ListNumber"/>
        <w:numPr>
          <w:ilvl w:val="0"/>
          <w:numId w:val="5"/>
        </w:numPr>
      </w:pPr>
      <w:r w:rsidRPr="00B400DB">
        <w:t xml:space="preserve">Surface water quality data </w:t>
      </w:r>
      <w:r w:rsidR="00C42257" w:rsidRPr="00B400DB">
        <w:t xml:space="preserve">gathered from the receiving environment </w:t>
      </w:r>
      <w:r w:rsidRPr="00B400DB">
        <w:t>between 2013 and 2016 can be used to derive site</w:t>
      </w:r>
      <w:r w:rsidR="003171A0" w:rsidRPr="00B400DB">
        <w:t>-</w:t>
      </w:r>
      <w:r w:rsidRPr="00B400DB">
        <w:t>specific guide</w:t>
      </w:r>
      <w:r w:rsidR="00050DFA" w:rsidRPr="00B400DB">
        <w:t>line</w:t>
      </w:r>
      <w:r w:rsidR="003171A0" w:rsidRPr="00B400DB">
        <w:t xml:space="preserve"> </w:t>
      </w:r>
      <w:r w:rsidRPr="00B400DB">
        <w:t>values for water quality</w:t>
      </w:r>
      <w:r w:rsidR="003171A0" w:rsidRPr="00B400DB">
        <w:t xml:space="preserve"> for some parameters</w:t>
      </w:r>
      <w:r w:rsidRPr="00B400DB">
        <w:t xml:space="preserve">. If there are exceedances for individual contaminants then </w:t>
      </w:r>
      <w:r w:rsidR="008054B3">
        <w:t>d</w:t>
      </w:r>
      <w:r w:rsidRPr="00B400DB">
        <w:t xml:space="preserve">irect </w:t>
      </w:r>
      <w:r w:rsidR="008054B3">
        <w:t>t</w:t>
      </w:r>
      <w:r w:rsidRPr="00B400DB">
        <w:t xml:space="preserve">oxicity </w:t>
      </w:r>
      <w:r w:rsidR="008054B3">
        <w:t>a</w:t>
      </w:r>
      <w:r w:rsidRPr="00B400DB">
        <w:t xml:space="preserve">ssessments </w:t>
      </w:r>
      <w:r w:rsidR="009C6946">
        <w:t>(need ANZECC reference)</w:t>
      </w:r>
      <w:r w:rsidRPr="00B400DB">
        <w:t xml:space="preserve">can be used to </w:t>
      </w:r>
      <w:r w:rsidR="00050DFA" w:rsidRPr="00B400DB">
        <w:t xml:space="preserve">determine </w:t>
      </w:r>
      <w:r w:rsidRPr="00B400DB">
        <w:t xml:space="preserve">if upstream and downstream sites show similar toxicity i.e. are already impacted by </w:t>
      </w:r>
      <w:r w:rsidR="003171A0" w:rsidRPr="00B400DB">
        <w:t>activities upstream of the mine</w:t>
      </w:r>
      <w:r w:rsidR="00C0319B" w:rsidRPr="00B400DB">
        <w:t>.</w:t>
      </w:r>
    </w:p>
    <w:p w14:paraId="639EBDE6" w14:textId="77777777" w:rsidR="00877F28" w:rsidRDefault="00877F28" w:rsidP="007A37BA">
      <w:pPr>
        <w:pStyle w:val="ListNumber"/>
        <w:ind w:left="0" w:firstLine="0"/>
        <w:rPr>
          <w:u w:val="single"/>
        </w:rPr>
      </w:pPr>
    </w:p>
    <w:p w14:paraId="79B43AF7" w14:textId="77777777" w:rsidR="0056530B" w:rsidRPr="007A37BA" w:rsidRDefault="006B5458" w:rsidP="007A37BA">
      <w:pPr>
        <w:pStyle w:val="ListNumber"/>
        <w:ind w:left="0" w:firstLine="0"/>
        <w:rPr>
          <w:u w:val="single"/>
        </w:rPr>
      </w:pPr>
      <w:r w:rsidRPr="007D6EB6">
        <w:rPr>
          <w:u w:val="single"/>
        </w:rPr>
        <w:t>Final landform</w:t>
      </w:r>
      <w:r w:rsidRPr="007D6EB6" w:rsidDel="00FD2363">
        <w:rPr>
          <w:u w:val="single"/>
        </w:rPr>
        <w:t xml:space="preserve"> and </w:t>
      </w:r>
      <w:r w:rsidR="0047355C" w:rsidRPr="007D6EB6">
        <w:rPr>
          <w:u w:val="single"/>
        </w:rPr>
        <w:t>voids</w:t>
      </w:r>
    </w:p>
    <w:p w14:paraId="1247005B" w14:textId="313576A4" w:rsidR="00BE343F" w:rsidRPr="006E4337" w:rsidRDefault="00C856D4" w:rsidP="007A37BA">
      <w:pPr>
        <w:pStyle w:val="ListNumber"/>
        <w:numPr>
          <w:ilvl w:val="0"/>
          <w:numId w:val="5"/>
        </w:numPr>
      </w:pPr>
      <w:r w:rsidRPr="00B400DB">
        <w:t xml:space="preserve">Although </w:t>
      </w:r>
      <w:r w:rsidRPr="006E4337">
        <w:t>s</w:t>
      </w:r>
      <w:r w:rsidR="00BE343F" w:rsidRPr="006E4337">
        <w:t>urface water modelling indicate</w:t>
      </w:r>
      <w:r w:rsidR="0085313D" w:rsidRPr="00B400DB">
        <w:t>s</w:t>
      </w:r>
      <w:r w:rsidR="00BE343F" w:rsidRPr="006E4337">
        <w:t xml:space="preserve"> a low potential for over</w:t>
      </w:r>
      <w:r w:rsidRPr="006E4337">
        <w:t>-</w:t>
      </w:r>
      <w:r w:rsidR="00BE343F" w:rsidRPr="006E4337">
        <w:t xml:space="preserve">topping </w:t>
      </w:r>
      <w:r w:rsidR="001F7356">
        <w:t xml:space="preserve">of the final voids </w:t>
      </w:r>
      <w:r w:rsidR="00BE343F" w:rsidRPr="006E4337">
        <w:t>and inundation</w:t>
      </w:r>
      <w:r w:rsidR="0085313D" w:rsidRPr="006E4337">
        <w:t xml:space="preserve"> </w:t>
      </w:r>
      <w:r w:rsidR="001F7356">
        <w:t xml:space="preserve">of the </w:t>
      </w:r>
      <w:proofErr w:type="spellStart"/>
      <w:r w:rsidR="001F7356">
        <w:t>flooplain</w:t>
      </w:r>
      <w:proofErr w:type="spellEnd"/>
      <w:r w:rsidRPr="00B400DB">
        <w:t xml:space="preserve">, </w:t>
      </w:r>
      <w:r w:rsidR="00BE343F" w:rsidRPr="00B400DB">
        <w:t>ongoing</w:t>
      </w:r>
      <w:r w:rsidR="00BE343F" w:rsidRPr="006E4337">
        <w:t xml:space="preserve"> monitoring (level and quality) and updating of the surface water and groundwater models </w:t>
      </w:r>
      <w:r w:rsidRPr="00B400DB">
        <w:t>are</w:t>
      </w:r>
      <w:r w:rsidRPr="006E4337">
        <w:t xml:space="preserve"> </w:t>
      </w:r>
      <w:r w:rsidR="00BE343F" w:rsidRPr="006E4337">
        <w:t>needed to ensure appropriate consid</w:t>
      </w:r>
      <w:r w:rsidR="00F2659D" w:rsidRPr="006E4337">
        <w:t>er</w:t>
      </w:r>
      <w:r w:rsidR="00BE343F" w:rsidRPr="006E4337">
        <w:t xml:space="preserve">ation </w:t>
      </w:r>
      <w:r w:rsidR="003D58D6" w:rsidRPr="00B400DB">
        <w:t>and implementation</w:t>
      </w:r>
      <w:r w:rsidR="003D58D6" w:rsidRPr="006E4337">
        <w:t xml:space="preserve"> </w:t>
      </w:r>
      <w:r w:rsidR="00BE343F" w:rsidRPr="006E4337">
        <w:t>of management options during operation and pos</w:t>
      </w:r>
      <w:r w:rsidR="00BE343F" w:rsidRPr="008054B3">
        <w:t>t</w:t>
      </w:r>
      <w:r w:rsidRPr="008054B3">
        <w:t>-</w:t>
      </w:r>
      <w:r w:rsidR="00BE343F" w:rsidRPr="006E4337">
        <w:t xml:space="preserve">closure. </w:t>
      </w:r>
    </w:p>
    <w:p w14:paraId="48E568D1" w14:textId="08E7040A" w:rsidR="00D037C5" w:rsidRPr="006E4337" w:rsidRDefault="00912E9D" w:rsidP="007A37BA">
      <w:pPr>
        <w:pStyle w:val="ListNumber"/>
        <w:numPr>
          <w:ilvl w:val="0"/>
          <w:numId w:val="5"/>
        </w:numPr>
      </w:pPr>
      <w:r w:rsidRPr="006E4337">
        <w:t xml:space="preserve">Installation of </w:t>
      </w:r>
      <w:r w:rsidR="00225F42" w:rsidRPr="008054B3">
        <w:t>nested</w:t>
      </w:r>
      <w:r w:rsidR="00225F42" w:rsidRPr="006E4337">
        <w:t xml:space="preserve"> </w:t>
      </w:r>
      <w:r w:rsidRPr="006E4337">
        <w:t xml:space="preserve">groundwater monitoring </w:t>
      </w:r>
      <w:r w:rsidR="00225F42" w:rsidRPr="008054B3">
        <w:t>bores</w:t>
      </w:r>
      <w:r w:rsidR="00225F42" w:rsidRPr="006E4337">
        <w:t xml:space="preserve"> </w:t>
      </w:r>
      <w:r w:rsidRPr="006E4337">
        <w:t>at appropriate depth</w:t>
      </w:r>
      <w:r w:rsidR="003171A0" w:rsidRPr="006E4337">
        <w:t>s</w:t>
      </w:r>
      <w:r w:rsidRPr="006E4337">
        <w:t xml:space="preserve"> and </w:t>
      </w:r>
      <w:r w:rsidR="00C856D4" w:rsidRPr="008054B3">
        <w:t>locations</w:t>
      </w:r>
      <w:r w:rsidRPr="006E4337">
        <w:t xml:space="preserve"> </w:t>
      </w:r>
      <w:r w:rsidR="00C856D4" w:rsidRPr="008054B3">
        <w:t xml:space="preserve">between </w:t>
      </w:r>
      <w:r w:rsidR="003D58D6" w:rsidRPr="008054B3">
        <w:t xml:space="preserve">and around </w:t>
      </w:r>
      <w:r w:rsidRPr="008054B3">
        <w:t xml:space="preserve">the final voids </w:t>
      </w:r>
      <w:r w:rsidR="0085313D" w:rsidRPr="008054B3">
        <w:t>are required</w:t>
      </w:r>
      <w:r w:rsidR="0085313D" w:rsidRPr="006E4337">
        <w:t xml:space="preserve"> </w:t>
      </w:r>
      <w:r w:rsidRPr="006E4337">
        <w:t xml:space="preserve">to monitor potential leakage </w:t>
      </w:r>
      <w:r w:rsidR="00BE343F" w:rsidRPr="006E4337">
        <w:t xml:space="preserve">into groundwater </w:t>
      </w:r>
      <w:r w:rsidRPr="006E4337">
        <w:t xml:space="preserve">and </w:t>
      </w:r>
      <w:r w:rsidR="00BE343F" w:rsidRPr="006E4337">
        <w:t xml:space="preserve">to </w:t>
      </w:r>
      <w:r w:rsidR="009C6946">
        <w:t xml:space="preserve">determine </w:t>
      </w:r>
      <w:r w:rsidRPr="006E4337">
        <w:t xml:space="preserve">groundwater flow directions. </w:t>
      </w:r>
    </w:p>
    <w:p w14:paraId="23F2F7E3" w14:textId="21E41C14" w:rsidR="00DB597D" w:rsidRPr="00DB597D" w:rsidRDefault="00225F42" w:rsidP="00DB597D">
      <w:pPr>
        <w:pStyle w:val="ListNumber"/>
        <w:rPr>
          <w:u w:val="single"/>
        </w:rPr>
      </w:pPr>
      <w:r w:rsidRPr="008054B3">
        <w:rPr>
          <w:u w:val="single"/>
        </w:rPr>
        <w:t>Water</w:t>
      </w:r>
      <w:r w:rsidR="006F2AE1" w:rsidRPr="008054B3">
        <w:rPr>
          <w:u w:val="single"/>
        </w:rPr>
        <w:t>-d</w:t>
      </w:r>
      <w:r w:rsidRPr="008054B3">
        <w:rPr>
          <w:u w:val="single"/>
        </w:rPr>
        <w:t xml:space="preserve">ependent </w:t>
      </w:r>
      <w:r w:rsidR="003171A0" w:rsidRPr="008054B3">
        <w:rPr>
          <w:u w:val="single"/>
        </w:rPr>
        <w:t>e</w:t>
      </w:r>
      <w:r w:rsidR="00DB597D" w:rsidRPr="008054B3">
        <w:rPr>
          <w:u w:val="single"/>
        </w:rPr>
        <w:t>cosystems</w:t>
      </w:r>
    </w:p>
    <w:p w14:paraId="3B1C90C3" w14:textId="7DBDA06D" w:rsidR="00C926A3" w:rsidRPr="008054B3" w:rsidRDefault="001D7815" w:rsidP="007A37BA">
      <w:pPr>
        <w:pStyle w:val="ListNumber"/>
        <w:numPr>
          <w:ilvl w:val="0"/>
          <w:numId w:val="5"/>
        </w:numPr>
      </w:pPr>
      <w:r w:rsidRPr="008054B3">
        <w:t>One</w:t>
      </w:r>
      <w:r w:rsidR="00C926A3" w:rsidRPr="008054B3">
        <w:t xml:space="preserve"> </w:t>
      </w:r>
      <w:r w:rsidR="003804A0" w:rsidRPr="008054B3">
        <w:t xml:space="preserve">HES </w:t>
      </w:r>
      <w:r w:rsidR="00C926A3" w:rsidRPr="008054B3">
        <w:t>palustrine wetland occurs</w:t>
      </w:r>
      <w:r w:rsidR="00C926A3" w:rsidRPr="006E4337">
        <w:t xml:space="preserve"> in the upper north-east corner of the western study area (</w:t>
      </w:r>
      <w:r w:rsidR="001F7356">
        <w:t xml:space="preserve">PD, Attachment C </w:t>
      </w:r>
      <w:r w:rsidR="00C926A3" w:rsidRPr="006E4337">
        <w:t>Fig</w:t>
      </w:r>
      <w:r w:rsidR="001F7356">
        <w:t>ure</w:t>
      </w:r>
      <w:r w:rsidR="00C926A3" w:rsidRPr="006E4337">
        <w:t>. 19, p</w:t>
      </w:r>
      <w:r w:rsidR="001F7356">
        <w:t>.</w:t>
      </w:r>
      <w:r w:rsidR="00C926A3" w:rsidRPr="006E4337">
        <w:t xml:space="preserve"> 86) along with the regulated vegetation within 50 m of the wetland (</w:t>
      </w:r>
      <w:r w:rsidR="001F7356">
        <w:t xml:space="preserve">PD, Attachment C </w:t>
      </w:r>
      <w:r w:rsidR="00C926A3" w:rsidRPr="006E4337">
        <w:t>Fig</w:t>
      </w:r>
      <w:r w:rsidR="001F7356">
        <w:t>ure</w:t>
      </w:r>
      <w:r w:rsidR="00C926A3" w:rsidRPr="006E4337">
        <w:t>. 18, p</w:t>
      </w:r>
      <w:r w:rsidR="001F7356">
        <w:t>.</w:t>
      </w:r>
      <w:r w:rsidR="00C926A3" w:rsidRPr="006E4337">
        <w:t xml:space="preserve"> 85).  </w:t>
      </w:r>
      <w:r w:rsidR="00225F42" w:rsidRPr="008054B3">
        <w:t>As t</w:t>
      </w:r>
      <w:r w:rsidRPr="008054B3">
        <w:t xml:space="preserve">his is </w:t>
      </w:r>
      <w:r w:rsidR="00225F42" w:rsidRPr="008054B3">
        <w:t xml:space="preserve">very </w:t>
      </w:r>
      <w:r w:rsidRPr="008054B3">
        <w:t>close to the edge</w:t>
      </w:r>
      <w:r w:rsidR="00C926A3" w:rsidRPr="008054B3">
        <w:t xml:space="preserve"> of the disturbance footprint</w:t>
      </w:r>
      <w:r w:rsidR="00225F42" w:rsidRPr="008054B3">
        <w:t>,</w:t>
      </w:r>
      <w:r w:rsidR="00C926A3" w:rsidRPr="008054B3">
        <w:t xml:space="preserve"> </w:t>
      </w:r>
      <w:r w:rsidR="00225F42" w:rsidRPr="008054B3">
        <w:t>t</w:t>
      </w:r>
      <w:r w:rsidR="00C926A3" w:rsidRPr="008054B3">
        <w:t xml:space="preserve">he proponent should assess options for modifying </w:t>
      </w:r>
      <w:r w:rsidRPr="008054B3">
        <w:t>operations</w:t>
      </w:r>
      <w:r w:rsidR="00C926A3" w:rsidRPr="008054B3">
        <w:t xml:space="preserve"> to avoid </w:t>
      </w:r>
      <w:r w:rsidRPr="008054B3">
        <w:t>removing</w:t>
      </w:r>
      <w:r w:rsidR="00C926A3" w:rsidRPr="008054B3">
        <w:t xml:space="preserve"> the wetland and associated vegetation.</w:t>
      </w:r>
    </w:p>
    <w:p w14:paraId="51EA65C0" w14:textId="77777777" w:rsidR="008845CE" w:rsidRPr="008054B3" w:rsidRDefault="007644DA" w:rsidP="007A37BA">
      <w:pPr>
        <w:pStyle w:val="ListNumber"/>
        <w:numPr>
          <w:ilvl w:val="0"/>
          <w:numId w:val="5"/>
        </w:numPr>
      </w:pPr>
      <w:r w:rsidRPr="006E4337">
        <w:t>Should remov</w:t>
      </w:r>
      <w:r w:rsidR="00912E9D" w:rsidRPr="006E4337">
        <w:t>al</w:t>
      </w:r>
      <w:r w:rsidRPr="006E4337">
        <w:t xml:space="preserve"> </w:t>
      </w:r>
      <w:r w:rsidR="003171A0" w:rsidRPr="006E4337">
        <w:t xml:space="preserve">of the HES wetland </w:t>
      </w:r>
      <w:r w:rsidRPr="006E4337">
        <w:t>be required, further information should be provide</w:t>
      </w:r>
      <w:r w:rsidR="001D7815" w:rsidRPr="006E4337">
        <w:t>d</w:t>
      </w:r>
      <w:r w:rsidRPr="006E4337">
        <w:t xml:space="preserve"> on the proposed offset </w:t>
      </w:r>
      <w:r w:rsidR="00912E9D" w:rsidRPr="006E4337">
        <w:t>(</w:t>
      </w:r>
      <w:r w:rsidRPr="006E4337">
        <w:t xml:space="preserve">3 ha of wetlands within </w:t>
      </w:r>
      <w:r w:rsidR="00972BB8" w:rsidRPr="006E4337">
        <w:t xml:space="preserve">the </w:t>
      </w:r>
      <w:r w:rsidRPr="006E4337">
        <w:t>Western Extension State Offset Area</w:t>
      </w:r>
      <w:r w:rsidR="00912E9D" w:rsidRPr="006E4337">
        <w:t>)</w:t>
      </w:r>
      <w:r w:rsidR="001D7815" w:rsidRPr="006E4337">
        <w:t xml:space="preserve">. </w:t>
      </w:r>
      <w:r w:rsidR="008845CE" w:rsidRPr="006E4337">
        <w:t>This</w:t>
      </w:r>
      <w:r w:rsidR="001D7815" w:rsidRPr="006E4337">
        <w:t xml:space="preserve"> information should show how the offset will match the ecological characteristics of the </w:t>
      </w:r>
      <w:r w:rsidR="001D7815" w:rsidRPr="008054B3">
        <w:t>HES wetland</w:t>
      </w:r>
      <w:r w:rsidR="003804A0" w:rsidRPr="008054B3">
        <w:t xml:space="preserve"> and will compensate for its removal</w:t>
      </w:r>
      <w:r w:rsidR="008845CE" w:rsidRPr="008054B3">
        <w:t xml:space="preserve">. </w:t>
      </w:r>
    </w:p>
    <w:p w14:paraId="284E5995" w14:textId="66E75D10" w:rsidR="007644DA" w:rsidRPr="006E4337" w:rsidRDefault="00FD4055" w:rsidP="007A37BA">
      <w:pPr>
        <w:pStyle w:val="ListNumber"/>
        <w:numPr>
          <w:ilvl w:val="0"/>
          <w:numId w:val="5"/>
        </w:numPr>
      </w:pPr>
      <w:r w:rsidRPr="006E4337">
        <w:t xml:space="preserve">The construction of the new diversion should </w:t>
      </w:r>
      <w:r w:rsidR="003171A0" w:rsidRPr="006E4337">
        <w:t>follow recommendations</w:t>
      </w:r>
      <w:r w:rsidRPr="006E4337">
        <w:t xml:space="preserve"> </w:t>
      </w:r>
      <w:r w:rsidR="00931A6A" w:rsidRPr="006E4337">
        <w:t xml:space="preserve">in </w:t>
      </w:r>
      <w:r w:rsidRPr="006E4337">
        <w:t>White et al</w:t>
      </w:r>
      <w:r w:rsidR="00130647">
        <w:t>.</w:t>
      </w:r>
      <w:r w:rsidRPr="006E4337">
        <w:t xml:space="preserve"> (2014) to </w:t>
      </w:r>
      <w:r w:rsidR="001D7815" w:rsidRPr="006E4337">
        <w:t>maximise its operation as</w:t>
      </w:r>
      <w:r w:rsidRPr="006E4337">
        <w:t xml:space="preserve"> an ecologically </w:t>
      </w:r>
      <w:r w:rsidRPr="008054B3">
        <w:t>functioning channel</w:t>
      </w:r>
      <w:r w:rsidR="00D15B04" w:rsidRPr="008054B3">
        <w:t xml:space="preserve"> (see </w:t>
      </w:r>
      <w:r w:rsidR="00F7561E" w:rsidRPr="008054B3">
        <w:t>Paragraph</w:t>
      </w:r>
      <w:r w:rsidR="00D15B04" w:rsidRPr="008054B3">
        <w:t xml:space="preserve"> 2</w:t>
      </w:r>
      <w:r w:rsidR="001F7356">
        <w:t>1</w:t>
      </w:r>
      <w:r w:rsidR="00D15B04" w:rsidRPr="008054B3">
        <w:t>)</w:t>
      </w:r>
      <w:r w:rsidRPr="008054B3">
        <w:t xml:space="preserve">. </w:t>
      </w:r>
      <w:r w:rsidR="00D15B04" w:rsidRPr="008054B3">
        <w:t>Consideration should also be given to replanting and restoration of appropriate riparian vegetation to re-establish vegetation connectivity along the diverted creek-line.</w:t>
      </w:r>
      <w:r w:rsidRPr="006E4337">
        <w:t xml:space="preserve"> </w:t>
      </w:r>
    </w:p>
    <w:p w14:paraId="60CF7302" w14:textId="77777777" w:rsidR="00B63108" w:rsidRDefault="00B63108" w:rsidP="00B63108">
      <w:pPr>
        <w:pStyle w:val="Default"/>
        <w:spacing w:line="276" w:lineRule="auto"/>
        <w:rPr>
          <w:rFonts w:ascii="Arial" w:hAnsi="Arial" w:cs="Arial"/>
          <w:b/>
          <w:color w:val="FF0000"/>
          <w:sz w:val="20"/>
          <w:szCs w:val="20"/>
        </w:rPr>
      </w:pPr>
    </w:p>
    <w:tbl>
      <w:tblPr>
        <w:tblW w:w="9923" w:type="dxa"/>
        <w:tblBorders>
          <w:insideH w:val="single" w:sz="4" w:space="0" w:color="auto"/>
        </w:tblBorders>
        <w:tblLayout w:type="fixed"/>
        <w:tblCellMar>
          <w:top w:w="113" w:type="dxa"/>
          <w:bottom w:w="113" w:type="dxa"/>
        </w:tblCellMar>
        <w:tblLook w:val="01E0" w:firstRow="1" w:lastRow="1" w:firstColumn="1" w:lastColumn="1" w:noHBand="0" w:noVBand="0"/>
      </w:tblPr>
      <w:tblGrid>
        <w:gridCol w:w="1650"/>
        <w:gridCol w:w="8273"/>
      </w:tblGrid>
      <w:tr w:rsidR="00D500CB" w:rsidRPr="00B451D3" w14:paraId="2C75CF42" w14:textId="77777777" w:rsidTr="00607F73">
        <w:trPr>
          <w:trHeight w:val="19"/>
        </w:trPr>
        <w:tc>
          <w:tcPr>
            <w:tcW w:w="1650" w:type="dxa"/>
            <w:tcBorders>
              <w:top w:val="single" w:sz="4" w:space="0" w:color="auto"/>
              <w:bottom w:val="single" w:sz="4" w:space="0" w:color="auto"/>
            </w:tcBorders>
          </w:tcPr>
          <w:p w14:paraId="117BF151" w14:textId="77777777" w:rsidR="007203C3" w:rsidRPr="00EF5270" w:rsidRDefault="007203C3" w:rsidP="007A37BA">
            <w:pPr>
              <w:pStyle w:val="NEWNormalTNR12"/>
            </w:pPr>
            <w:r w:rsidRPr="00742E2A">
              <w:rPr>
                <w:rFonts w:ascii="Arial" w:eastAsia="Times New Roman" w:hAnsi="Arial" w:cs="Arial"/>
                <w:b/>
                <w:sz w:val="20"/>
                <w:szCs w:val="20"/>
              </w:rPr>
              <w:t>Date of advice</w:t>
            </w:r>
          </w:p>
        </w:tc>
        <w:tc>
          <w:tcPr>
            <w:tcW w:w="8273" w:type="dxa"/>
            <w:tcBorders>
              <w:top w:val="single" w:sz="4" w:space="0" w:color="auto"/>
              <w:bottom w:val="single" w:sz="4" w:space="0" w:color="auto"/>
            </w:tcBorders>
          </w:tcPr>
          <w:p w14:paraId="5AE55EE1" w14:textId="081FB4A0" w:rsidR="007203C3" w:rsidRPr="00847C82" w:rsidRDefault="00ED71E7" w:rsidP="00847C82">
            <w:pPr>
              <w:pStyle w:val="NEWNormalTNR12"/>
              <w:rPr>
                <w:color w:val="FF0000"/>
              </w:rPr>
            </w:pPr>
            <w:r w:rsidRPr="00847C82">
              <w:rPr>
                <w:rFonts w:ascii="Arial" w:eastAsia="Times New Roman" w:hAnsi="Arial" w:cs="Arial"/>
                <w:sz w:val="20"/>
                <w:szCs w:val="20"/>
              </w:rPr>
              <w:t>13</w:t>
            </w:r>
            <w:r w:rsidR="007203C3" w:rsidRPr="00847C82">
              <w:rPr>
                <w:rFonts w:ascii="Arial" w:eastAsia="Times New Roman" w:hAnsi="Arial" w:cs="Arial"/>
                <w:sz w:val="20"/>
                <w:szCs w:val="20"/>
              </w:rPr>
              <w:t xml:space="preserve"> </w:t>
            </w:r>
            <w:r w:rsidR="00284F74" w:rsidRPr="00847C82">
              <w:rPr>
                <w:rFonts w:ascii="Arial" w:eastAsia="Times New Roman" w:hAnsi="Arial" w:cs="Arial"/>
                <w:sz w:val="20"/>
                <w:szCs w:val="20"/>
              </w:rPr>
              <w:t>November 2018</w:t>
            </w:r>
            <w:r w:rsidR="00284F74" w:rsidRPr="00847C82">
              <w:t xml:space="preserve"> </w:t>
            </w:r>
          </w:p>
        </w:tc>
      </w:tr>
      <w:tr w:rsidR="00D500CB" w:rsidRPr="00CC2B33" w14:paraId="7BCBE145" w14:textId="77777777" w:rsidTr="00607F73">
        <w:trPr>
          <w:trHeight w:val="161"/>
        </w:trPr>
        <w:tc>
          <w:tcPr>
            <w:tcW w:w="1650" w:type="dxa"/>
            <w:tcBorders>
              <w:top w:val="single" w:sz="4" w:space="0" w:color="auto"/>
              <w:bottom w:val="single" w:sz="4" w:space="0" w:color="auto"/>
            </w:tcBorders>
          </w:tcPr>
          <w:p w14:paraId="3E9CD192" w14:textId="77777777" w:rsidR="007203C3" w:rsidRPr="00EF5270" w:rsidRDefault="007203C3" w:rsidP="00D622B9">
            <w:pPr>
              <w:pStyle w:val="Heading6"/>
            </w:pPr>
            <w:r w:rsidRPr="00EF5270">
              <w:t xml:space="preserve">Source documentation available to the </w:t>
            </w:r>
            <w:r w:rsidR="00A83DF5" w:rsidRPr="00EF5270">
              <w:t>IESC</w:t>
            </w:r>
            <w:r w:rsidRPr="00EF5270">
              <w:t xml:space="preserve"> in the formulation of this advice</w:t>
            </w:r>
          </w:p>
        </w:tc>
        <w:tc>
          <w:tcPr>
            <w:tcW w:w="8273" w:type="dxa"/>
            <w:tcBorders>
              <w:top w:val="single" w:sz="4" w:space="0" w:color="auto"/>
              <w:bottom w:val="single" w:sz="4" w:space="0" w:color="auto"/>
            </w:tcBorders>
          </w:tcPr>
          <w:p w14:paraId="2120A987" w14:textId="77777777" w:rsidR="007203C3" w:rsidRPr="00C739F9" w:rsidRDefault="00C739F9" w:rsidP="00D622B9">
            <w:pPr>
              <w:pStyle w:val="Tabletext"/>
            </w:pPr>
            <w:r w:rsidRPr="00C739F9">
              <w:t>Middlemount Coal Mine Western Extension Project – Preliminary Documentation</w:t>
            </w:r>
          </w:p>
          <w:p w14:paraId="14559322" w14:textId="73CE24CE" w:rsidR="007203C3" w:rsidRDefault="00B400DB" w:rsidP="00847C82">
            <w:pPr>
              <w:pStyle w:val="Tabletext"/>
              <w:spacing w:after="120" w:line="240" w:lineRule="auto"/>
              <w:ind w:left="1786" w:hanging="1343"/>
            </w:pPr>
            <w:r>
              <w:t xml:space="preserve">Attachment A - </w:t>
            </w:r>
            <w:r w:rsidR="00940A14" w:rsidRPr="00130647">
              <w:t xml:space="preserve">EPBC </w:t>
            </w:r>
            <w:r w:rsidR="00EB2632" w:rsidRPr="00130647">
              <w:t xml:space="preserve">act referral for the </w:t>
            </w:r>
            <w:r w:rsidR="00EB2632">
              <w:t>M</w:t>
            </w:r>
            <w:r w:rsidR="00EB2632" w:rsidRPr="00130647">
              <w:t xml:space="preserve">iddlemount </w:t>
            </w:r>
            <w:r w:rsidR="00EB2632">
              <w:t>C</w:t>
            </w:r>
            <w:r w:rsidR="00EB2632" w:rsidRPr="00130647">
              <w:t xml:space="preserve">oal </w:t>
            </w:r>
            <w:r w:rsidR="00EB2632">
              <w:t>M</w:t>
            </w:r>
            <w:r w:rsidR="00EB2632" w:rsidRPr="00130647">
              <w:t xml:space="preserve">ine </w:t>
            </w:r>
            <w:r w:rsidR="00EB2632">
              <w:t>W</w:t>
            </w:r>
            <w:r w:rsidR="00EB2632" w:rsidRPr="00130647">
              <w:t>estern</w:t>
            </w:r>
            <w:r w:rsidR="00EB2632">
              <w:t xml:space="preserve"> E</w:t>
            </w:r>
            <w:r w:rsidR="00EB2632" w:rsidRPr="00130647">
              <w:t xml:space="preserve">xtension </w:t>
            </w:r>
            <w:r w:rsidR="000A0418">
              <w:t xml:space="preserve">   </w:t>
            </w:r>
            <w:r w:rsidR="00AC71C2">
              <w:t>P</w:t>
            </w:r>
            <w:r w:rsidR="00EB2632" w:rsidRPr="00130647">
              <w:t>roject</w:t>
            </w:r>
          </w:p>
          <w:p w14:paraId="31FA2F88" w14:textId="26A927CB" w:rsidR="00940A14" w:rsidRPr="00130647" w:rsidRDefault="00EB2632" w:rsidP="00847C82">
            <w:pPr>
              <w:pStyle w:val="Tabletext"/>
              <w:spacing w:after="120" w:line="240" w:lineRule="auto"/>
              <w:ind w:left="936" w:hanging="493"/>
            </w:pPr>
            <w:r>
              <w:t xml:space="preserve">Attachment B - </w:t>
            </w:r>
            <w:r w:rsidR="00940A14" w:rsidRPr="00130647">
              <w:t>R</w:t>
            </w:r>
            <w:r w:rsidRPr="00130647">
              <w:t>equest for preliminary documentation</w:t>
            </w:r>
          </w:p>
          <w:p w14:paraId="65FE4660" w14:textId="6B243A12" w:rsidR="00940A14" w:rsidRPr="00130647" w:rsidRDefault="00EB2632" w:rsidP="00847C82">
            <w:pPr>
              <w:pStyle w:val="Tabletext"/>
              <w:spacing w:after="120" w:line="240" w:lineRule="auto"/>
              <w:ind w:left="936" w:hanging="493"/>
            </w:pPr>
            <w:r>
              <w:t xml:space="preserve">Attachment C - </w:t>
            </w:r>
            <w:r w:rsidR="00940A14" w:rsidRPr="00130647">
              <w:t>E</w:t>
            </w:r>
            <w:r w:rsidRPr="00130647">
              <w:t>cology</w:t>
            </w:r>
            <w:r w:rsidR="00940A14" w:rsidRPr="00130647">
              <w:t xml:space="preserve"> A</w:t>
            </w:r>
            <w:r w:rsidRPr="00130647">
              <w:t>ssessment</w:t>
            </w:r>
          </w:p>
          <w:p w14:paraId="66DEC623" w14:textId="44E98115" w:rsidR="00940A14" w:rsidRPr="00130647" w:rsidRDefault="00EB2632" w:rsidP="00847C82">
            <w:pPr>
              <w:pStyle w:val="Tabletext"/>
              <w:spacing w:after="120" w:line="240" w:lineRule="auto"/>
              <w:ind w:left="936" w:hanging="493"/>
            </w:pPr>
            <w:r>
              <w:t xml:space="preserve">Attachment D - </w:t>
            </w:r>
            <w:r w:rsidR="00940A14" w:rsidRPr="00130647">
              <w:t>S</w:t>
            </w:r>
            <w:r w:rsidRPr="00130647">
              <w:t>urface</w:t>
            </w:r>
            <w:r w:rsidR="00940A14" w:rsidRPr="00130647">
              <w:t xml:space="preserve"> W</w:t>
            </w:r>
            <w:r w:rsidRPr="00130647">
              <w:t>ater</w:t>
            </w:r>
            <w:r w:rsidR="00940A14" w:rsidRPr="00130647">
              <w:t xml:space="preserve"> A</w:t>
            </w:r>
            <w:r w:rsidRPr="00130647">
              <w:t>ssessment</w:t>
            </w:r>
          </w:p>
          <w:p w14:paraId="0B6410D3" w14:textId="62158E2D" w:rsidR="00940A14" w:rsidRPr="00130647" w:rsidRDefault="00EB2632" w:rsidP="00847C82">
            <w:pPr>
              <w:pStyle w:val="Tabletext"/>
              <w:spacing w:after="120" w:line="240" w:lineRule="auto"/>
              <w:ind w:left="936" w:hanging="493"/>
            </w:pPr>
            <w:r>
              <w:t>Attachment E - AGE 2018 (</w:t>
            </w:r>
            <w:r w:rsidR="00940A14" w:rsidRPr="00130647">
              <w:t>G</w:t>
            </w:r>
            <w:r w:rsidRPr="00130647">
              <w:t>roundwater</w:t>
            </w:r>
            <w:r w:rsidR="00940A14" w:rsidRPr="00130647">
              <w:t xml:space="preserve"> A</w:t>
            </w:r>
            <w:r w:rsidRPr="00130647">
              <w:t>ssessment</w:t>
            </w:r>
            <w:r>
              <w:t>)</w:t>
            </w:r>
          </w:p>
          <w:p w14:paraId="18E6158B" w14:textId="362D8C17" w:rsidR="00940A14" w:rsidRPr="00130647" w:rsidRDefault="00EB2632" w:rsidP="00847C82">
            <w:pPr>
              <w:pStyle w:val="Tabletext"/>
              <w:spacing w:after="120" w:line="240" w:lineRule="auto"/>
              <w:ind w:left="936" w:hanging="493"/>
            </w:pPr>
            <w:r>
              <w:t xml:space="preserve">Attachment F - </w:t>
            </w:r>
            <w:r w:rsidR="00940A14" w:rsidRPr="00130647">
              <w:t>G</w:t>
            </w:r>
            <w:r w:rsidR="00AC71C2" w:rsidRPr="00130647">
              <w:t xml:space="preserve">roundwater </w:t>
            </w:r>
            <w:r w:rsidR="00940A14" w:rsidRPr="00130647">
              <w:t>A</w:t>
            </w:r>
            <w:r w:rsidR="00AC71C2" w:rsidRPr="00130647">
              <w:t>ssessment</w:t>
            </w:r>
            <w:r w:rsidR="00940A14" w:rsidRPr="00130647">
              <w:t xml:space="preserve"> </w:t>
            </w:r>
            <w:r w:rsidR="00AC71C2" w:rsidRPr="00130647">
              <w:t>peer review letter</w:t>
            </w:r>
          </w:p>
          <w:p w14:paraId="07213828" w14:textId="521EF3CC" w:rsidR="00940A14" w:rsidRPr="00130647" w:rsidRDefault="00AC71C2" w:rsidP="00847C82">
            <w:pPr>
              <w:pStyle w:val="Tabletext"/>
              <w:spacing w:after="120" w:line="240" w:lineRule="auto"/>
              <w:ind w:left="936" w:hanging="493"/>
            </w:pPr>
            <w:r>
              <w:t xml:space="preserve">Attachment G - </w:t>
            </w:r>
            <w:r w:rsidR="00940A14" w:rsidRPr="00130647">
              <w:t>O</w:t>
            </w:r>
            <w:r w:rsidRPr="00130647">
              <w:t>ffset</w:t>
            </w:r>
            <w:r w:rsidR="00940A14" w:rsidRPr="00130647">
              <w:t xml:space="preserve"> M</w:t>
            </w:r>
            <w:r w:rsidRPr="00130647">
              <w:t>anagement</w:t>
            </w:r>
            <w:r w:rsidR="00940A14" w:rsidRPr="00130647">
              <w:t xml:space="preserve"> P</w:t>
            </w:r>
            <w:r w:rsidRPr="00130647">
              <w:t>lan</w:t>
            </w:r>
            <w:r w:rsidR="00940A14" w:rsidRPr="00130647">
              <w:t>/V</w:t>
            </w:r>
            <w:r w:rsidRPr="00130647">
              <w:t>egetation</w:t>
            </w:r>
            <w:r>
              <w:t xml:space="preserve"> </w:t>
            </w:r>
            <w:r w:rsidR="00940A14" w:rsidRPr="00130647">
              <w:t>M</w:t>
            </w:r>
            <w:r w:rsidRPr="00130647">
              <w:t>anagement</w:t>
            </w:r>
            <w:r w:rsidR="00940A14" w:rsidRPr="00130647">
              <w:t xml:space="preserve"> P</w:t>
            </w:r>
            <w:r w:rsidRPr="00130647">
              <w:t>lan</w:t>
            </w:r>
          </w:p>
          <w:p w14:paraId="1F041CA6" w14:textId="29C6B5CC" w:rsidR="00940A14" w:rsidRPr="00EF5270" w:rsidRDefault="00AC71C2" w:rsidP="00847C82">
            <w:pPr>
              <w:pStyle w:val="Tabletext"/>
              <w:spacing w:after="120" w:line="240" w:lineRule="auto"/>
              <w:ind w:left="1786" w:hanging="1343"/>
              <w:rPr>
                <w:szCs w:val="22"/>
              </w:rPr>
            </w:pPr>
            <w:r>
              <w:t xml:space="preserve">Attachment F - </w:t>
            </w:r>
            <w:r w:rsidR="00940A14" w:rsidRPr="00130647">
              <w:t>E</w:t>
            </w:r>
            <w:r w:rsidRPr="00130647">
              <w:t>nvironmental</w:t>
            </w:r>
            <w:r w:rsidR="00940A14" w:rsidRPr="00130647">
              <w:t xml:space="preserve"> A</w:t>
            </w:r>
            <w:r w:rsidRPr="00130647">
              <w:t>uthority</w:t>
            </w:r>
            <w:r w:rsidR="00940A14" w:rsidRPr="00130647">
              <w:t xml:space="preserve"> EPML00716913 (21 MAY 2018) -</w:t>
            </w:r>
            <w:r>
              <w:t xml:space="preserve"> </w:t>
            </w:r>
            <w:r w:rsidR="00940A14" w:rsidRPr="00130647">
              <w:t>W</w:t>
            </w:r>
            <w:r w:rsidRPr="00130647">
              <w:t>ater</w:t>
            </w:r>
            <w:r w:rsidR="00940A14" w:rsidRPr="00130647">
              <w:t xml:space="preserve"> C</w:t>
            </w:r>
            <w:r w:rsidRPr="00130647">
              <w:t>onditions</w:t>
            </w:r>
          </w:p>
        </w:tc>
      </w:tr>
      <w:tr w:rsidR="00D500CB" w:rsidRPr="006251D4" w14:paraId="1F2A9D33" w14:textId="77777777" w:rsidTr="00607F73">
        <w:trPr>
          <w:trHeight w:val="19"/>
        </w:trPr>
        <w:tc>
          <w:tcPr>
            <w:tcW w:w="1650" w:type="dxa"/>
            <w:tcBorders>
              <w:top w:val="single" w:sz="4" w:space="0" w:color="auto"/>
              <w:bottom w:val="single" w:sz="4" w:space="0" w:color="auto"/>
            </w:tcBorders>
          </w:tcPr>
          <w:p w14:paraId="578E1385" w14:textId="77777777" w:rsidR="007203C3" w:rsidRPr="00EF5270" w:rsidRDefault="007203C3" w:rsidP="00D622B9">
            <w:pPr>
              <w:pStyle w:val="Heading6"/>
            </w:pPr>
            <w:r w:rsidRPr="00EF5270">
              <w:t xml:space="preserve">References cited within the </w:t>
            </w:r>
            <w:r w:rsidR="00A83DF5" w:rsidRPr="00EF5270">
              <w:t>IESC</w:t>
            </w:r>
            <w:r w:rsidRPr="00EF5270">
              <w:t>’s advice</w:t>
            </w:r>
          </w:p>
        </w:tc>
        <w:tc>
          <w:tcPr>
            <w:tcW w:w="8273" w:type="dxa"/>
            <w:tcBorders>
              <w:top w:val="single" w:sz="4" w:space="0" w:color="auto"/>
              <w:bottom w:val="single" w:sz="4" w:space="0" w:color="auto"/>
            </w:tcBorders>
          </w:tcPr>
          <w:p w14:paraId="008FAE1C" w14:textId="0C1BF53D" w:rsidR="00F7561E" w:rsidRPr="00BE7FC0" w:rsidRDefault="00F7561E" w:rsidP="00B141E6">
            <w:pPr>
              <w:pStyle w:val="Tabletext"/>
              <w:spacing w:after="120" w:line="240" w:lineRule="auto"/>
              <w:ind w:left="493" w:hanging="493"/>
            </w:pPr>
            <w:r w:rsidRPr="00D5185F">
              <w:t>ANZECC</w:t>
            </w:r>
            <w:r w:rsidR="008072FF">
              <w:t>/</w:t>
            </w:r>
            <w:r w:rsidRPr="00D5185F">
              <w:t>ARMCANZ 2000</w:t>
            </w:r>
            <w:r w:rsidR="008072FF">
              <w:t xml:space="preserve">. </w:t>
            </w:r>
            <w:r w:rsidR="008072FF">
              <w:rPr>
                <w:i/>
              </w:rPr>
              <w:t xml:space="preserve">Australian guidelines for water quality monitoring and reporting. </w:t>
            </w:r>
            <w:r w:rsidR="008072FF">
              <w:t>National water quality management strategy (NWQMS). Canberra: Australian and New Zealand Environment and Conservation Council and Agriculture and Resource Management Council of Australia and New Zealand.</w:t>
            </w:r>
            <w:r>
              <w:rPr>
                <w:rFonts w:ascii="Calibri" w:hAnsi="Calibri"/>
                <w:color w:val="343434"/>
                <w:shd w:val="clear" w:color="auto" w:fill="FFFFFF"/>
              </w:rPr>
              <w:t> </w:t>
            </w:r>
            <w:r w:rsidR="008072FF" w:rsidDel="008072FF">
              <w:rPr>
                <w:rStyle w:val="Hyperlink"/>
              </w:rPr>
              <w:t xml:space="preserve"> </w:t>
            </w:r>
          </w:p>
          <w:p w14:paraId="23172504" w14:textId="77777777" w:rsidR="004325CD" w:rsidRPr="0096644E" w:rsidRDefault="004325CD" w:rsidP="004325CD">
            <w:pPr>
              <w:pStyle w:val="Tabletext"/>
              <w:spacing w:after="120" w:line="240" w:lineRule="auto"/>
              <w:ind w:left="493" w:hanging="493"/>
            </w:pPr>
            <w:r w:rsidRPr="0096644E">
              <w:lastRenderedPageBreak/>
              <w:t>ANZG 2018. </w:t>
            </w:r>
            <w:r w:rsidRPr="0096644E">
              <w:rPr>
                <w:i/>
              </w:rPr>
              <w:t xml:space="preserve">Australian and New Zealand </w:t>
            </w:r>
            <w:r>
              <w:rPr>
                <w:i/>
              </w:rPr>
              <w:t>g</w:t>
            </w:r>
            <w:r w:rsidRPr="0096644E">
              <w:rPr>
                <w:i/>
              </w:rPr>
              <w:t xml:space="preserve">uidelines for </w:t>
            </w:r>
            <w:r>
              <w:rPr>
                <w:i/>
              </w:rPr>
              <w:t>f</w:t>
            </w:r>
            <w:r w:rsidRPr="0096644E">
              <w:rPr>
                <w:i/>
              </w:rPr>
              <w:t xml:space="preserve">resh and </w:t>
            </w:r>
            <w:r>
              <w:rPr>
                <w:i/>
              </w:rPr>
              <w:t>m</w:t>
            </w:r>
            <w:r w:rsidRPr="0096644E">
              <w:rPr>
                <w:i/>
              </w:rPr>
              <w:t xml:space="preserve">arine </w:t>
            </w:r>
            <w:r>
              <w:rPr>
                <w:i/>
              </w:rPr>
              <w:t>w</w:t>
            </w:r>
            <w:r w:rsidRPr="0096644E">
              <w:rPr>
                <w:i/>
              </w:rPr>
              <w:t xml:space="preserve">ater </w:t>
            </w:r>
            <w:r>
              <w:rPr>
                <w:i/>
              </w:rPr>
              <w:t>q</w:t>
            </w:r>
            <w:r w:rsidRPr="0096644E">
              <w:rPr>
                <w:i/>
              </w:rPr>
              <w:t>uality</w:t>
            </w:r>
            <w:r w:rsidRPr="0096644E">
              <w:t xml:space="preserve">. Australian and New Zealand Governments and Australian state and territory governments, Canberra ACT, Australia. Available [online]: </w:t>
            </w:r>
            <w:hyperlink r:id="rId13" w:history="1">
              <w:r w:rsidRPr="0096644E">
                <w:rPr>
                  <w:rStyle w:val="Hyperlink"/>
                </w:rPr>
                <w:t>www.waterquality.gov.au/anz-guidelines</w:t>
              </w:r>
            </w:hyperlink>
            <w:r w:rsidRPr="0096644E">
              <w:rPr>
                <w:rStyle w:val="Hyperlink"/>
                <w:u w:val="none"/>
              </w:rPr>
              <w:t xml:space="preserve"> </w:t>
            </w:r>
            <w:r w:rsidRPr="0096644E">
              <w:rPr>
                <w:rStyle w:val="Hyperlink"/>
                <w:color w:val="auto"/>
                <w:u w:val="none"/>
              </w:rPr>
              <w:t>accessed November 2018.</w:t>
            </w:r>
          </w:p>
          <w:p w14:paraId="49F3D0D0" w14:textId="3BEDF862" w:rsidR="00172837" w:rsidRDefault="00172837" w:rsidP="00BA4A40">
            <w:pPr>
              <w:pStyle w:val="Tabletext"/>
              <w:spacing w:after="120" w:line="240" w:lineRule="auto"/>
              <w:ind w:left="493" w:hanging="493"/>
            </w:pPr>
            <w:r>
              <w:t xml:space="preserve">DSITI 2015. </w:t>
            </w:r>
            <w:r w:rsidRPr="00130647">
              <w:rPr>
                <w:i/>
              </w:rPr>
              <w:t>Guideline for the Environmental Assessment of Subterranean Aquatic Fauna</w:t>
            </w:r>
            <w:r w:rsidR="008072FF" w:rsidRPr="00130647">
              <w:rPr>
                <w:i/>
              </w:rPr>
              <w:t>.</w:t>
            </w:r>
            <w:r w:rsidR="008072FF">
              <w:t xml:space="preserve"> </w:t>
            </w:r>
            <w:r>
              <w:t xml:space="preserve"> Available</w:t>
            </w:r>
            <w:r w:rsidR="008072FF">
              <w:t xml:space="preserve"> [online]</w:t>
            </w:r>
            <w:r>
              <w:t xml:space="preserve">: </w:t>
            </w:r>
            <w:hyperlink r:id="rId14" w:history="1">
              <w:r w:rsidRPr="00D5185F">
                <w:rPr>
                  <w:rStyle w:val="Hyperlink"/>
                </w:rPr>
                <w:t>https://publications.qld.gov.au/dataset/f7e68ccd-8c13-422f-bd46-1b391500423f/resource/ba880910-5117-433a-b90d-2c131874a8e6/download/guideline-subterranean-aquatic-fauna.pdf</w:t>
              </w:r>
            </w:hyperlink>
            <w:r>
              <w:t xml:space="preserve"> </w:t>
            </w:r>
            <w:r w:rsidR="008072FF">
              <w:t>a</w:t>
            </w:r>
            <w:r>
              <w:t xml:space="preserve">ccessed </w:t>
            </w:r>
            <w:r w:rsidR="008072FF">
              <w:t xml:space="preserve">November </w:t>
            </w:r>
            <w:r w:rsidR="00720F0C">
              <w:t>2018</w:t>
            </w:r>
            <w:r>
              <w:t>.</w:t>
            </w:r>
          </w:p>
          <w:p w14:paraId="299E900C" w14:textId="584CEA77" w:rsidR="001A718A" w:rsidRPr="00720F0C" w:rsidRDefault="001A718A">
            <w:pPr>
              <w:pStyle w:val="Tabletext"/>
              <w:spacing w:after="120" w:line="240" w:lineRule="auto"/>
              <w:ind w:left="493" w:hanging="493"/>
            </w:pPr>
            <w:r>
              <w:t xml:space="preserve">Glanville K, Schulz C, Tomlinson M </w:t>
            </w:r>
            <w:r w:rsidR="008072FF">
              <w:t>and</w:t>
            </w:r>
            <w:r>
              <w:t xml:space="preserve"> Butler D (2016) </w:t>
            </w:r>
            <w:r w:rsidRPr="00720F0C">
              <w:rPr>
                <w:i/>
              </w:rPr>
              <w:t>Biodiversity and biogeography of groundwater invertebrates in Queensland</w:t>
            </w:r>
            <w:r>
              <w:t xml:space="preserve">, Australia. </w:t>
            </w:r>
            <w:r w:rsidRPr="00720F0C">
              <w:t>Subterranean Biology 17: 55–76.</w:t>
            </w:r>
          </w:p>
          <w:p w14:paraId="4308DB4D" w14:textId="365D70D3" w:rsidR="001A718A" w:rsidRPr="00B400DB" w:rsidRDefault="001A718A" w:rsidP="00B400DB">
            <w:pPr>
              <w:pStyle w:val="Tabletext"/>
              <w:spacing w:after="120" w:line="240" w:lineRule="auto"/>
              <w:ind w:left="493" w:hanging="493"/>
            </w:pPr>
            <w:r w:rsidRPr="001E2E34">
              <w:t>IESC 201</w:t>
            </w:r>
            <w:r>
              <w:t>8</w:t>
            </w:r>
            <w:r w:rsidRPr="0048018F">
              <w:t xml:space="preserve">. </w:t>
            </w:r>
            <w:r w:rsidRPr="00130647">
              <w:rPr>
                <w:i/>
              </w:rPr>
              <w:t>Information Guidelines for proponents preparing coal seam gas and large coal mining development proposals</w:t>
            </w:r>
            <w:r w:rsidR="008072FF">
              <w:rPr>
                <w:i/>
              </w:rPr>
              <w:t>.</w:t>
            </w:r>
            <w:r w:rsidRPr="0048018F">
              <w:t xml:space="preserve"> </w:t>
            </w:r>
            <w:r w:rsidRPr="00113285">
              <w:t>Available</w:t>
            </w:r>
            <w:r w:rsidR="008072FF">
              <w:t xml:space="preserve"> [online]</w:t>
            </w:r>
            <w:r w:rsidRPr="00B400DB">
              <w:t xml:space="preserve">: </w:t>
            </w:r>
            <w:hyperlink r:id="rId15" w:history="1">
              <w:r w:rsidRPr="00B400DB">
                <w:rPr>
                  <w:rStyle w:val="Hyperlink"/>
                </w:rPr>
                <w:t>http://www.iesc.environment.gov.au/system/files/resources/012fa918-ee79-4131-9c8d-02c9b2de65cf/files/iesc-information-guidelines-may-2018.pdf</w:t>
              </w:r>
            </w:hyperlink>
            <w:r w:rsidRPr="00B400DB">
              <w:rPr>
                <w:rStyle w:val="Hyperlink"/>
              </w:rPr>
              <w:t>.</w:t>
            </w:r>
            <w:r w:rsidRPr="00B400DB">
              <w:t xml:space="preserve"> </w:t>
            </w:r>
            <w:proofErr w:type="gramStart"/>
            <w:r w:rsidR="008072FF">
              <w:t>accessed</w:t>
            </w:r>
            <w:proofErr w:type="gramEnd"/>
            <w:r w:rsidR="008072FF">
              <w:t xml:space="preserve"> November 2018.</w:t>
            </w:r>
            <w:r w:rsidRPr="00B400DB">
              <w:t xml:space="preserve"> </w:t>
            </w:r>
          </w:p>
          <w:p w14:paraId="45D1E2A1" w14:textId="39BE1BAE" w:rsidR="00F7561E" w:rsidRPr="00720F0C" w:rsidRDefault="00F7561E" w:rsidP="00BA4A40">
            <w:pPr>
              <w:pStyle w:val="Tabletext"/>
              <w:spacing w:after="120" w:line="240" w:lineRule="auto"/>
              <w:ind w:left="493" w:hanging="493"/>
            </w:pPr>
            <w:r w:rsidRPr="00D5185F">
              <w:t xml:space="preserve">Kath J, Reardon-Smith K, Le </w:t>
            </w:r>
            <w:proofErr w:type="spellStart"/>
            <w:r w:rsidRPr="00D5185F">
              <w:t>Brocque</w:t>
            </w:r>
            <w:proofErr w:type="spellEnd"/>
            <w:r w:rsidRPr="00D5185F">
              <w:t xml:space="preserve"> AF, Dyer FJ, </w:t>
            </w:r>
            <w:proofErr w:type="spellStart"/>
            <w:r w:rsidRPr="00D5185F">
              <w:t>Dafny</w:t>
            </w:r>
            <w:proofErr w:type="spellEnd"/>
            <w:r w:rsidRPr="00D5185F">
              <w:t xml:space="preserve"> E, Fritz L </w:t>
            </w:r>
            <w:r w:rsidR="008072FF">
              <w:t>and</w:t>
            </w:r>
            <w:r w:rsidRPr="00D5185F">
              <w:t xml:space="preserve"> </w:t>
            </w:r>
            <w:proofErr w:type="spellStart"/>
            <w:r w:rsidRPr="00D5185F">
              <w:t>Batterham</w:t>
            </w:r>
            <w:proofErr w:type="spellEnd"/>
            <w:r w:rsidRPr="00D5185F">
              <w:t xml:space="preserve"> M 2014. </w:t>
            </w:r>
            <w:r w:rsidRPr="00720F0C">
              <w:rPr>
                <w:i/>
              </w:rPr>
              <w:t>Groundwater decline and tree change in floodplain landscapes: Identifying non-linear threshold responses in canopy condition.</w:t>
            </w:r>
            <w:r w:rsidRPr="00B400DB">
              <w:t xml:space="preserve"> </w:t>
            </w:r>
            <w:r w:rsidRPr="00720F0C">
              <w:t xml:space="preserve">Global Ecology and Conservation, 2: 148–60. </w:t>
            </w:r>
          </w:p>
          <w:p w14:paraId="335E9886" w14:textId="40142F20" w:rsidR="00720F0C" w:rsidRDefault="00B141E6" w:rsidP="00607F73">
            <w:pPr>
              <w:pStyle w:val="Tabletext"/>
              <w:spacing w:after="120" w:line="240" w:lineRule="auto"/>
              <w:ind w:left="493" w:hanging="493"/>
            </w:pPr>
            <w:r>
              <w:t xml:space="preserve">Minerals Council of Australia 2014, </w:t>
            </w:r>
            <w:r>
              <w:rPr>
                <w:i/>
                <w:iCs/>
              </w:rPr>
              <w:t>Water accounting framework for the minerals industry User guide</w:t>
            </w:r>
            <w:r>
              <w:t xml:space="preserve">. Available [online]: </w:t>
            </w:r>
            <w:hyperlink r:id="rId16" w:history="1">
              <w:r w:rsidR="00720F0C" w:rsidRPr="00662ECD">
                <w:rPr>
                  <w:rStyle w:val="Hyperlink"/>
                </w:rPr>
                <w:t>http://www.minerals.org.au/leading_practice/water_accounting_framework_for_the_australian_minerals_industry accessed November 2018</w:t>
              </w:r>
            </w:hyperlink>
            <w:r w:rsidR="008072FF">
              <w:t>.</w:t>
            </w:r>
          </w:p>
          <w:p w14:paraId="1EC7D61B" w14:textId="77777777" w:rsidR="00720F0C" w:rsidRDefault="00F7561E" w:rsidP="00607F73">
            <w:pPr>
              <w:pStyle w:val="Tabletext"/>
              <w:spacing w:after="120" w:line="240" w:lineRule="auto"/>
              <w:ind w:left="493" w:hanging="493"/>
            </w:pPr>
            <w:r>
              <w:t xml:space="preserve">State of Queensland (Department of Environment and Science) 2018. </w:t>
            </w:r>
            <w:proofErr w:type="spellStart"/>
            <w:r w:rsidRPr="00B400DB">
              <w:t>Wetland</w:t>
            </w:r>
            <w:r>
              <w:t>Info</w:t>
            </w:r>
            <w:proofErr w:type="spellEnd"/>
            <w:r>
              <w:t>. Available</w:t>
            </w:r>
            <w:r w:rsidR="00720F0C">
              <w:t xml:space="preserve"> [online]</w:t>
            </w:r>
            <w:r>
              <w:t>:  </w:t>
            </w:r>
            <w:hyperlink r:id="rId17" w:history="1">
              <w:r w:rsidRPr="00BA4A40">
                <w:rPr>
                  <w:rStyle w:val="Hyperlink"/>
                </w:rPr>
                <w:t>https://wetlandinfo.ehp.qld.gov.au/wetlands/</w:t>
              </w:r>
            </w:hyperlink>
            <w:r w:rsidRPr="00B400DB">
              <w:rPr>
                <w:rStyle w:val="Hyperlink"/>
              </w:rPr>
              <w:t>.</w:t>
            </w:r>
            <w:r>
              <w:t xml:space="preserve"> </w:t>
            </w:r>
            <w:r w:rsidR="008072FF">
              <w:t>Accessed November 2018.</w:t>
            </w:r>
          </w:p>
          <w:p w14:paraId="43B782CF" w14:textId="736D8FCA" w:rsidR="00113285" w:rsidRDefault="00D51363" w:rsidP="00607F73">
            <w:pPr>
              <w:pStyle w:val="Tabletext"/>
              <w:spacing w:after="120" w:line="240" w:lineRule="auto"/>
              <w:ind w:left="493" w:hanging="493"/>
            </w:pPr>
            <w:r w:rsidRPr="00681424">
              <w:t xml:space="preserve">White K, </w:t>
            </w:r>
            <w:proofErr w:type="spellStart"/>
            <w:r w:rsidRPr="00681424">
              <w:t>Moar</w:t>
            </w:r>
            <w:proofErr w:type="spellEnd"/>
            <w:r w:rsidRPr="00681424">
              <w:t xml:space="preserve"> D, </w:t>
            </w:r>
            <w:proofErr w:type="spellStart"/>
            <w:r w:rsidRPr="00681424">
              <w:t>Hardie</w:t>
            </w:r>
            <w:proofErr w:type="spellEnd"/>
            <w:r w:rsidRPr="00681424">
              <w:t xml:space="preserve"> </w:t>
            </w:r>
            <w:proofErr w:type="gramStart"/>
            <w:r w:rsidRPr="00681424">
              <w:t>R ,Blackham</w:t>
            </w:r>
            <w:proofErr w:type="gramEnd"/>
            <w:r w:rsidRPr="00681424">
              <w:t xml:space="preserve"> D and Lucas R 2014. </w:t>
            </w:r>
            <w:r w:rsidRPr="00607F73">
              <w:rPr>
                <w:i/>
              </w:rPr>
              <w:t>Criteria for functioning river landscape units in mining and post mining landscapes.</w:t>
            </w:r>
            <w:r w:rsidRPr="00681424">
              <w:t xml:space="preserve"> Alluvium. Final report for ACARP Project C20017.</w:t>
            </w:r>
          </w:p>
          <w:p w14:paraId="72220BC6" w14:textId="77777777" w:rsidR="00D51363" w:rsidRPr="006251D4" w:rsidRDefault="00D51363" w:rsidP="001E2E34">
            <w:pPr>
              <w:pStyle w:val="Tabletext"/>
              <w:spacing w:line="240" w:lineRule="auto"/>
              <w:ind w:left="493" w:hanging="493"/>
              <w:rPr>
                <w:lang w:val="fr-FR"/>
              </w:rPr>
            </w:pPr>
          </w:p>
        </w:tc>
      </w:tr>
    </w:tbl>
    <w:p w14:paraId="40DD6127" w14:textId="77777777" w:rsidR="007203C3" w:rsidRPr="00062A46" w:rsidRDefault="00307F57" w:rsidP="00D622B9">
      <w:r>
        <w:lastRenderedPageBreak/>
        <w:fldChar w:fldCharType="begin"/>
      </w:r>
      <w:r w:rsidR="00C37525">
        <w:instrText xml:space="preserve"> ADDIN </w:instrText>
      </w:r>
      <w:r>
        <w:fldChar w:fldCharType="end"/>
      </w:r>
    </w:p>
    <w:sectPr w:rsidR="007203C3" w:rsidRPr="00062A46" w:rsidSect="000814AA">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E2DBE" w14:textId="77777777" w:rsidR="008A1116" w:rsidRDefault="008A1116" w:rsidP="00D622B9">
      <w:r>
        <w:separator/>
      </w:r>
    </w:p>
  </w:endnote>
  <w:endnote w:type="continuationSeparator" w:id="0">
    <w:p w14:paraId="3BCE94B4" w14:textId="77777777" w:rsidR="008A1116" w:rsidRDefault="008A1116" w:rsidP="00D622B9">
      <w:r>
        <w:continuationSeparator/>
      </w:r>
    </w:p>
  </w:endnote>
  <w:endnote w:type="continuationNotice" w:id="1">
    <w:p w14:paraId="4760D814" w14:textId="77777777" w:rsidR="008A1116" w:rsidRDefault="008A11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3B3E" w14:textId="77777777" w:rsidR="006F0F17" w:rsidRDefault="006F0F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51F57" w14:textId="77777777" w:rsidR="008A1116" w:rsidRPr="00637239" w:rsidRDefault="008A1116" w:rsidP="003B5A88">
    <w:pPr>
      <w:pStyle w:val="Footer"/>
      <w:pBdr>
        <w:top w:val="single" w:sz="12" w:space="0" w:color="auto"/>
      </w:pBdr>
    </w:pPr>
  </w:p>
  <w:p w14:paraId="7CC024F1" w14:textId="2F4410D1" w:rsidR="008A1116" w:rsidRPr="00637239" w:rsidRDefault="008A1116" w:rsidP="003B5A88">
    <w:pPr>
      <w:pStyle w:val="Footer"/>
      <w:pBdr>
        <w:top w:val="single" w:sz="12" w:space="0" w:color="auto"/>
      </w:pBdr>
      <w:rPr>
        <w:sz w:val="20"/>
      </w:rPr>
    </w:pPr>
    <w:r w:rsidRPr="00607F73">
      <w:rPr>
        <w:sz w:val="20"/>
      </w:rPr>
      <w:t>Middlemount Coal Mine Western Extension</w:t>
    </w:r>
    <w:r w:rsidRPr="001F2C78">
      <w:rPr>
        <w:sz w:val="20"/>
      </w:rPr>
      <w:t xml:space="preserve"> Advice – </w:t>
    </w:r>
    <w:r>
      <w:rPr>
        <w:sz w:val="20"/>
      </w:rPr>
      <w:t>FINAL</w:t>
    </w:r>
    <w:r w:rsidRPr="00637239">
      <w:rPr>
        <w:color w:val="FF0000"/>
        <w:sz w:val="20"/>
      </w:rPr>
      <w:ptab w:relativeTo="margin" w:alignment="right" w:leader="none"/>
    </w:r>
    <w:r w:rsidR="006C3291" w:rsidRPr="006C3291">
      <w:rPr>
        <w:sz w:val="20"/>
      </w:rPr>
      <w:t>14</w:t>
    </w:r>
    <w:r w:rsidRPr="00637239">
      <w:rPr>
        <w:color w:val="FF0000"/>
        <w:sz w:val="20"/>
      </w:rPr>
      <w:t xml:space="preserve"> </w:t>
    </w:r>
    <w:r w:rsidRPr="00607F73">
      <w:rPr>
        <w:sz w:val="20"/>
      </w:rPr>
      <w:t>November</w:t>
    </w:r>
    <w:r w:rsidRPr="001F2C78">
      <w:rPr>
        <w:sz w:val="20"/>
      </w:rPr>
      <w:t xml:space="preserve"> 201</w:t>
    </w:r>
    <w:r w:rsidRPr="00607F73">
      <w:rPr>
        <w:sz w:val="20"/>
      </w:rPr>
      <w:t>8</w:t>
    </w:r>
  </w:p>
  <w:p w14:paraId="725637AB" w14:textId="77777777" w:rsidR="008A1116" w:rsidRPr="00637239" w:rsidRDefault="008A1116"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6F0F17">
      <w:rPr>
        <w:noProof/>
        <w:sz w:val="20"/>
      </w:rPr>
      <w:t>11</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BF495" w14:textId="77777777" w:rsidR="008A1116" w:rsidRPr="007B11FD" w:rsidRDefault="008A1116" w:rsidP="000F240D">
    <w:pPr>
      <w:pStyle w:val="Footer"/>
      <w:pBdr>
        <w:top w:val="single" w:sz="12" w:space="0" w:color="auto"/>
      </w:pBdr>
      <w:ind w:left="-426"/>
    </w:pPr>
  </w:p>
  <w:p w14:paraId="2C42CF1F" w14:textId="7CAC69FB" w:rsidR="008A1116" w:rsidRPr="00847C82" w:rsidRDefault="008A1116" w:rsidP="000F240D">
    <w:pPr>
      <w:pStyle w:val="Footer"/>
      <w:pBdr>
        <w:top w:val="single" w:sz="12" w:space="0" w:color="auto"/>
      </w:pBdr>
      <w:ind w:left="-426"/>
      <w:rPr>
        <w:sz w:val="20"/>
      </w:rPr>
    </w:pPr>
    <w:r w:rsidRPr="00847C82">
      <w:rPr>
        <w:sz w:val="20"/>
      </w:rPr>
      <w:t xml:space="preserve">Middlemount Coal Mine Western Extension Advice </w:t>
    </w:r>
    <w:r w:rsidRPr="00847C82">
      <w:rPr>
        <w:sz w:val="20"/>
      </w:rPr>
      <w:ptab w:relativeTo="margin" w:alignment="right" w:leader="none"/>
    </w:r>
    <w:r w:rsidR="006C3291" w:rsidRPr="006C3291">
      <w:rPr>
        <w:sz w:val="20"/>
      </w:rPr>
      <w:t>14</w:t>
    </w:r>
    <w:r w:rsidRPr="00847C82">
      <w:rPr>
        <w:sz w:val="20"/>
      </w:rPr>
      <w:t xml:space="preserve"> November 2018</w:t>
    </w:r>
  </w:p>
  <w:p w14:paraId="1A10ADAF" w14:textId="77777777" w:rsidR="008A1116" w:rsidRPr="00637239" w:rsidRDefault="008A1116"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6F0F17">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95369" w14:textId="77777777" w:rsidR="008A1116" w:rsidRDefault="008A1116" w:rsidP="00D622B9">
      <w:r>
        <w:separator/>
      </w:r>
    </w:p>
  </w:footnote>
  <w:footnote w:type="continuationSeparator" w:id="0">
    <w:p w14:paraId="665BAFA1" w14:textId="77777777" w:rsidR="008A1116" w:rsidRDefault="008A1116" w:rsidP="00D622B9">
      <w:r>
        <w:continuationSeparator/>
      </w:r>
    </w:p>
  </w:footnote>
  <w:footnote w:type="continuationNotice" w:id="1">
    <w:p w14:paraId="191D8447" w14:textId="77777777" w:rsidR="008A1116" w:rsidRDefault="008A11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DE74C" w14:textId="77777777" w:rsidR="008A1116" w:rsidRDefault="008A1116"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342C8" w14:textId="77777777" w:rsidR="006F0F17" w:rsidRDefault="006F0F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C8797" w14:textId="77777777" w:rsidR="008A1116" w:rsidRDefault="008A1116" w:rsidP="00B22B57">
    <w:pPr>
      <w:pStyle w:val="Header"/>
      <w:ind w:left="-1418"/>
    </w:pPr>
    <w:r>
      <w:rPr>
        <w:noProof/>
        <w:lang w:eastAsia="en-AU"/>
      </w:rPr>
      <w:drawing>
        <wp:inline distT="0" distB="0" distL="0" distR="0" wp14:anchorId="58CC8927" wp14:editId="39B68398">
          <wp:extent cx="7617448" cy="18186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0" r="2036"/>
                  <a:stretch/>
                </pic:blipFill>
                <pic:spPr bwMode="auto">
                  <a:xfrm>
                    <a:off x="0" y="0"/>
                    <a:ext cx="7653807" cy="182732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B1A2006"/>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5"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D53705"/>
    <w:multiLevelType w:val="hybridMultilevel"/>
    <w:tmpl w:val="132E4B00"/>
    <w:lvl w:ilvl="0" w:tplc="6D34FE22">
      <w:numFmt w:val="bullet"/>
      <w:lvlText w:val="-"/>
      <w:lvlJc w:val="left"/>
      <w:pPr>
        <w:ind w:left="789" w:hanging="360"/>
      </w:pPr>
      <w:rPr>
        <w:rFonts w:ascii="Arial" w:eastAsia="Times New Roman" w:hAnsi="Arial" w:cs="Aria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570464B"/>
    <w:multiLevelType w:val="hybridMultilevel"/>
    <w:tmpl w:val="E9087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7F38C8"/>
    <w:multiLevelType w:val="hybridMultilevel"/>
    <w:tmpl w:val="56A2DC7E"/>
    <w:lvl w:ilvl="0" w:tplc="6088D3FC">
      <w:start w:val="1"/>
      <w:numFmt w:val="bullet"/>
      <w:pStyle w:val="List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2A5818"/>
    <w:multiLevelType w:val="hybridMultilevel"/>
    <w:tmpl w:val="8FB0B8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D7B1323"/>
    <w:multiLevelType w:val="hybridMultilevel"/>
    <w:tmpl w:val="A4B060AC"/>
    <w:lvl w:ilvl="0" w:tplc="0C090019">
      <w:start w:val="1"/>
      <w:numFmt w:val="lowerLetter"/>
      <w:lvlText w:val="%1."/>
      <w:lvlJc w:val="left"/>
      <w:pPr>
        <w:ind w:left="1140" w:hanging="360"/>
      </w:p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9" w15:restartNumberingAfterBreak="0">
    <w:nsid w:val="65456429"/>
    <w:multiLevelType w:val="multilevel"/>
    <w:tmpl w:val="4544C24E"/>
    <w:lvl w:ilvl="0">
      <w:start w:val="1"/>
      <w:numFmt w:val="decimal"/>
      <w:lvlText w:val="%1."/>
      <w:lvlJc w:val="left"/>
      <w:pPr>
        <w:ind w:left="369" w:hanging="369"/>
      </w:pPr>
      <w:rPr>
        <w:rFonts w:ascii="Arial" w:hAnsi="Arial" w:hint="default"/>
        <w:b w:val="0"/>
        <w:color w:val="auto"/>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B8020B"/>
    <w:multiLevelType w:val="hybridMultilevel"/>
    <w:tmpl w:val="28FC9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3"/>
  </w:num>
  <w:num w:numId="3">
    <w:abstractNumId w:val="11"/>
  </w:num>
  <w:num w:numId="4">
    <w:abstractNumId w:val="9"/>
  </w:num>
  <w:num w:numId="5">
    <w:abstractNumId w:val="19"/>
  </w:num>
  <w:num w:numId="6">
    <w:abstractNumId w:val="21"/>
  </w:num>
  <w:num w:numId="7">
    <w:abstractNumId w:val="15"/>
  </w:num>
  <w:num w:numId="8">
    <w:abstractNumId w:val="5"/>
  </w:num>
  <w:num w:numId="9">
    <w:abstractNumId w:val="24"/>
  </w:num>
  <w:num w:numId="10">
    <w:abstractNumId w:val="2"/>
  </w:num>
  <w:num w:numId="11">
    <w:abstractNumId w:val="1"/>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num>
  <w:num w:numId="17">
    <w:abstractNumId w:val="16"/>
  </w:num>
  <w:num w:numId="18">
    <w:abstractNumId w:val="4"/>
  </w:num>
  <w:num w:numId="19">
    <w:abstractNumId w:val="20"/>
  </w:num>
  <w:num w:numId="20">
    <w:abstractNumId w:val="6"/>
  </w:num>
  <w:num w:numId="21">
    <w:abstractNumId w:val="14"/>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3"/>
  </w:num>
  <w:num w:numId="31">
    <w:abstractNumId w:val="19"/>
  </w:num>
  <w:num w:numId="32">
    <w:abstractNumId w:val="13"/>
  </w:num>
  <w:num w:numId="33">
    <w:abstractNumId w:val="13"/>
  </w:num>
  <w:num w:numId="34">
    <w:abstractNumId w:val="13"/>
  </w:num>
  <w:num w:numId="35">
    <w:abstractNumId w:val="22"/>
  </w:num>
  <w:num w:numId="36">
    <w:abstractNumId w:val="7"/>
  </w:num>
  <w:num w:numId="37">
    <w:abstractNumId w:val="12"/>
  </w:num>
  <w:num w:numId="38">
    <w:abstractNumId w:val="13"/>
    <w:lvlOverride w:ilvl="0">
      <w:startOverride w:val="1"/>
    </w:lvlOverride>
  </w:num>
  <w:num w:numId="39">
    <w:abstractNumId w:val="13"/>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3"/>
  </w:num>
  <w:num w:numId="51">
    <w:abstractNumId w:val="13"/>
  </w:num>
  <w:num w:numId="52">
    <w:abstractNumId w:val="13"/>
  </w:num>
  <w:num w:numId="53">
    <w:abstractNumId w:val="19"/>
  </w:num>
  <w:num w:numId="54">
    <w:abstractNumId w:val="10"/>
  </w:num>
  <w:num w:numId="55">
    <w:abstractNumId w:val="19"/>
  </w:num>
  <w:num w:numId="56">
    <w:abstractNumId w:val="19"/>
  </w:num>
  <w:num w:numId="57">
    <w:abstractNumId w:val="19"/>
  </w:num>
  <w:num w:numId="58">
    <w:abstractNumId w:val="19"/>
  </w:num>
  <w:num w:numId="59">
    <w:abstractNumId w:val="19"/>
  </w:num>
  <w:num w:numId="60">
    <w:abstractNumId w:val="19"/>
  </w:num>
  <w:num w:numId="61">
    <w:abstractNumId w:val="19"/>
  </w:num>
  <w:num w:numId="62">
    <w:abstractNumId w:val="19"/>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8"/>
  </w:num>
  <w:num w:numId="66">
    <w:abstractNumId w:val="25"/>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648"/>
    <w:rsid w:val="00001917"/>
    <w:rsid w:val="00004AEE"/>
    <w:rsid w:val="00005AC2"/>
    <w:rsid w:val="00005CAA"/>
    <w:rsid w:val="000075C6"/>
    <w:rsid w:val="0000777C"/>
    <w:rsid w:val="00007FB3"/>
    <w:rsid w:val="00010210"/>
    <w:rsid w:val="00012D66"/>
    <w:rsid w:val="0001377B"/>
    <w:rsid w:val="00015ADA"/>
    <w:rsid w:val="0002066D"/>
    <w:rsid w:val="00020C99"/>
    <w:rsid w:val="00022481"/>
    <w:rsid w:val="0002707B"/>
    <w:rsid w:val="0002709D"/>
    <w:rsid w:val="00031B32"/>
    <w:rsid w:val="00042070"/>
    <w:rsid w:val="000464B9"/>
    <w:rsid w:val="000469B3"/>
    <w:rsid w:val="00050DFA"/>
    <w:rsid w:val="0005148E"/>
    <w:rsid w:val="000523C6"/>
    <w:rsid w:val="000533E5"/>
    <w:rsid w:val="000547F0"/>
    <w:rsid w:val="000548F4"/>
    <w:rsid w:val="00062834"/>
    <w:rsid w:val="00062A46"/>
    <w:rsid w:val="00072FD0"/>
    <w:rsid w:val="00075287"/>
    <w:rsid w:val="000759E5"/>
    <w:rsid w:val="00075EE3"/>
    <w:rsid w:val="0007601C"/>
    <w:rsid w:val="00080193"/>
    <w:rsid w:val="000814AA"/>
    <w:rsid w:val="00083E24"/>
    <w:rsid w:val="00084AC6"/>
    <w:rsid w:val="00085816"/>
    <w:rsid w:val="00085C35"/>
    <w:rsid w:val="00086E34"/>
    <w:rsid w:val="00091608"/>
    <w:rsid w:val="0009196E"/>
    <w:rsid w:val="00091D65"/>
    <w:rsid w:val="00092F92"/>
    <w:rsid w:val="0009333C"/>
    <w:rsid w:val="00093E5E"/>
    <w:rsid w:val="00094729"/>
    <w:rsid w:val="00094AA8"/>
    <w:rsid w:val="0009645F"/>
    <w:rsid w:val="00096EF6"/>
    <w:rsid w:val="0009704F"/>
    <w:rsid w:val="000A0418"/>
    <w:rsid w:val="000A0F11"/>
    <w:rsid w:val="000A125A"/>
    <w:rsid w:val="000A1AEB"/>
    <w:rsid w:val="000A228F"/>
    <w:rsid w:val="000A47FD"/>
    <w:rsid w:val="000A57CD"/>
    <w:rsid w:val="000A79DC"/>
    <w:rsid w:val="000B0D27"/>
    <w:rsid w:val="000B2FF3"/>
    <w:rsid w:val="000B3758"/>
    <w:rsid w:val="000B38F5"/>
    <w:rsid w:val="000B6BE3"/>
    <w:rsid w:val="000B7681"/>
    <w:rsid w:val="000B7B42"/>
    <w:rsid w:val="000C02B7"/>
    <w:rsid w:val="000C0DCA"/>
    <w:rsid w:val="000C2814"/>
    <w:rsid w:val="000C451B"/>
    <w:rsid w:val="000C5342"/>
    <w:rsid w:val="000C5C1E"/>
    <w:rsid w:val="000C706A"/>
    <w:rsid w:val="000C7F94"/>
    <w:rsid w:val="000D0641"/>
    <w:rsid w:val="000D2887"/>
    <w:rsid w:val="000D4F8B"/>
    <w:rsid w:val="000D517F"/>
    <w:rsid w:val="000D6995"/>
    <w:rsid w:val="000D6D63"/>
    <w:rsid w:val="000D706B"/>
    <w:rsid w:val="000D7810"/>
    <w:rsid w:val="000E0081"/>
    <w:rsid w:val="000E07CF"/>
    <w:rsid w:val="000E3633"/>
    <w:rsid w:val="000F0AB3"/>
    <w:rsid w:val="000F240D"/>
    <w:rsid w:val="000F27A7"/>
    <w:rsid w:val="000F3496"/>
    <w:rsid w:val="000F6D66"/>
    <w:rsid w:val="00100938"/>
    <w:rsid w:val="00100BEF"/>
    <w:rsid w:val="00101979"/>
    <w:rsid w:val="00101F84"/>
    <w:rsid w:val="00102E17"/>
    <w:rsid w:val="00105428"/>
    <w:rsid w:val="00113285"/>
    <w:rsid w:val="0011498E"/>
    <w:rsid w:val="00116F28"/>
    <w:rsid w:val="00117A45"/>
    <w:rsid w:val="0012170B"/>
    <w:rsid w:val="001224AE"/>
    <w:rsid w:val="00123035"/>
    <w:rsid w:val="0012320E"/>
    <w:rsid w:val="0012388C"/>
    <w:rsid w:val="00126F3B"/>
    <w:rsid w:val="00130647"/>
    <w:rsid w:val="001337D4"/>
    <w:rsid w:val="001340EA"/>
    <w:rsid w:val="00134910"/>
    <w:rsid w:val="00135286"/>
    <w:rsid w:val="001358FC"/>
    <w:rsid w:val="00137B49"/>
    <w:rsid w:val="00141E02"/>
    <w:rsid w:val="0014484A"/>
    <w:rsid w:val="00145C57"/>
    <w:rsid w:val="00147C12"/>
    <w:rsid w:val="00147EFC"/>
    <w:rsid w:val="00150A71"/>
    <w:rsid w:val="001527A1"/>
    <w:rsid w:val="001530DC"/>
    <w:rsid w:val="001531DF"/>
    <w:rsid w:val="001533F6"/>
    <w:rsid w:val="001539AF"/>
    <w:rsid w:val="00154989"/>
    <w:rsid w:val="00155A9F"/>
    <w:rsid w:val="0015684F"/>
    <w:rsid w:val="00160262"/>
    <w:rsid w:val="001611F9"/>
    <w:rsid w:val="001616E7"/>
    <w:rsid w:val="0016186F"/>
    <w:rsid w:val="0016281C"/>
    <w:rsid w:val="00162BEA"/>
    <w:rsid w:val="0016433A"/>
    <w:rsid w:val="001647B8"/>
    <w:rsid w:val="00165FA8"/>
    <w:rsid w:val="0016780A"/>
    <w:rsid w:val="001713FA"/>
    <w:rsid w:val="00172012"/>
    <w:rsid w:val="00172837"/>
    <w:rsid w:val="00173EBF"/>
    <w:rsid w:val="00173F95"/>
    <w:rsid w:val="00175950"/>
    <w:rsid w:val="001765DA"/>
    <w:rsid w:val="001842A2"/>
    <w:rsid w:val="00185039"/>
    <w:rsid w:val="00185407"/>
    <w:rsid w:val="00185519"/>
    <w:rsid w:val="00186465"/>
    <w:rsid w:val="00186AED"/>
    <w:rsid w:val="00187D0A"/>
    <w:rsid w:val="00187FA8"/>
    <w:rsid w:val="0019155B"/>
    <w:rsid w:val="00191A48"/>
    <w:rsid w:val="001922D0"/>
    <w:rsid w:val="00192F5E"/>
    <w:rsid w:val="001940C6"/>
    <w:rsid w:val="00197772"/>
    <w:rsid w:val="001A1D93"/>
    <w:rsid w:val="001A51C8"/>
    <w:rsid w:val="001A718A"/>
    <w:rsid w:val="001A77BD"/>
    <w:rsid w:val="001B40FC"/>
    <w:rsid w:val="001B472B"/>
    <w:rsid w:val="001B4CA8"/>
    <w:rsid w:val="001B7667"/>
    <w:rsid w:val="001C2A92"/>
    <w:rsid w:val="001C4F3D"/>
    <w:rsid w:val="001D0CDC"/>
    <w:rsid w:val="001D1D82"/>
    <w:rsid w:val="001D7815"/>
    <w:rsid w:val="001E1182"/>
    <w:rsid w:val="001E2A44"/>
    <w:rsid w:val="001E2E34"/>
    <w:rsid w:val="001E5236"/>
    <w:rsid w:val="001E70E7"/>
    <w:rsid w:val="001F0E8B"/>
    <w:rsid w:val="001F29F0"/>
    <w:rsid w:val="001F2C78"/>
    <w:rsid w:val="001F3BCC"/>
    <w:rsid w:val="001F7356"/>
    <w:rsid w:val="00200944"/>
    <w:rsid w:val="00202387"/>
    <w:rsid w:val="00202C90"/>
    <w:rsid w:val="002056C5"/>
    <w:rsid w:val="00207B66"/>
    <w:rsid w:val="00211C54"/>
    <w:rsid w:val="00213DE8"/>
    <w:rsid w:val="00214620"/>
    <w:rsid w:val="00216118"/>
    <w:rsid w:val="002209AB"/>
    <w:rsid w:val="002220A1"/>
    <w:rsid w:val="00223320"/>
    <w:rsid w:val="002251E3"/>
    <w:rsid w:val="00225F42"/>
    <w:rsid w:val="002262E6"/>
    <w:rsid w:val="00227A95"/>
    <w:rsid w:val="00231077"/>
    <w:rsid w:val="002316BD"/>
    <w:rsid w:val="00231AC4"/>
    <w:rsid w:val="00233687"/>
    <w:rsid w:val="002336F3"/>
    <w:rsid w:val="0023706E"/>
    <w:rsid w:val="00237631"/>
    <w:rsid w:val="00237B0B"/>
    <w:rsid w:val="00241CE4"/>
    <w:rsid w:val="00243D7C"/>
    <w:rsid w:val="00245424"/>
    <w:rsid w:val="00246A01"/>
    <w:rsid w:val="002473FC"/>
    <w:rsid w:val="00251EA4"/>
    <w:rsid w:val="00252E3C"/>
    <w:rsid w:val="002539FA"/>
    <w:rsid w:val="00254A51"/>
    <w:rsid w:val="002551C6"/>
    <w:rsid w:val="0025734A"/>
    <w:rsid w:val="0026059A"/>
    <w:rsid w:val="00262198"/>
    <w:rsid w:val="00264AF9"/>
    <w:rsid w:val="00277426"/>
    <w:rsid w:val="00277A51"/>
    <w:rsid w:val="00277D9D"/>
    <w:rsid w:val="002807BA"/>
    <w:rsid w:val="0028194A"/>
    <w:rsid w:val="00283231"/>
    <w:rsid w:val="00284BDF"/>
    <w:rsid w:val="00284F74"/>
    <w:rsid w:val="00285F1B"/>
    <w:rsid w:val="00287579"/>
    <w:rsid w:val="0029133F"/>
    <w:rsid w:val="00291857"/>
    <w:rsid w:val="00292B81"/>
    <w:rsid w:val="0029322E"/>
    <w:rsid w:val="00294A0A"/>
    <w:rsid w:val="00296477"/>
    <w:rsid w:val="00297056"/>
    <w:rsid w:val="002974BC"/>
    <w:rsid w:val="002A3807"/>
    <w:rsid w:val="002A39E8"/>
    <w:rsid w:val="002A5EC3"/>
    <w:rsid w:val="002A733F"/>
    <w:rsid w:val="002B18AE"/>
    <w:rsid w:val="002B1A57"/>
    <w:rsid w:val="002B28EE"/>
    <w:rsid w:val="002B5767"/>
    <w:rsid w:val="002B5DD6"/>
    <w:rsid w:val="002B6472"/>
    <w:rsid w:val="002B67D3"/>
    <w:rsid w:val="002C1C93"/>
    <w:rsid w:val="002C3257"/>
    <w:rsid w:val="002C3738"/>
    <w:rsid w:val="002C5066"/>
    <w:rsid w:val="002C722B"/>
    <w:rsid w:val="002C7906"/>
    <w:rsid w:val="002D4844"/>
    <w:rsid w:val="002D495B"/>
    <w:rsid w:val="002D4AAC"/>
    <w:rsid w:val="002D6C33"/>
    <w:rsid w:val="002E0E05"/>
    <w:rsid w:val="002E1AB0"/>
    <w:rsid w:val="002E43EF"/>
    <w:rsid w:val="002E4DB9"/>
    <w:rsid w:val="002E5F94"/>
    <w:rsid w:val="002F045A"/>
    <w:rsid w:val="002F2D4B"/>
    <w:rsid w:val="002F3A4A"/>
    <w:rsid w:val="002F64DB"/>
    <w:rsid w:val="0030039D"/>
    <w:rsid w:val="00300715"/>
    <w:rsid w:val="0030326F"/>
    <w:rsid w:val="00306B34"/>
    <w:rsid w:val="00307F57"/>
    <w:rsid w:val="00310701"/>
    <w:rsid w:val="00311510"/>
    <w:rsid w:val="003138AC"/>
    <w:rsid w:val="00315980"/>
    <w:rsid w:val="0031651B"/>
    <w:rsid w:val="00316F7F"/>
    <w:rsid w:val="003171A0"/>
    <w:rsid w:val="00320162"/>
    <w:rsid w:val="0032087E"/>
    <w:rsid w:val="003218E8"/>
    <w:rsid w:val="003243F3"/>
    <w:rsid w:val="00330DCE"/>
    <w:rsid w:val="00331E11"/>
    <w:rsid w:val="00334761"/>
    <w:rsid w:val="00336A58"/>
    <w:rsid w:val="00337EBC"/>
    <w:rsid w:val="0034033E"/>
    <w:rsid w:val="00341DCD"/>
    <w:rsid w:val="00343E78"/>
    <w:rsid w:val="0034504D"/>
    <w:rsid w:val="0034563E"/>
    <w:rsid w:val="00347BA8"/>
    <w:rsid w:val="003504CC"/>
    <w:rsid w:val="003518D6"/>
    <w:rsid w:val="0035304F"/>
    <w:rsid w:val="0035460C"/>
    <w:rsid w:val="003556BD"/>
    <w:rsid w:val="00357EE2"/>
    <w:rsid w:val="003647C4"/>
    <w:rsid w:val="00364E6D"/>
    <w:rsid w:val="00365147"/>
    <w:rsid w:val="00367752"/>
    <w:rsid w:val="0037016E"/>
    <w:rsid w:val="00370811"/>
    <w:rsid w:val="00370E55"/>
    <w:rsid w:val="0037148B"/>
    <w:rsid w:val="00372908"/>
    <w:rsid w:val="00376457"/>
    <w:rsid w:val="0037694D"/>
    <w:rsid w:val="003804A0"/>
    <w:rsid w:val="00381917"/>
    <w:rsid w:val="00383020"/>
    <w:rsid w:val="00383750"/>
    <w:rsid w:val="0038611F"/>
    <w:rsid w:val="00396871"/>
    <w:rsid w:val="0039753F"/>
    <w:rsid w:val="003975FD"/>
    <w:rsid w:val="003A0593"/>
    <w:rsid w:val="003A25D6"/>
    <w:rsid w:val="003A3C01"/>
    <w:rsid w:val="003A4582"/>
    <w:rsid w:val="003B1689"/>
    <w:rsid w:val="003B3CAA"/>
    <w:rsid w:val="003B5A88"/>
    <w:rsid w:val="003B5B1D"/>
    <w:rsid w:val="003B60CC"/>
    <w:rsid w:val="003B73AC"/>
    <w:rsid w:val="003B788D"/>
    <w:rsid w:val="003C136A"/>
    <w:rsid w:val="003C160C"/>
    <w:rsid w:val="003C1B25"/>
    <w:rsid w:val="003C2443"/>
    <w:rsid w:val="003C31E0"/>
    <w:rsid w:val="003C3843"/>
    <w:rsid w:val="003C5DA3"/>
    <w:rsid w:val="003C6FF5"/>
    <w:rsid w:val="003D1E0C"/>
    <w:rsid w:val="003D1F50"/>
    <w:rsid w:val="003D4BCD"/>
    <w:rsid w:val="003D58D6"/>
    <w:rsid w:val="003E01D8"/>
    <w:rsid w:val="003E0D5C"/>
    <w:rsid w:val="003E2100"/>
    <w:rsid w:val="003E2135"/>
    <w:rsid w:val="003E2BDB"/>
    <w:rsid w:val="003E34A7"/>
    <w:rsid w:val="003E388A"/>
    <w:rsid w:val="003E45FA"/>
    <w:rsid w:val="003E53CA"/>
    <w:rsid w:val="003E5ED5"/>
    <w:rsid w:val="003E6019"/>
    <w:rsid w:val="003F0CB7"/>
    <w:rsid w:val="003F6F5B"/>
    <w:rsid w:val="00400F8F"/>
    <w:rsid w:val="0040342D"/>
    <w:rsid w:val="00403FB9"/>
    <w:rsid w:val="004046C6"/>
    <w:rsid w:val="00405E1C"/>
    <w:rsid w:val="00405F59"/>
    <w:rsid w:val="004118D4"/>
    <w:rsid w:val="0041192D"/>
    <w:rsid w:val="0041275D"/>
    <w:rsid w:val="00413EE1"/>
    <w:rsid w:val="0041465F"/>
    <w:rsid w:val="0042128E"/>
    <w:rsid w:val="0042186F"/>
    <w:rsid w:val="00422AE2"/>
    <w:rsid w:val="00422B78"/>
    <w:rsid w:val="0042465A"/>
    <w:rsid w:val="004306CF"/>
    <w:rsid w:val="00431139"/>
    <w:rsid w:val="004325CD"/>
    <w:rsid w:val="004329FC"/>
    <w:rsid w:val="00432B60"/>
    <w:rsid w:val="004333E6"/>
    <w:rsid w:val="004354B1"/>
    <w:rsid w:val="0043614D"/>
    <w:rsid w:val="004363B9"/>
    <w:rsid w:val="00440698"/>
    <w:rsid w:val="00442741"/>
    <w:rsid w:val="00445DA0"/>
    <w:rsid w:val="00446A89"/>
    <w:rsid w:val="00450600"/>
    <w:rsid w:val="004506C0"/>
    <w:rsid w:val="00451C3C"/>
    <w:rsid w:val="00453D90"/>
    <w:rsid w:val="004540E2"/>
    <w:rsid w:val="00454454"/>
    <w:rsid w:val="00454996"/>
    <w:rsid w:val="00456F38"/>
    <w:rsid w:val="00467924"/>
    <w:rsid w:val="00467B4B"/>
    <w:rsid w:val="004712A5"/>
    <w:rsid w:val="0047266F"/>
    <w:rsid w:val="0047355C"/>
    <w:rsid w:val="00474DC2"/>
    <w:rsid w:val="004756EB"/>
    <w:rsid w:val="00475FD4"/>
    <w:rsid w:val="00476D6B"/>
    <w:rsid w:val="0048018F"/>
    <w:rsid w:val="00483992"/>
    <w:rsid w:val="004861E6"/>
    <w:rsid w:val="0049013A"/>
    <w:rsid w:val="00492C16"/>
    <w:rsid w:val="0049743F"/>
    <w:rsid w:val="004A0678"/>
    <w:rsid w:val="004A2CF8"/>
    <w:rsid w:val="004A48A3"/>
    <w:rsid w:val="004A5F0D"/>
    <w:rsid w:val="004B0D92"/>
    <w:rsid w:val="004B0EC0"/>
    <w:rsid w:val="004B1CAC"/>
    <w:rsid w:val="004B1FBF"/>
    <w:rsid w:val="004B32B2"/>
    <w:rsid w:val="004B5A51"/>
    <w:rsid w:val="004B66F1"/>
    <w:rsid w:val="004C29A2"/>
    <w:rsid w:val="004C3B7B"/>
    <w:rsid w:val="004C3EA0"/>
    <w:rsid w:val="004C456D"/>
    <w:rsid w:val="004D406F"/>
    <w:rsid w:val="004D46F2"/>
    <w:rsid w:val="004D4CEF"/>
    <w:rsid w:val="004D5C91"/>
    <w:rsid w:val="004D74CD"/>
    <w:rsid w:val="004D7ECF"/>
    <w:rsid w:val="004E6620"/>
    <w:rsid w:val="004E738F"/>
    <w:rsid w:val="004F271F"/>
    <w:rsid w:val="004F32CC"/>
    <w:rsid w:val="004F3D69"/>
    <w:rsid w:val="004F68F6"/>
    <w:rsid w:val="004F7169"/>
    <w:rsid w:val="00500D66"/>
    <w:rsid w:val="0050317A"/>
    <w:rsid w:val="005036A6"/>
    <w:rsid w:val="00505B7C"/>
    <w:rsid w:val="00511E3E"/>
    <w:rsid w:val="0051376B"/>
    <w:rsid w:val="005142B4"/>
    <w:rsid w:val="00514C8E"/>
    <w:rsid w:val="00515413"/>
    <w:rsid w:val="00517F35"/>
    <w:rsid w:val="005207CA"/>
    <w:rsid w:val="00523A57"/>
    <w:rsid w:val="00523BE5"/>
    <w:rsid w:val="00523ED3"/>
    <w:rsid w:val="005253C3"/>
    <w:rsid w:val="00531DBF"/>
    <w:rsid w:val="005328C7"/>
    <w:rsid w:val="005337FC"/>
    <w:rsid w:val="00533D46"/>
    <w:rsid w:val="00540F87"/>
    <w:rsid w:val="00544D73"/>
    <w:rsid w:val="00545759"/>
    <w:rsid w:val="00545BE0"/>
    <w:rsid w:val="00546493"/>
    <w:rsid w:val="00554C6A"/>
    <w:rsid w:val="00555286"/>
    <w:rsid w:val="00562E85"/>
    <w:rsid w:val="0056332F"/>
    <w:rsid w:val="0056530B"/>
    <w:rsid w:val="0057276E"/>
    <w:rsid w:val="005805D6"/>
    <w:rsid w:val="0058154D"/>
    <w:rsid w:val="00581C39"/>
    <w:rsid w:val="005831C7"/>
    <w:rsid w:val="005834A4"/>
    <w:rsid w:val="00583773"/>
    <w:rsid w:val="00583F2C"/>
    <w:rsid w:val="00584F6B"/>
    <w:rsid w:val="005903B6"/>
    <w:rsid w:val="00590452"/>
    <w:rsid w:val="005910E4"/>
    <w:rsid w:val="005924F0"/>
    <w:rsid w:val="00592B20"/>
    <w:rsid w:val="00592F31"/>
    <w:rsid w:val="005A0247"/>
    <w:rsid w:val="005A126E"/>
    <w:rsid w:val="005A452F"/>
    <w:rsid w:val="005A4BEA"/>
    <w:rsid w:val="005A582F"/>
    <w:rsid w:val="005A703F"/>
    <w:rsid w:val="005B0855"/>
    <w:rsid w:val="005B140D"/>
    <w:rsid w:val="005B7164"/>
    <w:rsid w:val="005C1FEA"/>
    <w:rsid w:val="005C3495"/>
    <w:rsid w:val="005C3785"/>
    <w:rsid w:val="005C3A68"/>
    <w:rsid w:val="005C5C4D"/>
    <w:rsid w:val="005D15F7"/>
    <w:rsid w:val="005D35DF"/>
    <w:rsid w:val="005E13EA"/>
    <w:rsid w:val="005E15E0"/>
    <w:rsid w:val="005E16B4"/>
    <w:rsid w:val="005E2B0C"/>
    <w:rsid w:val="005E3889"/>
    <w:rsid w:val="005E3DFC"/>
    <w:rsid w:val="005E60AF"/>
    <w:rsid w:val="005E799C"/>
    <w:rsid w:val="005E7B4E"/>
    <w:rsid w:val="005F1DEA"/>
    <w:rsid w:val="005F4932"/>
    <w:rsid w:val="005F7200"/>
    <w:rsid w:val="00602FCB"/>
    <w:rsid w:val="00603D67"/>
    <w:rsid w:val="00607F73"/>
    <w:rsid w:val="00607FC9"/>
    <w:rsid w:val="00610955"/>
    <w:rsid w:val="00612DD9"/>
    <w:rsid w:val="00613D69"/>
    <w:rsid w:val="0061490C"/>
    <w:rsid w:val="00616861"/>
    <w:rsid w:val="0062115A"/>
    <w:rsid w:val="00621300"/>
    <w:rsid w:val="00621E59"/>
    <w:rsid w:val="00622AF0"/>
    <w:rsid w:val="00622B29"/>
    <w:rsid w:val="00622FE1"/>
    <w:rsid w:val="006251D4"/>
    <w:rsid w:val="0062521C"/>
    <w:rsid w:val="006264C9"/>
    <w:rsid w:val="00627D17"/>
    <w:rsid w:val="00630A2B"/>
    <w:rsid w:val="00630BA2"/>
    <w:rsid w:val="0063283F"/>
    <w:rsid w:val="00632DC7"/>
    <w:rsid w:val="00633896"/>
    <w:rsid w:val="00634330"/>
    <w:rsid w:val="0063541A"/>
    <w:rsid w:val="006357FB"/>
    <w:rsid w:val="00637239"/>
    <w:rsid w:val="006406FC"/>
    <w:rsid w:val="006413AA"/>
    <w:rsid w:val="0064407B"/>
    <w:rsid w:val="0064470C"/>
    <w:rsid w:val="00646122"/>
    <w:rsid w:val="00650243"/>
    <w:rsid w:val="00652AB4"/>
    <w:rsid w:val="00653E16"/>
    <w:rsid w:val="00654E4E"/>
    <w:rsid w:val="00656053"/>
    <w:rsid w:val="00657220"/>
    <w:rsid w:val="0066104B"/>
    <w:rsid w:val="00661419"/>
    <w:rsid w:val="006647B0"/>
    <w:rsid w:val="00664DAF"/>
    <w:rsid w:val="006655EE"/>
    <w:rsid w:val="00665B0E"/>
    <w:rsid w:val="006663CF"/>
    <w:rsid w:val="00667C10"/>
    <w:rsid w:val="00667EF4"/>
    <w:rsid w:val="00672B85"/>
    <w:rsid w:val="00673B97"/>
    <w:rsid w:val="006747A7"/>
    <w:rsid w:val="00674CA3"/>
    <w:rsid w:val="00674D37"/>
    <w:rsid w:val="00674E59"/>
    <w:rsid w:val="00676FCA"/>
    <w:rsid w:val="00677177"/>
    <w:rsid w:val="0068056B"/>
    <w:rsid w:val="00683B04"/>
    <w:rsid w:val="006853BA"/>
    <w:rsid w:val="006855DE"/>
    <w:rsid w:val="0068612E"/>
    <w:rsid w:val="006875C3"/>
    <w:rsid w:val="00687814"/>
    <w:rsid w:val="00687858"/>
    <w:rsid w:val="00687C92"/>
    <w:rsid w:val="006903B7"/>
    <w:rsid w:val="00692CF9"/>
    <w:rsid w:val="0069534E"/>
    <w:rsid w:val="00696365"/>
    <w:rsid w:val="0069669C"/>
    <w:rsid w:val="00696AF4"/>
    <w:rsid w:val="006A0243"/>
    <w:rsid w:val="006A1200"/>
    <w:rsid w:val="006A1896"/>
    <w:rsid w:val="006A2C5A"/>
    <w:rsid w:val="006A4F4E"/>
    <w:rsid w:val="006A528C"/>
    <w:rsid w:val="006B14DB"/>
    <w:rsid w:val="006B21C4"/>
    <w:rsid w:val="006B5458"/>
    <w:rsid w:val="006C0135"/>
    <w:rsid w:val="006C3291"/>
    <w:rsid w:val="006C3409"/>
    <w:rsid w:val="006C458F"/>
    <w:rsid w:val="006C4A1A"/>
    <w:rsid w:val="006C4DA7"/>
    <w:rsid w:val="006C7DAD"/>
    <w:rsid w:val="006D0393"/>
    <w:rsid w:val="006D1A83"/>
    <w:rsid w:val="006D2C69"/>
    <w:rsid w:val="006D2E5C"/>
    <w:rsid w:val="006D572F"/>
    <w:rsid w:val="006D5D1E"/>
    <w:rsid w:val="006E1166"/>
    <w:rsid w:val="006E1CFE"/>
    <w:rsid w:val="006E236E"/>
    <w:rsid w:val="006E31A2"/>
    <w:rsid w:val="006E40F2"/>
    <w:rsid w:val="006E4337"/>
    <w:rsid w:val="006E6D10"/>
    <w:rsid w:val="006E77AC"/>
    <w:rsid w:val="006E7819"/>
    <w:rsid w:val="006F0273"/>
    <w:rsid w:val="006F03BA"/>
    <w:rsid w:val="006F0F17"/>
    <w:rsid w:val="006F10C4"/>
    <w:rsid w:val="006F2AE1"/>
    <w:rsid w:val="006F40E9"/>
    <w:rsid w:val="006F5603"/>
    <w:rsid w:val="006F5B50"/>
    <w:rsid w:val="00701400"/>
    <w:rsid w:val="00701BDC"/>
    <w:rsid w:val="00702FBA"/>
    <w:rsid w:val="007037CF"/>
    <w:rsid w:val="00703BB8"/>
    <w:rsid w:val="00704B37"/>
    <w:rsid w:val="00706579"/>
    <w:rsid w:val="00706657"/>
    <w:rsid w:val="007123E5"/>
    <w:rsid w:val="00712A8B"/>
    <w:rsid w:val="007148FA"/>
    <w:rsid w:val="00714B40"/>
    <w:rsid w:val="00716583"/>
    <w:rsid w:val="007167C0"/>
    <w:rsid w:val="007203C3"/>
    <w:rsid w:val="00720481"/>
    <w:rsid w:val="00720F0C"/>
    <w:rsid w:val="00721642"/>
    <w:rsid w:val="007217F0"/>
    <w:rsid w:val="00721BC7"/>
    <w:rsid w:val="0072510B"/>
    <w:rsid w:val="0072554C"/>
    <w:rsid w:val="00727C18"/>
    <w:rsid w:val="00727E2F"/>
    <w:rsid w:val="00730EC0"/>
    <w:rsid w:val="00731BA0"/>
    <w:rsid w:val="0073207C"/>
    <w:rsid w:val="00733193"/>
    <w:rsid w:val="0073367E"/>
    <w:rsid w:val="00737CBA"/>
    <w:rsid w:val="00742E2A"/>
    <w:rsid w:val="00742FA8"/>
    <w:rsid w:val="00743569"/>
    <w:rsid w:val="00743723"/>
    <w:rsid w:val="00743EAF"/>
    <w:rsid w:val="00745BCA"/>
    <w:rsid w:val="0074769D"/>
    <w:rsid w:val="007528CA"/>
    <w:rsid w:val="00752E90"/>
    <w:rsid w:val="00752FF8"/>
    <w:rsid w:val="00753309"/>
    <w:rsid w:val="00754C17"/>
    <w:rsid w:val="00756740"/>
    <w:rsid w:val="007571BA"/>
    <w:rsid w:val="0075732A"/>
    <w:rsid w:val="00760262"/>
    <w:rsid w:val="00760517"/>
    <w:rsid w:val="0076292D"/>
    <w:rsid w:val="0076310C"/>
    <w:rsid w:val="007644DA"/>
    <w:rsid w:val="00766009"/>
    <w:rsid w:val="007670E1"/>
    <w:rsid w:val="007672DE"/>
    <w:rsid w:val="0076744F"/>
    <w:rsid w:val="00767BCE"/>
    <w:rsid w:val="00767EFC"/>
    <w:rsid w:val="007707DE"/>
    <w:rsid w:val="00770B5D"/>
    <w:rsid w:val="007720C7"/>
    <w:rsid w:val="00773F16"/>
    <w:rsid w:val="007752F1"/>
    <w:rsid w:val="00776768"/>
    <w:rsid w:val="00781916"/>
    <w:rsid w:val="0078262F"/>
    <w:rsid w:val="00782D61"/>
    <w:rsid w:val="00784E40"/>
    <w:rsid w:val="00785473"/>
    <w:rsid w:val="00785D06"/>
    <w:rsid w:val="00787D99"/>
    <w:rsid w:val="00787E2C"/>
    <w:rsid w:val="00791024"/>
    <w:rsid w:val="007921C6"/>
    <w:rsid w:val="00794818"/>
    <w:rsid w:val="00794BCF"/>
    <w:rsid w:val="007A2573"/>
    <w:rsid w:val="007A37BA"/>
    <w:rsid w:val="007A3B9C"/>
    <w:rsid w:val="007B047A"/>
    <w:rsid w:val="007B106C"/>
    <w:rsid w:val="007B11FD"/>
    <w:rsid w:val="007B1A4E"/>
    <w:rsid w:val="007B3D05"/>
    <w:rsid w:val="007B47DB"/>
    <w:rsid w:val="007B4C0D"/>
    <w:rsid w:val="007B5503"/>
    <w:rsid w:val="007C06E8"/>
    <w:rsid w:val="007C23F3"/>
    <w:rsid w:val="007C6BB3"/>
    <w:rsid w:val="007D14B4"/>
    <w:rsid w:val="007D3AD7"/>
    <w:rsid w:val="007D44DA"/>
    <w:rsid w:val="007D6EB6"/>
    <w:rsid w:val="007E24F6"/>
    <w:rsid w:val="007E25D9"/>
    <w:rsid w:val="007E5A63"/>
    <w:rsid w:val="007F15CD"/>
    <w:rsid w:val="007F5CD2"/>
    <w:rsid w:val="00800F64"/>
    <w:rsid w:val="00801BDE"/>
    <w:rsid w:val="00801FB7"/>
    <w:rsid w:val="008021F9"/>
    <w:rsid w:val="0080225A"/>
    <w:rsid w:val="00802F0B"/>
    <w:rsid w:val="00804922"/>
    <w:rsid w:val="00805013"/>
    <w:rsid w:val="008054B3"/>
    <w:rsid w:val="008067DB"/>
    <w:rsid w:val="008072FF"/>
    <w:rsid w:val="00810A67"/>
    <w:rsid w:val="0081315B"/>
    <w:rsid w:val="00815A08"/>
    <w:rsid w:val="00815C9D"/>
    <w:rsid w:val="008173D9"/>
    <w:rsid w:val="00820204"/>
    <w:rsid w:val="00824538"/>
    <w:rsid w:val="00833CF7"/>
    <w:rsid w:val="0083779F"/>
    <w:rsid w:val="00843160"/>
    <w:rsid w:val="00843AB8"/>
    <w:rsid w:val="00845601"/>
    <w:rsid w:val="00847637"/>
    <w:rsid w:val="00847C82"/>
    <w:rsid w:val="008511FE"/>
    <w:rsid w:val="00851485"/>
    <w:rsid w:val="0085200C"/>
    <w:rsid w:val="008524B9"/>
    <w:rsid w:val="0085313D"/>
    <w:rsid w:val="00855C5C"/>
    <w:rsid w:val="008564CA"/>
    <w:rsid w:val="0086233C"/>
    <w:rsid w:val="00865CFA"/>
    <w:rsid w:val="00866290"/>
    <w:rsid w:val="00875543"/>
    <w:rsid w:val="00877F28"/>
    <w:rsid w:val="00881FD8"/>
    <w:rsid w:val="00882669"/>
    <w:rsid w:val="00883CE7"/>
    <w:rsid w:val="008845CE"/>
    <w:rsid w:val="008938F7"/>
    <w:rsid w:val="008A1116"/>
    <w:rsid w:val="008A187F"/>
    <w:rsid w:val="008A3C96"/>
    <w:rsid w:val="008A57EA"/>
    <w:rsid w:val="008A6CFC"/>
    <w:rsid w:val="008B0BBA"/>
    <w:rsid w:val="008B112E"/>
    <w:rsid w:val="008B1627"/>
    <w:rsid w:val="008B1F4D"/>
    <w:rsid w:val="008B2115"/>
    <w:rsid w:val="008B4019"/>
    <w:rsid w:val="008B505F"/>
    <w:rsid w:val="008B63DB"/>
    <w:rsid w:val="008B65C9"/>
    <w:rsid w:val="008B6CB7"/>
    <w:rsid w:val="008C00AD"/>
    <w:rsid w:val="008C29F7"/>
    <w:rsid w:val="008C2D4A"/>
    <w:rsid w:val="008C6A05"/>
    <w:rsid w:val="008C7DBB"/>
    <w:rsid w:val="008D1ADD"/>
    <w:rsid w:val="008D3900"/>
    <w:rsid w:val="008D4D22"/>
    <w:rsid w:val="008D6E1D"/>
    <w:rsid w:val="008D6EDB"/>
    <w:rsid w:val="008E36FE"/>
    <w:rsid w:val="008F0242"/>
    <w:rsid w:val="008F18E8"/>
    <w:rsid w:val="008F39B4"/>
    <w:rsid w:val="008F4162"/>
    <w:rsid w:val="008F6364"/>
    <w:rsid w:val="008F6885"/>
    <w:rsid w:val="008F7226"/>
    <w:rsid w:val="00902F64"/>
    <w:rsid w:val="00903E02"/>
    <w:rsid w:val="00905245"/>
    <w:rsid w:val="009110D5"/>
    <w:rsid w:val="009114CF"/>
    <w:rsid w:val="00912E9D"/>
    <w:rsid w:val="00913175"/>
    <w:rsid w:val="009142C5"/>
    <w:rsid w:val="009153A4"/>
    <w:rsid w:val="00916EDB"/>
    <w:rsid w:val="00917D72"/>
    <w:rsid w:val="00920861"/>
    <w:rsid w:val="00922B13"/>
    <w:rsid w:val="009242EF"/>
    <w:rsid w:val="0092447B"/>
    <w:rsid w:val="00924AB9"/>
    <w:rsid w:val="0092615F"/>
    <w:rsid w:val="00930FDA"/>
    <w:rsid w:val="00931A6A"/>
    <w:rsid w:val="00932291"/>
    <w:rsid w:val="009336A2"/>
    <w:rsid w:val="00933B1B"/>
    <w:rsid w:val="0093408E"/>
    <w:rsid w:val="009356F1"/>
    <w:rsid w:val="00937FE8"/>
    <w:rsid w:val="0094014D"/>
    <w:rsid w:val="00940467"/>
    <w:rsid w:val="00940A14"/>
    <w:rsid w:val="0094149B"/>
    <w:rsid w:val="00942973"/>
    <w:rsid w:val="0094506A"/>
    <w:rsid w:val="009452CD"/>
    <w:rsid w:val="00947433"/>
    <w:rsid w:val="00947507"/>
    <w:rsid w:val="009505E8"/>
    <w:rsid w:val="00950C35"/>
    <w:rsid w:val="00952DDF"/>
    <w:rsid w:val="00952EC4"/>
    <w:rsid w:val="00953558"/>
    <w:rsid w:val="0095396E"/>
    <w:rsid w:val="00954636"/>
    <w:rsid w:val="009644B6"/>
    <w:rsid w:val="00970B8C"/>
    <w:rsid w:val="00972423"/>
    <w:rsid w:val="009728E2"/>
    <w:rsid w:val="00972BB8"/>
    <w:rsid w:val="009772CF"/>
    <w:rsid w:val="009812D4"/>
    <w:rsid w:val="00982653"/>
    <w:rsid w:val="009873F4"/>
    <w:rsid w:val="00987792"/>
    <w:rsid w:val="00990E10"/>
    <w:rsid w:val="00991997"/>
    <w:rsid w:val="009920D8"/>
    <w:rsid w:val="00993D65"/>
    <w:rsid w:val="00995E17"/>
    <w:rsid w:val="00996C9C"/>
    <w:rsid w:val="009A0287"/>
    <w:rsid w:val="009A371F"/>
    <w:rsid w:val="009A3A86"/>
    <w:rsid w:val="009A42C9"/>
    <w:rsid w:val="009A4869"/>
    <w:rsid w:val="009A5FF1"/>
    <w:rsid w:val="009B38BE"/>
    <w:rsid w:val="009B40D5"/>
    <w:rsid w:val="009B4327"/>
    <w:rsid w:val="009B4556"/>
    <w:rsid w:val="009B4BB5"/>
    <w:rsid w:val="009B64EA"/>
    <w:rsid w:val="009B682F"/>
    <w:rsid w:val="009C0F69"/>
    <w:rsid w:val="009C22DC"/>
    <w:rsid w:val="009C3D0F"/>
    <w:rsid w:val="009C4782"/>
    <w:rsid w:val="009C55B7"/>
    <w:rsid w:val="009C6787"/>
    <w:rsid w:val="009C6946"/>
    <w:rsid w:val="009D6232"/>
    <w:rsid w:val="009D76BA"/>
    <w:rsid w:val="009E1B19"/>
    <w:rsid w:val="009E1D6D"/>
    <w:rsid w:val="009E362A"/>
    <w:rsid w:val="009E5700"/>
    <w:rsid w:val="009E67BE"/>
    <w:rsid w:val="009E79B6"/>
    <w:rsid w:val="009E7F55"/>
    <w:rsid w:val="009F1540"/>
    <w:rsid w:val="009F239A"/>
    <w:rsid w:val="009F35E2"/>
    <w:rsid w:val="009F438B"/>
    <w:rsid w:val="009F5943"/>
    <w:rsid w:val="009F5C2A"/>
    <w:rsid w:val="009F65F9"/>
    <w:rsid w:val="009F68BA"/>
    <w:rsid w:val="00A06277"/>
    <w:rsid w:val="00A06325"/>
    <w:rsid w:val="00A063D2"/>
    <w:rsid w:val="00A079DC"/>
    <w:rsid w:val="00A07FC8"/>
    <w:rsid w:val="00A101BB"/>
    <w:rsid w:val="00A1037A"/>
    <w:rsid w:val="00A10BAB"/>
    <w:rsid w:val="00A10DF4"/>
    <w:rsid w:val="00A111C2"/>
    <w:rsid w:val="00A1797C"/>
    <w:rsid w:val="00A17C39"/>
    <w:rsid w:val="00A21440"/>
    <w:rsid w:val="00A238AA"/>
    <w:rsid w:val="00A2644D"/>
    <w:rsid w:val="00A338E7"/>
    <w:rsid w:val="00A35430"/>
    <w:rsid w:val="00A35CAA"/>
    <w:rsid w:val="00A36E7F"/>
    <w:rsid w:val="00A40E6C"/>
    <w:rsid w:val="00A41E65"/>
    <w:rsid w:val="00A426F9"/>
    <w:rsid w:val="00A43517"/>
    <w:rsid w:val="00A43C0A"/>
    <w:rsid w:val="00A43E08"/>
    <w:rsid w:val="00A43E0A"/>
    <w:rsid w:val="00A447E3"/>
    <w:rsid w:val="00A46247"/>
    <w:rsid w:val="00A467C8"/>
    <w:rsid w:val="00A4698D"/>
    <w:rsid w:val="00A47F07"/>
    <w:rsid w:val="00A51A36"/>
    <w:rsid w:val="00A52946"/>
    <w:rsid w:val="00A529E5"/>
    <w:rsid w:val="00A530C7"/>
    <w:rsid w:val="00A55F5B"/>
    <w:rsid w:val="00A57E20"/>
    <w:rsid w:val="00A57E8B"/>
    <w:rsid w:val="00A60185"/>
    <w:rsid w:val="00A611EE"/>
    <w:rsid w:val="00A6208A"/>
    <w:rsid w:val="00A622EC"/>
    <w:rsid w:val="00A655AA"/>
    <w:rsid w:val="00A661EA"/>
    <w:rsid w:val="00A66263"/>
    <w:rsid w:val="00A6775C"/>
    <w:rsid w:val="00A67E6C"/>
    <w:rsid w:val="00A70A6C"/>
    <w:rsid w:val="00A73DC4"/>
    <w:rsid w:val="00A75A9E"/>
    <w:rsid w:val="00A76830"/>
    <w:rsid w:val="00A77649"/>
    <w:rsid w:val="00A8256B"/>
    <w:rsid w:val="00A82EE1"/>
    <w:rsid w:val="00A830E5"/>
    <w:rsid w:val="00A83DF5"/>
    <w:rsid w:val="00A84BF3"/>
    <w:rsid w:val="00A87135"/>
    <w:rsid w:val="00A90093"/>
    <w:rsid w:val="00A93280"/>
    <w:rsid w:val="00A93C73"/>
    <w:rsid w:val="00A951EA"/>
    <w:rsid w:val="00A961A6"/>
    <w:rsid w:val="00A96D90"/>
    <w:rsid w:val="00A973E1"/>
    <w:rsid w:val="00A97F71"/>
    <w:rsid w:val="00AA1C65"/>
    <w:rsid w:val="00AA2548"/>
    <w:rsid w:val="00AA33C6"/>
    <w:rsid w:val="00AA3B6E"/>
    <w:rsid w:val="00AA46DB"/>
    <w:rsid w:val="00AA58C4"/>
    <w:rsid w:val="00AA5A2B"/>
    <w:rsid w:val="00AA5B80"/>
    <w:rsid w:val="00AA6A19"/>
    <w:rsid w:val="00AA74F7"/>
    <w:rsid w:val="00AB11C8"/>
    <w:rsid w:val="00AB2248"/>
    <w:rsid w:val="00AB299F"/>
    <w:rsid w:val="00AB4F22"/>
    <w:rsid w:val="00AB6E09"/>
    <w:rsid w:val="00AB7D40"/>
    <w:rsid w:val="00AC08A8"/>
    <w:rsid w:val="00AC4040"/>
    <w:rsid w:val="00AC481B"/>
    <w:rsid w:val="00AC5C9B"/>
    <w:rsid w:val="00AC5E5C"/>
    <w:rsid w:val="00AC618C"/>
    <w:rsid w:val="00AC71C2"/>
    <w:rsid w:val="00AD20F6"/>
    <w:rsid w:val="00AD21B3"/>
    <w:rsid w:val="00AD56C8"/>
    <w:rsid w:val="00AD58F2"/>
    <w:rsid w:val="00AD7592"/>
    <w:rsid w:val="00AE4A6A"/>
    <w:rsid w:val="00AE5712"/>
    <w:rsid w:val="00AF5EA3"/>
    <w:rsid w:val="00AF6573"/>
    <w:rsid w:val="00AF65FE"/>
    <w:rsid w:val="00AF7690"/>
    <w:rsid w:val="00B050FF"/>
    <w:rsid w:val="00B0512A"/>
    <w:rsid w:val="00B0529F"/>
    <w:rsid w:val="00B05D52"/>
    <w:rsid w:val="00B065CA"/>
    <w:rsid w:val="00B07688"/>
    <w:rsid w:val="00B12278"/>
    <w:rsid w:val="00B13D52"/>
    <w:rsid w:val="00B1418B"/>
    <w:rsid w:val="00B141E6"/>
    <w:rsid w:val="00B148F4"/>
    <w:rsid w:val="00B15057"/>
    <w:rsid w:val="00B151A0"/>
    <w:rsid w:val="00B1520C"/>
    <w:rsid w:val="00B1560E"/>
    <w:rsid w:val="00B179DD"/>
    <w:rsid w:val="00B20F84"/>
    <w:rsid w:val="00B21195"/>
    <w:rsid w:val="00B2258C"/>
    <w:rsid w:val="00B22B3D"/>
    <w:rsid w:val="00B22B57"/>
    <w:rsid w:val="00B2396C"/>
    <w:rsid w:val="00B24B22"/>
    <w:rsid w:val="00B25310"/>
    <w:rsid w:val="00B316B1"/>
    <w:rsid w:val="00B32F8F"/>
    <w:rsid w:val="00B400DB"/>
    <w:rsid w:val="00B405E6"/>
    <w:rsid w:val="00B41E1E"/>
    <w:rsid w:val="00B42C1C"/>
    <w:rsid w:val="00B4690F"/>
    <w:rsid w:val="00B47C42"/>
    <w:rsid w:val="00B510B1"/>
    <w:rsid w:val="00B51F5E"/>
    <w:rsid w:val="00B54754"/>
    <w:rsid w:val="00B54DE9"/>
    <w:rsid w:val="00B553EC"/>
    <w:rsid w:val="00B55870"/>
    <w:rsid w:val="00B60059"/>
    <w:rsid w:val="00B63108"/>
    <w:rsid w:val="00B74A17"/>
    <w:rsid w:val="00B76690"/>
    <w:rsid w:val="00B77732"/>
    <w:rsid w:val="00B80975"/>
    <w:rsid w:val="00B80D6D"/>
    <w:rsid w:val="00B80FBA"/>
    <w:rsid w:val="00B86EEE"/>
    <w:rsid w:val="00B9154F"/>
    <w:rsid w:val="00B93DD0"/>
    <w:rsid w:val="00B97732"/>
    <w:rsid w:val="00BA0849"/>
    <w:rsid w:val="00BA16AB"/>
    <w:rsid w:val="00BA48B7"/>
    <w:rsid w:val="00BA4A40"/>
    <w:rsid w:val="00BA56D7"/>
    <w:rsid w:val="00BA618B"/>
    <w:rsid w:val="00BA65A8"/>
    <w:rsid w:val="00BA6A97"/>
    <w:rsid w:val="00BA6D19"/>
    <w:rsid w:val="00BA7461"/>
    <w:rsid w:val="00BA7DA9"/>
    <w:rsid w:val="00BB4086"/>
    <w:rsid w:val="00BB4BD7"/>
    <w:rsid w:val="00BC1C05"/>
    <w:rsid w:val="00BC4215"/>
    <w:rsid w:val="00BC5635"/>
    <w:rsid w:val="00BD0396"/>
    <w:rsid w:val="00BD1A6F"/>
    <w:rsid w:val="00BD3676"/>
    <w:rsid w:val="00BD3FAD"/>
    <w:rsid w:val="00BD5B71"/>
    <w:rsid w:val="00BE0F31"/>
    <w:rsid w:val="00BE214B"/>
    <w:rsid w:val="00BE343F"/>
    <w:rsid w:val="00BE6D3C"/>
    <w:rsid w:val="00BE7852"/>
    <w:rsid w:val="00BE7975"/>
    <w:rsid w:val="00BE7FC0"/>
    <w:rsid w:val="00BF00F5"/>
    <w:rsid w:val="00BF306E"/>
    <w:rsid w:val="00BF488A"/>
    <w:rsid w:val="00BF50D5"/>
    <w:rsid w:val="00BF6ADB"/>
    <w:rsid w:val="00BF6D87"/>
    <w:rsid w:val="00BF6D89"/>
    <w:rsid w:val="00BF7CEE"/>
    <w:rsid w:val="00C00C1F"/>
    <w:rsid w:val="00C0298B"/>
    <w:rsid w:val="00C0319B"/>
    <w:rsid w:val="00C03880"/>
    <w:rsid w:val="00C03B25"/>
    <w:rsid w:val="00C0495E"/>
    <w:rsid w:val="00C07371"/>
    <w:rsid w:val="00C0770A"/>
    <w:rsid w:val="00C135CF"/>
    <w:rsid w:val="00C137A8"/>
    <w:rsid w:val="00C23B45"/>
    <w:rsid w:val="00C241C5"/>
    <w:rsid w:val="00C2683F"/>
    <w:rsid w:val="00C3123E"/>
    <w:rsid w:val="00C3184D"/>
    <w:rsid w:val="00C31B2E"/>
    <w:rsid w:val="00C34C41"/>
    <w:rsid w:val="00C34D75"/>
    <w:rsid w:val="00C34F6B"/>
    <w:rsid w:val="00C37525"/>
    <w:rsid w:val="00C42257"/>
    <w:rsid w:val="00C42FAF"/>
    <w:rsid w:val="00C43084"/>
    <w:rsid w:val="00C4714E"/>
    <w:rsid w:val="00C50941"/>
    <w:rsid w:val="00C514F8"/>
    <w:rsid w:val="00C5504F"/>
    <w:rsid w:val="00C55991"/>
    <w:rsid w:val="00C605EB"/>
    <w:rsid w:val="00C60A1A"/>
    <w:rsid w:val="00C61553"/>
    <w:rsid w:val="00C63376"/>
    <w:rsid w:val="00C6385B"/>
    <w:rsid w:val="00C66CB4"/>
    <w:rsid w:val="00C70E98"/>
    <w:rsid w:val="00C7218E"/>
    <w:rsid w:val="00C72C4F"/>
    <w:rsid w:val="00C7303D"/>
    <w:rsid w:val="00C739F9"/>
    <w:rsid w:val="00C74F97"/>
    <w:rsid w:val="00C76A08"/>
    <w:rsid w:val="00C803D7"/>
    <w:rsid w:val="00C8116C"/>
    <w:rsid w:val="00C8276E"/>
    <w:rsid w:val="00C83AD1"/>
    <w:rsid w:val="00C842AC"/>
    <w:rsid w:val="00C85679"/>
    <w:rsid w:val="00C856D4"/>
    <w:rsid w:val="00C85B7B"/>
    <w:rsid w:val="00C926A3"/>
    <w:rsid w:val="00C92AD5"/>
    <w:rsid w:val="00C93152"/>
    <w:rsid w:val="00C93FD9"/>
    <w:rsid w:val="00C96688"/>
    <w:rsid w:val="00CA0723"/>
    <w:rsid w:val="00CA0C70"/>
    <w:rsid w:val="00CA4542"/>
    <w:rsid w:val="00CA487E"/>
    <w:rsid w:val="00CB1690"/>
    <w:rsid w:val="00CB5D18"/>
    <w:rsid w:val="00CB63C6"/>
    <w:rsid w:val="00CB6D76"/>
    <w:rsid w:val="00CB700C"/>
    <w:rsid w:val="00CC27E7"/>
    <w:rsid w:val="00CC2B33"/>
    <w:rsid w:val="00CC4208"/>
    <w:rsid w:val="00CC4365"/>
    <w:rsid w:val="00CC7323"/>
    <w:rsid w:val="00CD11B0"/>
    <w:rsid w:val="00CD275A"/>
    <w:rsid w:val="00CD3727"/>
    <w:rsid w:val="00CD5E0E"/>
    <w:rsid w:val="00CD7805"/>
    <w:rsid w:val="00CD7E84"/>
    <w:rsid w:val="00CE02B5"/>
    <w:rsid w:val="00CE2291"/>
    <w:rsid w:val="00CE2C1E"/>
    <w:rsid w:val="00CE3AD6"/>
    <w:rsid w:val="00CE71C2"/>
    <w:rsid w:val="00CF2242"/>
    <w:rsid w:val="00CF2E7E"/>
    <w:rsid w:val="00CF4002"/>
    <w:rsid w:val="00CF42D5"/>
    <w:rsid w:val="00CF4EDA"/>
    <w:rsid w:val="00CF562A"/>
    <w:rsid w:val="00CF5929"/>
    <w:rsid w:val="00CF74F7"/>
    <w:rsid w:val="00D00281"/>
    <w:rsid w:val="00D01E11"/>
    <w:rsid w:val="00D021CB"/>
    <w:rsid w:val="00D037C5"/>
    <w:rsid w:val="00D10C4C"/>
    <w:rsid w:val="00D10F1A"/>
    <w:rsid w:val="00D116F8"/>
    <w:rsid w:val="00D14CDC"/>
    <w:rsid w:val="00D15280"/>
    <w:rsid w:val="00D15B04"/>
    <w:rsid w:val="00D16794"/>
    <w:rsid w:val="00D17596"/>
    <w:rsid w:val="00D17ECD"/>
    <w:rsid w:val="00D22640"/>
    <w:rsid w:val="00D236AE"/>
    <w:rsid w:val="00D26D3A"/>
    <w:rsid w:val="00D26DD9"/>
    <w:rsid w:val="00D30710"/>
    <w:rsid w:val="00D36084"/>
    <w:rsid w:val="00D40415"/>
    <w:rsid w:val="00D40856"/>
    <w:rsid w:val="00D441B2"/>
    <w:rsid w:val="00D45C91"/>
    <w:rsid w:val="00D45EE3"/>
    <w:rsid w:val="00D4673C"/>
    <w:rsid w:val="00D5000F"/>
    <w:rsid w:val="00D500CB"/>
    <w:rsid w:val="00D50618"/>
    <w:rsid w:val="00D509E9"/>
    <w:rsid w:val="00D51363"/>
    <w:rsid w:val="00D5185F"/>
    <w:rsid w:val="00D51CDE"/>
    <w:rsid w:val="00D53B1C"/>
    <w:rsid w:val="00D554C1"/>
    <w:rsid w:val="00D61237"/>
    <w:rsid w:val="00D61714"/>
    <w:rsid w:val="00D620BE"/>
    <w:rsid w:val="00D622B9"/>
    <w:rsid w:val="00D652C8"/>
    <w:rsid w:val="00D656FF"/>
    <w:rsid w:val="00D669DC"/>
    <w:rsid w:val="00D73238"/>
    <w:rsid w:val="00D74FCA"/>
    <w:rsid w:val="00D77355"/>
    <w:rsid w:val="00D80E0E"/>
    <w:rsid w:val="00D82448"/>
    <w:rsid w:val="00D8357C"/>
    <w:rsid w:val="00D83615"/>
    <w:rsid w:val="00D83AAD"/>
    <w:rsid w:val="00D855CA"/>
    <w:rsid w:val="00D8714B"/>
    <w:rsid w:val="00D91B02"/>
    <w:rsid w:val="00D92D4E"/>
    <w:rsid w:val="00D92FC1"/>
    <w:rsid w:val="00D97037"/>
    <w:rsid w:val="00DA1B12"/>
    <w:rsid w:val="00DA3CDF"/>
    <w:rsid w:val="00DA4F90"/>
    <w:rsid w:val="00DA54C9"/>
    <w:rsid w:val="00DA5938"/>
    <w:rsid w:val="00DA59EA"/>
    <w:rsid w:val="00DA6739"/>
    <w:rsid w:val="00DA6CAE"/>
    <w:rsid w:val="00DB1A9E"/>
    <w:rsid w:val="00DB31D6"/>
    <w:rsid w:val="00DB3296"/>
    <w:rsid w:val="00DB4005"/>
    <w:rsid w:val="00DB44AD"/>
    <w:rsid w:val="00DB44E2"/>
    <w:rsid w:val="00DB597D"/>
    <w:rsid w:val="00DB5AE0"/>
    <w:rsid w:val="00DB5C2A"/>
    <w:rsid w:val="00DB61F1"/>
    <w:rsid w:val="00DB710D"/>
    <w:rsid w:val="00DB7645"/>
    <w:rsid w:val="00DC325B"/>
    <w:rsid w:val="00DC34EB"/>
    <w:rsid w:val="00DC4E2E"/>
    <w:rsid w:val="00DC78C0"/>
    <w:rsid w:val="00DD0C3E"/>
    <w:rsid w:val="00DD4A18"/>
    <w:rsid w:val="00DD5DB0"/>
    <w:rsid w:val="00DD64C7"/>
    <w:rsid w:val="00DD6985"/>
    <w:rsid w:val="00DE2C10"/>
    <w:rsid w:val="00DF0EA8"/>
    <w:rsid w:val="00DF14C9"/>
    <w:rsid w:val="00DF1CA3"/>
    <w:rsid w:val="00DF1E5B"/>
    <w:rsid w:val="00DF2102"/>
    <w:rsid w:val="00DF2275"/>
    <w:rsid w:val="00DF2860"/>
    <w:rsid w:val="00DF3F5E"/>
    <w:rsid w:val="00DF460B"/>
    <w:rsid w:val="00DF5461"/>
    <w:rsid w:val="00DF5653"/>
    <w:rsid w:val="00DF7722"/>
    <w:rsid w:val="00DF7A80"/>
    <w:rsid w:val="00E00329"/>
    <w:rsid w:val="00E00EAD"/>
    <w:rsid w:val="00E01450"/>
    <w:rsid w:val="00E05615"/>
    <w:rsid w:val="00E0596E"/>
    <w:rsid w:val="00E05BCF"/>
    <w:rsid w:val="00E069B9"/>
    <w:rsid w:val="00E06CFE"/>
    <w:rsid w:val="00E06F66"/>
    <w:rsid w:val="00E2111A"/>
    <w:rsid w:val="00E21678"/>
    <w:rsid w:val="00E21F1C"/>
    <w:rsid w:val="00E24447"/>
    <w:rsid w:val="00E270CE"/>
    <w:rsid w:val="00E344AA"/>
    <w:rsid w:val="00E356E5"/>
    <w:rsid w:val="00E361FA"/>
    <w:rsid w:val="00E36C67"/>
    <w:rsid w:val="00E36F81"/>
    <w:rsid w:val="00E378A8"/>
    <w:rsid w:val="00E40B9B"/>
    <w:rsid w:val="00E42389"/>
    <w:rsid w:val="00E45765"/>
    <w:rsid w:val="00E46FEA"/>
    <w:rsid w:val="00E47EC8"/>
    <w:rsid w:val="00E5098C"/>
    <w:rsid w:val="00E54ECD"/>
    <w:rsid w:val="00E55BCA"/>
    <w:rsid w:val="00E574EF"/>
    <w:rsid w:val="00E57CD8"/>
    <w:rsid w:val="00E57E07"/>
    <w:rsid w:val="00E60213"/>
    <w:rsid w:val="00E612E7"/>
    <w:rsid w:val="00E61B67"/>
    <w:rsid w:val="00E620A0"/>
    <w:rsid w:val="00E64B31"/>
    <w:rsid w:val="00E661B2"/>
    <w:rsid w:val="00E67106"/>
    <w:rsid w:val="00E678D4"/>
    <w:rsid w:val="00E74BF7"/>
    <w:rsid w:val="00E74D29"/>
    <w:rsid w:val="00E806FF"/>
    <w:rsid w:val="00E8201C"/>
    <w:rsid w:val="00E83C74"/>
    <w:rsid w:val="00E83CEE"/>
    <w:rsid w:val="00E91F18"/>
    <w:rsid w:val="00E9226D"/>
    <w:rsid w:val="00E923E7"/>
    <w:rsid w:val="00E96424"/>
    <w:rsid w:val="00E96CE1"/>
    <w:rsid w:val="00E976DB"/>
    <w:rsid w:val="00EA2A91"/>
    <w:rsid w:val="00EA2B3C"/>
    <w:rsid w:val="00EA3636"/>
    <w:rsid w:val="00EA3639"/>
    <w:rsid w:val="00EA416C"/>
    <w:rsid w:val="00EA5941"/>
    <w:rsid w:val="00EB0865"/>
    <w:rsid w:val="00EB2632"/>
    <w:rsid w:val="00EB32AD"/>
    <w:rsid w:val="00EB3D99"/>
    <w:rsid w:val="00EB60CE"/>
    <w:rsid w:val="00EB7CD7"/>
    <w:rsid w:val="00EB7D53"/>
    <w:rsid w:val="00EC0321"/>
    <w:rsid w:val="00EC37F0"/>
    <w:rsid w:val="00EC596B"/>
    <w:rsid w:val="00ED101C"/>
    <w:rsid w:val="00ED5EEB"/>
    <w:rsid w:val="00ED65DF"/>
    <w:rsid w:val="00ED67D0"/>
    <w:rsid w:val="00ED71E7"/>
    <w:rsid w:val="00EE001C"/>
    <w:rsid w:val="00EE13C5"/>
    <w:rsid w:val="00EE3146"/>
    <w:rsid w:val="00EE5B72"/>
    <w:rsid w:val="00EF2B7D"/>
    <w:rsid w:val="00EF40E3"/>
    <w:rsid w:val="00EF4CB7"/>
    <w:rsid w:val="00EF50BB"/>
    <w:rsid w:val="00EF5270"/>
    <w:rsid w:val="00EF71E4"/>
    <w:rsid w:val="00F00192"/>
    <w:rsid w:val="00F01DF6"/>
    <w:rsid w:val="00F027B8"/>
    <w:rsid w:val="00F03390"/>
    <w:rsid w:val="00F0340D"/>
    <w:rsid w:val="00F035F2"/>
    <w:rsid w:val="00F04D95"/>
    <w:rsid w:val="00F059A6"/>
    <w:rsid w:val="00F06DBA"/>
    <w:rsid w:val="00F06DDF"/>
    <w:rsid w:val="00F074C3"/>
    <w:rsid w:val="00F10264"/>
    <w:rsid w:val="00F10DB8"/>
    <w:rsid w:val="00F118AB"/>
    <w:rsid w:val="00F137E2"/>
    <w:rsid w:val="00F14A04"/>
    <w:rsid w:val="00F15B49"/>
    <w:rsid w:val="00F165EE"/>
    <w:rsid w:val="00F16E39"/>
    <w:rsid w:val="00F20C42"/>
    <w:rsid w:val="00F210ED"/>
    <w:rsid w:val="00F23756"/>
    <w:rsid w:val="00F2464C"/>
    <w:rsid w:val="00F2523A"/>
    <w:rsid w:val="00F25FFA"/>
    <w:rsid w:val="00F2659D"/>
    <w:rsid w:val="00F279B0"/>
    <w:rsid w:val="00F310D2"/>
    <w:rsid w:val="00F31E11"/>
    <w:rsid w:val="00F3460A"/>
    <w:rsid w:val="00F36629"/>
    <w:rsid w:val="00F36F3D"/>
    <w:rsid w:val="00F37C48"/>
    <w:rsid w:val="00F40592"/>
    <w:rsid w:val="00F41535"/>
    <w:rsid w:val="00F424D7"/>
    <w:rsid w:val="00F425CD"/>
    <w:rsid w:val="00F45FC1"/>
    <w:rsid w:val="00F477BD"/>
    <w:rsid w:val="00F50333"/>
    <w:rsid w:val="00F5280F"/>
    <w:rsid w:val="00F53491"/>
    <w:rsid w:val="00F53BAC"/>
    <w:rsid w:val="00F54656"/>
    <w:rsid w:val="00F55386"/>
    <w:rsid w:val="00F56411"/>
    <w:rsid w:val="00F5708E"/>
    <w:rsid w:val="00F57255"/>
    <w:rsid w:val="00F60181"/>
    <w:rsid w:val="00F62E7A"/>
    <w:rsid w:val="00F6408F"/>
    <w:rsid w:val="00F657D7"/>
    <w:rsid w:val="00F65A1C"/>
    <w:rsid w:val="00F66F50"/>
    <w:rsid w:val="00F7561E"/>
    <w:rsid w:val="00F7628B"/>
    <w:rsid w:val="00F77432"/>
    <w:rsid w:val="00F81162"/>
    <w:rsid w:val="00F82FF8"/>
    <w:rsid w:val="00F8330D"/>
    <w:rsid w:val="00F842CA"/>
    <w:rsid w:val="00F84305"/>
    <w:rsid w:val="00F8485C"/>
    <w:rsid w:val="00F84C9D"/>
    <w:rsid w:val="00F87149"/>
    <w:rsid w:val="00F87FFE"/>
    <w:rsid w:val="00F9138D"/>
    <w:rsid w:val="00F93ABC"/>
    <w:rsid w:val="00F954C9"/>
    <w:rsid w:val="00F962FE"/>
    <w:rsid w:val="00FA13FA"/>
    <w:rsid w:val="00FA1EBE"/>
    <w:rsid w:val="00FA4CF0"/>
    <w:rsid w:val="00FA557A"/>
    <w:rsid w:val="00FA5DCD"/>
    <w:rsid w:val="00FA61AA"/>
    <w:rsid w:val="00FA69A4"/>
    <w:rsid w:val="00FB1279"/>
    <w:rsid w:val="00FB1495"/>
    <w:rsid w:val="00FB7C1A"/>
    <w:rsid w:val="00FC20F8"/>
    <w:rsid w:val="00FC7747"/>
    <w:rsid w:val="00FD1694"/>
    <w:rsid w:val="00FD2134"/>
    <w:rsid w:val="00FD2363"/>
    <w:rsid w:val="00FD3A73"/>
    <w:rsid w:val="00FD4055"/>
    <w:rsid w:val="00FD6DA4"/>
    <w:rsid w:val="00FD75C8"/>
    <w:rsid w:val="00FD7636"/>
    <w:rsid w:val="00FD7B20"/>
    <w:rsid w:val="00FE06E2"/>
    <w:rsid w:val="00FE2839"/>
    <w:rsid w:val="00FE3229"/>
    <w:rsid w:val="00FE4485"/>
    <w:rsid w:val="00FE74C3"/>
    <w:rsid w:val="00FF18B8"/>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564990"/>
  <w15:docId w15:val="{E09EBF0D-09F6-4CE6-88F6-BFC3900D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qFormat/>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ind w:left="738" w:hanging="369"/>
    </w:pPr>
  </w:style>
  <w:style w:type="paragraph" w:styleId="ListNumber3">
    <w:name w:val="List Number 3"/>
    <w:basedOn w:val="Normal"/>
    <w:uiPriority w:val="99"/>
    <w:qFormat/>
    <w:rsid w:val="009E79B6"/>
    <w:pPr>
      <w:ind w:left="993" w:hanging="284"/>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32820877">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49626183">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285648564">
      <w:bodyDiv w:val="1"/>
      <w:marLeft w:val="0"/>
      <w:marRight w:val="0"/>
      <w:marTop w:val="0"/>
      <w:marBottom w:val="0"/>
      <w:divBdr>
        <w:top w:val="none" w:sz="0" w:space="0" w:color="auto"/>
        <w:left w:val="none" w:sz="0" w:space="0" w:color="auto"/>
        <w:bottom w:val="none" w:sz="0" w:space="0" w:color="auto"/>
        <w:right w:val="none" w:sz="0" w:space="0" w:color="auto"/>
      </w:divBdr>
    </w:div>
    <w:div w:id="192395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waterquality.gov.au/anz-guidelin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etlandinfo.ehp.qld.gov.au/wetlands/" TargetMode="External"/><Relationship Id="rId2" Type="http://schemas.openxmlformats.org/officeDocument/2006/relationships/styles" Target="styles.xml"/><Relationship Id="rId16" Type="http://schemas.openxmlformats.org/officeDocument/2006/relationships/hyperlink" Target="http://www.minerals.org.au/leading_practice/water_accounting_framework_for_the_australian_minerals_industry%20accessed%20November%202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esc.environment.gov.au/system/files/resources/012fa918-ee79-4131-9c8d-02c9b2de65cf/files/iesc-information-guidelines-may-2018.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ublications.qld.gov.au/dataset/f7e68ccd-8c13-422f-bd46-1b391500423f/resource/ba880910-5117-433a-b90d-2c131874a8e6/download/guideline-subterranean-aquatic-fauna.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860AE4DA.dotm</Template>
  <TotalTime>1</TotalTime>
  <Pages>11</Pages>
  <Words>5543</Words>
  <Characters>31596</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37065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2018-097: Middlemount Coal Mine Western Extension (EPBC 2017/8130) – Expansion</dc:title>
  <dc:creator>IESC</dc:creator>
  <cp:lastModifiedBy>Bec Durack</cp:lastModifiedBy>
  <cp:revision>2</cp:revision>
  <dcterms:created xsi:type="dcterms:W3CDTF">2018-11-20T00:42:00Z</dcterms:created>
  <dcterms:modified xsi:type="dcterms:W3CDTF">2018-11-20T00:42:00Z</dcterms:modified>
</cp:coreProperties>
</file>