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EEBC5" w14:textId="77777777" w:rsidR="00714B40" w:rsidRPr="00BF21A7" w:rsidRDefault="00714B40" w:rsidP="00714B40">
      <w:pPr>
        <w:pStyle w:val="Header"/>
        <w:suppressLineNumbers/>
        <w:ind w:hanging="1418"/>
        <w:sectPr w:rsidR="00714B40" w:rsidRPr="00BF21A7" w:rsidSect="00264083">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440" w:header="425" w:footer="425" w:gutter="0"/>
          <w:lnNumType w:countBy="1" w:restart="continuous"/>
          <w:pgNumType w:start="1"/>
          <w:cols w:space="708"/>
          <w:titlePg/>
          <w:docGrid w:linePitch="360"/>
        </w:sectPr>
      </w:pPr>
      <w:bookmarkStart w:id="0" w:name="_GoBack"/>
      <w:bookmarkEnd w:id="0"/>
    </w:p>
    <w:p w14:paraId="6EBEEBC6" w14:textId="77777777" w:rsidR="001765DA" w:rsidRPr="00BF21A7" w:rsidRDefault="00F027B8" w:rsidP="009E7F55">
      <w:pPr>
        <w:pStyle w:val="Heading1"/>
        <w:suppressLineNumbers/>
      </w:pPr>
      <w:r w:rsidRPr="00BF21A7">
        <w:t>Advi</w:t>
      </w:r>
      <w:r w:rsidR="001765DA" w:rsidRPr="00BF21A7">
        <w:t>ce to decision maker on coal mining</w:t>
      </w:r>
      <w:r w:rsidR="006A00D0">
        <w:t xml:space="preserve"> project</w:t>
      </w:r>
    </w:p>
    <w:p w14:paraId="6EBEEBC7" w14:textId="77777777" w:rsidR="004861E6" w:rsidRPr="00BF21A7" w:rsidRDefault="00D10C4C" w:rsidP="009E7F55">
      <w:pPr>
        <w:pStyle w:val="Heading2"/>
        <w:suppressLineNumbers/>
      </w:pPr>
      <w:r w:rsidRPr="00BF21A7">
        <w:t xml:space="preserve">IESC </w:t>
      </w:r>
      <w:r w:rsidR="00C43084" w:rsidRPr="006A00D0">
        <w:t>201</w:t>
      </w:r>
      <w:r w:rsidR="006A00D0" w:rsidRPr="006A00D0">
        <w:t>9</w:t>
      </w:r>
      <w:r w:rsidR="00CC27E7" w:rsidRPr="006A00D0">
        <w:t>-</w:t>
      </w:r>
      <w:r w:rsidR="006A00D0">
        <w:t>103</w:t>
      </w:r>
      <w:r w:rsidR="001765DA" w:rsidRPr="00BF21A7">
        <w:t>:</w:t>
      </w:r>
      <w:r w:rsidR="002974BC" w:rsidRPr="00BF21A7">
        <w:t xml:space="preserve"> </w:t>
      </w:r>
      <w:r w:rsidR="006A00D0">
        <w:t xml:space="preserve">Jellinbah Coal Mine – Central North </w:t>
      </w:r>
      <w:r w:rsidR="006A00D0" w:rsidRPr="006A00D0">
        <w:t xml:space="preserve">Extension </w:t>
      </w:r>
      <w:r w:rsidR="00D83AAD" w:rsidRPr="006A00D0">
        <w:t>(EPBC</w:t>
      </w:r>
      <w:r w:rsidR="007B047A" w:rsidRPr="006A00D0">
        <w:t xml:space="preserve"> </w:t>
      </w:r>
      <w:r w:rsidR="006A00D0" w:rsidRPr="006A00D0">
        <w:t>2018</w:t>
      </w:r>
      <w:r w:rsidR="009110D5" w:rsidRPr="006A00D0">
        <w:t>/</w:t>
      </w:r>
      <w:r w:rsidR="006A00D0" w:rsidRPr="006A00D0">
        <w:t>8139</w:t>
      </w:r>
      <w:r w:rsidR="00D83AAD" w:rsidRPr="006A00D0">
        <w:t xml:space="preserve">) </w:t>
      </w:r>
      <w:r w:rsidR="00C803D7" w:rsidRPr="00BF21A7">
        <w:t>–</w:t>
      </w:r>
      <w:r w:rsidR="006A00D0">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6EBEEBCA" w14:textId="77777777" w:rsidTr="00784E40">
        <w:trPr>
          <w:trHeight w:val="563"/>
        </w:trPr>
        <w:tc>
          <w:tcPr>
            <w:tcW w:w="1810" w:type="dxa"/>
            <w:tcBorders>
              <w:top w:val="single" w:sz="4" w:space="0" w:color="auto"/>
              <w:bottom w:val="single" w:sz="4" w:space="0" w:color="auto"/>
            </w:tcBorders>
          </w:tcPr>
          <w:p w14:paraId="6EBEEBC8"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6EBEEBC9" w14:textId="77777777" w:rsidR="003E2BDB" w:rsidRPr="00BF21A7" w:rsidRDefault="00B1520C" w:rsidP="006A00D0">
            <w:pPr>
              <w:pStyle w:val="Tabletext"/>
              <w:suppressLineNumbers/>
            </w:pPr>
            <w:r w:rsidRPr="00BF21A7">
              <w:t xml:space="preserve">The </w:t>
            </w:r>
            <w:r w:rsidR="00C43084" w:rsidRPr="00BF21A7">
              <w:t xml:space="preserve">Australian Government </w:t>
            </w:r>
            <w:r w:rsidR="001765DA" w:rsidRPr="00BF21A7">
              <w:t xml:space="preserve">Department of </w:t>
            </w:r>
            <w:r w:rsidR="00616861" w:rsidRPr="00BF21A7">
              <w:t>the</w:t>
            </w:r>
            <w:r w:rsidR="001765DA" w:rsidRPr="00BF21A7">
              <w:t xml:space="preserve"> Environment</w:t>
            </w:r>
            <w:r w:rsidRPr="00BF21A7">
              <w:t xml:space="preserve"> </w:t>
            </w:r>
            <w:r w:rsidR="00F7628B" w:rsidRPr="00BF21A7">
              <w:t xml:space="preserve">and Energy </w:t>
            </w:r>
          </w:p>
        </w:tc>
      </w:tr>
      <w:tr w:rsidR="001765DA" w:rsidRPr="00BF21A7" w14:paraId="6EBEEBCD" w14:textId="77777777" w:rsidTr="00784E40">
        <w:trPr>
          <w:trHeight w:val="19"/>
        </w:trPr>
        <w:tc>
          <w:tcPr>
            <w:tcW w:w="1810" w:type="dxa"/>
            <w:tcBorders>
              <w:top w:val="single" w:sz="4" w:space="0" w:color="auto"/>
              <w:bottom w:val="single" w:sz="4" w:space="0" w:color="auto"/>
            </w:tcBorders>
          </w:tcPr>
          <w:p w14:paraId="6EBEEBCB"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6EBEEBCC" w14:textId="77777777" w:rsidR="001765DA" w:rsidRPr="009A3F42" w:rsidRDefault="006A00D0" w:rsidP="006A00D0">
            <w:pPr>
              <w:pStyle w:val="Tabletext"/>
              <w:suppressLineNumbers/>
            </w:pPr>
            <w:r w:rsidRPr="009A3F42">
              <w:t>12 April 2019</w:t>
            </w:r>
          </w:p>
        </w:tc>
      </w:tr>
      <w:tr w:rsidR="00185039" w:rsidRPr="00BF21A7" w14:paraId="6EBEEBD0" w14:textId="77777777" w:rsidTr="00784E40">
        <w:trPr>
          <w:trHeight w:val="19"/>
        </w:trPr>
        <w:tc>
          <w:tcPr>
            <w:tcW w:w="1810" w:type="dxa"/>
            <w:tcBorders>
              <w:top w:val="single" w:sz="4" w:space="0" w:color="auto"/>
              <w:bottom w:val="single" w:sz="4" w:space="0" w:color="auto"/>
            </w:tcBorders>
          </w:tcPr>
          <w:p w14:paraId="6EBEEBCE"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6EBEEBCF" w14:textId="77777777" w:rsidR="00185039" w:rsidRPr="009A3F42" w:rsidRDefault="006A00D0" w:rsidP="006A00D0">
            <w:pPr>
              <w:pStyle w:val="Tabletext"/>
              <w:suppressLineNumbers/>
            </w:pPr>
            <w:r w:rsidRPr="009A3F42">
              <w:t>12 April 2019</w:t>
            </w:r>
          </w:p>
        </w:tc>
      </w:tr>
      <w:tr w:rsidR="00062A46" w:rsidRPr="00BF21A7" w14:paraId="6EBEEBD4" w14:textId="77777777" w:rsidTr="00784E40">
        <w:trPr>
          <w:trHeight w:val="19"/>
        </w:trPr>
        <w:tc>
          <w:tcPr>
            <w:tcW w:w="1810" w:type="dxa"/>
            <w:tcBorders>
              <w:top w:val="single" w:sz="4" w:space="0" w:color="auto"/>
              <w:bottom w:val="single" w:sz="4" w:space="0" w:color="auto"/>
            </w:tcBorders>
          </w:tcPr>
          <w:p w14:paraId="6EBEEBD1"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EBEEBD2" w14:textId="77777777" w:rsidR="00ED7CF2" w:rsidRDefault="00062A46" w:rsidP="00ED7CF2">
            <w:pPr>
              <w:pStyle w:val="Tabletext"/>
              <w:suppressLineNumbers/>
            </w:pPr>
            <w:r w:rsidRPr="00BF21A7">
              <w:rPr>
                <w:lang w:eastAsia="en-AU"/>
              </w:rPr>
              <w:t xml:space="preserve">Referral </w:t>
            </w:r>
          </w:p>
          <w:p w14:paraId="6EBEEBD3" w14:textId="77777777" w:rsidR="00062A46" w:rsidRPr="00BF21A7" w:rsidRDefault="00062A46" w:rsidP="00277A51">
            <w:pPr>
              <w:pStyle w:val="Tabletext"/>
              <w:suppressLineNumbers/>
              <w:rPr>
                <w:lang w:eastAsia="en-AU"/>
              </w:rPr>
            </w:pPr>
          </w:p>
        </w:tc>
      </w:tr>
    </w:tbl>
    <w:p w14:paraId="6EBEEBD5" w14:textId="77777777"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6EBEEBD8" w14:textId="77777777" w:rsidTr="00784E40">
        <w:trPr>
          <w:trHeight w:val="2955"/>
        </w:trPr>
        <w:tc>
          <w:tcPr>
            <w:tcW w:w="9640" w:type="dxa"/>
            <w:shd w:val="clear" w:color="auto" w:fill="E7E6E6"/>
          </w:tcPr>
          <w:p w14:paraId="6EBEEBD6" w14:textId="77777777" w:rsidR="00C60A1A" w:rsidRPr="00BF21A7" w:rsidRDefault="00C60A1A" w:rsidP="00602F4B">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6EBEEBD7" w14:textId="77777777" w:rsidR="00C60A1A" w:rsidRPr="00BF21A7" w:rsidRDefault="00C60A1A" w:rsidP="00ED7CF2">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the Environment </w:t>
            </w:r>
            <w:r w:rsidR="00815C9D" w:rsidRPr="00BF21A7">
              <w:rPr>
                <w:rFonts w:ascii="Arial" w:hAnsi="Arial" w:cs="Arial"/>
                <w:sz w:val="20"/>
                <w:szCs w:val="20"/>
              </w:rPr>
              <w:t xml:space="preserve">and Energy </w:t>
            </w:r>
            <w:r w:rsidRPr="00BF21A7">
              <w:rPr>
                <w:rFonts w:ascii="Arial" w:hAnsi="Arial" w:cs="Arial"/>
                <w:sz w:val="20"/>
                <w:szCs w:val="20"/>
              </w:rPr>
              <w:t xml:space="preserve">to provide advice on the </w:t>
            </w:r>
            <w:r w:rsidR="00ED7CF2" w:rsidRPr="009A3F42">
              <w:rPr>
                <w:rFonts w:ascii="Arial" w:hAnsi="Arial" w:cs="Arial"/>
                <w:sz w:val="20"/>
                <w:szCs w:val="20"/>
              </w:rPr>
              <w:t>Jellinbah Group Pty Ltd</w:t>
            </w:r>
            <w:r w:rsidRPr="009A3F42">
              <w:rPr>
                <w:rFonts w:ascii="Arial" w:hAnsi="Arial" w:cs="Arial"/>
                <w:sz w:val="20"/>
                <w:szCs w:val="20"/>
              </w:rPr>
              <w:t xml:space="preserve">’s </w:t>
            </w:r>
            <w:r w:rsidR="00ED7CF2" w:rsidRPr="009A3F42">
              <w:rPr>
                <w:rFonts w:ascii="Arial" w:hAnsi="Arial" w:cs="Arial"/>
                <w:sz w:val="20"/>
                <w:szCs w:val="20"/>
              </w:rPr>
              <w:t xml:space="preserve">Jellinbah </w:t>
            </w:r>
            <w:r w:rsidR="00ED7CF2">
              <w:rPr>
                <w:rFonts w:ascii="Arial" w:hAnsi="Arial" w:cs="Arial"/>
                <w:sz w:val="20"/>
                <w:szCs w:val="20"/>
              </w:rPr>
              <w:t>Coal Mine – Central North Extension</w:t>
            </w:r>
            <w:r w:rsidRPr="00BF21A7">
              <w:rPr>
                <w:rFonts w:ascii="Arial" w:hAnsi="Arial" w:cs="Arial"/>
                <w:sz w:val="20"/>
                <w:szCs w:val="20"/>
              </w:rPr>
              <w:t xml:space="preserve"> in </w:t>
            </w:r>
            <w:r w:rsidR="00ED7CF2">
              <w:rPr>
                <w:rFonts w:ascii="Arial" w:hAnsi="Arial" w:cs="Arial"/>
                <w:sz w:val="20"/>
                <w:szCs w:val="20"/>
              </w:rPr>
              <w:t>Queensland</w:t>
            </w:r>
            <w:r w:rsidRPr="00BF21A7">
              <w:rPr>
                <w:rFonts w:ascii="Arial" w:hAnsi="Arial" w:cs="Arial"/>
                <w:sz w:val="20"/>
                <w:szCs w:val="20"/>
              </w:rPr>
              <w:t>. This document provides the IESC’s advice in response to the 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6EBEEBD9" w14:textId="77777777" w:rsidR="00C60A1A" w:rsidRPr="00BF21A7" w:rsidRDefault="00C60A1A" w:rsidP="00C60A1A"/>
    <w:p w14:paraId="6EBEEBDA"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6EBEEBDB" w14:textId="77777777" w:rsidR="00291857" w:rsidRDefault="00450F76" w:rsidP="00291857">
      <w:r w:rsidRPr="00787631">
        <w:t xml:space="preserve">The Jellinbah Central North Extension </w:t>
      </w:r>
      <w:r>
        <w:t xml:space="preserve">(CNE) </w:t>
      </w:r>
      <w:r w:rsidR="00C413DD">
        <w:t xml:space="preserve">is a proposed </w:t>
      </w:r>
      <w:r w:rsidRPr="00787631">
        <w:t xml:space="preserve">expansion of the existing Jellinbah Central </w:t>
      </w:r>
      <w:r>
        <w:t xml:space="preserve">North (CN) </w:t>
      </w:r>
      <w:r w:rsidRPr="00787631">
        <w:t>open</w:t>
      </w:r>
      <w:r w:rsidR="001D743F">
        <w:t>-</w:t>
      </w:r>
      <w:r w:rsidRPr="00787631">
        <w:t>cut coal mine</w:t>
      </w:r>
      <w:r w:rsidR="00C413DD">
        <w:t>.</w:t>
      </w:r>
      <w:r w:rsidRPr="00787631">
        <w:t xml:space="preserve"> Three additional leases will be opened for</w:t>
      </w:r>
      <w:r w:rsidR="00DC67B7">
        <w:t xml:space="preserve"> operations.</w:t>
      </w:r>
      <w:r w:rsidRPr="00787631">
        <w:t xml:space="preserve"> Two of these in the west will hold supporting infrastructure and spoil facilities while one in the east </w:t>
      </w:r>
      <w:r>
        <w:t>will be mined for</w:t>
      </w:r>
      <w:r w:rsidRPr="00787631">
        <w:t xml:space="preserve"> pulverised coal injection (PCI) coal and minor amounts of thermal coal. The proposal will extend the operational life of the mine by 20 years and </w:t>
      </w:r>
      <w:r w:rsidR="00C413DD">
        <w:t>increase production by</w:t>
      </w:r>
      <w:r w:rsidR="001D743F">
        <w:t xml:space="preserve"> </w:t>
      </w:r>
      <w:r w:rsidRPr="00787631">
        <w:t>1</w:t>
      </w:r>
      <w:r w:rsidR="00C413DD">
        <w:t> </w:t>
      </w:r>
      <w:r w:rsidRPr="00787631">
        <w:t>Mt per annum (Mtpa) run-of-mine (ROM)</w:t>
      </w:r>
      <w:r w:rsidR="001D743F">
        <w:t xml:space="preserve"> coal</w:t>
      </w:r>
      <w:r w:rsidRPr="00787631">
        <w:t>. There will be no change to current approved operating protocols.</w:t>
      </w:r>
      <w:r w:rsidR="00291857" w:rsidRPr="00787631">
        <w:t xml:space="preserve"> </w:t>
      </w:r>
    </w:p>
    <w:p w14:paraId="6EBEEBDC" w14:textId="77777777" w:rsidR="005716D4" w:rsidRPr="00787631" w:rsidRDefault="00450F76" w:rsidP="00291857">
      <w:r>
        <w:t xml:space="preserve">The project is within the Bowen Basin and the greater Fitzroy </w:t>
      </w:r>
      <w:r w:rsidR="00C413DD">
        <w:t>Catchment</w:t>
      </w:r>
      <w:r>
        <w:t xml:space="preserve">. The project and surrounding area </w:t>
      </w:r>
      <w:r w:rsidR="00907BEE">
        <w:t>are</w:t>
      </w:r>
      <w:r w:rsidR="00792D7D">
        <w:t xml:space="preserve"> </w:t>
      </w:r>
      <w:r>
        <w:t xml:space="preserve">significantly impacted by existing agricultural and mining development and </w:t>
      </w:r>
      <w:r w:rsidR="00907BEE">
        <w:t>are</w:t>
      </w:r>
      <w:r>
        <w:t xml:space="preserve"> extensively </w:t>
      </w:r>
      <w:r>
        <w:lastRenderedPageBreak/>
        <w:t xml:space="preserve">cleared. </w:t>
      </w:r>
      <w:r w:rsidR="00C413DD">
        <w:t>Drawdown of r</w:t>
      </w:r>
      <w:r>
        <w:t xml:space="preserve">egional groundwater </w:t>
      </w:r>
      <w:r w:rsidR="00C413DD">
        <w:t xml:space="preserve">has already occurred from previous </w:t>
      </w:r>
      <w:r w:rsidR="001E1B7B">
        <w:t xml:space="preserve">mining. </w:t>
      </w:r>
      <w:r>
        <w:t xml:space="preserve">The Mackenzie River to the north, Blackwater Creek to the west and </w:t>
      </w:r>
      <w:r w:rsidR="008A76D5">
        <w:t>Twelve</w:t>
      </w:r>
      <w:r>
        <w:t xml:space="preserve"> Mile Creek to the east </w:t>
      </w:r>
      <w:r w:rsidR="00C413DD">
        <w:t xml:space="preserve">will </w:t>
      </w:r>
      <w:r>
        <w:t xml:space="preserve">potentially </w:t>
      </w:r>
      <w:r w:rsidR="00C413DD">
        <w:t xml:space="preserve">be </w:t>
      </w:r>
      <w:r>
        <w:t xml:space="preserve">impacted by the project. </w:t>
      </w:r>
      <w:r w:rsidR="0063212E">
        <w:t xml:space="preserve">Two areas of </w:t>
      </w:r>
      <w:r w:rsidR="00C413DD" w:rsidRPr="00F405E7">
        <w:rPr>
          <w:i/>
        </w:rPr>
        <w:t>Environment Protectio</w:t>
      </w:r>
      <w:r w:rsidR="0063212E">
        <w:rPr>
          <w:i/>
        </w:rPr>
        <w:t>n and Biodiversity Conservation</w:t>
      </w:r>
      <w:r w:rsidRPr="00F405E7">
        <w:rPr>
          <w:i/>
        </w:rPr>
        <w:t xml:space="preserve"> Act</w:t>
      </w:r>
      <w:r w:rsidR="007D2209" w:rsidRPr="00F405E7">
        <w:rPr>
          <w:i/>
        </w:rPr>
        <w:t xml:space="preserve"> 1999</w:t>
      </w:r>
      <w:r w:rsidR="007D2209">
        <w:t xml:space="preserve"> </w:t>
      </w:r>
      <w:r w:rsidR="0063212E">
        <w:t xml:space="preserve">(EPBC </w:t>
      </w:r>
      <w:r w:rsidR="0063212E" w:rsidRPr="00792D7D">
        <w:t>Act)</w:t>
      </w:r>
      <w:r w:rsidR="00DF0B05" w:rsidRPr="00792D7D">
        <w:t>-</w:t>
      </w:r>
      <w:r w:rsidRPr="00792D7D">
        <w:t xml:space="preserve">listed </w:t>
      </w:r>
      <w:r w:rsidR="0063212E" w:rsidRPr="00792D7D">
        <w:t>Brigalow Threatened Ecological Community (TEC) were identified at the project site. The proponent proposes to clear these areas for the project and provide a financial offset. The remaining area that will be cleared for the project consists of 788 ha of non-remnant pasture. Other EPBC Act</w:t>
      </w:r>
      <w:r w:rsidR="00DF0B05" w:rsidRPr="00792D7D">
        <w:t>-</w:t>
      </w:r>
      <w:r w:rsidR="0063212E" w:rsidRPr="00792D7D">
        <w:t xml:space="preserve">listed </w:t>
      </w:r>
      <w:r w:rsidR="002126D0" w:rsidRPr="00792D7D">
        <w:t xml:space="preserve">species </w:t>
      </w:r>
      <w:r w:rsidRPr="00792D7D">
        <w:t>potentially exist within the project area</w:t>
      </w:r>
      <w:r w:rsidR="00DF0B05" w:rsidRPr="00792D7D">
        <w:t>;</w:t>
      </w:r>
      <w:r w:rsidRPr="00792D7D">
        <w:t xml:space="preserve"> </w:t>
      </w:r>
      <w:r w:rsidR="0063212E" w:rsidRPr="00792D7D">
        <w:t>h</w:t>
      </w:r>
      <w:r w:rsidRPr="00792D7D">
        <w:t>owever</w:t>
      </w:r>
      <w:r w:rsidR="00C413DD" w:rsidRPr="00792D7D">
        <w:t>,</w:t>
      </w:r>
      <w:r w:rsidRPr="00792D7D">
        <w:t xml:space="preserve"> </w:t>
      </w:r>
      <w:r w:rsidR="00CE3180" w:rsidRPr="00792D7D">
        <w:t>the single field survey</w:t>
      </w:r>
      <w:r w:rsidR="006E4F57" w:rsidRPr="00792D7D">
        <w:t xml:space="preserve"> undertaken</w:t>
      </w:r>
      <w:r w:rsidR="00CE3180" w:rsidRPr="00792D7D">
        <w:t xml:space="preserve"> in February</w:t>
      </w:r>
      <w:r w:rsidR="00CE3180" w:rsidRPr="00A97CCA">
        <w:t xml:space="preserve"> 2015</w:t>
      </w:r>
      <w:r w:rsidR="00513274" w:rsidRPr="00A97CCA">
        <w:t xml:space="preserve"> </w:t>
      </w:r>
      <w:r w:rsidRPr="00A97CCA">
        <w:t>found</w:t>
      </w:r>
      <w:r>
        <w:t xml:space="preserve"> no evidence of their presence. </w:t>
      </w:r>
    </w:p>
    <w:p w14:paraId="6EBEEBDD" w14:textId="77777777" w:rsidR="00BF21A7" w:rsidRPr="00BF21A7" w:rsidRDefault="00BF21A7" w:rsidP="00BF21A7">
      <w:pPr>
        <w:keepNext/>
      </w:pPr>
      <w:r w:rsidRPr="00BF21A7">
        <w:rPr>
          <w:u w:val="single"/>
        </w:rPr>
        <w:t>Key potential impacts</w:t>
      </w:r>
      <w:r w:rsidRPr="00BF21A7">
        <w:t xml:space="preserve"> from this project are:</w:t>
      </w:r>
    </w:p>
    <w:p w14:paraId="6EBEEBDE" w14:textId="77777777" w:rsidR="00CE3180" w:rsidRPr="00983828" w:rsidRDefault="00DF1261" w:rsidP="00CE3180">
      <w:pPr>
        <w:pStyle w:val="ListBullet"/>
        <w:numPr>
          <w:ilvl w:val="0"/>
          <w:numId w:val="7"/>
        </w:numPr>
        <w:rPr>
          <w:lang w:val="en-AU"/>
        </w:rPr>
      </w:pPr>
      <w:r w:rsidRPr="00792D7D">
        <w:t>t</w:t>
      </w:r>
      <w:r w:rsidR="002F38FC" w:rsidRPr="00792D7D">
        <w:t xml:space="preserve">he </w:t>
      </w:r>
      <w:r w:rsidR="00907BEE" w:rsidRPr="00792D7D">
        <w:t xml:space="preserve">risks associated with increasingly </w:t>
      </w:r>
      <w:r w:rsidR="002F38FC" w:rsidRPr="00792D7D">
        <w:t xml:space="preserve">saline water contained in </w:t>
      </w:r>
      <w:r w:rsidRPr="00792D7D">
        <w:t>the final void</w:t>
      </w:r>
      <w:r w:rsidR="002F38FC" w:rsidRPr="00792D7D">
        <w:t xml:space="preserve"> in the floodplain</w:t>
      </w:r>
      <w:r w:rsidRPr="00792D7D">
        <w:t xml:space="preserve"> (noting there are 6 other </w:t>
      </w:r>
      <w:r w:rsidRPr="00983828">
        <w:t>voids</w:t>
      </w:r>
      <w:r w:rsidR="003E72B1" w:rsidRPr="00983828">
        <w:t xml:space="preserve"> approved for existing Jellinbah operations</w:t>
      </w:r>
      <w:r w:rsidRPr="00983828">
        <w:t>)</w:t>
      </w:r>
      <w:r w:rsidR="002F38FC" w:rsidRPr="00983828">
        <w:t xml:space="preserve">, and the </w:t>
      </w:r>
      <w:r w:rsidRPr="00983828">
        <w:t xml:space="preserve">potential for </w:t>
      </w:r>
      <w:r w:rsidR="002F38FC" w:rsidRPr="00983828">
        <w:t xml:space="preserve">extreme events and changing </w:t>
      </w:r>
      <w:r w:rsidR="00907BEE" w:rsidRPr="00983828">
        <w:t xml:space="preserve">climatic </w:t>
      </w:r>
      <w:r w:rsidR="002F38FC" w:rsidRPr="00983828">
        <w:t>conditions</w:t>
      </w:r>
      <w:r w:rsidRPr="00983828">
        <w:t xml:space="preserve"> to cause </w:t>
      </w:r>
      <w:r w:rsidR="00907BEE" w:rsidRPr="00983828">
        <w:t xml:space="preserve">changes to </w:t>
      </w:r>
      <w:r w:rsidR="00622174" w:rsidRPr="00983828">
        <w:t xml:space="preserve">the </w:t>
      </w:r>
      <w:r w:rsidR="00907BEE" w:rsidRPr="00983828">
        <w:t xml:space="preserve">predicted </w:t>
      </w:r>
      <w:r w:rsidR="00622174" w:rsidRPr="00983828">
        <w:t xml:space="preserve">void </w:t>
      </w:r>
      <w:r w:rsidR="00F711C9" w:rsidRPr="00983828">
        <w:t>behavior</w:t>
      </w:r>
      <w:r w:rsidR="007D2209" w:rsidRPr="00983828">
        <w:rPr>
          <w:lang w:val="en-AU"/>
        </w:rPr>
        <w:t>;</w:t>
      </w:r>
      <w:r w:rsidR="00B86F51" w:rsidRPr="00983828">
        <w:rPr>
          <w:lang w:val="en-AU"/>
        </w:rPr>
        <w:t xml:space="preserve"> </w:t>
      </w:r>
    </w:p>
    <w:p w14:paraId="6EBEEBDF" w14:textId="77777777" w:rsidR="00B86F51" w:rsidRPr="00792D7D" w:rsidRDefault="00DF1261" w:rsidP="00CE3180">
      <w:pPr>
        <w:pStyle w:val="ListBullet"/>
        <w:numPr>
          <w:ilvl w:val="0"/>
          <w:numId w:val="7"/>
        </w:numPr>
        <w:rPr>
          <w:lang w:val="en-AU"/>
        </w:rPr>
      </w:pPr>
      <w:r w:rsidRPr="00792D7D">
        <w:rPr>
          <w:lang w:val="en-AU"/>
        </w:rPr>
        <w:t>r</w:t>
      </w:r>
      <w:r w:rsidR="00B86F51" w:rsidRPr="00792D7D">
        <w:rPr>
          <w:lang w:val="en-AU"/>
        </w:rPr>
        <w:t xml:space="preserve">emoval of </w:t>
      </w:r>
      <w:r w:rsidR="00DF0B05" w:rsidRPr="00792D7D">
        <w:rPr>
          <w:lang w:val="en-AU"/>
        </w:rPr>
        <w:t xml:space="preserve">two areas </w:t>
      </w:r>
      <w:r w:rsidR="00907BEE" w:rsidRPr="00792D7D">
        <w:rPr>
          <w:lang w:val="en-AU"/>
        </w:rPr>
        <w:t xml:space="preserve">of </w:t>
      </w:r>
      <w:r w:rsidR="00B86F51" w:rsidRPr="00792D7D">
        <w:rPr>
          <w:lang w:val="en-AU"/>
        </w:rPr>
        <w:t xml:space="preserve">Brigalow TEC, </w:t>
      </w:r>
      <w:r w:rsidR="00DF0B05" w:rsidRPr="00792D7D">
        <w:rPr>
          <w:lang w:val="en-AU"/>
        </w:rPr>
        <w:t xml:space="preserve">including one </w:t>
      </w:r>
      <w:r w:rsidR="00F90F9F" w:rsidRPr="00792D7D">
        <w:rPr>
          <w:lang w:val="en-AU"/>
        </w:rPr>
        <w:t xml:space="preserve">in </w:t>
      </w:r>
      <w:r w:rsidR="00B86F51" w:rsidRPr="00792D7D">
        <w:rPr>
          <w:lang w:val="en-AU"/>
        </w:rPr>
        <w:t xml:space="preserve">the western tenement </w:t>
      </w:r>
      <w:r w:rsidR="00DF0B05" w:rsidRPr="00792D7D">
        <w:rPr>
          <w:lang w:val="en-AU"/>
        </w:rPr>
        <w:t xml:space="preserve">(ML 700012) </w:t>
      </w:r>
      <w:r w:rsidR="00B86F51" w:rsidRPr="00792D7D">
        <w:rPr>
          <w:lang w:val="en-AU"/>
        </w:rPr>
        <w:t>which might be retained with project redesign</w:t>
      </w:r>
      <w:r w:rsidRPr="00792D7D">
        <w:rPr>
          <w:lang w:val="en-AU"/>
        </w:rPr>
        <w:t>;</w:t>
      </w:r>
    </w:p>
    <w:p w14:paraId="6EBEEBE0" w14:textId="77777777" w:rsidR="00CE3180" w:rsidRPr="00792D7D" w:rsidRDefault="00DF0B05" w:rsidP="00CE3180">
      <w:pPr>
        <w:pStyle w:val="ListBullet"/>
        <w:numPr>
          <w:ilvl w:val="0"/>
          <w:numId w:val="7"/>
        </w:numPr>
        <w:rPr>
          <w:lang w:val="en-AU"/>
        </w:rPr>
      </w:pPr>
      <w:r w:rsidRPr="00792D7D">
        <w:rPr>
          <w:lang w:val="en-AU"/>
        </w:rPr>
        <w:t>contributions to declines in</w:t>
      </w:r>
      <w:r w:rsidR="006E4F57" w:rsidRPr="00792D7D">
        <w:rPr>
          <w:lang w:val="en-AU"/>
        </w:rPr>
        <w:t xml:space="preserve"> water quality in</w:t>
      </w:r>
      <w:r w:rsidR="00CE3180" w:rsidRPr="00792D7D">
        <w:rPr>
          <w:lang w:val="en-AU"/>
        </w:rPr>
        <w:t xml:space="preserve"> the receiving environments of Blackwater Creek and the Mackenzie River</w:t>
      </w:r>
      <w:r w:rsidR="007D2209" w:rsidRPr="00792D7D">
        <w:rPr>
          <w:lang w:val="en-AU"/>
        </w:rPr>
        <w:t>;</w:t>
      </w:r>
      <w:r w:rsidR="00B86F51" w:rsidRPr="00792D7D">
        <w:rPr>
          <w:lang w:val="en-AU"/>
        </w:rPr>
        <w:t xml:space="preserve"> and</w:t>
      </w:r>
    </w:p>
    <w:p w14:paraId="6EBEEBE1" w14:textId="77777777" w:rsidR="00D61320" w:rsidRPr="00224490" w:rsidRDefault="00F405E7" w:rsidP="004C34C7">
      <w:pPr>
        <w:pStyle w:val="ListBullet"/>
        <w:numPr>
          <w:ilvl w:val="0"/>
          <w:numId w:val="7"/>
        </w:numPr>
        <w:rPr>
          <w:lang w:val="en-AU"/>
        </w:rPr>
      </w:pPr>
      <w:r w:rsidRPr="00792D7D">
        <w:rPr>
          <w:lang w:val="en-AU"/>
        </w:rPr>
        <w:t xml:space="preserve">cumulative </w:t>
      </w:r>
      <w:r w:rsidR="00D61320" w:rsidRPr="00792D7D">
        <w:rPr>
          <w:lang w:val="en-AU"/>
        </w:rPr>
        <w:t xml:space="preserve">impacts on </w:t>
      </w:r>
      <w:r w:rsidR="00CE3180" w:rsidRPr="00792D7D">
        <w:rPr>
          <w:lang w:val="en-AU"/>
        </w:rPr>
        <w:t xml:space="preserve">groundwater, </w:t>
      </w:r>
      <w:r w:rsidR="00D61320" w:rsidRPr="00792D7D">
        <w:rPr>
          <w:lang w:val="en-AU"/>
        </w:rPr>
        <w:t xml:space="preserve">surface water </w:t>
      </w:r>
      <w:r w:rsidR="00907BEE" w:rsidRPr="00792D7D">
        <w:rPr>
          <w:lang w:val="en-AU"/>
        </w:rPr>
        <w:t xml:space="preserve">as well as </w:t>
      </w:r>
      <w:r w:rsidR="00D61320" w:rsidRPr="00792D7D">
        <w:rPr>
          <w:lang w:val="en-AU"/>
        </w:rPr>
        <w:t xml:space="preserve">terrestrial </w:t>
      </w:r>
      <w:r w:rsidR="00907BEE" w:rsidRPr="00792D7D">
        <w:rPr>
          <w:lang w:val="en-AU"/>
        </w:rPr>
        <w:t xml:space="preserve">and aquatic </w:t>
      </w:r>
      <w:r w:rsidR="00D61320" w:rsidRPr="00792D7D">
        <w:rPr>
          <w:lang w:val="en-AU"/>
        </w:rPr>
        <w:t xml:space="preserve">ecosystems from </w:t>
      </w:r>
      <w:r w:rsidR="00DF0B05" w:rsidRPr="00792D7D">
        <w:rPr>
          <w:lang w:val="en-AU"/>
        </w:rPr>
        <w:t xml:space="preserve">open-cut </w:t>
      </w:r>
      <w:r w:rsidR="00D61320" w:rsidRPr="00792D7D">
        <w:rPr>
          <w:lang w:val="en-AU"/>
        </w:rPr>
        <w:t>mining</w:t>
      </w:r>
      <w:r w:rsidR="00BF4918">
        <w:rPr>
          <w:lang w:val="en-AU"/>
        </w:rPr>
        <w:t>,</w:t>
      </w:r>
      <w:r w:rsidR="00D61320" w:rsidRPr="00792D7D">
        <w:rPr>
          <w:lang w:val="en-AU"/>
        </w:rPr>
        <w:t xml:space="preserve"> </w:t>
      </w:r>
      <w:r w:rsidR="00DF0B05" w:rsidRPr="00792D7D">
        <w:t xml:space="preserve">releases of mine-affected water and </w:t>
      </w:r>
      <w:r w:rsidR="00DF0B05" w:rsidRPr="00224490">
        <w:t xml:space="preserve">final voids (that </w:t>
      </w:r>
      <w:r w:rsidR="00BE3E96" w:rsidRPr="00224490">
        <w:t>are predicted to</w:t>
      </w:r>
      <w:r w:rsidR="00DF0B05" w:rsidRPr="00224490">
        <w:t xml:space="preserve"> become hypersaline)</w:t>
      </w:r>
      <w:r w:rsidR="00D61320" w:rsidRPr="00224490">
        <w:rPr>
          <w:lang w:val="en-AU"/>
        </w:rPr>
        <w:t xml:space="preserve"> in the region.</w:t>
      </w:r>
    </w:p>
    <w:p w14:paraId="6EBEEBE2" w14:textId="77777777" w:rsidR="004E26D2" w:rsidRPr="00792D7D" w:rsidRDefault="004E26D2" w:rsidP="00450F76">
      <w:pPr>
        <w:pStyle w:val="ListBullet"/>
        <w:numPr>
          <w:ilvl w:val="0"/>
          <w:numId w:val="0"/>
        </w:numPr>
        <w:rPr>
          <w:lang w:val="en-AU"/>
        </w:rPr>
      </w:pPr>
      <w:r w:rsidRPr="00792D7D">
        <w:rPr>
          <w:lang w:val="en-AU"/>
        </w:rPr>
        <w:t>The IESC has identified areas in which additional work is required to address the key potential impacts</w:t>
      </w:r>
      <w:r w:rsidR="005A1678" w:rsidRPr="00792D7D">
        <w:rPr>
          <w:lang w:val="en-AU"/>
        </w:rPr>
        <w:t xml:space="preserve"> of this project. These are discussed in</w:t>
      </w:r>
      <w:r w:rsidR="00946B55" w:rsidRPr="00792D7D">
        <w:rPr>
          <w:lang w:val="en-AU"/>
        </w:rPr>
        <w:t xml:space="preserve"> </w:t>
      </w:r>
      <w:r w:rsidR="005A1678" w:rsidRPr="00792D7D">
        <w:rPr>
          <w:lang w:val="en-AU"/>
        </w:rPr>
        <w:t>detail with</w:t>
      </w:r>
      <w:r w:rsidRPr="00792D7D">
        <w:rPr>
          <w:lang w:val="en-AU"/>
        </w:rPr>
        <w:t>in this advice</w:t>
      </w:r>
      <w:r w:rsidR="005A1678" w:rsidRPr="00792D7D">
        <w:rPr>
          <w:lang w:val="en-AU"/>
        </w:rPr>
        <w:t xml:space="preserve"> and are summarised</w:t>
      </w:r>
      <w:r w:rsidRPr="00792D7D">
        <w:rPr>
          <w:lang w:val="en-AU"/>
        </w:rPr>
        <w:t xml:space="preserve"> below.</w:t>
      </w:r>
    </w:p>
    <w:p w14:paraId="6EBEEBE3" w14:textId="77777777" w:rsidR="00D20A5D" w:rsidRPr="00792D7D" w:rsidRDefault="00293023" w:rsidP="004C34C7">
      <w:pPr>
        <w:pStyle w:val="ListParagraph"/>
        <w:numPr>
          <w:ilvl w:val="0"/>
          <w:numId w:val="8"/>
        </w:numPr>
        <w:jc w:val="both"/>
      </w:pPr>
      <w:r w:rsidRPr="00792D7D">
        <w:t xml:space="preserve">Consider options other than leaving the void on the </w:t>
      </w:r>
      <w:r w:rsidRPr="00224490">
        <w:t xml:space="preserve">floodplain </w:t>
      </w:r>
      <w:r w:rsidR="009D25A4" w:rsidRPr="00224490">
        <w:t xml:space="preserve">in order </w:t>
      </w:r>
      <w:r w:rsidR="00980F1B" w:rsidRPr="00224490">
        <w:t>to minimise</w:t>
      </w:r>
      <w:r w:rsidRPr="00224490">
        <w:t xml:space="preserve"> the</w:t>
      </w:r>
      <w:r w:rsidRPr="00792D7D">
        <w:t xml:space="preserve"> risk of legacy impacts</w:t>
      </w:r>
      <w:r w:rsidR="00980F1B" w:rsidRPr="00792D7D">
        <w:t>.</w:t>
      </w:r>
    </w:p>
    <w:p w14:paraId="6EBEEBE4" w14:textId="77777777" w:rsidR="00293023" w:rsidRPr="00792D7D" w:rsidRDefault="00484148" w:rsidP="00293023">
      <w:pPr>
        <w:pStyle w:val="ListParagraph"/>
        <w:numPr>
          <w:ilvl w:val="0"/>
          <w:numId w:val="8"/>
        </w:numPr>
        <w:jc w:val="both"/>
      </w:pPr>
      <w:r w:rsidRPr="00792D7D">
        <w:t xml:space="preserve">Redesign </w:t>
      </w:r>
      <w:r w:rsidR="00293023" w:rsidRPr="00792D7D">
        <w:t>arrangement of spoil dumps and surface infrastructure to retain and protect areas of Brigalow TEC in ML 700012.</w:t>
      </w:r>
    </w:p>
    <w:p w14:paraId="6EBEEBE5" w14:textId="77777777" w:rsidR="00D20A5D" w:rsidRPr="00792D7D" w:rsidRDefault="00D20A5D" w:rsidP="004C34C7">
      <w:pPr>
        <w:pStyle w:val="ListParagraph"/>
        <w:numPr>
          <w:ilvl w:val="0"/>
          <w:numId w:val="8"/>
        </w:numPr>
        <w:jc w:val="both"/>
      </w:pPr>
      <w:r w:rsidRPr="00792D7D">
        <w:t xml:space="preserve">Provide </w:t>
      </w:r>
      <w:r w:rsidR="00980F1B" w:rsidRPr="00224490">
        <w:t xml:space="preserve">modelling of </w:t>
      </w:r>
      <w:r w:rsidR="009D25A4" w:rsidRPr="00224490">
        <w:t xml:space="preserve">both </w:t>
      </w:r>
      <w:r w:rsidR="00AE440D" w:rsidRPr="00224490">
        <w:t xml:space="preserve">a more detailed </w:t>
      </w:r>
      <w:r w:rsidR="00980F1B" w:rsidRPr="00224490">
        <w:t>water balance and floods</w:t>
      </w:r>
      <w:r w:rsidR="00DF1261" w:rsidRPr="00224490">
        <w:t xml:space="preserve"> using climate change scenarios</w:t>
      </w:r>
      <w:r w:rsidRPr="00224490">
        <w:t xml:space="preserve"> to </w:t>
      </w:r>
      <w:r w:rsidR="00980F1B" w:rsidRPr="00224490">
        <w:t xml:space="preserve">identify a range of plausible </w:t>
      </w:r>
      <w:r w:rsidR="006F61A9" w:rsidRPr="00224490">
        <w:t>behaviour</w:t>
      </w:r>
      <w:r w:rsidR="00980F1B" w:rsidRPr="00792D7D">
        <w:t xml:space="preserve"> of the final void(s) over time</w:t>
      </w:r>
      <w:r w:rsidRPr="00792D7D">
        <w:t>.</w:t>
      </w:r>
    </w:p>
    <w:p w14:paraId="6EBEEBE6" w14:textId="77777777" w:rsidR="00907BEE" w:rsidRPr="00792D7D" w:rsidRDefault="00694817" w:rsidP="004C34C7">
      <w:pPr>
        <w:pStyle w:val="ListParagraph"/>
        <w:numPr>
          <w:ilvl w:val="0"/>
          <w:numId w:val="8"/>
        </w:numPr>
        <w:jc w:val="both"/>
      </w:pPr>
      <w:r w:rsidRPr="00792D7D">
        <w:t xml:space="preserve">Establish </w:t>
      </w:r>
      <w:r w:rsidR="00DF1261" w:rsidRPr="00792D7D">
        <w:t xml:space="preserve">adaptive </w:t>
      </w:r>
      <w:r w:rsidRPr="00792D7D">
        <w:t xml:space="preserve">management and monitoring plans </w:t>
      </w:r>
      <w:r w:rsidR="00293023" w:rsidRPr="00792D7D">
        <w:t xml:space="preserve">for assessing and mitigating impacts on </w:t>
      </w:r>
      <w:r w:rsidRPr="00224490">
        <w:t>surface</w:t>
      </w:r>
      <w:r w:rsidR="009D25A4" w:rsidRPr="00224490">
        <w:t xml:space="preserve"> water</w:t>
      </w:r>
      <w:r w:rsidRPr="00224490">
        <w:t xml:space="preserve"> and groundwater</w:t>
      </w:r>
      <w:r w:rsidR="00293023" w:rsidRPr="00792D7D">
        <w:t>.</w:t>
      </w:r>
      <w:r w:rsidR="00907BEE" w:rsidRPr="00792D7D">
        <w:t xml:space="preserve"> </w:t>
      </w:r>
    </w:p>
    <w:p w14:paraId="6EBEEBE7" w14:textId="77777777" w:rsidR="00D20A5D" w:rsidRPr="00792D7D" w:rsidRDefault="00907BEE" w:rsidP="004C34C7">
      <w:pPr>
        <w:pStyle w:val="ListParagraph"/>
        <w:numPr>
          <w:ilvl w:val="0"/>
          <w:numId w:val="8"/>
        </w:numPr>
        <w:jc w:val="both"/>
      </w:pPr>
      <w:r w:rsidRPr="00792D7D">
        <w:t>Characterise, through field tests and measurements, the nature of hydraulic connectivity between the adjacent ephemeral creeks (Blackwater Creek and Twelve Mile Creek), the shallow alluvium and deeper groundwater.</w:t>
      </w:r>
    </w:p>
    <w:p w14:paraId="6EBEEBE8" w14:textId="77777777" w:rsidR="00D248D5" w:rsidRPr="00792D7D" w:rsidRDefault="00293023" w:rsidP="00D248D5">
      <w:pPr>
        <w:pStyle w:val="ListParagraph"/>
        <w:numPr>
          <w:ilvl w:val="0"/>
          <w:numId w:val="8"/>
        </w:numPr>
        <w:jc w:val="both"/>
      </w:pPr>
      <w:r w:rsidRPr="00792D7D">
        <w:t>Adopt</w:t>
      </w:r>
      <w:r w:rsidR="002932BC" w:rsidRPr="00792D7D">
        <w:t xml:space="preserve"> a collaborative approach with other operators in the region to consider options for restoration coupled with mitigation of cumulative impacts. </w:t>
      </w:r>
    </w:p>
    <w:p w14:paraId="6EBEEBE9" w14:textId="77777777" w:rsidR="00BF21A7" w:rsidRPr="00792D7D" w:rsidRDefault="00D248D5" w:rsidP="00792D7D">
      <w:pPr>
        <w:pStyle w:val="ListParagraph"/>
        <w:numPr>
          <w:ilvl w:val="0"/>
          <w:numId w:val="8"/>
        </w:numPr>
        <w:jc w:val="both"/>
      </w:pPr>
      <w:r w:rsidRPr="00224490">
        <w:t>Undertake further ongoing studies of receiving ecosystems</w:t>
      </w:r>
      <w:r w:rsidRPr="00792D7D">
        <w:t xml:space="preserve"> downstream of the project that could potentially be impacted by releases of mine</w:t>
      </w:r>
      <w:r w:rsidR="00FA2C30" w:rsidRPr="00792D7D">
        <w:t>-</w:t>
      </w:r>
      <w:r w:rsidRPr="00792D7D">
        <w:t>affected water.</w:t>
      </w:r>
    </w:p>
    <w:p w14:paraId="6EBEEBEA" w14:textId="77777777" w:rsidR="00291857" w:rsidRPr="00BF21A7" w:rsidRDefault="00291857" w:rsidP="005A1678">
      <w:pPr>
        <w:keepNext/>
        <w:rPr>
          <w:b/>
        </w:rPr>
      </w:pPr>
      <w:r w:rsidRPr="00BF21A7">
        <w:rPr>
          <w:b/>
        </w:rPr>
        <w:t>Context</w:t>
      </w:r>
    </w:p>
    <w:p w14:paraId="6EBEEBEB" w14:textId="77777777" w:rsidR="00941BC3" w:rsidRDefault="008A02B9" w:rsidP="007772AD">
      <w:r w:rsidRPr="00941BC3">
        <w:t xml:space="preserve">The </w:t>
      </w:r>
      <w:r w:rsidR="005A7849">
        <w:t xml:space="preserve">proposed project is an extension of the existing </w:t>
      </w:r>
      <w:r w:rsidRPr="00941BC3">
        <w:t xml:space="preserve">Jellinbah </w:t>
      </w:r>
      <w:r w:rsidR="0004660A">
        <w:t xml:space="preserve">Central North (CN) </w:t>
      </w:r>
      <w:r w:rsidRPr="00941BC3">
        <w:t>Coal Mine</w:t>
      </w:r>
      <w:r w:rsidR="005A7849">
        <w:t>,</w:t>
      </w:r>
      <w:r w:rsidRPr="00941BC3">
        <w:t xml:space="preserve"> </w:t>
      </w:r>
      <w:r w:rsidR="00430856">
        <w:t>an open</w:t>
      </w:r>
      <w:r w:rsidR="00D66F6A">
        <w:t>-</w:t>
      </w:r>
      <w:r w:rsidR="00430856">
        <w:t xml:space="preserve">cut coal mine in the </w:t>
      </w:r>
      <w:r w:rsidRPr="00941BC3">
        <w:t>Bowen Basin in central Queensland</w:t>
      </w:r>
      <w:r w:rsidR="00941BC3">
        <w:t>.</w:t>
      </w:r>
      <w:r w:rsidR="00430856">
        <w:t xml:space="preserve"> The operational area of the current min</w:t>
      </w:r>
      <w:r w:rsidR="00586A9D">
        <w:t>e</w:t>
      </w:r>
      <w:r w:rsidR="00430856">
        <w:t xml:space="preserve"> is 30 km northeast of Blackwater and 180 km west of Rockhampton. </w:t>
      </w:r>
      <w:r w:rsidR="00586A9D">
        <w:t xml:space="preserve">The project </w:t>
      </w:r>
      <w:r w:rsidRPr="00941BC3">
        <w:t xml:space="preserve">will involve open-cut mining </w:t>
      </w:r>
      <w:r w:rsidR="002C7E32">
        <w:t xml:space="preserve">to </w:t>
      </w:r>
      <w:r w:rsidR="002C7E32">
        <w:lastRenderedPageBreak/>
        <w:t xml:space="preserve">target the Pollux Coal Seam </w:t>
      </w:r>
      <w:r w:rsidRPr="00941BC3">
        <w:t xml:space="preserve">using truck and excavator methods. </w:t>
      </w:r>
      <w:r w:rsidR="00586A9D">
        <w:t xml:space="preserve">Coal mined from the </w:t>
      </w:r>
      <w:r w:rsidR="005A7849">
        <w:t>project</w:t>
      </w:r>
      <w:r w:rsidR="00586A9D">
        <w:t xml:space="preserve"> will be transported in trucks for processing using existing mine infrastructure. </w:t>
      </w:r>
      <w:r w:rsidR="00734EAC">
        <w:t xml:space="preserve">The overall project will cover an area of approximately </w:t>
      </w:r>
      <w:r w:rsidR="00610BA1">
        <w:t>803 ha</w:t>
      </w:r>
      <w:r w:rsidR="00734218">
        <w:t>.</w:t>
      </w:r>
      <w:r w:rsidR="00734EAC">
        <w:t xml:space="preserve"> </w:t>
      </w:r>
      <w:r w:rsidR="00734218">
        <w:t>T</w:t>
      </w:r>
      <w:r w:rsidR="00734EAC">
        <w:t xml:space="preserve">he </w:t>
      </w:r>
      <w:r w:rsidR="002932BC">
        <w:t xml:space="preserve">proposed expansion </w:t>
      </w:r>
      <w:r w:rsidR="00734EAC">
        <w:t xml:space="preserve">is anticipated to augment the current production of the </w:t>
      </w:r>
      <w:r w:rsidR="0004660A">
        <w:t>CN c</w:t>
      </w:r>
      <w:r w:rsidR="005A7849">
        <w:t xml:space="preserve">oal </w:t>
      </w:r>
      <w:r w:rsidR="0004660A">
        <w:t>m</w:t>
      </w:r>
      <w:r w:rsidR="00734EAC">
        <w:t>ine by an average of 1.0 Mtpa ROM coal</w:t>
      </w:r>
      <w:r w:rsidR="00610BA1">
        <w:t>, over the 20</w:t>
      </w:r>
      <w:r w:rsidR="00D66F6A">
        <w:t>-</w:t>
      </w:r>
      <w:r w:rsidR="00610BA1">
        <w:t>year life of the project</w:t>
      </w:r>
      <w:r w:rsidR="00734EAC">
        <w:t>.</w:t>
      </w:r>
      <w:r w:rsidR="0075745C">
        <w:t xml:space="preserve"> The project will operate </w:t>
      </w:r>
      <w:r w:rsidR="002932BC">
        <w:t xml:space="preserve">under </w:t>
      </w:r>
      <w:r w:rsidR="0075745C">
        <w:t xml:space="preserve">the current environmental authority for the </w:t>
      </w:r>
      <w:r w:rsidR="0004660A">
        <w:t>CN coal mine</w:t>
      </w:r>
      <w:r w:rsidR="0075745C">
        <w:t>.</w:t>
      </w:r>
    </w:p>
    <w:p w14:paraId="6EBEEBEC" w14:textId="77777777" w:rsidR="007772AD" w:rsidRPr="00941BC3" w:rsidRDefault="00610BA1" w:rsidP="00610BA1">
      <w:pPr>
        <w:pStyle w:val="ListBullet5"/>
      </w:pPr>
      <w:r>
        <w:t>The region is extensively modified by existing open</w:t>
      </w:r>
      <w:r w:rsidR="00D66F6A">
        <w:t>-</w:t>
      </w:r>
      <w:r>
        <w:t xml:space="preserve">cut mines to the east, north, west and south. Water resource development has occurred along the Mackenzie River, with significant </w:t>
      </w:r>
      <w:r w:rsidR="00D66F6A">
        <w:t xml:space="preserve">volumes of </w:t>
      </w:r>
      <w:r>
        <w:t>water retain</w:t>
      </w:r>
      <w:r w:rsidR="00D66F6A">
        <w:t>ed by</w:t>
      </w:r>
      <w:r>
        <w:t xml:space="preserve"> structures </w:t>
      </w:r>
      <w:r w:rsidR="005A7849">
        <w:t xml:space="preserve">including </w:t>
      </w:r>
      <w:r>
        <w:t>Bedford, Binegang and Tartrus Weirs. Curragh North Mine is located</w:t>
      </w:r>
      <w:r w:rsidR="006E4F57">
        <w:t xml:space="preserve"> immediately adjacent and</w:t>
      </w:r>
      <w:r>
        <w:t xml:space="preserve"> upstream of the Jellinbah Mine and </w:t>
      </w:r>
      <w:r w:rsidR="00CE3180">
        <w:t xml:space="preserve">discharges into </w:t>
      </w:r>
      <w:r>
        <w:t>the Mackenzie River and Blackwater Creek. Land use is typically rural with substantial areas cleared for low</w:t>
      </w:r>
      <w:r w:rsidR="00D66F6A">
        <w:t>-</w:t>
      </w:r>
      <w:r>
        <w:t>intensity cattle grazing. Within the vicinity of the project area</w:t>
      </w:r>
      <w:r w:rsidR="00D66F6A">
        <w:t>,</w:t>
      </w:r>
      <w:r>
        <w:t xml:space="preserve"> the surface water resources are primarily used for stock watering purposes.</w:t>
      </w:r>
      <w:r w:rsidR="006E4F57">
        <w:t xml:space="preserve"> The Quaternary Alluvium groundwater is used for stock watering. Other groundwater resources are brackish to </w:t>
      </w:r>
      <w:r w:rsidR="006E4F57" w:rsidRPr="00224490">
        <w:t xml:space="preserve">saline and </w:t>
      </w:r>
      <w:r w:rsidR="007C792D" w:rsidRPr="00224490">
        <w:t xml:space="preserve">are </w:t>
      </w:r>
      <w:r w:rsidR="006E4F57" w:rsidRPr="00224490">
        <w:t xml:space="preserve">not </w:t>
      </w:r>
      <w:r w:rsidR="007D2209" w:rsidRPr="00224490">
        <w:t>intensively</w:t>
      </w:r>
      <w:r w:rsidR="007D2209">
        <w:t xml:space="preserve"> </w:t>
      </w:r>
      <w:r w:rsidR="006E4F57">
        <w:t>utilised.</w:t>
      </w:r>
    </w:p>
    <w:p w14:paraId="6EBEEBED" w14:textId="77777777" w:rsidR="007203C3" w:rsidRPr="00BF21A7" w:rsidRDefault="00766009" w:rsidP="007772AD">
      <w:r w:rsidRPr="007772AD">
        <w:rPr>
          <w:b/>
        </w:rPr>
        <w:t>Response to questions</w:t>
      </w:r>
    </w:p>
    <w:p w14:paraId="6EBEEBEE" w14:textId="77777777" w:rsidR="00766009" w:rsidRPr="00BF21A7" w:rsidRDefault="007203C3" w:rsidP="005A7849">
      <w:pPr>
        <w:pStyle w:val="Default"/>
        <w:spacing w:after="200" w:line="276" w:lineRule="auto"/>
        <w:rPr>
          <w:color w:val="FF0000"/>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 xml:space="preserve">specific questions is provided below. </w:t>
      </w:r>
    </w:p>
    <w:p w14:paraId="6EBEEBEF" w14:textId="77777777" w:rsidR="007203C3" w:rsidRPr="00BF21A7" w:rsidRDefault="007203C3" w:rsidP="00C60A1A">
      <w:pPr>
        <w:pStyle w:val="Question"/>
        <w:shd w:val="clear" w:color="auto" w:fill="E7E6E6"/>
        <w:rPr>
          <w:lang w:eastAsia="en-AU"/>
        </w:rPr>
      </w:pPr>
      <w:r w:rsidRPr="00BF21A7">
        <w:t xml:space="preserve">Question 1: </w:t>
      </w:r>
      <w:r w:rsidR="00ED7CF2">
        <w:t xml:space="preserve">Can the Committee provide comment on whether </w:t>
      </w:r>
      <w:r w:rsidR="00ED7CF2" w:rsidRPr="00BE60C6">
        <w:t>the information provided in the assessment documentation</w:t>
      </w:r>
      <w:r w:rsidR="00ED7CF2">
        <w:t xml:space="preserve">, particularly including baseline and modelled data, and the conclusions drawn by the proponent, </w:t>
      </w:r>
      <w:r w:rsidR="00ED7CF2" w:rsidRPr="00BE60C6">
        <w:t>are sufficient</w:t>
      </w:r>
      <w:r w:rsidR="00ED7CF2">
        <w:t xml:space="preserve"> to assess the projects surface and groundwater resources (</w:t>
      </w:r>
      <w:r w:rsidR="001E1B7B">
        <w:t>including</w:t>
      </w:r>
      <w:r w:rsidR="00ED7CF2">
        <w:t xml:space="preserve"> the Mackenzie </w:t>
      </w:r>
      <w:r w:rsidR="001E1B7B">
        <w:t>River</w:t>
      </w:r>
      <w:r w:rsidR="00ED7CF2">
        <w:t xml:space="preserve"> and </w:t>
      </w:r>
      <w:r w:rsidR="00ED7CF2" w:rsidRPr="00D846B8">
        <w:t>associated alluvium), GDEs and cumulative impacts</w:t>
      </w:r>
      <w:r w:rsidR="00ED7CF2">
        <w:t xml:space="preserve"> with other proposed and </w:t>
      </w:r>
      <w:r w:rsidR="001E1B7B">
        <w:t>existing</w:t>
      </w:r>
      <w:r w:rsidR="00ED7CF2">
        <w:t xml:space="preserve"> projects?</w:t>
      </w:r>
    </w:p>
    <w:p w14:paraId="6EBEEBF0" w14:textId="77777777" w:rsidR="001611F9" w:rsidRPr="00BF21A7" w:rsidRDefault="00BE60C6" w:rsidP="00982EA7">
      <w:pPr>
        <w:pStyle w:val="ListNumber"/>
      </w:pPr>
      <w:r>
        <w:t>The current</w:t>
      </w:r>
      <w:r w:rsidR="00CF4C99">
        <w:t xml:space="preserve"> assessment</w:t>
      </w:r>
      <w:r>
        <w:t xml:space="preserve"> documentation, while providing information on the proposed project, </w:t>
      </w:r>
      <w:r w:rsidR="002C7E32">
        <w:t xml:space="preserve">does not provide sufficient information </w:t>
      </w:r>
      <w:r w:rsidR="00D248D5">
        <w:t xml:space="preserve">to assess </w:t>
      </w:r>
      <w:r w:rsidR="002C7E32">
        <w:t xml:space="preserve">potential impacts </w:t>
      </w:r>
      <w:r w:rsidR="00D248D5">
        <w:t xml:space="preserve">on </w:t>
      </w:r>
      <w:r w:rsidR="00D248D5" w:rsidRPr="00224490">
        <w:t>other surface</w:t>
      </w:r>
      <w:r w:rsidR="00446B86" w:rsidRPr="00224490">
        <w:t xml:space="preserve"> water</w:t>
      </w:r>
      <w:r w:rsidR="00D248D5" w:rsidRPr="00224490">
        <w:t xml:space="preserve"> and groundwater</w:t>
      </w:r>
      <w:r w:rsidR="00D248D5">
        <w:t xml:space="preserve"> resources particularly the Mackenzie River and alluvium </w:t>
      </w:r>
      <w:r w:rsidR="002C7E32">
        <w:t xml:space="preserve">outside of the project area. The documentation </w:t>
      </w:r>
      <w:r>
        <w:t xml:space="preserve">does not contain sufficient baseline data or justification of the </w:t>
      </w:r>
      <w:r w:rsidR="001E1B7B">
        <w:t>proponent’s</w:t>
      </w:r>
      <w:r>
        <w:t xml:space="preserve"> conclusions to allow the IESC to assess all potential </w:t>
      </w:r>
      <w:r w:rsidRPr="00792D7D">
        <w:t xml:space="preserve">impacts </w:t>
      </w:r>
      <w:r w:rsidR="00DF0B05" w:rsidRPr="00792D7D">
        <w:t xml:space="preserve">of </w:t>
      </w:r>
      <w:r w:rsidRPr="00792D7D">
        <w:t xml:space="preserve">the project </w:t>
      </w:r>
      <w:r w:rsidR="00DF0B05" w:rsidRPr="00792D7D">
        <w:t>on</w:t>
      </w:r>
      <w:r w:rsidRPr="00792D7D">
        <w:t xml:space="preserve"> water resources. </w:t>
      </w:r>
      <w:r w:rsidR="00707B23" w:rsidRPr="00792D7D">
        <w:t>The project is an extension of an existing mine and the proponent should have site</w:t>
      </w:r>
      <w:r w:rsidR="00D248D5" w:rsidRPr="00792D7D">
        <w:t>-</w:t>
      </w:r>
      <w:r w:rsidR="00707B23" w:rsidRPr="00792D7D">
        <w:t>specific baseline data</w:t>
      </w:r>
      <w:r w:rsidR="00AE46C9" w:rsidRPr="00792D7D">
        <w:t xml:space="preserve"> </w:t>
      </w:r>
      <w:r w:rsidR="00DF0B05" w:rsidRPr="00792D7D">
        <w:t xml:space="preserve">that can be used to indicate potential impacts of the extension and to provide reference data against which to assess the effectiveness of mitigation strategies. </w:t>
      </w:r>
      <w:r w:rsidR="00982EA7" w:rsidRPr="00792D7D">
        <w:t>The IESC has highlighted</w:t>
      </w:r>
      <w:r w:rsidRPr="00792D7D">
        <w:t>,</w:t>
      </w:r>
      <w:r w:rsidR="00982EA7" w:rsidRPr="00792D7D">
        <w:t xml:space="preserve"> in the</w:t>
      </w:r>
      <w:r w:rsidR="00982EA7" w:rsidRPr="00982EA7">
        <w:t xml:space="preserve"> response to </w:t>
      </w:r>
      <w:r w:rsidR="001E1B7B" w:rsidRPr="00982EA7">
        <w:t>Question</w:t>
      </w:r>
      <w:r w:rsidR="00982EA7" w:rsidRPr="00982EA7">
        <w:t xml:space="preserve"> 2</w:t>
      </w:r>
      <w:r>
        <w:t>,</w:t>
      </w:r>
      <w:r w:rsidR="00982EA7" w:rsidRPr="00982EA7">
        <w:t xml:space="preserve"> the </w:t>
      </w:r>
      <w:r>
        <w:t xml:space="preserve">additional </w:t>
      </w:r>
      <w:r w:rsidR="00982EA7" w:rsidRPr="00982EA7">
        <w:t xml:space="preserve">documentation </w:t>
      </w:r>
      <w:r>
        <w:t xml:space="preserve">and </w:t>
      </w:r>
      <w:r w:rsidR="00CF4C99">
        <w:t>information</w:t>
      </w:r>
      <w:r w:rsidR="00CF4C99" w:rsidRPr="00982EA7">
        <w:t xml:space="preserve"> </w:t>
      </w:r>
      <w:r w:rsidR="00982EA7" w:rsidRPr="00982EA7">
        <w:t>required to</w:t>
      </w:r>
      <w:r w:rsidR="00982EA7">
        <w:t xml:space="preserve"> </w:t>
      </w:r>
      <w:r w:rsidR="00CF4C99">
        <w:t xml:space="preserve">assist in the assessment </w:t>
      </w:r>
      <w:r>
        <w:t xml:space="preserve">of </w:t>
      </w:r>
      <w:r w:rsidR="00982EA7" w:rsidRPr="00982EA7">
        <w:t>the project</w:t>
      </w:r>
      <w:r w:rsidR="002F1928">
        <w:t>’</w:t>
      </w:r>
      <w:r w:rsidR="00982EA7" w:rsidRPr="00982EA7">
        <w:t xml:space="preserve">s </w:t>
      </w:r>
      <w:r>
        <w:t xml:space="preserve">potential </w:t>
      </w:r>
      <w:r w:rsidR="00982EA7" w:rsidRPr="00982EA7">
        <w:t>impacts to the surface water and groundwater resources</w:t>
      </w:r>
      <w:r w:rsidR="00982EA7">
        <w:t xml:space="preserve">, </w:t>
      </w:r>
      <w:r w:rsidR="001E1B7B">
        <w:t>including</w:t>
      </w:r>
      <w:r w:rsidR="00982EA7">
        <w:t xml:space="preserve"> the Mackenzie </w:t>
      </w:r>
      <w:r>
        <w:t>R</w:t>
      </w:r>
      <w:r w:rsidR="00982EA7">
        <w:t>iver and associated alluvium, GDEs and cumulative impacts</w:t>
      </w:r>
      <w:r w:rsidR="00982EA7" w:rsidRPr="00982EA7">
        <w:t xml:space="preserve">. </w:t>
      </w:r>
    </w:p>
    <w:p w14:paraId="6EBEEBF1" w14:textId="77777777" w:rsidR="00D74FCA" w:rsidRDefault="007203C3" w:rsidP="00C03EB1">
      <w:pPr>
        <w:pStyle w:val="Question"/>
        <w:shd w:val="clear" w:color="auto" w:fill="E7E6E6"/>
      </w:pPr>
      <w:r w:rsidRPr="00BF21A7">
        <w:t>Question 2:</w:t>
      </w:r>
      <w:r w:rsidR="00ED7CF2">
        <w:t xml:space="preserve"> Can the Committee identify and discuss what additional information is required to assist in the </w:t>
      </w:r>
      <w:r w:rsidR="00ED7CF2" w:rsidRPr="00BE60C6">
        <w:t>assessment of impacts</w:t>
      </w:r>
      <w:r w:rsidR="00ED7CF2">
        <w:t xml:space="preserve"> on surface and groundwater resources (including the Mackenzie River and associated alluvium</w:t>
      </w:r>
      <w:r w:rsidR="000E1529">
        <w:t xml:space="preserve">), GDEs and cumulative impacts with other proposed and </w:t>
      </w:r>
      <w:r w:rsidR="001E1B7B">
        <w:t>existing</w:t>
      </w:r>
      <w:r w:rsidR="000E1529">
        <w:t xml:space="preserve"> projects?</w:t>
      </w:r>
    </w:p>
    <w:p w14:paraId="6EBEEBF2" w14:textId="77777777" w:rsidR="0075745C" w:rsidRPr="00BE60C6" w:rsidRDefault="0075745C" w:rsidP="00E20E23">
      <w:pPr>
        <w:pStyle w:val="ListNumber"/>
        <w:numPr>
          <w:ilvl w:val="0"/>
          <w:numId w:val="0"/>
        </w:numPr>
        <w:ind w:left="369" w:hanging="369"/>
        <w:rPr>
          <w:u w:val="single"/>
        </w:rPr>
      </w:pPr>
      <w:r w:rsidRPr="00BE60C6">
        <w:rPr>
          <w:u w:val="single"/>
        </w:rPr>
        <w:t>Groundwater</w:t>
      </w:r>
    </w:p>
    <w:p w14:paraId="6EBEEBF3" w14:textId="77777777" w:rsidR="00F60CB6" w:rsidRDefault="00734218" w:rsidP="00792D7D">
      <w:pPr>
        <w:pStyle w:val="ListNumber"/>
      </w:pPr>
      <w:r>
        <w:t>At</w:t>
      </w:r>
      <w:r w:rsidR="0075745C">
        <w:t xml:space="preserve"> the existing Jellinbah CN mine</w:t>
      </w:r>
      <w:r w:rsidR="00CA3814">
        <w:t>,</w:t>
      </w:r>
      <w:r w:rsidR="0075745C">
        <w:t xml:space="preserve"> </w:t>
      </w:r>
      <w:r w:rsidR="00E40DA0">
        <w:t>the proponent notes</w:t>
      </w:r>
      <w:r w:rsidR="0075745C">
        <w:t xml:space="preserve"> </w:t>
      </w:r>
      <w:r w:rsidR="00153486">
        <w:t xml:space="preserve">that </w:t>
      </w:r>
      <w:r w:rsidR="0075745C">
        <w:t xml:space="preserve">no dewatering has been </w:t>
      </w:r>
      <w:r w:rsidR="00BE60C6">
        <w:t xml:space="preserve">required </w:t>
      </w:r>
      <w:r w:rsidR="0075745C">
        <w:t>to</w:t>
      </w:r>
      <w:r w:rsidR="00BE60C6">
        <w:t xml:space="preserve"> mine the Pollux seam</w:t>
      </w:r>
      <w:r w:rsidR="00CE3180">
        <w:t xml:space="preserve"> </w:t>
      </w:r>
      <w:r w:rsidR="00BE4A29">
        <w:t>to a depth of</w:t>
      </w:r>
      <w:r w:rsidR="00CE3180">
        <w:t xml:space="preserve"> 125 m</w:t>
      </w:r>
      <w:r w:rsidR="00BE60C6">
        <w:t>.</w:t>
      </w:r>
      <w:r w:rsidR="0075745C">
        <w:t xml:space="preserve"> </w:t>
      </w:r>
      <w:r w:rsidR="00B1566A">
        <w:t xml:space="preserve">Based on this </w:t>
      </w:r>
      <w:r w:rsidR="00B1566A" w:rsidRPr="00792D7D">
        <w:t>experience</w:t>
      </w:r>
      <w:r w:rsidR="00CA3814" w:rsidRPr="00792D7D">
        <w:t>,</w:t>
      </w:r>
      <w:r w:rsidR="00B1566A" w:rsidRPr="00792D7D">
        <w:t xml:space="preserve"> t</w:t>
      </w:r>
      <w:r w:rsidR="0075745C" w:rsidRPr="00792D7D">
        <w:t xml:space="preserve">he proponent </w:t>
      </w:r>
      <w:r w:rsidR="00153486" w:rsidRPr="00792D7D">
        <w:t>does not plan</w:t>
      </w:r>
      <w:r w:rsidR="0075745C" w:rsidRPr="00792D7D">
        <w:t xml:space="preserve"> to install dewatering bores </w:t>
      </w:r>
      <w:r w:rsidR="00B1566A" w:rsidRPr="00792D7D">
        <w:t xml:space="preserve">at </w:t>
      </w:r>
      <w:r w:rsidR="0075745C" w:rsidRPr="00792D7D">
        <w:t>the</w:t>
      </w:r>
      <w:r w:rsidR="00BE60C6" w:rsidRPr="00792D7D">
        <w:t xml:space="preserve"> project</w:t>
      </w:r>
      <w:r w:rsidR="00B1566A" w:rsidRPr="00792D7D">
        <w:t xml:space="preserve"> site</w:t>
      </w:r>
      <w:r w:rsidR="00BE60C6" w:rsidRPr="00792D7D">
        <w:t>.</w:t>
      </w:r>
      <w:r w:rsidR="0075745C" w:rsidRPr="00792D7D">
        <w:t xml:space="preserve"> </w:t>
      </w:r>
      <w:r w:rsidR="00BE60C6" w:rsidRPr="00792D7D">
        <w:t>T</w:t>
      </w:r>
      <w:r w:rsidR="0075745C" w:rsidRPr="00792D7D">
        <w:t xml:space="preserve">his </w:t>
      </w:r>
      <w:r w:rsidR="00B1566A" w:rsidRPr="00792D7D">
        <w:t>would reduce the likelihood of the project impacting groundwater levels and adding to cumulative groundwater impacts in the region.</w:t>
      </w:r>
      <w:r w:rsidR="00BD0520" w:rsidRPr="00792D7D">
        <w:t xml:space="preserve"> </w:t>
      </w:r>
      <w:r w:rsidR="00DF0B05" w:rsidRPr="00792D7D">
        <w:t>However,</w:t>
      </w:r>
      <w:r w:rsidR="00470478" w:rsidRPr="00792D7D">
        <w:t xml:space="preserve"> operational changes to mines in the surrounding area may lead to </w:t>
      </w:r>
      <w:r w:rsidR="008E7AC0" w:rsidRPr="00792D7D">
        <w:t xml:space="preserve">future </w:t>
      </w:r>
      <w:r w:rsidR="00470478" w:rsidRPr="00792D7D">
        <w:t>groundwater level rebound</w:t>
      </w:r>
      <w:r w:rsidR="00DF0B05" w:rsidRPr="00792D7D">
        <w:t>,</w:t>
      </w:r>
      <w:r w:rsidR="00470478" w:rsidRPr="00792D7D">
        <w:t xml:space="preserve"> </w:t>
      </w:r>
      <w:r w:rsidR="00DF0B05" w:rsidRPr="00792D7D">
        <w:t>and so the IESC suggests that the proponent install appropriate monitoring bores to track future water level changes.</w:t>
      </w:r>
      <w:r w:rsidR="00AE46C9" w:rsidRPr="00792D7D">
        <w:t xml:space="preserve"> </w:t>
      </w:r>
      <w:r w:rsidR="00BE4A29" w:rsidRPr="00792D7D">
        <w:t>The proponent considers that impacts to the alluvial aquifers are not likely to occur</w:t>
      </w:r>
      <w:r w:rsidR="002126D0" w:rsidRPr="00792D7D">
        <w:t xml:space="preserve">. This </w:t>
      </w:r>
      <w:r w:rsidR="00A821D7" w:rsidRPr="00792D7D">
        <w:t xml:space="preserve">is because of a hypothesised </w:t>
      </w:r>
      <w:r w:rsidR="00A821D7" w:rsidRPr="00224490">
        <w:t>disconnection</w:t>
      </w:r>
      <w:r w:rsidR="00BE4A29" w:rsidRPr="00224490">
        <w:t xml:space="preserve"> </w:t>
      </w:r>
      <w:r w:rsidR="00DB194B" w:rsidRPr="00224490">
        <w:t xml:space="preserve">between the alluvial and Permian aquifers. </w:t>
      </w:r>
      <w:r w:rsidR="00BE4A29" w:rsidRPr="00224490">
        <w:t>T</w:t>
      </w:r>
      <w:r w:rsidRPr="00224490">
        <w:t>he proponent should provide further information</w:t>
      </w:r>
      <w:r w:rsidR="00A821D7" w:rsidRPr="00224490">
        <w:t>,</w:t>
      </w:r>
      <w:r w:rsidRPr="00224490">
        <w:t xml:space="preserve"> including </w:t>
      </w:r>
      <w:r w:rsidR="00183E75" w:rsidRPr="00224490">
        <w:t xml:space="preserve">hydrogeologic </w:t>
      </w:r>
      <w:r w:rsidRPr="00224490">
        <w:t>data</w:t>
      </w:r>
      <w:r w:rsidR="00A821D7" w:rsidRPr="00792D7D">
        <w:t>,</w:t>
      </w:r>
      <w:r w:rsidRPr="00792D7D">
        <w:t xml:space="preserve"> </w:t>
      </w:r>
      <w:r w:rsidR="002126D0" w:rsidRPr="00792D7D">
        <w:t xml:space="preserve">to </w:t>
      </w:r>
      <w:r w:rsidR="008C7BCD" w:rsidRPr="00792D7D">
        <w:t xml:space="preserve">validate the apparent </w:t>
      </w:r>
      <w:r w:rsidRPr="00792D7D">
        <w:t xml:space="preserve">lack of connectivity between </w:t>
      </w:r>
      <w:r w:rsidR="00A821D7" w:rsidRPr="00792D7D">
        <w:t>the</w:t>
      </w:r>
      <w:r w:rsidRPr="00792D7D">
        <w:t xml:space="preserve"> Permian </w:t>
      </w:r>
      <w:r w:rsidR="00183E75" w:rsidRPr="00792D7D">
        <w:t xml:space="preserve">strata </w:t>
      </w:r>
      <w:r w:rsidR="0004660A" w:rsidRPr="00792D7D">
        <w:t>(target coal strata)</w:t>
      </w:r>
      <w:r w:rsidR="00D248D5" w:rsidRPr="00792D7D">
        <w:t>,</w:t>
      </w:r>
      <w:r w:rsidRPr="00792D7D">
        <w:t xml:space="preserve"> shallow alluvial aquifers</w:t>
      </w:r>
      <w:r w:rsidR="00D248D5" w:rsidRPr="00792D7D">
        <w:t xml:space="preserve"> and </w:t>
      </w:r>
      <w:r w:rsidR="00183E75" w:rsidRPr="00792D7D">
        <w:t>Twelve</w:t>
      </w:r>
      <w:r w:rsidR="00D248D5" w:rsidRPr="00792D7D">
        <w:t xml:space="preserve"> Mile Creek</w:t>
      </w:r>
      <w:r w:rsidR="00A821D7" w:rsidRPr="00792D7D">
        <w:t>.</w:t>
      </w:r>
      <w:r w:rsidRPr="00792D7D">
        <w:t xml:space="preserve"> </w:t>
      </w:r>
      <w:r w:rsidR="00A024DD" w:rsidRPr="00792D7D">
        <w:t xml:space="preserve">If </w:t>
      </w:r>
      <w:r w:rsidR="00DB194B" w:rsidRPr="00792D7D">
        <w:t xml:space="preserve">this </w:t>
      </w:r>
      <w:r w:rsidR="00183E75" w:rsidRPr="00792D7D">
        <w:t xml:space="preserve">disconnection </w:t>
      </w:r>
      <w:r w:rsidR="00DB194B" w:rsidRPr="00792D7D">
        <w:t>is confirmed</w:t>
      </w:r>
      <w:r w:rsidR="00DF0B05" w:rsidRPr="00792D7D">
        <w:t>,</w:t>
      </w:r>
      <w:r w:rsidR="00DB194B" w:rsidRPr="00792D7D">
        <w:t xml:space="preserve"> then</w:t>
      </w:r>
      <w:r w:rsidR="00A024DD" w:rsidRPr="00792D7D">
        <w:t xml:space="preserve"> the IESC notes that additional </w:t>
      </w:r>
      <w:r w:rsidR="00A024DD" w:rsidRPr="00792D7D">
        <w:lastRenderedPageBreak/>
        <w:t xml:space="preserve">drawdown of deeper groundwater may not </w:t>
      </w:r>
      <w:r w:rsidR="009C72EA" w:rsidRPr="00792D7D">
        <w:t xml:space="preserve">produce </w:t>
      </w:r>
      <w:r w:rsidR="00A024DD" w:rsidRPr="00792D7D">
        <w:t xml:space="preserve">any additional impact in the shallow alluvium or overlying watercourses. </w:t>
      </w:r>
      <w:r w:rsidR="00DF0B05" w:rsidRPr="00792D7D">
        <w:t>Conversely, if</w:t>
      </w:r>
      <w:r w:rsidR="00A024DD" w:rsidRPr="00792D7D">
        <w:t xml:space="preserve"> the strata </w:t>
      </w:r>
      <w:r w:rsidR="00DB194B" w:rsidRPr="00792D7D">
        <w:t xml:space="preserve">are </w:t>
      </w:r>
      <w:r w:rsidR="00A024DD" w:rsidRPr="00792D7D">
        <w:t>saturated</w:t>
      </w:r>
      <w:r w:rsidR="00183E75" w:rsidRPr="00792D7D">
        <w:t xml:space="preserve"> and connected</w:t>
      </w:r>
      <w:r w:rsidR="00CA3814" w:rsidRPr="00792D7D">
        <w:t>,</w:t>
      </w:r>
      <w:r w:rsidR="00A024DD" w:rsidRPr="00792D7D">
        <w:t xml:space="preserve"> then additional</w:t>
      </w:r>
      <w:r w:rsidR="00A024DD">
        <w:t xml:space="preserve"> drawdown may increase loss</w:t>
      </w:r>
      <w:r w:rsidR="00DB194B">
        <w:t>es</w:t>
      </w:r>
      <w:r w:rsidR="00A024DD">
        <w:t xml:space="preserve"> from the shallow alluvium resulting in potential impacts on riparian vegetation</w:t>
      </w:r>
      <w:r w:rsidR="0099487F">
        <w:t>,</w:t>
      </w:r>
      <w:r w:rsidR="00A024DD">
        <w:t xml:space="preserve"> stygofauna</w:t>
      </w:r>
      <w:r w:rsidR="0099487F">
        <w:t xml:space="preserve">, and hyporheic processes </w:t>
      </w:r>
      <w:r w:rsidR="00645D0F">
        <w:t xml:space="preserve">(e.g. Burrows </w:t>
      </w:r>
      <w:r w:rsidR="00D34DC2" w:rsidRPr="00D34DC2">
        <w:rPr>
          <w:i/>
        </w:rPr>
        <w:t>et al.</w:t>
      </w:r>
      <w:r w:rsidR="00645D0F">
        <w:t xml:space="preserve"> 2017)</w:t>
      </w:r>
      <w:r w:rsidR="00CA3814">
        <w:t>. There may also be reductions in the persistence of pools along creek beds after flow ceases, reducing habitat availability for aquatic biota</w:t>
      </w:r>
      <w:r w:rsidR="00A024DD">
        <w:t>.</w:t>
      </w:r>
    </w:p>
    <w:p w14:paraId="6EBEEBF4" w14:textId="77777777" w:rsidR="00D26228" w:rsidRDefault="00BD0520" w:rsidP="007C5EA7">
      <w:pPr>
        <w:pStyle w:val="ListNumber"/>
      </w:pPr>
      <w:r>
        <w:t xml:space="preserve">The proponent </w:t>
      </w:r>
      <w:r w:rsidR="00D26228">
        <w:t>has used</w:t>
      </w:r>
      <w:r>
        <w:t xml:space="preserve"> a 2-dimensional </w:t>
      </w:r>
      <w:r w:rsidR="002F084F">
        <w:t xml:space="preserve">(2D) </w:t>
      </w:r>
      <w:r>
        <w:t>model</w:t>
      </w:r>
      <w:r w:rsidR="00D26228">
        <w:t xml:space="preserve">, </w:t>
      </w:r>
      <w:r>
        <w:t>S</w:t>
      </w:r>
      <w:r w:rsidR="00CD5565">
        <w:t>EEP</w:t>
      </w:r>
      <w:r>
        <w:t>/W</w:t>
      </w:r>
      <w:r w:rsidR="00D26228">
        <w:t>, to predict groundwater drawdown</w:t>
      </w:r>
      <w:r>
        <w:t xml:space="preserve">. </w:t>
      </w:r>
      <w:r w:rsidR="00E40DA0">
        <w:t xml:space="preserve">The proponent </w:t>
      </w:r>
      <w:r w:rsidR="008C7BCD">
        <w:t xml:space="preserve">should justify why this model is better suited for the purpose of predicting drawdown </w:t>
      </w:r>
      <w:r w:rsidR="00D26228">
        <w:t xml:space="preserve">than </w:t>
      </w:r>
      <w:r w:rsidR="00A86B4B">
        <w:t xml:space="preserve">a </w:t>
      </w:r>
      <w:r w:rsidR="00D26228">
        <w:t>3-dimensional</w:t>
      </w:r>
      <w:r w:rsidR="002F084F">
        <w:t xml:space="preserve"> (3D)</w:t>
      </w:r>
      <w:r w:rsidR="00D26228">
        <w:t xml:space="preserve"> model</w:t>
      </w:r>
      <w:r w:rsidR="008C7BCD">
        <w:t>.</w:t>
      </w:r>
    </w:p>
    <w:p w14:paraId="6EBEEBF5" w14:textId="77777777" w:rsidR="00D51077" w:rsidRPr="00792D7D" w:rsidRDefault="00D51077" w:rsidP="004A3959">
      <w:pPr>
        <w:pStyle w:val="ListNumber2"/>
      </w:pPr>
      <w:r>
        <w:t xml:space="preserve">The IESC notes that drawdown impacts </w:t>
      </w:r>
      <w:r w:rsidR="00401021">
        <w:t>predicted by</w:t>
      </w:r>
      <w:r>
        <w:t xml:space="preserve"> 2</w:t>
      </w:r>
      <w:r w:rsidR="00F472BF">
        <w:t>D</w:t>
      </w:r>
      <w:r>
        <w:t xml:space="preserve"> models such as S</w:t>
      </w:r>
      <w:r w:rsidR="00CD5565">
        <w:t>EEP</w:t>
      </w:r>
      <w:r>
        <w:t xml:space="preserve">/W are likely to </w:t>
      </w:r>
      <w:r w:rsidR="00183E75">
        <w:t>differ from the</w:t>
      </w:r>
      <w:r w:rsidR="00401021">
        <w:t xml:space="preserve"> </w:t>
      </w:r>
      <w:r w:rsidR="00401021" w:rsidRPr="00792D7D">
        <w:t xml:space="preserve">predictions </w:t>
      </w:r>
      <w:r w:rsidR="00183E75" w:rsidRPr="00792D7D">
        <w:t xml:space="preserve">of </w:t>
      </w:r>
      <w:r w:rsidRPr="00792D7D">
        <w:t>a 3</w:t>
      </w:r>
      <w:r w:rsidR="00F472BF" w:rsidRPr="00792D7D">
        <w:t>D</w:t>
      </w:r>
      <w:r w:rsidRPr="00792D7D">
        <w:t xml:space="preserve"> model</w:t>
      </w:r>
      <w:r w:rsidR="00183E75" w:rsidRPr="00792D7D">
        <w:t xml:space="preserve"> and the likely nature of these differences should be established and documented</w:t>
      </w:r>
      <w:r w:rsidR="008647EC" w:rsidRPr="00792D7D">
        <w:t xml:space="preserve">. The proponent does not provide evidence to show </w:t>
      </w:r>
      <w:r w:rsidR="00183E75" w:rsidRPr="00792D7D">
        <w:t xml:space="preserve">these differences </w:t>
      </w:r>
      <w:r w:rsidR="008647EC" w:rsidRPr="00792D7D">
        <w:t xml:space="preserve">or discuss this as part of their </w:t>
      </w:r>
      <w:r w:rsidR="00401021" w:rsidRPr="00792D7D">
        <w:t xml:space="preserve">modelling </w:t>
      </w:r>
      <w:r w:rsidR="008647EC" w:rsidRPr="00792D7D">
        <w:t>strategy</w:t>
      </w:r>
      <w:r w:rsidR="00743E60" w:rsidRPr="00792D7D">
        <w:t xml:space="preserve"> </w:t>
      </w:r>
      <w:r w:rsidR="00382942" w:rsidRPr="00792D7D">
        <w:t xml:space="preserve">nor </w:t>
      </w:r>
      <w:r w:rsidR="00183E75" w:rsidRPr="00792D7D">
        <w:t xml:space="preserve">have they </w:t>
      </w:r>
      <w:r w:rsidR="00382942" w:rsidRPr="00792D7D">
        <w:t xml:space="preserve">provided information normally expected in a modelling report </w:t>
      </w:r>
      <w:r w:rsidR="00183E75" w:rsidRPr="00792D7D">
        <w:t>(</w:t>
      </w:r>
      <w:r w:rsidR="00382942" w:rsidRPr="00792D7D">
        <w:t xml:space="preserve">e.g. </w:t>
      </w:r>
      <w:r w:rsidR="00183E75" w:rsidRPr="00792D7D">
        <w:t>model calibration data)</w:t>
      </w:r>
      <w:r w:rsidR="00382942" w:rsidRPr="00792D7D">
        <w:t>.</w:t>
      </w:r>
      <w:r w:rsidR="008647EC" w:rsidRPr="00792D7D">
        <w:t xml:space="preserve"> </w:t>
      </w:r>
    </w:p>
    <w:p w14:paraId="6EBEEBF6" w14:textId="77777777" w:rsidR="00743E60" w:rsidRPr="00224490" w:rsidRDefault="009A1D67" w:rsidP="008E7AC0">
      <w:pPr>
        <w:pStyle w:val="ListNumber2"/>
      </w:pPr>
      <w:r w:rsidRPr="00792D7D">
        <w:t>I</w:t>
      </w:r>
      <w:r w:rsidR="00D26228" w:rsidRPr="00792D7D">
        <w:t xml:space="preserve">f </w:t>
      </w:r>
      <w:r w:rsidR="00CD5565" w:rsidRPr="00792D7D">
        <w:t xml:space="preserve">there is evidence for </w:t>
      </w:r>
      <w:r w:rsidR="00015B96" w:rsidRPr="00792D7D">
        <w:t xml:space="preserve">a hydraulic </w:t>
      </w:r>
      <w:r w:rsidR="00D26228" w:rsidRPr="00792D7D">
        <w:t>connection</w:t>
      </w:r>
      <w:r w:rsidR="00015B96" w:rsidRPr="00792D7D">
        <w:t xml:space="preserve"> between t</w:t>
      </w:r>
      <w:r w:rsidR="00D26228" w:rsidRPr="00792D7D">
        <w:t>he groundwater and surface water system</w:t>
      </w:r>
      <w:r w:rsidR="00102A3A" w:rsidRPr="00792D7D">
        <w:t>s</w:t>
      </w:r>
      <w:r w:rsidR="00155543" w:rsidRPr="00792D7D">
        <w:t xml:space="preserve"> </w:t>
      </w:r>
      <w:r w:rsidR="00015B96" w:rsidRPr="00792D7D">
        <w:t>(</w:t>
      </w:r>
      <w:r w:rsidR="00155543" w:rsidRPr="00792D7D">
        <w:t xml:space="preserve">particularly in </w:t>
      </w:r>
      <w:r w:rsidR="002F084F" w:rsidRPr="00792D7D">
        <w:t xml:space="preserve">Twelve </w:t>
      </w:r>
      <w:r w:rsidR="00155543" w:rsidRPr="00792D7D">
        <w:t>Mile Creek</w:t>
      </w:r>
      <w:r w:rsidR="00015B96" w:rsidRPr="00792D7D">
        <w:t>)</w:t>
      </w:r>
      <w:r w:rsidR="00155543" w:rsidRPr="00792D7D">
        <w:t>,</w:t>
      </w:r>
      <w:r w:rsidR="00D26228" w:rsidRPr="00792D7D">
        <w:t xml:space="preserve"> then </w:t>
      </w:r>
      <w:r w:rsidR="00015B96" w:rsidRPr="00792D7D">
        <w:t xml:space="preserve">a model should be developed to investigate the spatial variation and </w:t>
      </w:r>
      <w:r w:rsidR="00015B96" w:rsidRPr="00224490">
        <w:t xml:space="preserve">magnitude of likely impacts on surface water systems. </w:t>
      </w:r>
      <w:r w:rsidR="00155543" w:rsidRPr="00224490">
        <w:t xml:space="preserve">Understanding connectivity between surface water, the alluvium and deeper strata is critical to determining whether drawdown in the Permian could impact other aquifers, </w:t>
      </w:r>
      <w:r w:rsidRPr="00224490">
        <w:t xml:space="preserve">potential </w:t>
      </w:r>
      <w:r w:rsidR="00155543" w:rsidRPr="00224490">
        <w:t xml:space="preserve">GDEs and </w:t>
      </w:r>
      <w:r w:rsidRPr="00224490">
        <w:t xml:space="preserve">surface-expressed </w:t>
      </w:r>
      <w:r w:rsidR="00155543" w:rsidRPr="00224490">
        <w:t>aquatic ecosystems.</w:t>
      </w:r>
      <w:r w:rsidR="007C5EA7" w:rsidRPr="00224490">
        <w:t xml:space="preserve"> </w:t>
      </w:r>
    </w:p>
    <w:p w14:paraId="6EBEEBF7" w14:textId="77777777" w:rsidR="002F3DF5" w:rsidRPr="00224490" w:rsidRDefault="002F3DF5" w:rsidP="002F3DF5">
      <w:pPr>
        <w:pStyle w:val="ListNumber2"/>
        <w:rPr>
          <w:u w:val="single"/>
        </w:rPr>
      </w:pPr>
      <w:r w:rsidRPr="00224490">
        <w:t xml:space="preserve">It is not clear whether the proponent has calibrated the model using site-specific field data. The proponent should compare model hydraulic head predictions against historical data to assess the performance of the model. </w:t>
      </w:r>
    </w:p>
    <w:p w14:paraId="6EBEEBF8" w14:textId="77777777" w:rsidR="002F3DF5" w:rsidRPr="00224490" w:rsidRDefault="002F3DF5" w:rsidP="000060CE">
      <w:pPr>
        <w:pStyle w:val="ListNumber2"/>
        <w:rPr>
          <w:u w:val="single"/>
        </w:rPr>
      </w:pPr>
      <w:r w:rsidRPr="00224490">
        <w:t xml:space="preserve">The proponent has used a recharge value of 1% of average annual rainfall, which is assumed to be constant over space and time. Given the predicted greater variability in the magnitude and sequencing of wet and dry periods, this constant recharge value should be justified and compared to results obtained from other methods for estimating recharge, such as the chloride mass balance approach or the water table fluctuation method. </w:t>
      </w:r>
      <w:r w:rsidR="000060CE" w:rsidRPr="00224490">
        <w:t xml:space="preserve">The impact of rainfall and  recharge variability should be elucidated.  </w:t>
      </w:r>
    </w:p>
    <w:p w14:paraId="6EBEEBF9" w14:textId="77777777" w:rsidR="001B6256" w:rsidRPr="00224490" w:rsidRDefault="001B6256" w:rsidP="008E7AC0">
      <w:pPr>
        <w:pStyle w:val="ListNumber2"/>
      </w:pPr>
      <w:r w:rsidRPr="00224490">
        <w:t xml:space="preserve">The proponent has undertaken uncertainty analysis using a factor of two for each parameter. Further analysis is required where sensitive hydraulic parameters – most importantly, hydraulic conductivity, storage and recharge </w:t>
      </w:r>
      <w:r w:rsidR="002F3DF5" w:rsidRPr="00224490">
        <w:t xml:space="preserve">– </w:t>
      </w:r>
      <w:r w:rsidRPr="00224490">
        <w:t xml:space="preserve">are varied </w:t>
      </w:r>
      <w:r w:rsidR="00015B96" w:rsidRPr="00224490">
        <w:t xml:space="preserve">by factors </w:t>
      </w:r>
      <w:r w:rsidR="00397276" w:rsidRPr="00224490">
        <w:t xml:space="preserve">that reflect </w:t>
      </w:r>
      <w:r w:rsidRPr="00224490">
        <w:t xml:space="preserve">the </w:t>
      </w:r>
      <w:r w:rsidR="00015B96" w:rsidRPr="00224490">
        <w:t xml:space="preserve">measured </w:t>
      </w:r>
      <w:r w:rsidRPr="00224490">
        <w:t xml:space="preserve">bounds of natural variability to </w:t>
      </w:r>
      <w:r w:rsidR="00015B96" w:rsidRPr="00224490">
        <w:t>quantify uncertainty</w:t>
      </w:r>
      <w:r w:rsidRPr="00224490">
        <w:t xml:space="preserve"> in predictions. </w:t>
      </w:r>
      <w:r w:rsidR="00015B96" w:rsidRPr="00224490">
        <w:t xml:space="preserve">For hydraulic conductivity and storage parameters, this is typically an order of magnitude or more. </w:t>
      </w:r>
      <w:r w:rsidRPr="00224490">
        <w:t>This would be consistent with leading practice and would improve understanding of the range of potential impacts. The proponent should also provide maps showing the 1-m drawdown contours as these will improve assessment of potential impacts on GDEs associated with the shallow alluvium.</w:t>
      </w:r>
    </w:p>
    <w:p w14:paraId="6EBEEBFA" w14:textId="77777777" w:rsidR="00E20E23" w:rsidRPr="00792D7D" w:rsidRDefault="00E20E23" w:rsidP="008E7AC0">
      <w:pPr>
        <w:pStyle w:val="ListNumber"/>
        <w:numPr>
          <w:ilvl w:val="0"/>
          <w:numId w:val="0"/>
        </w:numPr>
        <w:ind w:left="369" w:hanging="369"/>
        <w:rPr>
          <w:u w:val="single"/>
        </w:rPr>
      </w:pPr>
      <w:r w:rsidRPr="00792D7D">
        <w:rPr>
          <w:u w:val="single"/>
        </w:rPr>
        <w:t xml:space="preserve">Surface </w:t>
      </w:r>
      <w:r w:rsidR="00531F85" w:rsidRPr="00792D7D">
        <w:rPr>
          <w:u w:val="single"/>
        </w:rPr>
        <w:t>w</w:t>
      </w:r>
      <w:r w:rsidRPr="00792D7D">
        <w:rPr>
          <w:u w:val="single"/>
        </w:rPr>
        <w:t>ater</w:t>
      </w:r>
      <w:r w:rsidR="002F3DF5" w:rsidRPr="00792D7D">
        <w:rPr>
          <w:u w:val="single"/>
        </w:rPr>
        <w:t>s</w:t>
      </w:r>
    </w:p>
    <w:p w14:paraId="6EBEEBFB" w14:textId="77777777" w:rsidR="00A53907" w:rsidRPr="00792D7D" w:rsidRDefault="00A53907" w:rsidP="00E20E23">
      <w:pPr>
        <w:pStyle w:val="ListNumber"/>
      </w:pPr>
      <w:r w:rsidRPr="00792D7D">
        <w:t xml:space="preserve">The proponent has not provided information on the </w:t>
      </w:r>
      <w:r w:rsidR="00693424" w:rsidRPr="00792D7D">
        <w:t xml:space="preserve">project’s </w:t>
      </w:r>
      <w:r w:rsidRPr="00792D7D">
        <w:t xml:space="preserve">potential impacts to </w:t>
      </w:r>
      <w:r w:rsidR="00C42531" w:rsidRPr="00792D7D">
        <w:t xml:space="preserve">the </w:t>
      </w:r>
      <w:r w:rsidRPr="00792D7D">
        <w:t xml:space="preserve">ephemeral surface water systems of </w:t>
      </w:r>
      <w:r w:rsidR="00C42531" w:rsidRPr="00792D7D">
        <w:t>Twelve</w:t>
      </w:r>
      <w:r w:rsidRPr="00792D7D">
        <w:t xml:space="preserve"> Mile Creek, Five Mile Lagoon and Three Mile Lagoon. </w:t>
      </w:r>
      <w:r w:rsidR="00B558D9" w:rsidRPr="00792D7D">
        <w:t>The IESC</w:t>
      </w:r>
      <w:r w:rsidRPr="00792D7D">
        <w:t xml:space="preserve"> notes that there is a potential release po</w:t>
      </w:r>
      <w:r w:rsidR="00B558D9" w:rsidRPr="00792D7D">
        <w:t>int located at Five Mile Lagoon and water released here may have high concentrations of aluminium, arsenic, cobalt, copper, lead and zinc compared to 80</w:t>
      </w:r>
      <w:r w:rsidR="00B558D9" w:rsidRPr="00792D7D">
        <w:rPr>
          <w:vertAlign w:val="superscript"/>
        </w:rPr>
        <w:t>th</w:t>
      </w:r>
      <w:r w:rsidR="00B558D9" w:rsidRPr="00792D7D">
        <w:t xml:space="preserve"> percentile (for highly disturbed aquatic ecosystems) ANZG </w:t>
      </w:r>
      <w:r w:rsidR="00864DEE" w:rsidRPr="00792D7D">
        <w:t xml:space="preserve">(2018) </w:t>
      </w:r>
      <w:r w:rsidR="00B558D9" w:rsidRPr="00792D7D">
        <w:t>guideline values. Further consideration of potential impacts should be provided</w:t>
      </w:r>
      <w:r w:rsidR="002F3DF5" w:rsidRPr="00792D7D">
        <w:t>,</w:t>
      </w:r>
      <w:r w:rsidR="00693424" w:rsidRPr="00792D7D">
        <w:t xml:space="preserve"> including </w:t>
      </w:r>
      <w:r w:rsidR="009D4443" w:rsidRPr="00792D7D">
        <w:t>those from sediment-bound contaminants deposited downstream or on the floodplain.</w:t>
      </w:r>
    </w:p>
    <w:p w14:paraId="6EBEEBFC" w14:textId="77777777" w:rsidR="00E20E23" w:rsidRPr="00792D7D" w:rsidRDefault="00E20E23" w:rsidP="00E20E23">
      <w:pPr>
        <w:pStyle w:val="ListNumber"/>
      </w:pPr>
      <w:r w:rsidRPr="00792D7D">
        <w:lastRenderedPageBreak/>
        <w:t>In response to flooding during the wet season of 2010/11</w:t>
      </w:r>
      <w:r w:rsidR="006647C4" w:rsidRPr="00792D7D">
        <w:t>,</w:t>
      </w:r>
      <w:r w:rsidRPr="00792D7D">
        <w:t xml:space="preserve"> a levee was </w:t>
      </w:r>
      <w:r w:rsidRPr="00983828">
        <w:t xml:space="preserve">constructed </w:t>
      </w:r>
      <w:r w:rsidR="004E23DB" w:rsidRPr="00983828">
        <w:t>to the north of</w:t>
      </w:r>
      <w:r w:rsidRPr="00983828">
        <w:t xml:space="preserve"> the</w:t>
      </w:r>
      <w:r w:rsidRPr="00792D7D">
        <w:t xml:space="preserve"> </w:t>
      </w:r>
      <w:r w:rsidR="00C42531" w:rsidRPr="00792D7D">
        <w:t xml:space="preserve">Jellinbah </w:t>
      </w:r>
      <w:r w:rsidRPr="00792D7D">
        <w:t>Plains open pit site to protect the operations from flooding in the Mackenzie River (</w:t>
      </w:r>
      <w:r w:rsidR="00162174" w:rsidRPr="00792D7D">
        <w:t>UDP 2016</w:t>
      </w:r>
      <w:r w:rsidRPr="00792D7D">
        <w:t xml:space="preserve">, p. 14). The proponent has stated that </w:t>
      </w:r>
      <w:r w:rsidR="00C42531" w:rsidRPr="00792D7D">
        <w:t>the</w:t>
      </w:r>
      <w:r w:rsidRPr="00792D7D">
        <w:t xml:space="preserve"> levee has been designed and constructed in accordance with engineering design requirements and flood modelling (</w:t>
      </w:r>
      <w:r w:rsidR="00097EA6" w:rsidRPr="00792D7D">
        <w:t>AARC 2019</w:t>
      </w:r>
      <w:r w:rsidRPr="00792D7D">
        <w:t xml:space="preserve">, p. 73). </w:t>
      </w:r>
      <w:r w:rsidR="00C42531" w:rsidRPr="00792D7D">
        <w:t>F</w:t>
      </w:r>
      <w:r w:rsidRPr="00792D7D">
        <w:t xml:space="preserve">urther information on the levee construction </w:t>
      </w:r>
      <w:r w:rsidR="00F472BF" w:rsidRPr="00792D7D">
        <w:t>and location</w:t>
      </w:r>
      <w:r w:rsidR="00693424" w:rsidRPr="00792D7D">
        <w:t>, along with design assumptions regarding estimated flood risk,</w:t>
      </w:r>
      <w:r w:rsidR="00F472BF" w:rsidRPr="00792D7D">
        <w:t xml:space="preserve"> </w:t>
      </w:r>
      <w:r w:rsidR="00C42531" w:rsidRPr="00792D7D">
        <w:t xml:space="preserve">should be provided so an assessment can be made of </w:t>
      </w:r>
      <w:r w:rsidR="00F472BF" w:rsidRPr="00792D7D">
        <w:t xml:space="preserve">the levee’s </w:t>
      </w:r>
      <w:r w:rsidRPr="00792D7D">
        <w:t xml:space="preserve">ability to </w:t>
      </w:r>
      <w:r w:rsidR="002F3DF5" w:rsidRPr="00792D7D">
        <w:t>minimise environmental impacts</w:t>
      </w:r>
      <w:r w:rsidR="00C42531" w:rsidRPr="00792D7D">
        <w:t xml:space="preserve"> </w:t>
      </w:r>
      <w:r w:rsidR="00F472BF" w:rsidRPr="00792D7D">
        <w:t xml:space="preserve">during </w:t>
      </w:r>
      <w:r w:rsidRPr="00792D7D">
        <w:t>flooding events from the Mackenzie River.</w:t>
      </w:r>
    </w:p>
    <w:p w14:paraId="6EBEEBFD" w14:textId="77777777" w:rsidR="00E20E23" w:rsidRPr="00792D7D" w:rsidRDefault="00E20E23" w:rsidP="00E20E23">
      <w:pPr>
        <w:pStyle w:val="ListNumber"/>
      </w:pPr>
      <w:r w:rsidRPr="00792D7D">
        <w:t xml:space="preserve">The proponent </w:t>
      </w:r>
      <w:r w:rsidR="00FC13AE" w:rsidRPr="00792D7D">
        <w:t>has</w:t>
      </w:r>
      <w:r w:rsidRPr="00792D7D">
        <w:t xml:space="preserve"> not provided historical data on flood events </w:t>
      </w:r>
      <w:r w:rsidR="00F472BF" w:rsidRPr="00792D7D">
        <w:t>for the region around the project area</w:t>
      </w:r>
      <w:r w:rsidR="002F3DF5" w:rsidRPr="00792D7D">
        <w:t xml:space="preserve"> and no information has been provided on the methods used to define the extent of the 1:1000 Annual Exceedance Probability (AEP) (or other) design flood risks.</w:t>
      </w:r>
      <w:r w:rsidRPr="00792D7D">
        <w:t xml:space="preserve"> Further information on flood extents would </w:t>
      </w:r>
      <w:r w:rsidR="00826651" w:rsidRPr="00792D7D">
        <w:t xml:space="preserve">assist the assessment of </w:t>
      </w:r>
      <w:r w:rsidRPr="00792D7D">
        <w:t>the appropriaten</w:t>
      </w:r>
      <w:r w:rsidR="00FC13AE" w:rsidRPr="00792D7D">
        <w:t>ess of</w:t>
      </w:r>
      <w:r w:rsidRPr="00792D7D">
        <w:t xml:space="preserve"> the levee</w:t>
      </w:r>
      <w:r w:rsidR="004E3E27" w:rsidRPr="00792D7D">
        <w:t>’</w:t>
      </w:r>
      <w:r w:rsidRPr="00792D7D">
        <w:t xml:space="preserve">s location in relation to the Central and Central North Site. </w:t>
      </w:r>
      <w:r w:rsidR="00350E66" w:rsidRPr="00792D7D">
        <w:t>The levee is aligned with the Mackenzie River</w:t>
      </w:r>
      <w:r w:rsidR="00C14B25" w:rsidRPr="00792D7D">
        <w:t xml:space="preserve"> </w:t>
      </w:r>
      <w:r w:rsidR="00826651" w:rsidRPr="00792D7D">
        <w:t>meaning</w:t>
      </w:r>
      <w:r w:rsidRPr="00792D7D">
        <w:t xml:space="preserve"> </w:t>
      </w:r>
      <w:r w:rsidR="00693424" w:rsidRPr="00792D7D">
        <w:t xml:space="preserve">floodwaters </w:t>
      </w:r>
      <w:r w:rsidRPr="00792D7D">
        <w:t xml:space="preserve">from Blackwater Creek </w:t>
      </w:r>
      <w:r w:rsidR="009D4443" w:rsidRPr="00792D7D">
        <w:t xml:space="preserve">have </w:t>
      </w:r>
      <w:r w:rsidRPr="00792D7D">
        <w:t xml:space="preserve">the potential to </w:t>
      </w:r>
      <w:r w:rsidR="00693424" w:rsidRPr="00792D7D">
        <w:t xml:space="preserve">flow into the project area from </w:t>
      </w:r>
      <w:r w:rsidRPr="00792D7D">
        <w:t xml:space="preserve">the </w:t>
      </w:r>
      <w:r w:rsidR="00351861" w:rsidRPr="00792D7D">
        <w:t>w</w:t>
      </w:r>
      <w:r w:rsidRPr="00792D7D">
        <w:t xml:space="preserve">estern side of the project area. </w:t>
      </w:r>
      <w:r w:rsidR="00F3775B" w:rsidRPr="00792D7D">
        <w:t xml:space="preserve">No quantitative assessment appears to have been </w:t>
      </w:r>
      <w:r w:rsidR="00821A04" w:rsidRPr="00792D7D">
        <w:t>under</w:t>
      </w:r>
      <w:r w:rsidR="00F3775B" w:rsidRPr="00792D7D">
        <w:t xml:space="preserve">taken </w:t>
      </w:r>
      <w:r w:rsidR="00821A04" w:rsidRPr="00792D7D">
        <w:t>to estimate</w:t>
      </w:r>
      <w:r w:rsidR="00F3775B" w:rsidRPr="00792D7D">
        <w:t xml:space="preserve"> flood behaviour in these two </w:t>
      </w:r>
      <w:r w:rsidR="00821A04" w:rsidRPr="00792D7D">
        <w:t>creeks</w:t>
      </w:r>
      <w:r w:rsidR="002F3DF5" w:rsidRPr="00792D7D">
        <w:t xml:space="preserve">. </w:t>
      </w:r>
      <w:r w:rsidRPr="00792D7D">
        <w:t>The IESC recommends the proponent provide</w:t>
      </w:r>
      <w:r w:rsidR="00826651" w:rsidRPr="00792D7D">
        <w:t>s</w:t>
      </w:r>
      <w:r w:rsidRPr="00792D7D">
        <w:t xml:space="preserve"> model</w:t>
      </w:r>
      <w:r w:rsidR="00826651" w:rsidRPr="00792D7D">
        <w:t>s</w:t>
      </w:r>
      <w:r w:rsidRPr="00792D7D">
        <w:t xml:space="preserve"> of the surface water regime and floods for both the Mackenzie </w:t>
      </w:r>
      <w:r w:rsidR="003D456A" w:rsidRPr="00792D7D">
        <w:t xml:space="preserve">River and Blackwater Creek. These </w:t>
      </w:r>
      <w:r w:rsidRPr="00792D7D">
        <w:t>model</w:t>
      </w:r>
      <w:r w:rsidR="003D456A" w:rsidRPr="00792D7D">
        <w:t>s</w:t>
      </w:r>
      <w:r w:rsidRPr="00792D7D">
        <w:t xml:space="preserve"> should identify:</w:t>
      </w:r>
    </w:p>
    <w:p w14:paraId="6EBEEBFE" w14:textId="77777777" w:rsidR="00E20E23" w:rsidRPr="00792D7D" w:rsidRDefault="00DD120D" w:rsidP="00E20E23">
      <w:pPr>
        <w:pStyle w:val="ListNumber2"/>
      </w:pPr>
      <w:r w:rsidRPr="00792D7D">
        <w:t>p</w:t>
      </w:r>
      <w:r w:rsidR="00E20E23" w:rsidRPr="00792D7D">
        <w:t>eak flows</w:t>
      </w:r>
      <w:r w:rsidR="00E9340B" w:rsidRPr="00792D7D">
        <w:t xml:space="preserve"> and water depths as a function of </w:t>
      </w:r>
      <w:r w:rsidR="009D4443" w:rsidRPr="00792D7D">
        <w:t>AEP</w:t>
      </w:r>
      <w:r w:rsidRPr="00792D7D">
        <w:t>;</w:t>
      </w:r>
    </w:p>
    <w:p w14:paraId="6EBEEBFF" w14:textId="77777777" w:rsidR="00E20E23" w:rsidRPr="00792D7D" w:rsidRDefault="00DD120D" w:rsidP="00E20E23">
      <w:pPr>
        <w:pStyle w:val="ListNumber2"/>
      </w:pPr>
      <w:r w:rsidRPr="00792D7D">
        <w:t>v</w:t>
      </w:r>
      <w:r w:rsidR="00E20E23" w:rsidRPr="00792D7D">
        <w:t>olume, duration, frequency and seasonality of inflows</w:t>
      </w:r>
      <w:r w:rsidRPr="00792D7D">
        <w:t>;</w:t>
      </w:r>
    </w:p>
    <w:p w14:paraId="6EBEEC00" w14:textId="77777777" w:rsidR="00E20E23" w:rsidRPr="00792D7D" w:rsidRDefault="00DD120D" w:rsidP="00E20E23">
      <w:pPr>
        <w:pStyle w:val="ListNumber2"/>
      </w:pPr>
      <w:r w:rsidRPr="00792D7D">
        <w:t>w</w:t>
      </w:r>
      <w:r w:rsidR="00E20E23" w:rsidRPr="00792D7D">
        <w:t>etting and drying cycles over multiple years (to span the responses to different climatic conditions)</w:t>
      </w:r>
      <w:r w:rsidRPr="00792D7D">
        <w:t>;</w:t>
      </w:r>
      <w:r w:rsidR="00E20E23" w:rsidRPr="00792D7D">
        <w:t xml:space="preserve"> and</w:t>
      </w:r>
    </w:p>
    <w:p w14:paraId="6EBEEC01" w14:textId="77777777" w:rsidR="00E20E23" w:rsidRPr="00792D7D" w:rsidRDefault="00071D10" w:rsidP="00E20E23">
      <w:pPr>
        <w:pStyle w:val="ListNumber2"/>
      </w:pPr>
      <w:r w:rsidRPr="00792D7D">
        <w:t>the interaction</w:t>
      </w:r>
      <w:r w:rsidR="00E20E23" w:rsidRPr="00792D7D">
        <w:t xml:space="preserve"> between the pits/final voids and the flood extent of the Mackenzie River and Blackwater Creek.</w:t>
      </w:r>
    </w:p>
    <w:p w14:paraId="6EBEEC02" w14:textId="77777777" w:rsidR="00E9340B" w:rsidRPr="00792D7D" w:rsidRDefault="00E9340B" w:rsidP="00E9340B">
      <w:pPr>
        <w:pStyle w:val="ListNumber"/>
      </w:pPr>
      <w:r w:rsidRPr="00792D7D">
        <w:t>Surface waters within the project area and nearby include the perennial Mackenzie River, ephemeral creeks including Blackwater Creek and Twelve Mile Creek, floodplain wetlands such as Three</w:t>
      </w:r>
      <w:r w:rsidR="00237B54" w:rsidRPr="00792D7D">
        <w:t xml:space="preserve"> </w:t>
      </w:r>
      <w:r w:rsidRPr="00792D7D">
        <w:t>Mile Lagoon and Five</w:t>
      </w:r>
      <w:r w:rsidR="00237B54" w:rsidRPr="00792D7D">
        <w:t xml:space="preserve"> </w:t>
      </w:r>
      <w:r w:rsidRPr="00792D7D">
        <w:t xml:space="preserve">Mile Lagoon, and palustrine wetlands associated with gilgai (much of which lies in the Brigalow TEC which is to be cleared). Although many of these surface waters are ephemeral, they play crucial ecological roles when inundated because they provide habitat, water and food resources for diverse biota and are the sites of ecological processes such as organic matter breakdown and nutrient cycling (Boulton </w:t>
      </w:r>
      <w:r w:rsidR="00D34DC2" w:rsidRPr="00D34DC2">
        <w:rPr>
          <w:i/>
        </w:rPr>
        <w:t>et al.</w:t>
      </w:r>
      <w:r w:rsidRPr="00792D7D">
        <w:t xml:space="preserve"> 2014). Changes to their water regimes are likely to be caused by alteration of catchment areas and topography, vegetation clearance and altered surface runoff due to open</w:t>
      </w:r>
      <w:r w:rsidR="00237B54" w:rsidRPr="00792D7D">
        <w:t>-</w:t>
      </w:r>
      <w:r w:rsidRPr="00792D7D">
        <w:t xml:space="preserve">cut mining and sediment dams. In turn, these altered water regimes will affect water depth and pool persistence in many surface waters. The proponent has not presented any information on the biota of these flowing and standing surface waters or their fringing vegetation at different stages of inundation which makes it difficult to judge likely impacts of altered water regimes (and altered water quality, see </w:t>
      </w:r>
      <w:r w:rsidR="006C74E1">
        <w:t>P</w:t>
      </w:r>
      <w:r w:rsidRPr="00792D7D">
        <w:t xml:space="preserve">aragraphs </w:t>
      </w:r>
      <w:r w:rsidR="004B081E" w:rsidRPr="00792D7D">
        <w:t xml:space="preserve">20 </w:t>
      </w:r>
      <w:r w:rsidRPr="00792D7D">
        <w:t xml:space="preserve">and </w:t>
      </w:r>
      <w:r w:rsidR="004B081E" w:rsidRPr="00792D7D">
        <w:t>24</w:t>
      </w:r>
      <w:r w:rsidRPr="00792D7D">
        <w:t>). Without such baseline data against which to assess changes after mining commences, it is impossible for the proponent to demonstrate the success of management and mitigation plans designed to minimise impacts on the flora, fauna and ecological processes in surface waters.</w:t>
      </w:r>
      <w:r w:rsidR="009D4443" w:rsidRPr="00792D7D">
        <w:t xml:space="preserve"> The IESC recommends that the proponent survey water quality, riparian vegetation and aquatic biota of Blackwater Creek and Twelve Mile Creek at several times (e.g. during flow and when </w:t>
      </w:r>
      <w:r w:rsidR="009D4443" w:rsidRPr="00224490">
        <w:t>disconnected pools</w:t>
      </w:r>
      <w:r w:rsidR="00BE3E96" w:rsidRPr="00224490">
        <w:t xml:space="preserve"> form</w:t>
      </w:r>
      <w:r w:rsidR="009D4443" w:rsidRPr="00224490">
        <w:t>) to obtain</w:t>
      </w:r>
      <w:r w:rsidR="009D4443" w:rsidRPr="00792D7D">
        <w:t xml:space="preserve"> baseline water quality and biological data to guide predictions of potential impacts and against which to assess the effectiveness of mitigation strategies.</w:t>
      </w:r>
    </w:p>
    <w:p w14:paraId="6EBEEC03" w14:textId="77777777" w:rsidR="00E20E23" w:rsidRPr="00155012" w:rsidRDefault="0019067C" w:rsidP="00A44D95">
      <w:pPr>
        <w:pStyle w:val="ListNumber"/>
        <w:numPr>
          <w:ilvl w:val="0"/>
          <w:numId w:val="0"/>
        </w:numPr>
        <w:ind w:left="369" w:hanging="369"/>
        <w:rPr>
          <w:u w:val="single"/>
        </w:rPr>
      </w:pPr>
      <w:r>
        <w:rPr>
          <w:u w:val="single"/>
        </w:rPr>
        <w:t>Site water management</w:t>
      </w:r>
    </w:p>
    <w:p w14:paraId="6EBEEC04" w14:textId="77777777" w:rsidR="00E20E23" w:rsidRPr="00224490" w:rsidRDefault="00BC1FDD" w:rsidP="00A70D79">
      <w:pPr>
        <w:pStyle w:val="ListNumber"/>
      </w:pPr>
      <w:r>
        <w:t>Although t</w:t>
      </w:r>
      <w:r w:rsidR="00E20E23" w:rsidRPr="00E20E23">
        <w:t>he proponent provided a water balance, it has not accounted for the quantity of mine</w:t>
      </w:r>
      <w:r>
        <w:t>-</w:t>
      </w:r>
      <w:r w:rsidR="00E20E23" w:rsidRPr="00E20E23">
        <w:t>affected water discharge and ‘clean’ water discharge in the calculations. Quanti</w:t>
      </w:r>
      <w:r>
        <w:t>fication</w:t>
      </w:r>
      <w:r w:rsidR="00E20E23" w:rsidRPr="00E20E23">
        <w:t xml:space="preserve"> of </w:t>
      </w:r>
      <w:r>
        <w:t xml:space="preserve">the </w:t>
      </w:r>
      <w:r w:rsidR="00E20E23" w:rsidRPr="00E20E23">
        <w:t>amount</w:t>
      </w:r>
      <w:r>
        <w:t>s</w:t>
      </w:r>
      <w:r w:rsidR="00E20E23" w:rsidRPr="00E20E23">
        <w:t xml:space="preserve"> of water discharged by the proponent into Blackwater </w:t>
      </w:r>
      <w:r w:rsidR="00E20E23" w:rsidRPr="00792D7D">
        <w:t xml:space="preserve">Creek and the Mackenzie River for </w:t>
      </w:r>
      <w:r w:rsidR="00E20E23" w:rsidRPr="00792D7D">
        <w:lastRenderedPageBreak/>
        <w:t>both ‘clean’ and mine</w:t>
      </w:r>
      <w:r w:rsidRPr="00792D7D">
        <w:t>-</w:t>
      </w:r>
      <w:r w:rsidR="00E20E23" w:rsidRPr="00792D7D">
        <w:t xml:space="preserve">affected water is </w:t>
      </w:r>
      <w:r w:rsidR="00153486" w:rsidRPr="00792D7D">
        <w:t>required. The</w:t>
      </w:r>
      <w:r w:rsidR="00E20E23" w:rsidRPr="00792D7D">
        <w:t xml:space="preserve"> water balance does not consider </w:t>
      </w:r>
      <w:r w:rsidR="00A44D95" w:rsidRPr="00792D7D">
        <w:t>cy</w:t>
      </w:r>
      <w:r w:rsidR="00153486" w:rsidRPr="00792D7D">
        <w:t>cl</w:t>
      </w:r>
      <w:r w:rsidR="00A44D95" w:rsidRPr="00792D7D">
        <w:t xml:space="preserve">ones or </w:t>
      </w:r>
      <w:r w:rsidR="00E20E23" w:rsidRPr="00792D7D">
        <w:t>high rainfall events which could produce high quantities of runoff and erosion</w:t>
      </w:r>
      <w:r w:rsidR="009D4443" w:rsidRPr="00792D7D">
        <w:t xml:space="preserve"> (relevant for transport of sediment-bound contaminants, see Paragraph </w:t>
      </w:r>
      <w:r w:rsidR="00237B54" w:rsidRPr="00792D7D">
        <w:t>4</w:t>
      </w:r>
      <w:r w:rsidR="009D4443" w:rsidRPr="00792D7D">
        <w:t>)</w:t>
      </w:r>
      <w:r w:rsidR="00E20E23" w:rsidRPr="00792D7D">
        <w:t xml:space="preserve">. The proponent has also not provided evidence of how the drainage, designed runoff and sediment traps will withstand extreme rainfall and weather events. </w:t>
      </w:r>
      <w:r w:rsidR="00B558D9" w:rsidRPr="00792D7D">
        <w:t xml:space="preserve">The proponent should provide an updated water balance </w:t>
      </w:r>
      <w:r w:rsidR="00B558D9" w:rsidRPr="00224490">
        <w:t>considering the above</w:t>
      </w:r>
      <w:r w:rsidR="00EB06AE" w:rsidRPr="00224490">
        <w:t xml:space="preserve"> matters</w:t>
      </w:r>
      <w:r w:rsidR="00B558D9" w:rsidRPr="00224490">
        <w:t>. The IESC suggests using the Minerals Council of Australia Water Accounting Framework (</w:t>
      </w:r>
      <w:r w:rsidR="00090AD3" w:rsidRPr="00224490">
        <w:t>Minerals Council of Australia 2014</w:t>
      </w:r>
      <w:r w:rsidR="00B558D9" w:rsidRPr="00224490">
        <w:t>)</w:t>
      </w:r>
      <w:r w:rsidR="00456DBF" w:rsidRPr="00224490">
        <w:t xml:space="preserve"> to do this</w:t>
      </w:r>
      <w:r w:rsidR="000A1138" w:rsidRPr="00224490">
        <w:t>.</w:t>
      </w:r>
    </w:p>
    <w:p w14:paraId="6EBEEC05" w14:textId="77777777" w:rsidR="00E20E23" w:rsidRPr="00224490" w:rsidRDefault="00E20E23" w:rsidP="00792D7D">
      <w:pPr>
        <w:pStyle w:val="ListNumber"/>
        <w:rPr>
          <w:rFonts w:cs="Times New Roman"/>
        </w:rPr>
      </w:pPr>
      <w:r w:rsidRPr="00224490">
        <w:t xml:space="preserve">The IESC recommends the proponent undertakes a sensitivity analysis on the water balance model </w:t>
      </w:r>
      <w:r w:rsidR="0019067C" w:rsidRPr="00224490">
        <w:t>to investigate and report on the uncertainties in model parameterisation and future hydro-meteorological assumptions.</w:t>
      </w:r>
      <w:r w:rsidR="00941A1B" w:rsidRPr="00224490">
        <w:t xml:space="preserve"> The </w:t>
      </w:r>
      <w:r w:rsidR="009617CB" w:rsidRPr="00224490">
        <w:t>current</w:t>
      </w:r>
      <w:r w:rsidR="00941A1B" w:rsidRPr="00224490">
        <w:t xml:space="preserve"> analysis is based on a “looping” of the past 100 years of climate</w:t>
      </w:r>
      <w:r w:rsidR="00BE3E96" w:rsidRPr="00224490">
        <w:t xml:space="preserve"> (Paragraph 3(d))</w:t>
      </w:r>
      <w:r w:rsidR="00941A1B" w:rsidRPr="00224490">
        <w:t xml:space="preserve">, and no </w:t>
      </w:r>
      <w:r w:rsidR="00117C11" w:rsidRPr="00224490">
        <w:t>consideration</w:t>
      </w:r>
      <w:r w:rsidR="00941A1B" w:rsidRPr="00224490">
        <w:t xml:space="preserve">, even in the form of a sensitivity analysis, has been given to the likely impacts </w:t>
      </w:r>
      <w:r w:rsidR="00237B54" w:rsidRPr="00224490">
        <w:t>of magnitude (and hence variability) of rainfalls over the next 100 years.</w:t>
      </w:r>
      <w:r w:rsidR="00792D7D" w:rsidRPr="00224490">
        <w:t xml:space="preserve"> </w:t>
      </w:r>
      <w:r w:rsidR="00543E0B" w:rsidRPr="00224490">
        <w:t>This could be informed through the use of the Climate Futures Framework and Tools (</w:t>
      </w:r>
      <w:r w:rsidR="00A3218E" w:rsidRPr="00224490">
        <w:t>Whetton</w:t>
      </w:r>
      <w:r w:rsidR="00543E0B" w:rsidRPr="00224490">
        <w:t xml:space="preserve"> </w:t>
      </w:r>
      <w:r w:rsidR="00D34DC2" w:rsidRPr="00224490">
        <w:rPr>
          <w:i/>
        </w:rPr>
        <w:t>et al.</w:t>
      </w:r>
      <w:r w:rsidR="00543E0B" w:rsidRPr="00224490">
        <w:rPr>
          <w:i/>
        </w:rPr>
        <w:t xml:space="preserve"> </w:t>
      </w:r>
      <w:r w:rsidR="00CA0A2B" w:rsidRPr="00224490">
        <w:t xml:space="preserve">2012) </w:t>
      </w:r>
      <w:r w:rsidR="00855E2B" w:rsidRPr="00224490">
        <w:t>(</w:t>
      </w:r>
      <w:hyperlink r:id="rId14" w:history="1">
        <w:r w:rsidR="00792D7D" w:rsidRPr="00224490">
          <w:rPr>
            <w:rStyle w:val="Hyperlink"/>
          </w:rPr>
          <w:t>https://www.climatechangeinaustralia.gov.au/en/climate-projections/climate-futures-tool/projections/</w:t>
        </w:r>
      </w:hyperlink>
      <w:r w:rsidR="00855E2B" w:rsidRPr="00224490">
        <w:rPr>
          <w:rStyle w:val="Hyperlink"/>
          <w:color w:val="auto"/>
        </w:rPr>
        <w:t>)</w:t>
      </w:r>
      <w:r w:rsidR="00543E0B" w:rsidRPr="00224490">
        <w:rPr>
          <w:rStyle w:val="Hyperlink"/>
          <w:color w:val="auto"/>
        </w:rPr>
        <w:t xml:space="preserve"> </w:t>
      </w:r>
      <w:r w:rsidR="00543E0B" w:rsidRPr="00224490">
        <w:t>which allows for various climate regimes to be simulated.</w:t>
      </w:r>
    </w:p>
    <w:p w14:paraId="6EBEEC06" w14:textId="77777777" w:rsidR="004C34C7" w:rsidRPr="00155012" w:rsidRDefault="004C34C7" w:rsidP="004C34C7">
      <w:pPr>
        <w:pStyle w:val="ListNumber"/>
        <w:numPr>
          <w:ilvl w:val="0"/>
          <w:numId w:val="0"/>
        </w:numPr>
        <w:ind w:left="369" w:hanging="369"/>
        <w:rPr>
          <w:u w:val="single"/>
        </w:rPr>
      </w:pPr>
      <w:bookmarkStart w:id="1" w:name="_Ref436395999"/>
      <w:r w:rsidRPr="00224490">
        <w:rPr>
          <w:u w:val="single"/>
        </w:rPr>
        <w:t>Mine</w:t>
      </w:r>
      <w:r w:rsidR="00BC1FDD" w:rsidRPr="00224490">
        <w:rPr>
          <w:u w:val="single"/>
        </w:rPr>
        <w:t>-</w:t>
      </w:r>
      <w:r w:rsidRPr="00224490">
        <w:rPr>
          <w:u w:val="single"/>
        </w:rPr>
        <w:t>affected water discharge</w:t>
      </w:r>
    </w:p>
    <w:p w14:paraId="6EBEEC07" w14:textId="77777777" w:rsidR="00E20E23" w:rsidRDefault="00E20E23" w:rsidP="00A44D95">
      <w:pPr>
        <w:pStyle w:val="ListNumber"/>
      </w:pPr>
      <w:r w:rsidRPr="00E20E23">
        <w:t>The proponent has provided little information on the quality of the mine</w:t>
      </w:r>
      <w:r w:rsidR="00BC1FDD">
        <w:t>-</w:t>
      </w:r>
      <w:r w:rsidRPr="00E20E23">
        <w:t xml:space="preserve">affected water and the predicted quality of </w:t>
      </w:r>
      <w:r w:rsidR="00A44D95">
        <w:t xml:space="preserve">the </w:t>
      </w:r>
      <w:r w:rsidRPr="00E20E23">
        <w:t xml:space="preserve">discharge water. </w:t>
      </w:r>
      <w:r w:rsidR="00DD120D">
        <w:t>Additionally</w:t>
      </w:r>
      <w:r w:rsidR="00BC1FDD">
        <w:t>,</w:t>
      </w:r>
      <w:r w:rsidRPr="00E20E23">
        <w:t xml:space="preserve"> it is unclear as </w:t>
      </w:r>
      <w:r w:rsidR="00DD120D">
        <w:t xml:space="preserve">to the duration of </w:t>
      </w:r>
      <w:r w:rsidR="009617CB">
        <w:t>potential</w:t>
      </w:r>
      <w:r w:rsidR="009617CB" w:rsidRPr="00E20E23">
        <w:t xml:space="preserve"> </w:t>
      </w:r>
      <w:r w:rsidRPr="00792D7D">
        <w:t xml:space="preserve">discharges </w:t>
      </w:r>
      <w:r w:rsidR="009D4443" w:rsidRPr="00792D7D">
        <w:t xml:space="preserve">because </w:t>
      </w:r>
      <w:r w:rsidRPr="00792D7D">
        <w:t xml:space="preserve">no historical data on the releases </w:t>
      </w:r>
      <w:r w:rsidR="009D4443" w:rsidRPr="00792D7D">
        <w:t xml:space="preserve">were </w:t>
      </w:r>
      <w:r w:rsidRPr="00792D7D">
        <w:t xml:space="preserve">provided by the proponent. Given the proponent noted the water quality </w:t>
      </w:r>
      <w:r w:rsidR="004C34C7" w:rsidRPr="00792D7D">
        <w:t>in 2016 exceeded the Water Quality</w:t>
      </w:r>
      <w:r w:rsidR="004C34C7">
        <w:t xml:space="preserve"> Objective values</w:t>
      </w:r>
      <w:r w:rsidRPr="00E20E23">
        <w:t xml:space="preserve"> and ANZECC </w:t>
      </w:r>
      <w:r w:rsidR="00864DEE">
        <w:t xml:space="preserve">2000 </w:t>
      </w:r>
      <w:r w:rsidRPr="00E20E23">
        <w:t>guidelines for a range of parameters</w:t>
      </w:r>
      <w:r w:rsidR="004C34C7">
        <w:t xml:space="preserve"> </w:t>
      </w:r>
      <w:r w:rsidR="00A44D95">
        <w:t>including</w:t>
      </w:r>
      <w:r w:rsidR="004C34C7">
        <w:t xml:space="preserve"> sul</w:t>
      </w:r>
      <w:r w:rsidR="009617CB">
        <w:t>f</w:t>
      </w:r>
      <w:r w:rsidR="004C34C7">
        <w:t>ate, aluminium, copper, arsenic, cobalt, lead, nickel, EC and pH</w:t>
      </w:r>
      <w:r w:rsidRPr="00E20E23">
        <w:t>, this information should be provided, together with an assessment of the likely impacts. Any change as a result of the proposed project in the frequency and duration of controlled or uncontrolled mine-affected water discharges should be determined (for example</w:t>
      </w:r>
      <w:r w:rsidR="00BC1FDD">
        <w:t>,</w:t>
      </w:r>
      <w:r w:rsidRPr="00E20E23">
        <w:t xml:space="preserve"> </w:t>
      </w:r>
      <w:r w:rsidR="00DD120D">
        <w:t xml:space="preserve">after </w:t>
      </w:r>
      <w:r w:rsidRPr="00E20E23">
        <w:t>high rainfall events</w:t>
      </w:r>
      <w:r w:rsidR="000F0A2B">
        <w:t>). Water discharge quality and timing is</w:t>
      </w:r>
      <w:r w:rsidRPr="00E20E23">
        <w:t xml:space="preserve"> particularly</w:t>
      </w:r>
      <w:r w:rsidR="000F0A2B">
        <w:t xml:space="preserve"> important</w:t>
      </w:r>
      <w:r w:rsidRPr="00E20E23">
        <w:t xml:space="preserve"> as turtle species</w:t>
      </w:r>
      <w:r w:rsidR="00016968" w:rsidRPr="00016968">
        <w:t xml:space="preserve"> </w:t>
      </w:r>
      <w:r w:rsidR="00016968" w:rsidRPr="00E20E23">
        <w:t>within the Mackenzie River</w:t>
      </w:r>
      <w:r w:rsidR="000F0A2B">
        <w:t>, including the critically endangered White-throated Snapping Turtle (</w:t>
      </w:r>
      <w:r w:rsidR="000F0A2B" w:rsidRPr="00BC1FDD">
        <w:rPr>
          <w:i/>
        </w:rPr>
        <w:t>Elseya albagula</w:t>
      </w:r>
      <w:r w:rsidR="000F0A2B">
        <w:t xml:space="preserve">), </w:t>
      </w:r>
      <w:r w:rsidRPr="00E20E23">
        <w:t xml:space="preserve">are susceptible to </w:t>
      </w:r>
      <w:r w:rsidR="000F0A2B">
        <w:t>changes in water quality</w:t>
      </w:r>
      <w:r w:rsidR="00F045F2">
        <w:t>, flow regime and habitat characteristics</w:t>
      </w:r>
      <w:r w:rsidR="000F0A2B">
        <w:t xml:space="preserve"> </w:t>
      </w:r>
      <w:r w:rsidR="001F5738">
        <w:t>(</w:t>
      </w:r>
      <w:r w:rsidR="000F0A2B" w:rsidRPr="000F0A2B">
        <w:t>GHD, 2015</w:t>
      </w:r>
      <w:r w:rsidR="00F045F2">
        <w:t>, pp. 25-26</w:t>
      </w:r>
      <w:r w:rsidR="001F5738">
        <w:t>)</w:t>
      </w:r>
      <w:r w:rsidRPr="00E20E23">
        <w:t>.</w:t>
      </w:r>
      <w:r>
        <w:t xml:space="preserve"> </w:t>
      </w:r>
      <w:r w:rsidR="00016968">
        <w:t>Discharge</w:t>
      </w:r>
      <w:bookmarkEnd w:id="1"/>
      <w:r w:rsidR="00A44D95" w:rsidRPr="00E20E23">
        <w:t xml:space="preserve"> information as well as more recent monitoring data should be used to confirm the quality of the water.</w:t>
      </w:r>
    </w:p>
    <w:p w14:paraId="6EBEEC08" w14:textId="77777777" w:rsidR="00E20E23" w:rsidRPr="00983828" w:rsidRDefault="00404D64" w:rsidP="00E20E23">
      <w:pPr>
        <w:pStyle w:val="ListNumber"/>
      </w:pPr>
      <w:r>
        <w:t>The proponent proposes to use m</w:t>
      </w:r>
      <w:r w:rsidR="001E4603">
        <w:t>ultiple</w:t>
      </w:r>
      <w:r w:rsidR="00E20E23" w:rsidRPr="006E013F">
        <w:t xml:space="preserve"> sediment dams to intercept runoff, and it is anticipated that there will be overflow from the sediment dams to the off</w:t>
      </w:r>
      <w:r w:rsidR="001E4603">
        <w:t>-</w:t>
      </w:r>
      <w:r w:rsidR="00E20E23" w:rsidRPr="006E013F">
        <w:t xml:space="preserve">site receiving environment. It is also stated that geochemical characterisation of the overburden material indicates that runoff from spoil dumps draining to sediment dams </w:t>
      </w:r>
      <w:r w:rsidR="009617CB">
        <w:t>would</w:t>
      </w:r>
      <w:r w:rsidR="009617CB" w:rsidRPr="006E013F">
        <w:t xml:space="preserve"> </w:t>
      </w:r>
      <w:r w:rsidR="00E20E23" w:rsidRPr="006E013F">
        <w:t>have concentrations of dissolved salts and metals below guideline values</w:t>
      </w:r>
      <w:r w:rsidR="00E20E23" w:rsidRPr="00983828">
        <w:t xml:space="preserve">. However, no geochemical assessment </w:t>
      </w:r>
      <w:r w:rsidR="009617CB" w:rsidRPr="00983828">
        <w:t xml:space="preserve">was </w:t>
      </w:r>
      <w:r w:rsidR="00E20E23" w:rsidRPr="00983828">
        <w:t xml:space="preserve">provided for the project area </w:t>
      </w:r>
      <w:r w:rsidR="009617CB" w:rsidRPr="00983828">
        <w:t>to support this conclusion</w:t>
      </w:r>
      <w:r w:rsidR="00F711C9">
        <w:t>,</w:t>
      </w:r>
      <w:r w:rsidR="00AE440D" w:rsidRPr="00983828">
        <w:t xml:space="preserve"> which is important if design changes for the spoil dumps and associated infrastructure can be made to preserve the Brigalow TEC in ML 700012</w:t>
      </w:r>
      <w:r w:rsidR="00D1706C" w:rsidRPr="00983828">
        <w:t>.</w:t>
      </w:r>
    </w:p>
    <w:p w14:paraId="6EBEEC09" w14:textId="77777777" w:rsidR="00E20E23" w:rsidRPr="00E20E23" w:rsidRDefault="009617CB" w:rsidP="00A44D95">
      <w:pPr>
        <w:pStyle w:val="ListNumber"/>
      </w:pPr>
      <w:r w:rsidRPr="00983828">
        <w:t>The IESC</w:t>
      </w:r>
      <w:r w:rsidR="00E20E23" w:rsidRPr="00983828">
        <w:t xml:space="preserve"> note</w:t>
      </w:r>
      <w:r w:rsidR="00AA00AD" w:rsidRPr="00983828">
        <w:t>s</w:t>
      </w:r>
      <w:r w:rsidR="00E20E23" w:rsidRPr="00983828">
        <w:t xml:space="preserve"> that there </w:t>
      </w:r>
      <w:r w:rsidR="001E4603" w:rsidRPr="00983828">
        <w:t>are</w:t>
      </w:r>
      <w:r w:rsidR="00E20E23" w:rsidRPr="00983828">
        <w:t xml:space="preserve"> no water treatment systems in place, but rather the proponent states that they ‘recycle’ as much water as possible. The quality of the water once it has been ‘recycled’ and used for site activities has not been </w:t>
      </w:r>
      <w:r w:rsidR="006C4694" w:rsidRPr="00983828">
        <w:t>provided by the proponent</w:t>
      </w:r>
      <w:r w:rsidR="00E20E23" w:rsidRPr="00983828">
        <w:t xml:space="preserve">. </w:t>
      </w:r>
      <w:r w:rsidR="00A44D95" w:rsidRPr="00983828">
        <w:t>The</w:t>
      </w:r>
      <w:r w:rsidR="00E20E23" w:rsidRPr="00983828">
        <w:t xml:space="preserve"> tailings </w:t>
      </w:r>
      <w:r w:rsidR="00153486" w:rsidRPr="00983828">
        <w:t>dams’</w:t>
      </w:r>
      <w:r w:rsidR="00E20E23" w:rsidRPr="00983828">
        <w:t xml:space="preserve"> </w:t>
      </w:r>
      <w:r w:rsidR="00A44D95" w:rsidRPr="00983828">
        <w:t xml:space="preserve">water is </w:t>
      </w:r>
      <w:r w:rsidR="00404D64" w:rsidRPr="00983828">
        <w:t xml:space="preserve">used </w:t>
      </w:r>
      <w:r w:rsidR="00E20E23" w:rsidRPr="00983828">
        <w:t xml:space="preserve">at the wash plant </w:t>
      </w:r>
      <w:r w:rsidR="00230936" w:rsidRPr="00983828">
        <w:t xml:space="preserve">and is </w:t>
      </w:r>
      <w:r w:rsidR="00E20E23" w:rsidRPr="00983828">
        <w:t>pumped in</w:t>
      </w:r>
      <w:r w:rsidR="00230936" w:rsidRPr="00983828">
        <w:t>to</w:t>
      </w:r>
      <w:r w:rsidR="00E20E23" w:rsidRPr="00983828">
        <w:t xml:space="preserve"> water trucks at the </w:t>
      </w:r>
      <w:r w:rsidRPr="00983828">
        <w:t xml:space="preserve">Jellinbah </w:t>
      </w:r>
      <w:r w:rsidR="00E20E23" w:rsidRPr="00983828">
        <w:t>Plains site</w:t>
      </w:r>
      <w:r w:rsidR="00230936" w:rsidRPr="00983828">
        <w:t>.</w:t>
      </w:r>
      <w:r w:rsidR="00E20E23" w:rsidRPr="00983828">
        <w:t xml:space="preserve"> It is not clear if this water </w:t>
      </w:r>
      <w:r w:rsidR="00230936" w:rsidRPr="00983828">
        <w:t>is used for dust suppression</w:t>
      </w:r>
      <w:r w:rsidR="00E20E23" w:rsidRPr="00983828">
        <w:t xml:space="preserve">. </w:t>
      </w:r>
      <w:r w:rsidR="00237B54" w:rsidRPr="00983828">
        <w:t>G</w:t>
      </w:r>
      <w:r w:rsidR="00E20E23" w:rsidRPr="00983828">
        <w:t xml:space="preserve">iven </w:t>
      </w:r>
      <w:r w:rsidR="001E4603" w:rsidRPr="00983828">
        <w:t xml:space="preserve">that </w:t>
      </w:r>
      <w:r w:rsidR="00E20E23" w:rsidRPr="00983828">
        <w:t>the water quality data provided by the proponent</w:t>
      </w:r>
      <w:r w:rsidR="00E20E23" w:rsidRPr="00E20E23">
        <w:t xml:space="preserve"> for the Tailings Dam (KW14) from 2016 show elevated levels of </w:t>
      </w:r>
      <w:r w:rsidR="00426DD8">
        <w:t>sul</w:t>
      </w:r>
      <w:r>
        <w:t>f</w:t>
      </w:r>
      <w:r w:rsidR="00426DD8">
        <w:t>ate</w:t>
      </w:r>
      <w:r w:rsidR="00E20E23" w:rsidRPr="00E20E23">
        <w:t>, arsenic and nickel</w:t>
      </w:r>
      <w:r w:rsidR="001E4603">
        <w:t>, f</w:t>
      </w:r>
      <w:r w:rsidR="00E20E23" w:rsidRPr="00E20E23">
        <w:t xml:space="preserve">urther information </w:t>
      </w:r>
      <w:r w:rsidR="00237B54" w:rsidRPr="00E20E23">
        <w:t xml:space="preserve">is </w:t>
      </w:r>
      <w:r w:rsidR="00237B54">
        <w:t>need</w:t>
      </w:r>
      <w:r w:rsidR="00237B54" w:rsidRPr="00E20E23">
        <w:t xml:space="preserve">ed </w:t>
      </w:r>
      <w:r w:rsidR="00E20E23" w:rsidRPr="00E20E23">
        <w:t>on the exact use of this water and its potential impacts</w:t>
      </w:r>
      <w:r w:rsidR="00404D64">
        <w:t xml:space="preserve"> on and </w:t>
      </w:r>
      <w:r w:rsidR="00E20E23" w:rsidRPr="00E20E23">
        <w:t>risks to the receiving environment.</w:t>
      </w:r>
    </w:p>
    <w:p w14:paraId="6EBEEC0A" w14:textId="77777777" w:rsidR="00E20E23" w:rsidRPr="00155012" w:rsidRDefault="00E20E23" w:rsidP="00A44D95">
      <w:pPr>
        <w:pStyle w:val="ListNumber"/>
        <w:numPr>
          <w:ilvl w:val="0"/>
          <w:numId w:val="0"/>
        </w:numPr>
        <w:rPr>
          <w:u w:val="single"/>
        </w:rPr>
      </w:pPr>
      <w:r w:rsidRPr="00155012">
        <w:rPr>
          <w:u w:val="single"/>
        </w:rPr>
        <w:t xml:space="preserve">Final </w:t>
      </w:r>
      <w:r w:rsidR="00152759">
        <w:rPr>
          <w:u w:val="single"/>
        </w:rPr>
        <w:t>void</w:t>
      </w:r>
      <w:r w:rsidRPr="00155012">
        <w:rPr>
          <w:u w:val="single"/>
        </w:rPr>
        <w:t xml:space="preserve"> </w:t>
      </w:r>
    </w:p>
    <w:p w14:paraId="6EBEEC0B" w14:textId="77777777" w:rsidR="00E20E23" w:rsidRPr="00224490" w:rsidRDefault="00E20E23" w:rsidP="00237B54">
      <w:pPr>
        <w:pStyle w:val="ListNumber"/>
      </w:pPr>
      <w:r w:rsidRPr="00E20E23">
        <w:t xml:space="preserve">The proposed mine plan </w:t>
      </w:r>
      <w:r w:rsidRPr="00792D7D">
        <w:t xml:space="preserve">will result in </w:t>
      </w:r>
      <w:r w:rsidR="003255B0" w:rsidRPr="00792D7D">
        <w:t xml:space="preserve">an </w:t>
      </w:r>
      <w:r w:rsidR="00152759" w:rsidRPr="00792D7D">
        <w:t>extension of an existing approved</w:t>
      </w:r>
      <w:r w:rsidR="00AA00AD" w:rsidRPr="00792D7D">
        <w:t xml:space="preserve"> void </w:t>
      </w:r>
      <w:r w:rsidR="00237B54" w:rsidRPr="00792D7D">
        <w:t xml:space="preserve">(the Central North void) </w:t>
      </w:r>
      <w:r w:rsidR="00AA00AD" w:rsidRPr="00792D7D">
        <w:t xml:space="preserve">in the project area </w:t>
      </w:r>
      <w:r w:rsidR="00237B54" w:rsidRPr="00792D7D">
        <w:t>whose water</w:t>
      </w:r>
      <w:r w:rsidR="00AA00AD" w:rsidRPr="00792D7D">
        <w:t xml:space="preserve"> </w:t>
      </w:r>
      <w:r w:rsidR="003255B0" w:rsidRPr="00792D7D">
        <w:t xml:space="preserve">is predicted to </w:t>
      </w:r>
      <w:r w:rsidRPr="00792D7D">
        <w:t xml:space="preserve">continue to increase in salinity until saturation is </w:t>
      </w:r>
      <w:r w:rsidRPr="00792D7D">
        <w:lastRenderedPageBreak/>
        <w:t xml:space="preserve">reached and salts precipitate. </w:t>
      </w:r>
      <w:r w:rsidR="00FF66C4" w:rsidRPr="00792D7D">
        <w:t xml:space="preserve">This </w:t>
      </w:r>
      <w:r w:rsidR="00FF66C4" w:rsidRPr="00224490">
        <w:t>void</w:t>
      </w:r>
      <w:r w:rsidRPr="00224490">
        <w:t xml:space="preserve"> will </w:t>
      </w:r>
      <w:r w:rsidR="00F72C8D" w:rsidRPr="00224490">
        <w:t>pose multiple and ongoing risks to</w:t>
      </w:r>
      <w:r w:rsidRPr="00224490">
        <w:t xml:space="preserve"> the environment</w:t>
      </w:r>
      <w:r w:rsidR="00F72C8D" w:rsidRPr="00224490">
        <w:t>. It</w:t>
      </w:r>
      <w:r w:rsidR="00DD1C34" w:rsidRPr="00224490">
        <w:t xml:space="preserve"> will </w:t>
      </w:r>
      <w:r w:rsidR="00F72C8D" w:rsidRPr="00224490">
        <w:t xml:space="preserve">also </w:t>
      </w:r>
      <w:r w:rsidR="00DD1C34" w:rsidRPr="00224490">
        <w:t>not support fringing vegetation or aquatic biota typical of natural freshwater floodplain wetlands</w:t>
      </w:r>
      <w:r w:rsidR="00F72C8D" w:rsidRPr="00224490">
        <w:t xml:space="preserve">. </w:t>
      </w:r>
      <w:r w:rsidRPr="00224490">
        <w:t xml:space="preserve">Consideration should also be given to how this higher density </w:t>
      </w:r>
      <w:r w:rsidR="00D2154C" w:rsidRPr="00224490">
        <w:t xml:space="preserve">saline </w:t>
      </w:r>
      <w:r w:rsidRPr="00224490">
        <w:t xml:space="preserve">water </w:t>
      </w:r>
      <w:r w:rsidR="00DD1C34" w:rsidRPr="00224490">
        <w:t xml:space="preserve">may </w:t>
      </w:r>
      <w:r w:rsidRPr="00224490">
        <w:t xml:space="preserve">affect groundwater flow </w:t>
      </w:r>
      <w:r w:rsidR="00DD1C34" w:rsidRPr="00224490">
        <w:t>(</w:t>
      </w:r>
      <w:r w:rsidRPr="00224490">
        <w:t xml:space="preserve">i.e. the void may no longer </w:t>
      </w:r>
      <w:r w:rsidR="00323F3D" w:rsidRPr="00224490">
        <w:t xml:space="preserve">behave as </w:t>
      </w:r>
      <w:r w:rsidRPr="00224490">
        <w:t>a groundwater sink due to th</w:t>
      </w:r>
      <w:r w:rsidR="000121A0" w:rsidRPr="00224490">
        <w:t>e</w:t>
      </w:r>
      <w:r w:rsidRPr="00224490">
        <w:t xml:space="preserve"> density contrast</w:t>
      </w:r>
      <w:r w:rsidR="000121A0" w:rsidRPr="00224490">
        <w:t xml:space="preserve"> between void water and underlying groundwater</w:t>
      </w:r>
      <w:r w:rsidR="00DD1C34" w:rsidRPr="00224490">
        <w:t>)</w:t>
      </w:r>
      <w:r w:rsidRPr="00224490">
        <w:t xml:space="preserve"> </w:t>
      </w:r>
      <w:r w:rsidR="00B97604" w:rsidRPr="00224490">
        <w:t xml:space="preserve">and </w:t>
      </w:r>
      <w:r w:rsidR="00770304" w:rsidRPr="00224490">
        <w:t>quality.</w:t>
      </w:r>
      <w:r w:rsidRPr="00224490">
        <w:t xml:space="preserve"> The IESC </w:t>
      </w:r>
      <w:r w:rsidR="00770304" w:rsidRPr="00224490">
        <w:t xml:space="preserve">suggests </w:t>
      </w:r>
      <w:r w:rsidRPr="00224490">
        <w:t xml:space="preserve">modelling of final void water quality should </w:t>
      </w:r>
      <w:r w:rsidR="000121A0" w:rsidRPr="00224490">
        <w:t xml:space="preserve">also </w:t>
      </w:r>
      <w:r w:rsidRPr="00224490">
        <w:t xml:space="preserve">be conducted with </w:t>
      </w:r>
      <w:r w:rsidR="00770304" w:rsidRPr="00224490">
        <w:t xml:space="preserve">consideration of </w:t>
      </w:r>
      <w:r w:rsidR="00FF66C4" w:rsidRPr="00224490">
        <w:t xml:space="preserve">future climatic regimes as discussed in </w:t>
      </w:r>
      <w:r w:rsidR="004670F3" w:rsidRPr="00224490">
        <w:t>P</w:t>
      </w:r>
      <w:r w:rsidR="00FF66C4" w:rsidRPr="00224490">
        <w:t xml:space="preserve">aragraph </w:t>
      </w:r>
      <w:r w:rsidR="003255B0" w:rsidRPr="00224490">
        <w:t>9.</w:t>
      </w:r>
    </w:p>
    <w:p w14:paraId="6EBEEC0C" w14:textId="77777777" w:rsidR="00C95CD2" w:rsidRPr="00224490" w:rsidRDefault="00C95CD2" w:rsidP="00C95CD2">
      <w:pPr>
        <w:pStyle w:val="ListNumber"/>
        <w:numPr>
          <w:ilvl w:val="0"/>
          <w:numId w:val="0"/>
        </w:numPr>
      </w:pPr>
      <w:r w:rsidRPr="00224490">
        <w:rPr>
          <w:u w:val="single"/>
        </w:rPr>
        <w:t xml:space="preserve">Groundwater-dependent ecosystems </w:t>
      </w:r>
    </w:p>
    <w:p w14:paraId="6EBEEC0D" w14:textId="77777777" w:rsidR="00C95CD2" w:rsidRPr="00224490" w:rsidRDefault="00C95CD2" w:rsidP="00C95CD2">
      <w:pPr>
        <w:pStyle w:val="ListNumber"/>
      </w:pPr>
      <w:r w:rsidRPr="00224490">
        <w:t xml:space="preserve">The proponent has used desktop searches and a </w:t>
      </w:r>
      <w:r w:rsidR="004670F3" w:rsidRPr="00224490">
        <w:t xml:space="preserve">single </w:t>
      </w:r>
      <w:r w:rsidRPr="00224490">
        <w:t xml:space="preserve">field survey to identify GDEs </w:t>
      </w:r>
      <w:r w:rsidR="009D4443" w:rsidRPr="00224490">
        <w:t>but only within</w:t>
      </w:r>
      <w:r w:rsidRPr="00224490">
        <w:t xml:space="preserve"> the project area</w:t>
      </w:r>
      <w:r w:rsidR="009D4443" w:rsidRPr="00224490">
        <w:t>.</w:t>
      </w:r>
      <w:r w:rsidR="00AE46C9" w:rsidRPr="00224490">
        <w:t xml:space="preserve"> </w:t>
      </w:r>
      <w:r w:rsidRPr="00224490">
        <w:t>The IESC suggests that after the proponent has provided groundwater drawdown contours at a finer scale than 5 m</w:t>
      </w:r>
      <w:r w:rsidR="00725EC1" w:rsidRPr="00224490">
        <w:t>,</w:t>
      </w:r>
      <w:r w:rsidRPr="00224490">
        <w:t xml:space="preserve"> as discussed in </w:t>
      </w:r>
      <w:r w:rsidR="00F72C8D" w:rsidRPr="00224490">
        <w:t xml:space="preserve">Paragraph </w:t>
      </w:r>
      <w:r w:rsidR="004B081E" w:rsidRPr="00224490">
        <w:t>3</w:t>
      </w:r>
      <w:r w:rsidR="00F72C8D" w:rsidRPr="00224490">
        <w:t>e</w:t>
      </w:r>
      <w:r w:rsidRPr="00224490">
        <w:t xml:space="preserve">, </w:t>
      </w:r>
      <w:r w:rsidR="009D4443" w:rsidRPr="00224490">
        <w:t xml:space="preserve">desktop and </w:t>
      </w:r>
      <w:r w:rsidR="00F72C8D" w:rsidRPr="00224490">
        <w:t xml:space="preserve">additional </w:t>
      </w:r>
      <w:r w:rsidR="009D4443" w:rsidRPr="00224490">
        <w:t>field surveys for GDEs should be done</w:t>
      </w:r>
      <w:r w:rsidRPr="00224490">
        <w:t xml:space="preserve"> in this larger area of potential drawdown to verify </w:t>
      </w:r>
      <w:r w:rsidR="009D4443" w:rsidRPr="00224490">
        <w:t xml:space="preserve">whether there are any GDEs </w:t>
      </w:r>
      <w:r w:rsidRPr="00224490">
        <w:t xml:space="preserve">at risk of losing some or all access to groundwater. Methods for conducting field surveys and risk assessments of GDEs are reviewed in Doody </w:t>
      </w:r>
      <w:r w:rsidR="00D34DC2" w:rsidRPr="00224490">
        <w:rPr>
          <w:i/>
        </w:rPr>
        <w:t>et al.</w:t>
      </w:r>
      <w:r w:rsidRPr="00224490">
        <w:t xml:space="preserve"> (2019). </w:t>
      </w:r>
    </w:p>
    <w:p w14:paraId="6EBEEC0E" w14:textId="77777777" w:rsidR="00C95CD2" w:rsidRPr="006C74E1" w:rsidRDefault="00C95CD2" w:rsidP="00C95CD2">
      <w:pPr>
        <w:pStyle w:val="ListNumber"/>
      </w:pPr>
      <w:r w:rsidRPr="00792D7D">
        <w:t xml:space="preserve">There is potential for terrestrial and aquatic GDEs to occur in areas of saturated alluvium along </w:t>
      </w:r>
      <w:r w:rsidRPr="006C74E1">
        <w:t>watercourses</w:t>
      </w:r>
      <w:r w:rsidR="00F72C8D" w:rsidRPr="006C74E1">
        <w:t xml:space="preserve"> (</w:t>
      </w:r>
      <w:r w:rsidR="00792D7D" w:rsidRPr="006C74E1">
        <w:t>BOM 2017</w:t>
      </w:r>
      <w:r w:rsidR="00F72C8D" w:rsidRPr="006C74E1">
        <w:t>)</w:t>
      </w:r>
      <w:r w:rsidRPr="006C74E1">
        <w:t>, particularly in the receiving environment downstream of the project. If GDEs are present downstream of the project they could be impacted by controlled and uncontrolled releases of mine</w:t>
      </w:r>
      <w:r w:rsidR="00F72C8D" w:rsidRPr="006C74E1">
        <w:t>-</w:t>
      </w:r>
      <w:r w:rsidRPr="006C74E1">
        <w:t xml:space="preserve">affected water. Field studies of the flora and fauna of these potential GDEs are required to provide baseline data against which to assess potential impacts of altered water quality </w:t>
      </w:r>
      <w:r w:rsidR="009D4443" w:rsidRPr="006C74E1">
        <w:t>and/or</w:t>
      </w:r>
      <w:r w:rsidRPr="006C74E1">
        <w:t xml:space="preserve"> altered groundwater access.</w:t>
      </w:r>
    </w:p>
    <w:p w14:paraId="6EBEEC0F" w14:textId="77777777" w:rsidR="00C95CD2" w:rsidRPr="006C74E1" w:rsidRDefault="00C95CD2" w:rsidP="00C95CD2">
      <w:pPr>
        <w:pStyle w:val="ListNumber"/>
        <w:numPr>
          <w:ilvl w:val="0"/>
          <w:numId w:val="0"/>
        </w:numPr>
        <w:spacing w:before="240"/>
        <w:rPr>
          <w:u w:val="single"/>
        </w:rPr>
      </w:pPr>
      <w:r w:rsidRPr="006C74E1">
        <w:rPr>
          <w:u w:val="single"/>
        </w:rPr>
        <w:t>Cumulative impacts</w:t>
      </w:r>
      <w:r w:rsidR="009608E4" w:rsidRPr="006C74E1">
        <w:rPr>
          <w:u w:val="single"/>
        </w:rPr>
        <w:t xml:space="preserve"> and final voids</w:t>
      </w:r>
    </w:p>
    <w:p w14:paraId="6EBEEC10" w14:textId="77777777" w:rsidR="00C95CD2" w:rsidRPr="006C74E1" w:rsidRDefault="00C95CD2" w:rsidP="00C95CD2">
      <w:pPr>
        <w:pStyle w:val="ListNumber"/>
      </w:pPr>
      <w:r w:rsidRPr="006C74E1">
        <w:t>Given the proximity and number of mining operations near the project area, cumulative impacts are highly likely. These cumulative impacts may include:</w:t>
      </w:r>
    </w:p>
    <w:p w14:paraId="6EBEEC11" w14:textId="77777777" w:rsidR="00C95CD2" w:rsidRPr="006C74E1" w:rsidRDefault="00C95CD2" w:rsidP="00C95CD2">
      <w:pPr>
        <w:pStyle w:val="ListNumber2"/>
      </w:pPr>
      <w:r w:rsidRPr="006C74E1">
        <w:t>pulses of potentially hypersaline water from one or more final voids that may be released to the floodplain or groundwater systems during a large flood event;</w:t>
      </w:r>
    </w:p>
    <w:p w14:paraId="6EBEEC12" w14:textId="77777777" w:rsidR="00C95CD2" w:rsidRPr="00224490" w:rsidRDefault="00C95CD2" w:rsidP="00C95CD2">
      <w:pPr>
        <w:pStyle w:val="ListNumber2"/>
      </w:pPr>
      <w:r w:rsidRPr="00224490">
        <w:t>additive effects of uncontrolled discharges that may alter downstream water quality and flow regimes, affecting aquatic and riparian ecosystems; and</w:t>
      </w:r>
    </w:p>
    <w:p w14:paraId="6EBEEC13" w14:textId="77777777" w:rsidR="00C95CD2" w:rsidRPr="00224490" w:rsidRDefault="00721A30" w:rsidP="00C95CD2">
      <w:pPr>
        <w:pStyle w:val="ListNumber2"/>
      </w:pPr>
      <w:r w:rsidRPr="00224490">
        <w:t>enhanced groundwater drawdown through interference of drawdown from various mines</w:t>
      </w:r>
      <w:r w:rsidR="00F9713B" w:rsidRPr="00224490">
        <w:t>, that</w:t>
      </w:r>
      <w:r w:rsidRPr="00224490">
        <w:t xml:space="preserve"> </w:t>
      </w:r>
      <w:r w:rsidR="00C95CD2" w:rsidRPr="00224490">
        <w:t xml:space="preserve">may affect floodplain and alluvial GDEs if connectivity between deeper groundwater and the shallow alluvium occurs. </w:t>
      </w:r>
    </w:p>
    <w:p w14:paraId="6EBEEC14" w14:textId="77777777" w:rsidR="00C95CD2" w:rsidRPr="00224490" w:rsidRDefault="00C95CD2" w:rsidP="00C95CD2">
      <w:pPr>
        <w:pStyle w:val="ListNumber"/>
      </w:pPr>
      <w:r w:rsidRPr="00224490">
        <w:t xml:space="preserve">The IESC notes that Twelve Mile Creek runs through additional mine sites downstream and impacts arising from those sites may limit the value of any mitigation undertaken for the Jellinbah </w:t>
      </w:r>
      <w:r w:rsidR="00F60C61" w:rsidRPr="00224490">
        <w:t xml:space="preserve">CNE </w:t>
      </w:r>
      <w:r w:rsidR="009D4443" w:rsidRPr="00224490">
        <w:t>(see response to Question 3).</w:t>
      </w:r>
      <w:r w:rsidR="00AE46C9" w:rsidRPr="00224490">
        <w:t xml:space="preserve"> </w:t>
      </w:r>
      <w:r w:rsidR="009D4443" w:rsidRPr="00224490">
        <w:t xml:space="preserve">Baseline data on water quality and biota (see Paragraph </w:t>
      </w:r>
      <w:r w:rsidR="00F72C8D" w:rsidRPr="00224490">
        <w:t>7</w:t>
      </w:r>
      <w:r w:rsidR="009D4443" w:rsidRPr="00224490">
        <w:t>) should be collected to guide the prediction of these cumulative impacts and provide reference dat</w:t>
      </w:r>
      <w:r w:rsidR="00F72C8D" w:rsidRPr="00224490">
        <w:t>a</w:t>
      </w:r>
      <w:r w:rsidR="009D4443" w:rsidRPr="00224490">
        <w:t xml:space="preserve"> for assessing the effectiveness of mitigation strategies.</w:t>
      </w:r>
    </w:p>
    <w:p w14:paraId="6EBEEC15" w14:textId="77777777" w:rsidR="00C95CD2" w:rsidRPr="00E20E23" w:rsidRDefault="00C95CD2" w:rsidP="00C95CD2">
      <w:pPr>
        <w:pStyle w:val="ListNumber"/>
      </w:pPr>
      <w:r w:rsidRPr="00224490">
        <w:t xml:space="preserve">Although the proponent acknowledges the likelihood of some of these cumulative effects (e.g. </w:t>
      </w:r>
      <w:r w:rsidR="00721A30" w:rsidRPr="00224490">
        <w:t xml:space="preserve">interference </w:t>
      </w:r>
      <w:r w:rsidRPr="00224490">
        <w:t xml:space="preserve">of drawdown), the likely collective impacts on aquatic and terrestrial ecosystems in the expanded areas of potential drawdown </w:t>
      </w:r>
      <w:r w:rsidR="009D4443" w:rsidRPr="00224490">
        <w:t>have not been</w:t>
      </w:r>
      <w:r w:rsidRPr="00224490">
        <w:t xml:space="preserve"> assessed. Similarly, the additive effects of altered water quality caused by cumulative uncontrolled discharges (including of hypersaline water from final voids during large floods) have not been estimated nor have their possible impacts on aquatic, riparian and floodplain biota and ecological processes downstream been assessed. </w:t>
      </w:r>
      <w:r w:rsidR="000F317E" w:rsidRPr="00224490">
        <w:t>A r</w:t>
      </w:r>
      <w:r w:rsidRPr="00224490">
        <w:t>isk assessment of these cumulative impacts is needed, along with reliable baseline data against which to</w:t>
      </w:r>
      <w:r w:rsidRPr="006C74E1">
        <w:t xml:space="preserve"> judge the effectiveness of proposed mitigation and</w:t>
      </w:r>
      <w:r>
        <w:t xml:space="preserve"> management plans.</w:t>
      </w:r>
    </w:p>
    <w:p w14:paraId="6EBEEC16" w14:textId="77777777" w:rsidR="008809D6" w:rsidRDefault="008809D6" w:rsidP="00B860F7">
      <w:pPr>
        <w:pStyle w:val="Question"/>
        <w:shd w:val="clear" w:color="auto" w:fill="E7E6E6"/>
      </w:pPr>
      <w:r>
        <w:lastRenderedPageBreak/>
        <w:t>Question 3</w:t>
      </w:r>
      <w:r w:rsidRPr="00BF21A7">
        <w:t>:</w:t>
      </w:r>
      <w:r w:rsidR="000E1529">
        <w:t xml:space="preserve"> Can the Committee provide comment on whether the proposed management and mitigation measures are adequate, particularly in regards to meeting the Water Quality Objectives?</w:t>
      </w:r>
    </w:p>
    <w:p w14:paraId="6EBEEC17" w14:textId="77777777" w:rsidR="000E1529" w:rsidRPr="00BF21A7" w:rsidRDefault="000E1529" w:rsidP="008809D6">
      <w:pPr>
        <w:pStyle w:val="Question"/>
        <w:shd w:val="clear" w:color="auto" w:fill="E7E6E6"/>
      </w:pPr>
      <w:r>
        <w:t xml:space="preserve">What additional measures, if any, </w:t>
      </w:r>
      <w:r w:rsidRPr="00155012">
        <w:t>should be taken to monitor, mitigate and manage impacts on</w:t>
      </w:r>
      <w:r>
        <w:t xml:space="preserve"> surface and groundwater resources (including the McKenzie River and </w:t>
      </w:r>
      <w:r w:rsidR="00153486">
        <w:t>associated</w:t>
      </w:r>
      <w:r>
        <w:t xml:space="preserve"> alluvium), GDEs and cumulative impacts with other proposed and existing projects?</w:t>
      </w:r>
    </w:p>
    <w:p w14:paraId="6EBEEC18" w14:textId="77777777" w:rsidR="00A44D95" w:rsidRPr="006C74E1" w:rsidRDefault="00A44D95" w:rsidP="00A44D95">
      <w:pPr>
        <w:pStyle w:val="ListNumber"/>
        <w:numPr>
          <w:ilvl w:val="0"/>
          <w:numId w:val="0"/>
        </w:numPr>
        <w:ind w:left="369" w:hanging="369"/>
        <w:rPr>
          <w:u w:val="single"/>
        </w:rPr>
      </w:pPr>
      <w:r w:rsidRPr="006C74E1">
        <w:rPr>
          <w:u w:val="single"/>
        </w:rPr>
        <w:t xml:space="preserve">Surface </w:t>
      </w:r>
      <w:r w:rsidR="007B21D6" w:rsidRPr="006C74E1">
        <w:rPr>
          <w:u w:val="single"/>
        </w:rPr>
        <w:t>w</w:t>
      </w:r>
      <w:r w:rsidRPr="006C74E1">
        <w:rPr>
          <w:u w:val="single"/>
        </w:rPr>
        <w:t>ater</w:t>
      </w:r>
      <w:r w:rsidR="007B21D6" w:rsidRPr="006C74E1">
        <w:rPr>
          <w:u w:val="single"/>
        </w:rPr>
        <w:t>s</w:t>
      </w:r>
    </w:p>
    <w:p w14:paraId="6EBEEC19" w14:textId="77777777" w:rsidR="00A44D95" w:rsidRPr="006C74E1" w:rsidRDefault="00A44D95" w:rsidP="00A44D95">
      <w:pPr>
        <w:pStyle w:val="ListNumber"/>
      </w:pPr>
      <w:r w:rsidRPr="006C74E1">
        <w:t>According to the proponent, the Surface Water Management System will ensure the project maintains compliance with Environmental Authority conditions pertaining to release and receiving water quality, which will ensure regional Water Quality Objectives (WQOs) are achieved. However</w:t>
      </w:r>
      <w:r w:rsidR="000558D7" w:rsidRPr="006C74E1">
        <w:t>,</w:t>
      </w:r>
      <w:r w:rsidRPr="006C74E1">
        <w:t xml:space="preserve"> the IESC recommends that the proponent should demonstrate how the existing water management system </w:t>
      </w:r>
      <w:r w:rsidR="00F72C8D" w:rsidRPr="006C74E1">
        <w:t>will ensure that</w:t>
      </w:r>
      <w:r w:rsidRPr="006C74E1">
        <w:t xml:space="preserve"> these WQOs continue to be achieved. A</w:t>
      </w:r>
      <w:r w:rsidR="00133FBF" w:rsidRPr="006C74E1">
        <w:t>n adaptive</w:t>
      </w:r>
      <w:r w:rsidRPr="006C74E1">
        <w:t xml:space="preserve"> monitoring and management framework needs to be appropriately targeted for future stages in the proposed extension, including: </w:t>
      </w:r>
    </w:p>
    <w:p w14:paraId="6EBEEC1A" w14:textId="77777777" w:rsidR="006C74E1" w:rsidRPr="006C74E1" w:rsidRDefault="00A44D95" w:rsidP="006C74E1">
      <w:pPr>
        <w:pStyle w:val="ListNumber2"/>
        <w:ind w:left="709" w:hanging="283"/>
      </w:pPr>
      <w:r w:rsidRPr="006C74E1">
        <w:t xml:space="preserve">establishing an appropriate baseline for impact assessment, including </w:t>
      </w:r>
      <w:r w:rsidR="002F38FC" w:rsidRPr="006C74E1">
        <w:t xml:space="preserve">potential </w:t>
      </w:r>
      <w:r w:rsidRPr="006C74E1">
        <w:t xml:space="preserve">downstream impacts; </w:t>
      </w:r>
    </w:p>
    <w:p w14:paraId="6EBEEC1B" w14:textId="77777777" w:rsidR="00A44D95" w:rsidRPr="006C74E1" w:rsidRDefault="00A44D95" w:rsidP="006C74E1">
      <w:pPr>
        <w:pStyle w:val="ListNumber2"/>
        <w:ind w:left="709" w:hanging="283"/>
      </w:pPr>
      <w:r w:rsidRPr="006C74E1">
        <w:t xml:space="preserve">an ecohydrological conceptual model that illustrates potential pathways and mechanisms of the effects of altered surface flows on groundwater </w:t>
      </w:r>
      <w:r w:rsidR="002F38FC" w:rsidRPr="006C74E1">
        <w:t>and alluvi</w:t>
      </w:r>
      <w:r w:rsidR="00E36B41" w:rsidRPr="006C74E1">
        <w:t>al</w:t>
      </w:r>
      <w:r w:rsidR="002F38FC" w:rsidRPr="006C74E1">
        <w:t xml:space="preserve"> recharge</w:t>
      </w:r>
      <w:r w:rsidR="00E23CCC" w:rsidRPr="006C74E1">
        <w:t>,</w:t>
      </w:r>
      <w:r w:rsidRPr="006C74E1">
        <w:t xml:space="preserve"> in-stream water quality</w:t>
      </w:r>
      <w:r w:rsidR="00E23CCC" w:rsidRPr="006C74E1">
        <w:t>,</w:t>
      </w:r>
      <w:r w:rsidRPr="006C74E1">
        <w:t xml:space="preserve"> </w:t>
      </w:r>
      <w:r w:rsidR="00984449" w:rsidRPr="006C74E1">
        <w:t xml:space="preserve">and </w:t>
      </w:r>
      <w:r w:rsidRPr="006C74E1">
        <w:t>surface and groundwater ecosystems. This conceptual model would help the proponent justify strategies proposed to mitigate and manage potential impacts</w:t>
      </w:r>
      <w:r w:rsidR="00133FBF" w:rsidRPr="006C74E1">
        <w:t xml:space="preserve">. The conceptual model </w:t>
      </w:r>
      <w:r w:rsidR="00E23CCC" w:rsidRPr="006C74E1">
        <w:t xml:space="preserve">could </w:t>
      </w:r>
      <w:r w:rsidR="00133FBF" w:rsidRPr="006C74E1">
        <w:t>be informed by the use of Water Observations from Space (WOfS) (</w:t>
      </w:r>
      <w:hyperlink r:id="rId15" w:history="1">
        <w:r w:rsidR="00E23CCC" w:rsidRPr="006C74E1">
          <w:rPr>
            <w:rStyle w:val="Hyperlink"/>
          </w:rPr>
          <w:t>http://www.ga.gov.au/scientific-topics/earth-obs/case-studies/water-observations-from-space</w:t>
        </w:r>
      </w:hyperlink>
      <w:r w:rsidR="00133FBF" w:rsidRPr="006C74E1">
        <w:t>)</w:t>
      </w:r>
      <w:r w:rsidR="00E23CCC" w:rsidRPr="006C74E1">
        <w:t xml:space="preserve"> to quantify where seasonal or ephemeral water bodies are present in the landscape</w:t>
      </w:r>
      <w:r w:rsidRPr="006C74E1">
        <w:t>;</w:t>
      </w:r>
      <w:r w:rsidR="00AE46C9" w:rsidRPr="006C74E1">
        <w:t xml:space="preserve"> </w:t>
      </w:r>
    </w:p>
    <w:p w14:paraId="6EBEEC1C" w14:textId="77777777" w:rsidR="00A44D95" w:rsidRPr="006C74E1" w:rsidRDefault="002F38FC" w:rsidP="004C34C7">
      <w:pPr>
        <w:pStyle w:val="ListNumber2"/>
        <w:ind w:left="709" w:hanging="283"/>
      </w:pPr>
      <w:r w:rsidRPr="006C74E1">
        <w:t xml:space="preserve">regular and event-based (e.g. </w:t>
      </w:r>
      <w:r w:rsidR="009D4443" w:rsidRPr="006C74E1">
        <w:t xml:space="preserve">during </w:t>
      </w:r>
      <w:r w:rsidRPr="006C74E1">
        <w:t xml:space="preserve">spates) </w:t>
      </w:r>
      <w:r w:rsidR="00A8769C" w:rsidRPr="006C74E1">
        <w:t xml:space="preserve">water quality </w:t>
      </w:r>
      <w:r w:rsidR="00A44D95" w:rsidRPr="006C74E1">
        <w:t>testing of the discharge</w:t>
      </w:r>
      <w:r w:rsidR="009D4443" w:rsidRPr="006C74E1">
        <w:t xml:space="preserve"> water</w:t>
      </w:r>
      <w:r w:rsidR="00A44D95" w:rsidRPr="006C74E1">
        <w:t>, upstream water and water immediately downstream of the licenced discharge point</w:t>
      </w:r>
      <w:r w:rsidR="00A8769C" w:rsidRPr="006C74E1">
        <w:t>s to determine when individual contaminants consistently exceed water quality guidelines</w:t>
      </w:r>
      <w:r w:rsidR="004C34C7" w:rsidRPr="006C74E1">
        <w:t>;</w:t>
      </w:r>
      <w:r w:rsidR="00A44D95" w:rsidRPr="006C74E1">
        <w:t xml:space="preserve"> </w:t>
      </w:r>
      <w:r w:rsidR="009D4443" w:rsidRPr="006C74E1">
        <w:t xml:space="preserve">and, </w:t>
      </w:r>
    </w:p>
    <w:p w14:paraId="6EBEEC1D" w14:textId="77777777" w:rsidR="00A44D95" w:rsidRPr="006C74E1" w:rsidRDefault="00A44D95" w:rsidP="004C34C7">
      <w:pPr>
        <w:pStyle w:val="ListNumber2"/>
        <w:ind w:left="709" w:hanging="283"/>
      </w:pPr>
      <w:r w:rsidRPr="006C74E1">
        <w:t xml:space="preserve">commitments for surface </w:t>
      </w:r>
      <w:r w:rsidR="0053486E" w:rsidRPr="006C74E1">
        <w:t>water</w:t>
      </w:r>
      <w:r w:rsidRPr="006C74E1">
        <w:t xml:space="preserve"> and groundwater monitoring should be presented as part of the </w:t>
      </w:r>
      <w:r w:rsidR="00114146" w:rsidRPr="006C74E1">
        <w:t>relevant w</w:t>
      </w:r>
      <w:r w:rsidRPr="006C74E1">
        <w:t xml:space="preserve">ater </w:t>
      </w:r>
      <w:r w:rsidR="00114146" w:rsidRPr="006C74E1">
        <w:t>m</w:t>
      </w:r>
      <w:r w:rsidRPr="006C74E1">
        <w:t xml:space="preserve">onitoring </w:t>
      </w:r>
      <w:r w:rsidR="00114146" w:rsidRPr="006C74E1">
        <w:t>p</w:t>
      </w:r>
      <w:r w:rsidRPr="006C74E1">
        <w:t>lan</w:t>
      </w:r>
      <w:r w:rsidR="00114146" w:rsidRPr="006C74E1">
        <w:t>s</w:t>
      </w:r>
      <w:r w:rsidRPr="006C74E1">
        <w:t xml:space="preserve"> and should be consistent with the Water Quality Objectives for the Fitzroy River</w:t>
      </w:r>
      <w:r w:rsidR="007E11EA" w:rsidRPr="006C74E1">
        <w:t xml:space="preserve"> (State of Queensland 2013)</w:t>
      </w:r>
      <w:r w:rsidRPr="006C74E1">
        <w:t>.</w:t>
      </w:r>
    </w:p>
    <w:p w14:paraId="6EBEEC1E" w14:textId="77777777" w:rsidR="00A44D95" w:rsidRPr="006C74E1" w:rsidRDefault="00A44D95" w:rsidP="00A44D95">
      <w:pPr>
        <w:pStyle w:val="ListNumber"/>
      </w:pPr>
      <w:r w:rsidRPr="006C74E1">
        <w:t xml:space="preserve">The IESC recommends </w:t>
      </w:r>
      <w:r w:rsidR="005F4B30" w:rsidRPr="006C74E1">
        <w:t xml:space="preserve">the proponent </w:t>
      </w:r>
      <w:r w:rsidR="003206C5" w:rsidRPr="006C74E1">
        <w:t>implement</w:t>
      </w:r>
      <w:r w:rsidR="005F4B30" w:rsidRPr="006C74E1">
        <w:t>s a water quality</w:t>
      </w:r>
      <w:r w:rsidRPr="006C74E1">
        <w:t xml:space="preserve"> monitoring program which </w:t>
      </w:r>
      <w:r w:rsidR="005F4B30" w:rsidRPr="006C74E1">
        <w:t>incorporates</w:t>
      </w:r>
      <w:r w:rsidRPr="006C74E1">
        <w:t xml:space="preserve"> reference and impacted sites</w:t>
      </w:r>
      <w:r w:rsidR="005F4B30" w:rsidRPr="006C74E1">
        <w:t>.</w:t>
      </w:r>
      <w:r w:rsidRPr="006C74E1">
        <w:t xml:space="preserve"> This is </w:t>
      </w:r>
      <w:r w:rsidR="005F4B30" w:rsidRPr="006C74E1">
        <w:t>needed as</w:t>
      </w:r>
      <w:r w:rsidRPr="006C74E1">
        <w:t xml:space="preserve"> water quality </w:t>
      </w:r>
      <w:r w:rsidR="005F4B30" w:rsidRPr="006C74E1">
        <w:t>at</w:t>
      </w:r>
      <w:r w:rsidRPr="006C74E1">
        <w:t xml:space="preserve"> the reference sites exceed</w:t>
      </w:r>
      <w:r w:rsidR="005F4B30" w:rsidRPr="006C74E1">
        <w:t>s</w:t>
      </w:r>
      <w:r w:rsidRPr="006C74E1">
        <w:t xml:space="preserve"> multiple water quality parameters when compared to the ANZG (2018) guidelines for aquatic ecosystem protection and the regional </w:t>
      </w:r>
      <w:r w:rsidR="0053486E" w:rsidRPr="006C74E1">
        <w:t>WQOs</w:t>
      </w:r>
      <w:r w:rsidRPr="006C74E1">
        <w:t xml:space="preserve">. </w:t>
      </w:r>
      <w:r w:rsidR="00133FBF" w:rsidRPr="006C74E1">
        <w:t>Data from this program should be used to set site-specific guideline values</w:t>
      </w:r>
      <w:r w:rsidR="00E23CCC" w:rsidRPr="006C74E1">
        <w:t xml:space="preserve"> (</w:t>
      </w:r>
      <w:r w:rsidR="008A1ECB" w:rsidRPr="008A1ECB">
        <w:t>Huynh and Hobbs 2019</w:t>
      </w:r>
      <w:r w:rsidR="00E23CCC" w:rsidRPr="006C74E1">
        <w:t>)</w:t>
      </w:r>
      <w:r w:rsidR="00CA0A2B">
        <w:rPr>
          <w:rStyle w:val="FootnoteReference"/>
        </w:rPr>
        <w:footnoteReference w:id="2"/>
      </w:r>
      <w:r w:rsidR="00133FBF" w:rsidRPr="006C74E1">
        <w:t>.</w:t>
      </w:r>
    </w:p>
    <w:p w14:paraId="6EBEEC1F" w14:textId="77777777" w:rsidR="000E4F54" w:rsidRPr="00CD451B" w:rsidRDefault="000E4F54" w:rsidP="000E4F54">
      <w:pPr>
        <w:pStyle w:val="ListNumber"/>
      </w:pPr>
      <w:r w:rsidRPr="006C74E1">
        <w:t xml:space="preserve">The IESC recommends the proponent develop a Receiving Environment Management </w:t>
      </w:r>
      <w:r w:rsidRPr="00983828">
        <w:t xml:space="preserve">Plan </w:t>
      </w:r>
      <w:r w:rsidR="00F60C61" w:rsidRPr="00983828">
        <w:t>(REMP)</w:t>
      </w:r>
      <w:r w:rsidR="00F60C61">
        <w:t xml:space="preserve"> </w:t>
      </w:r>
      <w:r w:rsidRPr="006C74E1">
        <w:t xml:space="preserve">that </w:t>
      </w:r>
      <w:r w:rsidR="000666F0" w:rsidRPr="006C74E1">
        <w:t xml:space="preserve">specifies </w:t>
      </w:r>
      <w:r w:rsidRPr="006C74E1">
        <w:t>actions to ensure that the downstream</w:t>
      </w:r>
      <w:r w:rsidRPr="00A44D95">
        <w:t xml:space="preserve"> environment is not adversely affected by discharges or storage overflows from the proposed mine. Collectively, these plans should: </w:t>
      </w:r>
    </w:p>
    <w:p w14:paraId="6EBEEC20" w14:textId="77777777" w:rsidR="000E4F54" w:rsidRPr="006C74E1" w:rsidRDefault="000E4F54" w:rsidP="000E4F54">
      <w:pPr>
        <w:pStyle w:val="ListNumber2"/>
        <w:ind w:left="709" w:hanging="283"/>
      </w:pPr>
      <w:r w:rsidRPr="00CD451B">
        <w:t>provide a trigger</w:t>
      </w:r>
      <w:r>
        <w:t>-</w:t>
      </w:r>
      <w:r w:rsidRPr="00CD451B">
        <w:t>action response plan (TARP)</w:t>
      </w:r>
      <w:r w:rsidR="007B21D6">
        <w:t>,</w:t>
      </w:r>
      <w:r w:rsidRPr="00CD451B">
        <w:t xml:space="preserve"> </w:t>
      </w:r>
      <w:r w:rsidR="007B21D6" w:rsidRPr="00CD451B">
        <w:t xml:space="preserve">in line with ANZG </w:t>
      </w:r>
      <w:r w:rsidR="007B21D6">
        <w:t>(</w:t>
      </w:r>
      <w:r w:rsidR="007B21D6" w:rsidRPr="00CD451B">
        <w:t>2018</w:t>
      </w:r>
      <w:r w:rsidR="007B21D6">
        <w:t>)</w:t>
      </w:r>
      <w:r w:rsidR="007B21D6" w:rsidRPr="00CD451B">
        <w:t xml:space="preserve"> guidelines</w:t>
      </w:r>
      <w:r w:rsidR="007B21D6">
        <w:t xml:space="preserve">, and </w:t>
      </w:r>
      <w:r w:rsidR="00133FBF">
        <w:t xml:space="preserve">which uses </w:t>
      </w:r>
      <w:r w:rsidR="007B21D6">
        <w:t xml:space="preserve">site-specific </w:t>
      </w:r>
      <w:r w:rsidR="00133FBF">
        <w:t xml:space="preserve">data from </w:t>
      </w:r>
      <w:r w:rsidR="00133FBF" w:rsidRPr="006C74E1">
        <w:t>reference and impact sites</w:t>
      </w:r>
      <w:r w:rsidRPr="006C74E1">
        <w:t xml:space="preserve">; </w:t>
      </w:r>
      <w:r w:rsidR="00133FBF" w:rsidRPr="006C74E1">
        <w:t>and</w:t>
      </w:r>
    </w:p>
    <w:p w14:paraId="6EBEEC21" w14:textId="77777777" w:rsidR="000E4F54" w:rsidRPr="006C74E1" w:rsidRDefault="000E4F54" w:rsidP="000E4F54">
      <w:pPr>
        <w:pStyle w:val="ListNumber2"/>
        <w:ind w:left="709" w:hanging="283"/>
      </w:pPr>
      <w:r w:rsidRPr="006C74E1">
        <w:t xml:space="preserve">integrate with the existing Surface Water Management </w:t>
      </w:r>
      <w:r w:rsidRPr="00983828">
        <w:t>Plan</w:t>
      </w:r>
      <w:r w:rsidR="00DF3B5C" w:rsidRPr="00983828">
        <w:t xml:space="preserve"> (SWMP)</w:t>
      </w:r>
      <w:r w:rsidRPr="00983828">
        <w:t xml:space="preserve"> so that the</w:t>
      </w:r>
      <w:r w:rsidRPr="006C74E1">
        <w:t xml:space="preserve"> mitigation and management measures will adequately protect environmental values within and downstream of the project area. </w:t>
      </w:r>
    </w:p>
    <w:p w14:paraId="6EBEEC22" w14:textId="77777777" w:rsidR="0045100E" w:rsidRPr="006C74E1" w:rsidRDefault="000666F0" w:rsidP="007061D9">
      <w:pPr>
        <w:pStyle w:val="ListNumber"/>
      </w:pPr>
      <w:r w:rsidRPr="006C74E1">
        <w:lastRenderedPageBreak/>
        <w:t xml:space="preserve">Using baseline data on water quality, riparian zone vegetation and aquatic biota (see Paragraph </w:t>
      </w:r>
      <w:r w:rsidR="00E23CCC" w:rsidRPr="006C74E1">
        <w:t>7</w:t>
      </w:r>
      <w:r w:rsidRPr="006C74E1">
        <w:t>), the proponent should propose appropriate mitigation and management strategies to minimise potential impacts of altered flow regimes and/or water quality on aquatic biota in Blackwater Creek and Twelve Mile Creek as a result of the proposed project.</w:t>
      </w:r>
      <w:r w:rsidR="00AE46C9" w:rsidRPr="006C74E1">
        <w:t xml:space="preserve"> </w:t>
      </w:r>
      <w:r w:rsidRPr="006C74E1">
        <w:t>A suitable monitoring strategy should be outlined that allows the proponent to demonstrate the effectiveness of these mitigation strategies in protecting the ecological integrity of the ephemeral streams and the Mackenzie River into which they flow.</w:t>
      </w:r>
    </w:p>
    <w:p w14:paraId="6EBEEC23" w14:textId="77777777" w:rsidR="0042202C" w:rsidRPr="00062AFE" w:rsidRDefault="0042202C" w:rsidP="0042202C">
      <w:pPr>
        <w:pStyle w:val="ListNumber"/>
        <w:numPr>
          <w:ilvl w:val="0"/>
          <w:numId w:val="0"/>
        </w:numPr>
        <w:rPr>
          <w:u w:val="single"/>
        </w:rPr>
      </w:pPr>
      <w:r w:rsidRPr="000E4F54">
        <w:rPr>
          <w:u w:val="single"/>
        </w:rPr>
        <w:t xml:space="preserve">Mine-affected water </w:t>
      </w:r>
      <w:r w:rsidRPr="00062AFE">
        <w:rPr>
          <w:u w:val="single"/>
        </w:rPr>
        <w:t>discharge</w:t>
      </w:r>
    </w:p>
    <w:p w14:paraId="6EBEEC24" w14:textId="77777777" w:rsidR="0042202C" w:rsidRPr="00224490" w:rsidRDefault="0042202C" w:rsidP="0042202C">
      <w:pPr>
        <w:pStyle w:val="ListNumber"/>
      </w:pPr>
      <w:r w:rsidRPr="00062AFE">
        <w:t xml:space="preserve">The IESC recommends that the proponent undertakes flood modelling (as outlined in the response to Question 2) and determines the risks of uncontrolled releases from water dams, sediment traps, storage ponds and other </w:t>
      </w:r>
      <w:r w:rsidRPr="00224490">
        <w:t>associated infrastructure during extreme weather events, such as cyclones and extended wet seasons</w:t>
      </w:r>
      <w:r w:rsidR="00E36B41" w:rsidRPr="00224490">
        <w:t xml:space="preserve"> to assist </w:t>
      </w:r>
      <w:r w:rsidR="000F4514" w:rsidRPr="00224490">
        <w:t xml:space="preserve">in </w:t>
      </w:r>
      <w:r w:rsidR="00E36B41" w:rsidRPr="00224490">
        <w:t>developing monitoring and mitigation plans</w:t>
      </w:r>
      <w:r w:rsidRPr="00224490">
        <w:t xml:space="preserve">. Images from WOfS may add value in calibrating this modelling (e.g. Mueller </w:t>
      </w:r>
      <w:r w:rsidR="00D34DC2" w:rsidRPr="00224490">
        <w:rPr>
          <w:i/>
        </w:rPr>
        <w:t>et al.</w:t>
      </w:r>
      <w:r w:rsidRPr="00224490">
        <w:t xml:space="preserve"> 2016). The information gathered from the flood modelling can be used to inform the </w:t>
      </w:r>
      <w:r w:rsidR="006C4694" w:rsidRPr="00224490">
        <w:t xml:space="preserve">SWMP </w:t>
      </w:r>
      <w:r w:rsidRPr="00224490">
        <w:t>as well as the REMP (</w:t>
      </w:r>
      <w:r w:rsidR="009B5030" w:rsidRPr="00224490">
        <w:t>e.g.</w:t>
      </w:r>
      <w:r w:rsidRPr="00224490">
        <w:t xml:space="preserve"> risk of overtopping hypersaline final voids).</w:t>
      </w:r>
    </w:p>
    <w:p w14:paraId="6EBEEC25" w14:textId="77777777" w:rsidR="0042202C" w:rsidRDefault="0042202C" w:rsidP="0042202C">
      <w:pPr>
        <w:pStyle w:val="ListNumber"/>
      </w:pPr>
      <w:r w:rsidRPr="00062AFE">
        <w:t>The IESC considers that prior to disturbance by the proposed project, site-specific water quality guideline values should be derived from</w:t>
      </w:r>
      <w:r>
        <w:t xml:space="preserve"> 24 contiguous monthly samples as outlined in the ANZG (2018) guidelines. Site-specific guideline values are needed for </w:t>
      </w:r>
      <w:r w:rsidRPr="00A44D95">
        <w:t>all parameters</w:t>
      </w:r>
      <w:r>
        <w:t xml:space="preserve"> where the default ANZG (2018) guideline values are not met. This includes aluminium, cobalt and arsenic in particular where</w:t>
      </w:r>
      <w:r w:rsidRPr="00A44D95">
        <w:t xml:space="preserve"> elevated concentrations </w:t>
      </w:r>
      <w:r>
        <w:t xml:space="preserve">have been regularly observed. The proponent </w:t>
      </w:r>
      <w:r w:rsidRPr="00A44D95">
        <w:t xml:space="preserve">may </w:t>
      </w:r>
      <w:r>
        <w:t xml:space="preserve">need to consider </w:t>
      </w:r>
      <w:r w:rsidRPr="00A44D95">
        <w:t>treatment of water prior to discharge</w:t>
      </w:r>
      <w:r>
        <w:t xml:space="preserve"> in order to meet the site-specific guideline values</w:t>
      </w:r>
      <w:r w:rsidRPr="00A44D95">
        <w:t>.</w:t>
      </w:r>
    </w:p>
    <w:p w14:paraId="6EBEEC26" w14:textId="77777777" w:rsidR="0042202C" w:rsidRPr="00155012" w:rsidRDefault="0042202C" w:rsidP="0042202C">
      <w:pPr>
        <w:pStyle w:val="ListNumber"/>
        <w:numPr>
          <w:ilvl w:val="0"/>
          <w:numId w:val="0"/>
        </w:numPr>
        <w:rPr>
          <w:u w:val="single"/>
        </w:rPr>
      </w:pPr>
      <w:r>
        <w:rPr>
          <w:u w:val="single"/>
        </w:rPr>
        <w:t>Groundwater-d</w:t>
      </w:r>
      <w:r w:rsidRPr="007C48B5">
        <w:rPr>
          <w:u w:val="single"/>
        </w:rPr>
        <w:t xml:space="preserve">ependent </w:t>
      </w:r>
      <w:r>
        <w:rPr>
          <w:u w:val="single"/>
        </w:rPr>
        <w:t>e</w:t>
      </w:r>
      <w:r w:rsidRPr="007C48B5">
        <w:rPr>
          <w:u w:val="single"/>
        </w:rPr>
        <w:t>cosystems</w:t>
      </w:r>
      <w:r>
        <w:rPr>
          <w:u w:val="single"/>
        </w:rPr>
        <w:t xml:space="preserve"> </w:t>
      </w:r>
    </w:p>
    <w:p w14:paraId="6EBEEC27" w14:textId="77777777" w:rsidR="00C95CD2" w:rsidRPr="00224490" w:rsidRDefault="0042202C" w:rsidP="00C95CD2">
      <w:pPr>
        <w:pStyle w:val="ListNumber"/>
      </w:pPr>
      <w:r>
        <w:t xml:space="preserve">The </w:t>
      </w:r>
      <w:r w:rsidRPr="00062AFE">
        <w:t>proponent has not proposed any mitigation or management measures for GDEs because it is assumed that few</w:t>
      </w:r>
      <w:r w:rsidR="00AD2831">
        <w:t>,</w:t>
      </w:r>
      <w:r w:rsidRPr="00062AFE">
        <w:t xml:space="preserve"> if any</w:t>
      </w:r>
      <w:r w:rsidR="00AD2831">
        <w:t>,</w:t>
      </w:r>
      <w:r w:rsidRPr="00062AFE">
        <w:t xml:space="preserve"> GDEs occur in the project area (assumed because depth to groundwater exceeds 40 m) and that no impacts on GDEs are expected from the project. However, the </w:t>
      </w:r>
      <w:r w:rsidR="00E23CCC" w:rsidRPr="00062AFE">
        <w:t xml:space="preserve">proponent’s </w:t>
      </w:r>
      <w:r w:rsidRPr="00062AFE">
        <w:t xml:space="preserve">assessment does not consider any GDEs that potentially occur in the area where groundwater drawdown is predicted to be less than 5 m (see </w:t>
      </w:r>
      <w:r w:rsidR="00E23CCC" w:rsidRPr="00062AFE">
        <w:t xml:space="preserve">Paragraphs </w:t>
      </w:r>
      <w:r w:rsidR="004B081E" w:rsidRPr="00062AFE">
        <w:t xml:space="preserve">3 and </w:t>
      </w:r>
      <w:r w:rsidR="00ED6C5D" w:rsidRPr="00ED6C5D">
        <w:t>14</w:t>
      </w:r>
      <w:r w:rsidRPr="00062AFE">
        <w:t xml:space="preserve">). It also does </w:t>
      </w:r>
      <w:r w:rsidR="009B5030" w:rsidRPr="00062AFE">
        <w:t>not include</w:t>
      </w:r>
      <w:r w:rsidRPr="00062AFE">
        <w:t xml:space="preserve"> GDEs that may occur in downstream receiving environments whose groundwater quality might be </w:t>
      </w:r>
      <w:r w:rsidRPr="00224490">
        <w:t xml:space="preserve">affected by controlled or uncontrolled discharges or final void overflows. Further, there may be GDEs that </w:t>
      </w:r>
      <w:r w:rsidR="00E23CCC" w:rsidRPr="00224490">
        <w:t>rely</w:t>
      </w:r>
      <w:r w:rsidRPr="00224490">
        <w:t xml:space="preserve"> on shallow perched groundwaters (</w:t>
      </w:r>
      <w:r w:rsidR="009B5030" w:rsidRPr="00224490">
        <w:t>e.g.</w:t>
      </w:r>
      <w:r w:rsidRPr="00224490">
        <w:t xml:space="preserve"> gilgai in the Brigalow TEC) that are not included in the groundwater modelling. Depending on the outcome of the GDE surveys recommended in response to Question 2 (see </w:t>
      </w:r>
      <w:r w:rsidR="00E23CCC" w:rsidRPr="00224490">
        <w:t xml:space="preserve">Paragraphs </w:t>
      </w:r>
      <w:r w:rsidR="004B081E" w:rsidRPr="00224490">
        <w:t>1</w:t>
      </w:r>
      <w:r w:rsidR="00ED6C5D" w:rsidRPr="00224490">
        <w:t>4</w:t>
      </w:r>
      <w:r w:rsidR="004B081E" w:rsidRPr="00224490">
        <w:t xml:space="preserve"> </w:t>
      </w:r>
      <w:r w:rsidRPr="00224490">
        <w:t xml:space="preserve">and </w:t>
      </w:r>
      <w:r w:rsidR="004B081E" w:rsidRPr="00224490">
        <w:t>1</w:t>
      </w:r>
      <w:r w:rsidR="00ED6C5D" w:rsidRPr="00224490">
        <w:t>5</w:t>
      </w:r>
      <w:r w:rsidRPr="00224490">
        <w:t xml:space="preserve">), the proponent may need to develop specific management and mitigation plans to avoid or reduce impacts of the proposed project on GDEs in the area surrounding and/or downstream of the project area. </w:t>
      </w:r>
    </w:p>
    <w:p w14:paraId="6EBEEC28" w14:textId="77777777" w:rsidR="0042202C" w:rsidRPr="00224490" w:rsidRDefault="0042202C" w:rsidP="00C95CD2">
      <w:pPr>
        <w:pStyle w:val="ListNumber"/>
        <w:rPr>
          <w:u w:val="single"/>
        </w:rPr>
      </w:pPr>
      <w:r w:rsidRPr="00224490">
        <w:t xml:space="preserve">The proponent should provide a map of the estimated </w:t>
      </w:r>
      <w:r w:rsidR="00D10DC4" w:rsidRPr="00224490">
        <w:t>saturated zones/</w:t>
      </w:r>
      <w:r w:rsidRPr="00224490">
        <w:t xml:space="preserve">depth to </w:t>
      </w:r>
      <w:r w:rsidR="00D10DC4" w:rsidRPr="00224490">
        <w:t>the water table (</w:t>
      </w:r>
      <w:r w:rsidRPr="00224490">
        <w:t xml:space="preserve">in metres below ground level) and overlay this with a map of potential GDEs. This map would indicate which GDEs may be at risk of drawdown and therefore deserve particular mitigation or management (Doody </w:t>
      </w:r>
      <w:r w:rsidR="00D34DC2" w:rsidRPr="00224490">
        <w:rPr>
          <w:i/>
        </w:rPr>
        <w:t>et al.</w:t>
      </w:r>
      <w:r w:rsidR="00721A30" w:rsidRPr="00224490">
        <w:t xml:space="preserve"> </w:t>
      </w:r>
      <w:r w:rsidRPr="00224490">
        <w:t>2019).</w:t>
      </w:r>
    </w:p>
    <w:p w14:paraId="6EBEEC29" w14:textId="77777777" w:rsidR="00F60CB6" w:rsidRPr="00224490" w:rsidRDefault="00F60CB6" w:rsidP="00F60CB6">
      <w:pPr>
        <w:pStyle w:val="ListNumber"/>
        <w:numPr>
          <w:ilvl w:val="0"/>
          <w:numId w:val="0"/>
        </w:numPr>
        <w:rPr>
          <w:u w:val="single"/>
        </w:rPr>
      </w:pPr>
      <w:r w:rsidRPr="00224490">
        <w:rPr>
          <w:u w:val="single"/>
        </w:rPr>
        <w:t>Cumulative impacts</w:t>
      </w:r>
      <w:r w:rsidR="007B21D6" w:rsidRPr="00224490">
        <w:rPr>
          <w:u w:val="single"/>
        </w:rPr>
        <w:t xml:space="preserve"> and final voids</w:t>
      </w:r>
      <w:r w:rsidRPr="00224490">
        <w:rPr>
          <w:u w:val="single"/>
        </w:rPr>
        <w:t xml:space="preserve"> </w:t>
      </w:r>
    </w:p>
    <w:p w14:paraId="6EBEEC2A" w14:textId="77777777" w:rsidR="00E23CCC" w:rsidRPr="00224490" w:rsidRDefault="00E23CCC" w:rsidP="007B21D6">
      <w:pPr>
        <w:pStyle w:val="ListNumber"/>
      </w:pPr>
      <w:r w:rsidRPr="00224490">
        <w:t xml:space="preserve">The cumulative impact assessment undertaken by the proponent does not consider all adjacent mines and </w:t>
      </w:r>
      <w:r w:rsidR="00471103" w:rsidRPr="00224490">
        <w:t xml:space="preserve">other </w:t>
      </w:r>
      <w:r w:rsidR="006C4694" w:rsidRPr="00224490">
        <w:t>existing</w:t>
      </w:r>
      <w:r w:rsidRPr="00224490">
        <w:t xml:space="preserve"> tenements. While the current project may make only a small contribution towards cumulative impacts, the overall cumulative impact of these operations should be considered. Monitoring and mitigation plans to address cumulative impacts should be developed in collaboration with the operators of the Curragh and Yarrabee mines.</w:t>
      </w:r>
      <w:r w:rsidRPr="00224490">
        <w:rPr>
          <w:rFonts w:ascii="Times New Roman" w:eastAsia="Calibri" w:hAnsi="Times New Roman" w:cs="Times New Roman"/>
          <w:sz w:val="24"/>
          <w:szCs w:val="24"/>
          <w:lang w:eastAsia="en-AU"/>
        </w:rPr>
        <w:t xml:space="preserve"> </w:t>
      </w:r>
    </w:p>
    <w:p w14:paraId="6EBEEC2B" w14:textId="77777777" w:rsidR="00E23CCC" w:rsidRPr="00062AFE" w:rsidRDefault="00FC6825" w:rsidP="00E23CCC">
      <w:pPr>
        <w:pStyle w:val="ListNumber"/>
        <w:rPr>
          <w:sz w:val="22"/>
          <w:szCs w:val="22"/>
        </w:rPr>
      </w:pPr>
      <w:r w:rsidRPr="00224490">
        <w:t>T</w:t>
      </w:r>
      <w:r w:rsidR="00E23CCC" w:rsidRPr="00224490">
        <w:t>he remnant Brigalow TEC in ML 700012 should be retained</w:t>
      </w:r>
      <w:r w:rsidRPr="00224490">
        <w:t>, which</w:t>
      </w:r>
      <w:r w:rsidR="00E23CCC" w:rsidRPr="00224490">
        <w:t xml:space="preserve"> </w:t>
      </w:r>
      <w:r w:rsidRPr="00224490">
        <w:t>could be achieved</w:t>
      </w:r>
      <w:r w:rsidR="00E23CCC" w:rsidRPr="00224490">
        <w:t xml:space="preserve"> by redesigning the project to avoid clearing the TEC for spoil deposition </w:t>
      </w:r>
      <w:r w:rsidR="00D10DC4" w:rsidRPr="00224490">
        <w:t>and</w:t>
      </w:r>
      <w:r w:rsidR="00E23CCC" w:rsidRPr="00224490">
        <w:t xml:space="preserve"> infrastructure</w:t>
      </w:r>
      <w:r w:rsidRPr="00062AFE">
        <w:t>. T</w:t>
      </w:r>
      <w:r w:rsidR="00E23CCC" w:rsidRPr="00062AFE">
        <w:t xml:space="preserve">his refugial </w:t>
      </w:r>
      <w:r w:rsidR="00E23CCC" w:rsidRPr="00062AFE">
        <w:lastRenderedPageBreak/>
        <w:t xml:space="preserve">patch </w:t>
      </w:r>
      <w:r w:rsidRPr="00062AFE">
        <w:t xml:space="preserve">is </w:t>
      </w:r>
      <w:r w:rsidR="00E23CCC" w:rsidRPr="00062AFE">
        <w:t>a potential source for subsequent colonization of rehabilitated vegetation after cessation of mining.</w:t>
      </w:r>
    </w:p>
    <w:p w14:paraId="6EBEEC2C" w14:textId="77777777" w:rsidR="00D30063" w:rsidRPr="00224490" w:rsidRDefault="005E42B6" w:rsidP="007B21D6">
      <w:pPr>
        <w:pStyle w:val="ListNumber"/>
      </w:pPr>
      <w:r w:rsidRPr="00062AFE">
        <w:t xml:space="preserve">The IESC notes that while the proposed project will result in the modification of a single approved void in the Jellinbah Central mine, the </w:t>
      </w:r>
      <w:r w:rsidR="000666F0" w:rsidRPr="00062AFE">
        <w:t>other mines in the broader Jellinbah operation will result in a further six final voids.</w:t>
      </w:r>
      <w:r w:rsidR="00AE46C9" w:rsidRPr="00062AFE">
        <w:t xml:space="preserve"> </w:t>
      </w:r>
      <w:r w:rsidR="000666F0" w:rsidRPr="00062AFE">
        <w:t>All seven of these void</w:t>
      </w:r>
      <w:r w:rsidR="00FC6825" w:rsidRPr="00062AFE">
        <w:t>s</w:t>
      </w:r>
      <w:r w:rsidR="000666F0" w:rsidRPr="00062AFE">
        <w:t xml:space="preserve"> </w:t>
      </w:r>
      <w:r w:rsidRPr="00062AFE">
        <w:t xml:space="preserve">will have a lasting cumulative impact. </w:t>
      </w:r>
      <w:r w:rsidR="00D30063" w:rsidRPr="00062AFE">
        <w:t>The final voids pose long</w:t>
      </w:r>
      <w:r w:rsidR="00FC6825" w:rsidRPr="00062AFE">
        <w:t>-</w:t>
      </w:r>
      <w:r w:rsidR="00D30063" w:rsidRPr="00062AFE">
        <w:t xml:space="preserve">term risks to biota </w:t>
      </w:r>
      <w:r w:rsidR="00FC6825" w:rsidRPr="00062AFE">
        <w:t>from deteriorating water quality, especially increasing salinity. T</w:t>
      </w:r>
      <w:r w:rsidR="00D30063" w:rsidRPr="00062AFE">
        <w:t xml:space="preserve">he proponent should </w:t>
      </w:r>
      <w:r w:rsidR="0026110D">
        <w:t xml:space="preserve">work collaboratively with other operators to </w:t>
      </w:r>
      <w:r w:rsidR="00FC6825" w:rsidRPr="00062AFE">
        <w:t xml:space="preserve">provide a </w:t>
      </w:r>
      <w:r w:rsidR="00D30063" w:rsidRPr="00062AFE">
        <w:t>mitigation plan for minimising impacts on wildlife</w:t>
      </w:r>
      <w:r w:rsidR="000666F0" w:rsidRPr="00062AFE">
        <w:t xml:space="preserve">, and outline how </w:t>
      </w:r>
      <w:r w:rsidR="00FC6825" w:rsidRPr="00062AFE">
        <w:t xml:space="preserve">these </w:t>
      </w:r>
      <w:r w:rsidR="00FC6825" w:rsidRPr="00224490">
        <w:t>strategies will be monitored to assess their success</w:t>
      </w:r>
      <w:r w:rsidR="000666F0" w:rsidRPr="00224490">
        <w:t>.</w:t>
      </w:r>
      <w:r w:rsidR="00D30063" w:rsidRPr="00224490">
        <w:t xml:space="preserve"> </w:t>
      </w:r>
    </w:p>
    <w:p w14:paraId="6EBEEC2D" w14:textId="77777777" w:rsidR="000E4F54" w:rsidRPr="00224490" w:rsidRDefault="005E42B6" w:rsidP="00E23CCC">
      <w:pPr>
        <w:pStyle w:val="ListNumber"/>
        <w:rPr>
          <w:u w:val="single"/>
        </w:rPr>
      </w:pPr>
      <w:r w:rsidRPr="00224490">
        <w:t>The IESC recommends that various options for backfilling</w:t>
      </w:r>
      <w:r w:rsidR="00FC6825" w:rsidRPr="00224490">
        <w:t xml:space="preserve"> </w:t>
      </w:r>
      <w:r w:rsidR="00DB76B6" w:rsidRPr="00224490">
        <w:t xml:space="preserve">voids </w:t>
      </w:r>
      <w:r w:rsidRPr="00224490">
        <w:t xml:space="preserve">should be investigated. If final voids are not to be backfilled, </w:t>
      </w:r>
      <w:r w:rsidR="00FC6825" w:rsidRPr="00224490">
        <w:t>justification should be provided</w:t>
      </w:r>
      <w:r w:rsidRPr="00224490">
        <w:t xml:space="preserve"> </w:t>
      </w:r>
      <w:r w:rsidR="00BE41AA" w:rsidRPr="00224490">
        <w:t xml:space="preserve">for </w:t>
      </w:r>
      <w:r w:rsidRPr="00224490">
        <w:t>why complete backfilling is not achievable and/or results in adverse environmental outcomes. The design of the final landform should consider the impacts to water resources. Appropriate mitigation, monitoring and management measures should ensure that these impacts are minimis</w:t>
      </w:r>
      <w:r w:rsidR="00FC6825" w:rsidRPr="00224490">
        <w:t>ed</w:t>
      </w:r>
      <w:r w:rsidRPr="00224490">
        <w:rPr>
          <w:sz w:val="22"/>
          <w:szCs w:val="22"/>
        </w:rPr>
        <w:t>.</w:t>
      </w:r>
    </w:p>
    <w:p w14:paraId="6EBEEC2E" w14:textId="77777777" w:rsidR="002F38FC" w:rsidRPr="00062AFE" w:rsidRDefault="002F38FC" w:rsidP="000E4F54">
      <w:pPr>
        <w:pStyle w:val="ListNumber"/>
        <w:rPr>
          <w:u w:val="single"/>
        </w:rPr>
      </w:pPr>
      <w:r w:rsidRPr="00224490">
        <w:t>Both the Mackenzie North and Plains voids were modelled, with the results showing that final void water will be below the base of the alluvium (AARC 2018, p. 8). The modelling, however, does not examine the effects of extreme events</w:t>
      </w:r>
      <w:r w:rsidR="00FA2C30" w:rsidRPr="00224490">
        <w:t xml:space="preserve"> nor the changes in contributing catchment areas arising from mining activities</w:t>
      </w:r>
      <w:r w:rsidRPr="00224490">
        <w:t xml:space="preserve">. </w:t>
      </w:r>
      <w:r w:rsidR="00102B1E" w:rsidRPr="00224490">
        <w:t>It</w:t>
      </w:r>
      <w:r w:rsidRPr="00224490">
        <w:t xml:space="preserve"> may be possible for water levels in both the Mackenzie North and </w:t>
      </w:r>
      <w:r w:rsidR="00D10DC4" w:rsidRPr="00224490">
        <w:t xml:space="preserve">Jellinbah </w:t>
      </w:r>
      <w:r w:rsidRPr="00224490">
        <w:t>Plains voids to rise above the base of the alluvium</w:t>
      </w:r>
      <w:r w:rsidR="009D550A" w:rsidRPr="00224490">
        <w:t xml:space="preserve"> providing a connection between the void and the surrounding environment</w:t>
      </w:r>
      <w:r w:rsidRPr="00224490">
        <w:t xml:space="preserve">. The </w:t>
      </w:r>
      <w:r w:rsidR="00AE30DC" w:rsidRPr="00224490">
        <w:t xml:space="preserve">saline void </w:t>
      </w:r>
      <w:r w:rsidRPr="00224490">
        <w:t xml:space="preserve">water could then </w:t>
      </w:r>
      <w:r w:rsidR="00BD17A9" w:rsidRPr="00224490">
        <w:t>discharge into</w:t>
      </w:r>
      <w:r w:rsidR="00D10DC4" w:rsidRPr="00224490">
        <w:t xml:space="preserve"> aquifers or</w:t>
      </w:r>
      <w:r w:rsidR="00BD17A9" w:rsidRPr="00224490">
        <w:t xml:space="preserve"> </w:t>
      </w:r>
      <w:r w:rsidRPr="00224490">
        <w:t xml:space="preserve">the </w:t>
      </w:r>
      <w:r w:rsidR="00AE30DC" w:rsidRPr="00224490">
        <w:t xml:space="preserve">surrounding </w:t>
      </w:r>
      <w:r w:rsidR="00D10DC4" w:rsidRPr="00224490">
        <w:t xml:space="preserve">surface </w:t>
      </w:r>
      <w:r w:rsidRPr="00224490">
        <w:t xml:space="preserve">environment via the alluvium. Given the proponent has stated the final voids will be a contaminated saline water sink, this has </w:t>
      </w:r>
      <w:r w:rsidR="00BD17A9" w:rsidRPr="00224490">
        <w:t>the potential to</w:t>
      </w:r>
      <w:r w:rsidRPr="00224490">
        <w:t xml:space="preserve"> impact on the receiving environments and downstream ecosystems. The proponent should examine the effects of successive high-rainfall years on void water levels to ensure that discharge from final voids to the environment cannot</w:t>
      </w:r>
      <w:r w:rsidRPr="00062AFE">
        <w:t xml:space="preserve"> occur through the alluvium.</w:t>
      </w:r>
    </w:p>
    <w:tbl>
      <w:tblPr>
        <w:tblW w:w="5000" w:type="pct"/>
        <w:tblBorders>
          <w:insideH w:val="single" w:sz="4" w:space="0" w:color="auto"/>
        </w:tblBorders>
        <w:tblLayout w:type="fixed"/>
        <w:tblCellMar>
          <w:top w:w="113" w:type="dxa"/>
          <w:bottom w:w="113" w:type="dxa"/>
        </w:tblCellMar>
        <w:tblLook w:val="01E0" w:firstRow="1" w:lastRow="1" w:firstColumn="1" w:lastColumn="1" w:noHBand="0" w:noVBand="0"/>
      </w:tblPr>
      <w:tblGrid>
        <w:gridCol w:w="1843"/>
        <w:gridCol w:w="7513"/>
      </w:tblGrid>
      <w:tr w:rsidR="007203C3" w:rsidRPr="00BF21A7" w14:paraId="6EBEEC31" w14:textId="77777777" w:rsidTr="00521EAD">
        <w:trPr>
          <w:trHeight w:val="19"/>
        </w:trPr>
        <w:tc>
          <w:tcPr>
            <w:tcW w:w="985" w:type="pct"/>
            <w:tcBorders>
              <w:top w:val="single" w:sz="4" w:space="0" w:color="auto"/>
              <w:bottom w:val="single" w:sz="4" w:space="0" w:color="auto"/>
            </w:tcBorders>
          </w:tcPr>
          <w:p w14:paraId="6EBEEC2F" w14:textId="77777777" w:rsidR="007203C3" w:rsidRPr="00BF21A7" w:rsidRDefault="007203C3" w:rsidP="00D622B9">
            <w:pPr>
              <w:pStyle w:val="Heading6"/>
            </w:pPr>
            <w:r w:rsidRPr="00BF21A7">
              <w:t>Date of advice</w:t>
            </w:r>
          </w:p>
        </w:tc>
        <w:tc>
          <w:tcPr>
            <w:tcW w:w="4015" w:type="pct"/>
            <w:tcBorders>
              <w:top w:val="single" w:sz="4" w:space="0" w:color="auto"/>
              <w:bottom w:val="single" w:sz="4" w:space="0" w:color="auto"/>
            </w:tcBorders>
          </w:tcPr>
          <w:p w14:paraId="6EBEEC30" w14:textId="5895D19F" w:rsidR="007203C3" w:rsidRPr="00BF21A7" w:rsidRDefault="00824C01" w:rsidP="00062AFE">
            <w:pPr>
              <w:pStyle w:val="Tabletext"/>
            </w:pPr>
            <w:r w:rsidRPr="00824C01">
              <w:t>29</w:t>
            </w:r>
            <w:r w:rsidR="007203C3" w:rsidRPr="00BF21A7">
              <w:rPr>
                <w:color w:val="FF0000"/>
              </w:rPr>
              <w:t xml:space="preserve"> </w:t>
            </w:r>
            <w:r w:rsidR="00062AFE" w:rsidRPr="00062AFE">
              <w:t>May</w:t>
            </w:r>
            <w:r w:rsidR="007203C3" w:rsidRPr="00BF21A7">
              <w:t xml:space="preserve"> 201</w:t>
            </w:r>
            <w:r w:rsidR="00062AFE">
              <w:t>9</w:t>
            </w:r>
            <w:r w:rsidR="003E2135" w:rsidRPr="00BF21A7">
              <w:t xml:space="preserve"> </w:t>
            </w:r>
          </w:p>
        </w:tc>
      </w:tr>
      <w:tr w:rsidR="007203C3" w:rsidRPr="00BF21A7" w14:paraId="6EBEEC44" w14:textId="77777777" w:rsidTr="00521EAD">
        <w:trPr>
          <w:trHeight w:val="161"/>
        </w:trPr>
        <w:tc>
          <w:tcPr>
            <w:tcW w:w="985" w:type="pct"/>
            <w:tcBorders>
              <w:top w:val="single" w:sz="4" w:space="0" w:color="auto"/>
              <w:bottom w:val="single" w:sz="4" w:space="0" w:color="auto"/>
            </w:tcBorders>
          </w:tcPr>
          <w:p w14:paraId="6EBEEC32" w14:textId="77777777"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4015" w:type="pct"/>
            <w:tcBorders>
              <w:top w:val="single" w:sz="4" w:space="0" w:color="auto"/>
              <w:bottom w:val="single" w:sz="4" w:space="0" w:color="auto"/>
            </w:tcBorders>
          </w:tcPr>
          <w:p w14:paraId="6EBEEC33" w14:textId="77777777" w:rsidR="00513DC0" w:rsidRPr="00513DC0" w:rsidRDefault="00513DC0" w:rsidP="00513DC0">
            <w:pPr>
              <w:pStyle w:val="Tabletext"/>
            </w:pPr>
            <w:r w:rsidRPr="00513DC0">
              <w:t>CNE – MNES Assessment (AARC 2017b; Appendix A2).</w:t>
            </w:r>
          </w:p>
          <w:p w14:paraId="6EBEEC34" w14:textId="77777777" w:rsidR="00513DC0" w:rsidRPr="00513DC0" w:rsidRDefault="00513DC0" w:rsidP="00513DC0">
            <w:pPr>
              <w:pStyle w:val="Tabletext"/>
            </w:pPr>
            <w:r w:rsidRPr="00513DC0">
              <w:t>Preliminary Documentation - Jellinbah CNE Area (AARC, 2018)</w:t>
            </w:r>
            <w:r>
              <w:t>.</w:t>
            </w:r>
            <w:r w:rsidR="000F0A2B">
              <w:t xml:space="preserve"> </w:t>
            </w:r>
          </w:p>
          <w:p w14:paraId="6EBEEC35" w14:textId="77777777" w:rsidR="00513DC0" w:rsidRPr="00513DC0" w:rsidRDefault="00513DC0" w:rsidP="00513DC0">
            <w:pPr>
              <w:pStyle w:val="Tabletext"/>
            </w:pPr>
            <w:r w:rsidRPr="00513DC0">
              <w:t xml:space="preserve">Conceptual and Numerical Groundwater Modelling – Jellinbah CNE Area (JBT 2019; Appendix </w:t>
            </w:r>
            <w:r>
              <w:t>D4).</w:t>
            </w:r>
          </w:p>
          <w:p w14:paraId="6EBEEC36" w14:textId="77777777" w:rsidR="00513DC0" w:rsidRPr="00513DC0" w:rsidRDefault="00513DC0" w:rsidP="00521EAD">
            <w:pPr>
              <w:pStyle w:val="Tabletext"/>
            </w:pPr>
            <w:r w:rsidRPr="00513DC0">
              <w:t xml:space="preserve">Environmental Offsets Strategy </w:t>
            </w:r>
            <w:r>
              <w:t>(AARC 2015; Appendix A2).</w:t>
            </w:r>
          </w:p>
          <w:p w14:paraId="6EBEEC37" w14:textId="77777777" w:rsidR="00513DC0" w:rsidRPr="00513DC0" w:rsidRDefault="00513DC0" w:rsidP="00521EAD">
            <w:pPr>
              <w:pStyle w:val="Tabletext"/>
            </w:pPr>
            <w:r w:rsidRPr="00513DC0">
              <w:t>Groundwater Assessment – Jellinbah CNE Area (JBT 2016; Appendix A2)</w:t>
            </w:r>
            <w:r>
              <w:t>.</w:t>
            </w:r>
          </w:p>
          <w:p w14:paraId="6EBEEC38" w14:textId="77777777" w:rsidR="00513DC0" w:rsidRPr="00513DC0" w:rsidRDefault="00513DC0" w:rsidP="00521EAD">
            <w:pPr>
              <w:pStyle w:val="Tabletext"/>
            </w:pPr>
            <w:r w:rsidRPr="00513DC0">
              <w:t>Jellinbah Coal Mine – Chemical and Fuel Management Plan (AARC 2018a; Appendix C4)</w:t>
            </w:r>
            <w:r>
              <w:t>.</w:t>
            </w:r>
          </w:p>
          <w:p w14:paraId="6EBEEC39" w14:textId="77777777" w:rsidR="00513DC0" w:rsidRPr="00513DC0" w:rsidRDefault="00513DC0" w:rsidP="00521EAD">
            <w:pPr>
              <w:pStyle w:val="Tabletext"/>
            </w:pPr>
            <w:r w:rsidRPr="00513DC0">
              <w:t xml:space="preserve">Jellinbah Coal Mine – CNE – Terrestrial Flora and Fauna Assessment (AARC 2017a; Appendix </w:t>
            </w:r>
            <w:r>
              <w:t>A2).</w:t>
            </w:r>
          </w:p>
          <w:p w14:paraId="6EBEEC3A" w14:textId="77777777" w:rsidR="00513DC0" w:rsidRPr="00513DC0" w:rsidRDefault="00513DC0" w:rsidP="00521EAD">
            <w:pPr>
              <w:pStyle w:val="Tabletext"/>
            </w:pPr>
            <w:r w:rsidRPr="00513DC0">
              <w:t>Jellinbah Coal Mine – Erosion and Sediment Control Plan (AARC 2019; Appendix C5);</w:t>
            </w:r>
          </w:p>
          <w:p w14:paraId="6EBEEC3B" w14:textId="77777777" w:rsidR="00513DC0" w:rsidRPr="00513DC0" w:rsidRDefault="00513DC0" w:rsidP="00521EAD">
            <w:pPr>
              <w:pStyle w:val="Tabletext"/>
            </w:pPr>
            <w:r w:rsidRPr="00513DC0">
              <w:t>Jellinbah Coal Mine – Rehabilitation and Void Investigation Report (AARC 2018b; Appendix</w:t>
            </w:r>
          </w:p>
          <w:p w14:paraId="6EBEEC3C" w14:textId="77777777" w:rsidR="00513DC0" w:rsidRPr="00513DC0" w:rsidRDefault="00513DC0" w:rsidP="00521EAD">
            <w:pPr>
              <w:pStyle w:val="Tabletext"/>
            </w:pPr>
            <w:r>
              <w:t>C2).</w:t>
            </w:r>
          </w:p>
          <w:p w14:paraId="6EBEEC3D" w14:textId="77777777" w:rsidR="00513DC0" w:rsidRPr="00513DC0" w:rsidRDefault="00513DC0" w:rsidP="00521EAD">
            <w:pPr>
              <w:pStyle w:val="Tabletext"/>
            </w:pPr>
            <w:r w:rsidRPr="00513DC0">
              <w:t xml:space="preserve">Jellinbah Coal Mine – Topsoil Management Plan (AARC </w:t>
            </w:r>
            <w:r>
              <w:t>2018c; Appendix C1).</w:t>
            </w:r>
          </w:p>
          <w:p w14:paraId="6EBEEC3E" w14:textId="77777777" w:rsidR="00513DC0" w:rsidRPr="00513DC0" w:rsidRDefault="00513DC0" w:rsidP="00521EAD">
            <w:pPr>
              <w:pStyle w:val="Tabletext"/>
            </w:pPr>
            <w:r w:rsidRPr="00513DC0">
              <w:t xml:space="preserve">Jellinbah Coal Mine – Weed and Pest Management Plan </w:t>
            </w:r>
            <w:r>
              <w:t>(AARC 2018d; Appendix C3).</w:t>
            </w:r>
          </w:p>
          <w:p w14:paraId="6EBEEC3F" w14:textId="77777777" w:rsidR="00513DC0" w:rsidRPr="00513DC0" w:rsidRDefault="00513DC0" w:rsidP="00521EAD">
            <w:pPr>
              <w:pStyle w:val="Tabletext"/>
            </w:pPr>
            <w:r w:rsidRPr="00513DC0">
              <w:t xml:space="preserve">Jellinbah Mine Site – Site Water Management Plan Including Central North (UDP 2016; </w:t>
            </w:r>
            <w:r>
              <w:t>Appendix A2).</w:t>
            </w:r>
          </w:p>
          <w:p w14:paraId="6EBEEC40" w14:textId="77777777" w:rsidR="00D84882" w:rsidRDefault="00D84882" w:rsidP="00513DC0">
            <w:pPr>
              <w:pStyle w:val="Tabletext"/>
            </w:pPr>
            <w:r>
              <w:t>Local Surface Water Quality (AARC 2019; Appendix D3)</w:t>
            </w:r>
          </w:p>
          <w:p w14:paraId="6EBEEC41" w14:textId="77777777" w:rsidR="00513DC0" w:rsidRDefault="00513DC0" w:rsidP="00513DC0">
            <w:pPr>
              <w:pStyle w:val="Tabletext"/>
            </w:pPr>
            <w:r w:rsidRPr="00513DC0">
              <w:t>Microbat Call Identification Report (Balance Environmental 2015; Appendix D1).</w:t>
            </w:r>
          </w:p>
          <w:p w14:paraId="6EBEEC42" w14:textId="77777777" w:rsidR="00924698" w:rsidRDefault="00924698" w:rsidP="00513DC0">
            <w:pPr>
              <w:pStyle w:val="Tabletext"/>
            </w:pPr>
            <w:r>
              <w:lastRenderedPageBreak/>
              <w:t>Public Document Register (AARC 2019; Appendix A)</w:t>
            </w:r>
          </w:p>
          <w:p w14:paraId="6EBEEC43" w14:textId="77777777" w:rsidR="00513DC0" w:rsidRPr="00513DC0" w:rsidRDefault="00D84882" w:rsidP="00521EAD">
            <w:pPr>
              <w:pStyle w:val="Tabletext"/>
              <w:rPr>
                <w:rFonts w:eastAsia="Calibri"/>
                <w:lang w:eastAsia="en-AU"/>
              </w:rPr>
            </w:pPr>
            <w:r>
              <w:t>Summary of Surface Water Quality Data for Mackenzie River (AARC 2019; Appendix D2)</w:t>
            </w:r>
          </w:p>
        </w:tc>
      </w:tr>
      <w:tr w:rsidR="007203C3" w:rsidRPr="00BF21A7" w14:paraId="6EBEEC66" w14:textId="77777777" w:rsidTr="00521EAD">
        <w:trPr>
          <w:trHeight w:val="19"/>
        </w:trPr>
        <w:tc>
          <w:tcPr>
            <w:tcW w:w="985" w:type="pct"/>
            <w:tcBorders>
              <w:top w:val="single" w:sz="4" w:space="0" w:color="auto"/>
              <w:bottom w:val="single" w:sz="4" w:space="0" w:color="auto"/>
            </w:tcBorders>
          </w:tcPr>
          <w:p w14:paraId="6EBEEC45" w14:textId="77777777" w:rsidR="007203C3" w:rsidRPr="00BF21A7" w:rsidRDefault="007203C3" w:rsidP="00155012">
            <w:pPr>
              <w:pStyle w:val="Heading6"/>
              <w:keepNext/>
            </w:pPr>
            <w:r w:rsidRPr="00BF21A7">
              <w:lastRenderedPageBreak/>
              <w:t xml:space="preserve">References cited within the </w:t>
            </w:r>
            <w:r w:rsidR="00A83DF5" w:rsidRPr="00BF21A7">
              <w:t>IESC</w:t>
            </w:r>
            <w:r w:rsidRPr="00BF21A7">
              <w:t>’s advice</w:t>
            </w:r>
          </w:p>
        </w:tc>
        <w:tc>
          <w:tcPr>
            <w:tcW w:w="4015" w:type="pct"/>
            <w:tcBorders>
              <w:top w:val="single" w:sz="4" w:space="0" w:color="auto"/>
              <w:bottom w:val="single" w:sz="4" w:space="0" w:color="auto"/>
            </w:tcBorders>
          </w:tcPr>
          <w:p w14:paraId="6EBEEC46" w14:textId="77777777" w:rsidR="00155F32" w:rsidRDefault="00155F32" w:rsidP="00155012">
            <w:pPr>
              <w:pStyle w:val="Tabletext"/>
              <w:keepNext/>
              <w:spacing w:line="240" w:lineRule="auto"/>
              <w:ind w:left="493" w:hanging="493"/>
            </w:pPr>
            <w:r>
              <w:t xml:space="preserve">AARC 2018. </w:t>
            </w:r>
            <w:r w:rsidRPr="00155F32">
              <w:rPr>
                <w:i/>
              </w:rPr>
              <w:t>Jellinbah Coal Mine – Rehabilitation and Void Investigation Report</w:t>
            </w:r>
            <w:r>
              <w:rPr>
                <w:i/>
              </w:rPr>
              <w:t xml:space="preserve">. </w:t>
            </w:r>
            <w:r>
              <w:t>Preliminary Documentation Appendix C2. Report prepared for Jellinbah Group Pty Ltd November 2018.</w:t>
            </w:r>
          </w:p>
          <w:p w14:paraId="6EBEEC47" w14:textId="77777777" w:rsidR="00270C82" w:rsidRDefault="00270C82" w:rsidP="00155012">
            <w:pPr>
              <w:pStyle w:val="Tabletext"/>
              <w:keepNext/>
              <w:spacing w:line="240" w:lineRule="auto"/>
              <w:ind w:left="493" w:hanging="493"/>
            </w:pPr>
          </w:p>
          <w:p w14:paraId="6EBEEC48" w14:textId="77777777" w:rsidR="00270C82" w:rsidRDefault="00270C82" w:rsidP="00270C82">
            <w:pPr>
              <w:pStyle w:val="Tabletext"/>
              <w:keepNext/>
              <w:spacing w:line="240" w:lineRule="auto"/>
              <w:ind w:left="493" w:hanging="493"/>
            </w:pPr>
            <w:r>
              <w:t xml:space="preserve">AARC 2019. </w:t>
            </w:r>
            <w:r>
              <w:rPr>
                <w:i/>
              </w:rPr>
              <w:t>Central North Extension – Preliminary Documentation.</w:t>
            </w:r>
            <w:r>
              <w:t xml:space="preserve"> Prepared for Jellinbah Group Pty Ltd March 2019.</w:t>
            </w:r>
          </w:p>
          <w:p w14:paraId="6EBEEC49" w14:textId="77777777" w:rsidR="002E35E7" w:rsidRDefault="002E35E7" w:rsidP="002E35E7">
            <w:pPr>
              <w:pStyle w:val="Tabletext"/>
              <w:keepNext/>
              <w:spacing w:line="240" w:lineRule="auto"/>
            </w:pPr>
          </w:p>
          <w:p w14:paraId="6EBEEC4A" w14:textId="77777777" w:rsidR="007E11EA" w:rsidRDefault="007E11EA" w:rsidP="00155012">
            <w:pPr>
              <w:pStyle w:val="Tabletext"/>
              <w:keepNext/>
              <w:spacing w:line="240" w:lineRule="auto"/>
              <w:ind w:left="493" w:hanging="493"/>
              <w:rPr>
                <w:rFonts w:ascii="Segoe UI" w:hAnsi="Segoe UI" w:cs="Segoe UI"/>
                <w:color w:val="444444"/>
              </w:rPr>
            </w:pPr>
            <w:r w:rsidRPr="007E11EA">
              <w:t>ANZG 2018. </w:t>
            </w:r>
            <w:r w:rsidRPr="007E11EA">
              <w:rPr>
                <w:i/>
              </w:rPr>
              <w:t>Australian and New Zealand Guidelines for Fresh and Marine Water Quality.</w:t>
            </w:r>
            <w:r w:rsidRPr="007E11EA">
              <w:t xml:space="preserve"> Australian and New Zealand Governments and Australian state and territory governm</w:t>
            </w:r>
            <w:r w:rsidR="00DC70B1">
              <w:t>ents, Canberra ACT, Australia. </w:t>
            </w:r>
            <w:r w:rsidR="00521EAD">
              <w:t>A</w:t>
            </w:r>
            <w:r w:rsidRPr="007E11EA">
              <w:t xml:space="preserve">vailable </w:t>
            </w:r>
            <w:r>
              <w:t>[online]:</w:t>
            </w:r>
            <w:r>
              <w:rPr>
                <w:rFonts w:ascii="Segoe UI" w:hAnsi="Segoe UI" w:cs="Segoe UI"/>
                <w:color w:val="444444"/>
              </w:rPr>
              <w:t> </w:t>
            </w:r>
            <w:hyperlink r:id="rId16" w:history="1">
              <w:r>
                <w:rPr>
                  <w:rStyle w:val="Hyperlink"/>
                  <w:rFonts w:ascii="Segoe UI" w:hAnsi="Segoe UI" w:cs="Segoe UI"/>
                </w:rPr>
                <w:t>www.waterquality.gov.au/anz-guidelines</w:t>
              </w:r>
            </w:hyperlink>
            <w:r>
              <w:rPr>
                <w:rFonts w:ascii="Segoe UI" w:hAnsi="Segoe UI" w:cs="Segoe UI"/>
                <w:color w:val="444444"/>
              </w:rPr>
              <w:t xml:space="preserve"> </w:t>
            </w:r>
            <w:r w:rsidRPr="007E11EA">
              <w:t>accessed May 2019</w:t>
            </w:r>
          </w:p>
          <w:p w14:paraId="6EBEEC4B" w14:textId="77777777" w:rsidR="007E11EA" w:rsidRDefault="007E11EA" w:rsidP="00155012">
            <w:pPr>
              <w:pStyle w:val="Tabletext"/>
              <w:keepNext/>
              <w:spacing w:line="240" w:lineRule="auto"/>
              <w:ind w:left="493" w:hanging="493"/>
            </w:pPr>
          </w:p>
          <w:p w14:paraId="6EBEEC4C" w14:textId="77777777" w:rsidR="00717A51" w:rsidRDefault="00792D7D" w:rsidP="00717A51">
            <w:pPr>
              <w:pStyle w:val="Tabletext"/>
              <w:keepNext/>
              <w:spacing w:line="240" w:lineRule="auto"/>
              <w:ind w:left="493" w:hanging="493"/>
            </w:pPr>
            <w:r>
              <w:t xml:space="preserve">BOM 2017. </w:t>
            </w:r>
            <w:r w:rsidRPr="00792D7D">
              <w:rPr>
                <w:i/>
              </w:rPr>
              <w:t>Groundwater Dependent Ecosystems Atlas</w:t>
            </w:r>
            <w:r>
              <w:rPr>
                <w:i/>
              </w:rPr>
              <w:t>.</w:t>
            </w:r>
            <w:r>
              <w:t xml:space="preserve"> Available [online]:</w:t>
            </w:r>
            <w:r w:rsidR="00717A51">
              <w:t xml:space="preserve">  </w:t>
            </w:r>
            <w:hyperlink r:id="rId17" w:history="1">
              <w:r w:rsidR="00717A51">
                <w:rPr>
                  <w:rStyle w:val="Hyperlink"/>
                </w:rPr>
                <w:t>http://www.bom.gov.au/water/groundwater/gde/</w:t>
              </w:r>
            </w:hyperlink>
            <w:r w:rsidR="00717A51">
              <w:t xml:space="preserve"> accessed May 2019</w:t>
            </w:r>
          </w:p>
          <w:p w14:paraId="6EBEEC4D" w14:textId="77777777" w:rsidR="00792D7D" w:rsidRDefault="00717A51" w:rsidP="00155012">
            <w:pPr>
              <w:pStyle w:val="Tabletext"/>
              <w:keepNext/>
              <w:spacing w:line="240" w:lineRule="auto"/>
              <w:ind w:left="493" w:hanging="493"/>
            </w:pPr>
            <w:r>
              <w:t xml:space="preserve">       </w:t>
            </w:r>
          </w:p>
          <w:p w14:paraId="6EBEEC4E" w14:textId="77777777" w:rsidR="008542A4" w:rsidRDefault="008542A4" w:rsidP="00155012">
            <w:pPr>
              <w:pStyle w:val="Tabletext"/>
              <w:keepNext/>
              <w:spacing w:line="240" w:lineRule="auto"/>
              <w:ind w:left="493" w:hanging="493"/>
              <w:rPr>
                <w:rStyle w:val="Hyperlink"/>
              </w:rPr>
            </w:pPr>
            <w:r w:rsidRPr="008542A4">
              <w:t xml:space="preserve">BOM 2019. </w:t>
            </w:r>
            <w:r w:rsidRPr="008542A4">
              <w:rPr>
                <w:i/>
              </w:rPr>
              <w:t>Fitzroy: Climate and Water</w:t>
            </w:r>
            <w:r w:rsidRPr="008542A4">
              <w:t xml:space="preserve">. Bureau of Meteorology. </w:t>
            </w:r>
            <w:r w:rsidR="00DE1859">
              <w:t>Available [online]</w:t>
            </w:r>
            <w:r w:rsidRPr="008542A4">
              <w:t xml:space="preserve">: </w:t>
            </w:r>
            <w:hyperlink r:id="rId18" w:history="1">
              <w:r w:rsidRPr="00724960">
                <w:rPr>
                  <w:rStyle w:val="Hyperlink"/>
                </w:rPr>
                <w:t>http://www.bom.gov.au/water/nwa/2017/fitzroy/climateandwater/climateandwater.shtml</w:t>
              </w:r>
            </w:hyperlink>
            <w:r w:rsidR="0001298D">
              <w:rPr>
                <w:rStyle w:val="Hyperlink"/>
                <w:u w:val="none"/>
              </w:rPr>
              <w:t xml:space="preserve"> </w:t>
            </w:r>
            <w:r w:rsidR="00DE1859">
              <w:t>accessed</w:t>
            </w:r>
            <w:r w:rsidR="00DE1859" w:rsidRPr="008542A4">
              <w:t xml:space="preserve"> May 2019</w:t>
            </w:r>
          </w:p>
          <w:p w14:paraId="6EBEEC4F" w14:textId="77777777" w:rsidR="00DE1859" w:rsidRPr="00B860F7" w:rsidRDefault="00DE1859" w:rsidP="00155012">
            <w:pPr>
              <w:pStyle w:val="Tabletext"/>
              <w:keepNext/>
              <w:spacing w:line="240" w:lineRule="auto"/>
              <w:ind w:left="493" w:hanging="493"/>
            </w:pPr>
          </w:p>
          <w:p w14:paraId="6EBEEC50" w14:textId="77777777" w:rsidR="006F24B6" w:rsidRPr="00DE1859" w:rsidRDefault="006F24B6" w:rsidP="00155012">
            <w:pPr>
              <w:pStyle w:val="Tabletext"/>
              <w:keepNext/>
              <w:spacing w:line="240" w:lineRule="auto"/>
              <w:ind w:left="493" w:hanging="493"/>
            </w:pPr>
            <w:r w:rsidRPr="00DE1859">
              <w:rPr>
                <w:rStyle w:val="Hyperlink"/>
                <w:color w:val="auto"/>
                <w:u w:val="none"/>
              </w:rPr>
              <w:t xml:space="preserve">Boulton AJ, Brock MA, Robson BJ, Ryder DS, Chambers JM and Davis JA 2014. </w:t>
            </w:r>
            <w:r w:rsidRPr="0001298D">
              <w:rPr>
                <w:rStyle w:val="Hyperlink"/>
                <w:i/>
                <w:color w:val="auto"/>
                <w:u w:val="none"/>
              </w:rPr>
              <w:t>Australian Freshwater Ecology: Processes and Management</w:t>
            </w:r>
            <w:r w:rsidRPr="00DE1859">
              <w:rPr>
                <w:rStyle w:val="Hyperlink"/>
                <w:color w:val="auto"/>
                <w:u w:val="none"/>
              </w:rPr>
              <w:t>. 2nd edition, Wiley, Chichester.</w:t>
            </w:r>
            <w:r w:rsidR="00DE1859" w:rsidRPr="00DE1859">
              <w:t xml:space="preserve"> </w:t>
            </w:r>
          </w:p>
          <w:p w14:paraId="6EBEEC51" w14:textId="77777777" w:rsidR="00DE1859" w:rsidRDefault="00DE1859" w:rsidP="00155012">
            <w:pPr>
              <w:pStyle w:val="Tabletext"/>
              <w:keepNext/>
              <w:spacing w:line="240" w:lineRule="auto"/>
              <w:ind w:left="493" w:hanging="493"/>
              <w:rPr>
                <w:rStyle w:val="Hyperlink"/>
              </w:rPr>
            </w:pPr>
          </w:p>
          <w:p w14:paraId="6EBEEC52" w14:textId="77777777" w:rsidR="00645D0F" w:rsidRDefault="00645D0F" w:rsidP="00155012">
            <w:pPr>
              <w:pStyle w:val="Tabletext"/>
              <w:keepNext/>
              <w:spacing w:line="240" w:lineRule="auto"/>
              <w:ind w:left="493" w:hanging="493"/>
            </w:pPr>
            <w:r w:rsidRPr="00645D0F">
              <w:t>Burrows R, Rutlidge H, Bond N, Eberhard SM, Auhl A, Andersen</w:t>
            </w:r>
            <w:r>
              <w:t xml:space="preserve"> </w:t>
            </w:r>
            <w:r w:rsidRPr="00645D0F">
              <w:t>MS,</w:t>
            </w:r>
            <w:r>
              <w:t xml:space="preserve"> Valdez DG, </w:t>
            </w:r>
            <w:r w:rsidRPr="00645D0F">
              <w:t xml:space="preserve">Kennard M 2017. High rates of organic carbon processing in the hyporheic zone of intermittent streams. </w:t>
            </w:r>
            <w:r w:rsidRPr="0001298D">
              <w:rPr>
                <w:i/>
              </w:rPr>
              <w:t>Scientific Reports 7</w:t>
            </w:r>
            <w:r w:rsidRPr="00645D0F">
              <w:t xml:space="preserve">, 13198 </w:t>
            </w:r>
            <w:r>
              <w:t>(</w:t>
            </w:r>
            <w:r w:rsidRPr="00645D0F">
              <w:t>DOI:10.1038/s41598-017-12957-5</w:t>
            </w:r>
            <w:r>
              <w:t>)</w:t>
            </w:r>
            <w:r w:rsidRPr="00645D0F">
              <w:t>.</w:t>
            </w:r>
          </w:p>
          <w:p w14:paraId="6EBEEC53" w14:textId="77777777" w:rsidR="00DE1859" w:rsidRDefault="00DE1859" w:rsidP="00155012">
            <w:pPr>
              <w:pStyle w:val="Tabletext"/>
              <w:keepNext/>
              <w:spacing w:line="240" w:lineRule="auto"/>
              <w:ind w:left="493" w:hanging="493"/>
            </w:pPr>
          </w:p>
          <w:p w14:paraId="6EBEEC54" w14:textId="77777777" w:rsidR="006F24B6" w:rsidRDefault="006F24B6" w:rsidP="00155012">
            <w:pPr>
              <w:pStyle w:val="Tabletext"/>
              <w:keepNext/>
              <w:spacing w:line="240" w:lineRule="auto"/>
              <w:ind w:left="493" w:hanging="493"/>
            </w:pPr>
            <w:r w:rsidRPr="006F24B6">
              <w:t xml:space="preserve">Doody TM, Hancock PJ, Pritchard JL 2019. </w:t>
            </w:r>
            <w:r w:rsidRPr="00B860F7">
              <w:rPr>
                <w:i/>
              </w:rPr>
              <w:t>Information Guidelines explanatory note: Assessing groundwater-dependent ecosystems</w:t>
            </w:r>
            <w:r w:rsidRPr="006F24B6">
              <w:t>. Report prepared for the Independent Expert Scientific Committee on Coal Seam Gas and Large Coal Mining Development through the Department of the Environment and Energy, Commonwealth of Australia.</w:t>
            </w:r>
            <w:r w:rsidR="0001298D">
              <w:t xml:space="preserve"> Available [online]: </w:t>
            </w:r>
            <w:hyperlink r:id="rId19" w:history="1">
              <w:r w:rsidR="0001298D" w:rsidRPr="005D1C09">
                <w:rPr>
                  <w:rStyle w:val="Hyperlink"/>
                </w:rPr>
                <w:t>http://www.iesc.environment.gov.au/publications/information-guidelines-explanatory-note-assessing-groundwater-dependent-ecosystems</w:t>
              </w:r>
            </w:hyperlink>
            <w:r w:rsidR="0001298D">
              <w:t xml:space="preserve"> accessed May 2019</w:t>
            </w:r>
          </w:p>
          <w:p w14:paraId="6EBEEC55" w14:textId="77777777" w:rsidR="000F0A2B" w:rsidRDefault="000F0A2B" w:rsidP="00155012">
            <w:pPr>
              <w:pStyle w:val="Tabletext"/>
              <w:keepNext/>
              <w:spacing w:line="240" w:lineRule="auto"/>
              <w:ind w:left="493" w:hanging="493"/>
            </w:pPr>
          </w:p>
          <w:p w14:paraId="6EBEEC56" w14:textId="77777777" w:rsidR="008542A4" w:rsidRDefault="000F0A2B" w:rsidP="00155012">
            <w:pPr>
              <w:pStyle w:val="Tabletext"/>
              <w:keepNext/>
              <w:spacing w:line="240" w:lineRule="auto"/>
              <w:ind w:left="493" w:hanging="493"/>
            </w:pPr>
            <w:r w:rsidRPr="000F0A2B">
              <w:t xml:space="preserve">GHD 2015. </w:t>
            </w:r>
            <w:r w:rsidRPr="0001298D">
              <w:rPr>
                <w:i/>
              </w:rPr>
              <w:t>Appendix M Fitzroy River Turtle (Rheodytes leukops) species management program</w:t>
            </w:r>
            <w:r w:rsidRPr="000F0A2B">
              <w:t>. Lower Fitzroy Infrastructure Project. Report for Gladstone Area Water Board and Sunwater.</w:t>
            </w:r>
            <w:r>
              <w:t xml:space="preserve"> Available</w:t>
            </w:r>
            <w:r w:rsidR="0001298D">
              <w:t xml:space="preserve"> [online]</w:t>
            </w:r>
            <w:r>
              <w:t xml:space="preserve">: </w:t>
            </w:r>
            <w:hyperlink r:id="rId20" w:history="1">
              <w:r w:rsidRPr="0004107A">
                <w:rPr>
                  <w:rStyle w:val="Hyperlink"/>
                </w:rPr>
                <w:t>http://eisdocs.dsdip.qld.gov.au/Lower%20Fitzroy%20River%20Infrastructure/EIS/Volume%203/V3%20Appendix%20M%20Fitzroy%20River%20turtle%20(Rheodytes%20leukops)%20species%20management%20program/vol3-app-m-fitzroy-river-turtle-species-management-program-jun15.pdf</w:t>
              </w:r>
            </w:hyperlink>
            <w:r>
              <w:t xml:space="preserve"> </w:t>
            </w:r>
            <w:r w:rsidR="00DE1859">
              <w:t>accessed May 2019</w:t>
            </w:r>
          </w:p>
          <w:p w14:paraId="6EBEEC57" w14:textId="77777777" w:rsidR="000F0A2B" w:rsidRDefault="000F0A2B" w:rsidP="00155012">
            <w:pPr>
              <w:pStyle w:val="Tabletext"/>
              <w:keepNext/>
              <w:spacing w:line="240" w:lineRule="auto"/>
              <w:ind w:left="493" w:hanging="493"/>
            </w:pPr>
          </w:p>
          <w:p w14:paraId="6EBEEC58" w14:textId="77777777" w:rsidR="008A1ECB" w:rsidRDefault="008A1ECB" w:rsidP="008A1ECB">
            <w:pPr>
              <w:pStyle w:val="Tabletext"/>
              <w:keepNext/>
              <w:spacing w:line="240" w:lineRule="auto"/>
              <w:ind w:left="493" w:hanging="493"/>
            </w:pPr>
            <w:r w:rsidRPr="008A1ECB">
              <w:t>Huynh T and Hobbs D 2019.</w:t>
            </w:r>
            <w:r w:rsidRPr="008A1ECB">
              <w:rPr>
                <w:i/>
              </w:rPr>
              <w:t xml:space="preserve"> Deriving site-specific guideline values for physico-chemical parameters and</w:t>
            </w:r>
            <w:r>
              <w:rPr>
                <w:i/>
              </w:rPr>
              <w:t xml:space="preserve"> </w:t>
            </w:r>
            <w:r w:rsidRPr="008A1ECB">
              <w:rPr>
                <w:i/>
              </w:rPr>
              <w:t>toxicants.</w:t>
            </w:r>
            <w:r w:rsidRPr="008A1ECB">
              <w:t xml:space="preserve"> Report prepared for the Independent Expert Scientific Committee on Coal Seam Gas and Large Coal Mining Development through</w:t>
            </w:r>
            <w:r>
              <w:t xml:space="preserve"> </w:t>
            </w:r>
            <w:r w:rsidRPr="008A1ECB">
              <w:t>the Department of the Environment and Energy, Commonwealth of Australia 2019</w:t>
            </w:r>
            <w:r>
              <w:t>.</w:t>
            </w:r>
          </w:p>
          <w:p w14:paraId="6EBEEC59" w14:textId="77777777" w:rsidR="008A1ECB" w:rsidRDefault="008A1ECB" w:rsidP="008A1ECB">
            <w:pPr>
              <w:pStyle w:val="Tabletext"/>
              <w:keepNext/>
              <w:spacing w:line="240" w:lineRule="auto"/>
              <w:ind w:left="493" w:hanging="493"/>
            </w:pPr>
          </w:p>
          <w:p w14:paraId="6EBEEC5A" w14:textId="77777777" w:rsidR="00EE4122" w:rsidRDefault="005B0855" w:rsidP="00155012">
            <w:pPr>
              <w:pStyle w:val="Tabletext"/>
              <w:keepNext/>
              <w:spacing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01298D">
              <w:rPr>
                <w:i/>
              </w:rPr>
              <w:t>.</w:t>
            </w:r>
            <w:r w:rsidR="0048018F" w:rsidRPr="00BF21A7">
              <w:t xml:space="preserve"> </w:t>
            </w:r>
            <w:r w:rsidR="00114146" w:rsidRPr="00BF21A7">
              <w:t xml:space="preserve">Available </w:t>
            </w:r>
            <w:r w:rsidR="0048018F" w:rsidRPr="00BF21A7">
              <w:t>[</w:t>
            </w:r>
            <w:r w:rsidR="00114146">
              <w:t>online]</w:t>
            </w:r>
            <w:r w:rsidR="0048018F" w:rsidRPr="00BF21A7">
              <w:t xml:space="preserve">: </w:t>
            </w:r>
            <w:hyperlink r:id="rId21" w:history="1">
              <w:r w:rsidR="001E2E34" w:rsidRPr="00BF21A7">
                <w:rPr>
                  <w:rStyle w:val="Hyperlink"/>
                </w:rPr>
                <w:t>http://www.iesc.environment.gov.au/system/files/resources/012fa918-ee79-4131-9c8d-02c9b2de65cf/files/iesc-information-guidelines-may-2018.pdf</w:t>
              </w:r>
            </w:hyperlink>
            <w:r w:rsidR="0048018F" w:rsidRPr="00BF21A7">
              <w:t>.</w:t>
            </w:r>
            <w:r w:rsidR="00114146">
              <w:t xml:space="preserve"> accessed May 2019</w:t>
            </w:r>
          </w:p>
          <w:p w14:paraId="6EBEEC5B" w14:textId="77777777" w:rsidR="00090AD3" w:rsidRDefault="00090AD3" w:rsidP="00090AD3">
            <w:pPr>
              <w:pStyle w:val="Tabletext"/>
              <w:keepNext/>
              <w:spacing w:line="240" w:lineRule="auto"/>
              <w:ind w:left="493" w:hanging="493"/>
            </w:pPr>
          </w:p>
          <w:p w14:paraId="6EBEEC5C" w14:textId="77777777" w:rsidR="00090AD3" w:rsidRPr="000006A1" w:rsidRDefault="00090AD3" w:rsidP="00090AD3">
            <w:pPr>
              <w:pStyle w:val="Tabletext"/>
              <w:keepNext/>
              <w:spacing w:line="240" w:lineRule="auto"/>
              <w:ind w:left="493" w:hanging="493"/>
              <w:rPr>
                <w:rStyle w:val="Hyperlink"/>
              </w:rPr>
            </w:pPr>
            <w:r w:rsidRPr="000006A1">
              <w:lastRenderedPageBreak/>
              <w:t>Minerals Council of Australia 2014.</w:t>
            </w:r>
            <w:r w:rsidRPr="000006A1">
              <w:rPr>
                <w:rStyle w:val="TextItalic"/>
                <w:rFonts w:eastAsiaTheme="minorHAnsi"/>
              </w:rPr>
              <w:t xml:space="preserve"> Water accounting framework for the minerals industry</w:t>
            </w:r>
            <w:r w:rsidRPr="000006A1">
              <w:t xml:space="preserve"> </w:t>
            </w:r>
            <w:r w:rsidRPr="000006A1">
              <w:rPr>
                <w:rStyle w:val="TextItalic"/>
                <w:rFonts w:eastAsiaTheme="minorHAnsi"/>
              </w:rPr>
              <w:t>User guide</w:t>
            </w:r>
            <w:r w:rsidRPr="000006A1">
              <w:t xml:space="preserve">. Available [online]: </w:t>
            </w:r>
            <w:hyperlink r:id="rId22" w:history="1">
              <w:r w:rsidRPr="000006A1">
                <w:rPr>
                  <w:rStyle w:val="Hyperlink"/>
                </w:rPr>
                <w:t>http://www.minerals.org.au/leading_practice/water_accounting_framework_for_the_australian_minerals_industry</w:t>
              </w:r>
            </w:hyperlink>
            <w:r w:rsidRPr="000006A1">
              <w:t xml:space="preserve"> accessed April 2018.</w:t>
            </w:r>
          </w:p>
          <w:p w14:paraId="6EBEEC5D" w14:textId="77777777" w:rsidR="00090AD3" w:rsidRDefault="00090AD3" w:rsidP="00155012">
            <w:pPr>
              <w:pStyle w:val="Tabletext"/>
              <w:keepNext/>
              <w:spacing w:line="240" w:lineRule="auto"/>
              <w:ind w:left="493" w:hanging="493"/>
            </w:pPr>
          </w:p>
          <w:p w14:paraId="6EBEEC5E" w14:textId="77777777" w:rsidR="00EE4122" w:rsidRDefault="00EE4122" w:rsidP="00155012">
            <w:pPr>
              <w:pStyle w:val="Tabletext"/>
              <w:keepNext/>
              <w:spacing w:line="240" w:lineRule="auto"/>
              <w:ind w:left="493" w:hanging="493"/>
            </w:pPr>
            <w:r w:rsidRPr="00EE4122">
              <w:t>Mueller N, Lewis A, Roberts D, Ring S, Melrose R, Sixsmith J, Lymburner L, McIntyre A, Tan P, Curnow S</w:t>
            </w:r>
            <w:r w:rsidR="00270C82">
              <w:t>,</w:t>
            </w:r>
            <w:r w:rsidRPr="00EE4122">
              <w:t xml:space="preserve"> and Ip A 2016. </w:t>
            </w:r>
            <w:r w:rsidRPr="0001298D">
              <w:t>Water observations from space: Mapping surface water from 25 years of Landsat imagery across Australia</w:t>
            </w:r>
            <w:r w:rsidRPr="00EE4122">
              <w:t xml:space="preserve">. </w:t>
            </w:r>
            <w:r w:rsidRPr="0001298D">
              <w:rPr>
                <w:i/>
              </w:rPr>
              <w:t>Remote Sensing of Environment</w:t>
            </w:r>
            <w:r w:rsidRPr="00EE4122">
              <w:t xml:space="preserve"> </w:t>
            </w:r>
            <w:r w:rsidRPr="005F3881">
              <w:t>174, 341-352</w:t>
            </w:r>
            <w:r w:rsidRPr="00EE4122">
              <w:t xml:space="preserve">. Available [online]: </w:t>
            </w:r>
            <w:hyperlink r:id="rId23" w:history="1">
              <w:r w:rsidRPr="00EE4122">
                <w:rPr>
                  <w:rStyle w:val="Hyperlink"/>
                </w:rPr>
                <w:t>https://www.sciencedirect.com/science/article/pii/S0034425715301929</w:t>
              </w:r>
            </w:hyperlink>
            <w:r w:rsidR="00AE46C9">
              <w:t xml:space="preserve"> </w:t>
            </w:r>
            <w:r w:rsidRPr="00EE4122">
              <w:t>accessed May 2019</w:t>
            </w:r>
          </w:p>
          <w:p w14:paraId="6EBEEC5F" w14:textId="77777777" w:rsidR="00114146" w:rsidRDefault="00114146" w:rsidP="00155012">
            <w:pPr>
              <w:pStyle w:val="Tabletext"/>
              <w:keepNext/>
              <w:spacing w:line="240" w:lineRule="auto"/>
              <w:ind w:left="493" w:hanging="493"/>
            </w:pPr>
          </w:p>
          <w:p w14:paraId="6EBEEC60" w14:textId="77777777" w:rsidR="00114146" w:rsidRDefault="00114146" w:rsidP="00114146">
            <w:pPr>
              <w:pStyle w:val="Tabletext"/>
              <w:keepNext/>
              <w:spacing w:line="240" w:lineRule="auto"/>
              <w:ind w:left="493" w:hanging="493"/>
            </w:pPr>
            <w:r>
              <w:t xml:space="preserve">State of Queensland 2013. </w:t>
            </w:r>
            <w:r w:rsidRPr="00114146">
              <w:rPr>
                <w:i/>
              </w:rPr>
              <w:t>Water Quality Objectives (2011)</w:t>
            </w:r>
            <w:r>
              <w:t xml:space="preserve"> </w:t>
            </w:r>
            <w:r>
              <w:rPr>
                <w:i/>
                <w:iCs/>
              </w:rPr>
              <w:t>Environmental Protection (Water) Policy 2009 Mackenzie River Sub-basin Environmental Values and Water Quality Objectives Basin No. 130 (part), including all waters of the Mackenzie River Sub-basin</w:t>
            </w:r>
            <w:r>
              <w:t xml:space="preserve"> </w:t>
            </w:r>
            <w:r>
              <w:rPr>
                <w:i/>
                <w:iCs/>
              </w:rPr>
              <w:t>September 2011</w:t>
            </w:r>
            <w:r w:rsidR="00DC70B1">
              <w:t xml:space="preserve">. </w:t>
            </w:r>
            <w:r>
              <w:t xml:space="preserve">Environmental Policy and Planning, Department of Environment and Heritage Protection. Available [online]: </w:t>
            </w:r>
            <w:hyperlink r:id="rId24" w:history="1">
              <w:r w:rsidRPr="005D1C09">
                <w:rPr>
                  <w:rStyle w:val="Hyperlink"/>
                </w:rPr>
                <w:t>https://environment.des.qld.gov.au/water/policy/pdf/plans/fitzroy_mackenzie_river_wqo_290911.pdf</w:t>
              </w:r>
            </w:hyperlink>
            <w:r>
              <w:t xml:space="preserve"> accessed May 2019</w:t>
            </w:r>
          </w:p>
          <w:p w14:paraId="6EBEEC61" w14:textId="77777777" w:rsidR="00162174" w:rsidRDefault="00162174" w:rsidP="00114146">
            <w:pPr>
              <w:pStyle w:val="Tabletext"/>
              <w:keepNext/>
              <w:spacing w:line="240" w:lineRule="auto"/>
              <w:ind w:left="493" w:hanging="493"/>
            </w:pPr>
          </w:p>
          <w:p w14:paraId="6EBEEC62" w14:textId="77777777" w:rsidR="00162174" w:rsidRPr="00162174" w:rsidRDefault="00162174" w:rsidP="00162174">
            <w:pPr>
              <w:pStyle w:val="Tabletext"/>
              <w:keepNext/>
              <w:spacing w:line="240" w:lineRule="auto"/>
              <w:ind w:left="493" w:hanging="493"/>
            </w:pPr>
            <w:r>
              <w:t xml:space="preserve">UDP 2016. </w:t>
            </w:r>
            <w:r w:rsidRPr="00162174">
              <w:t xml:space="preserve">Jellinbah Mine Site - </w:t>
            </w:r>
            <w:r w:rsidRPr="00162174">
              <w:rPr>
                <w:i/>
              </w:rPr>
              <w:t>Site water management plan including proposed Central North</w:t>
            </w:r>
            <w:r w:rsidRPr="00162174">
              <w:t>.</w:t>
            </w:r>
            <w:r>
              <w:t xml:space="preserve"> Report No. JEL007/R01. Rev. E. Date 5September 2016. Available [online]: </w:t>
            </w:r>
            <w:hyperlink r:id="rId25" w:history="1">
              <w:r w:rsidRPr="00E21A98">
                <w:rPr>
                  <w:rStyle w:val="Hyperlink"/>
                </w:rPr>
                <w:t>http://epbcnotices.environment.gov.au/_entity/annotation/c812bdb3-6e2d-e811-ad33-005056ba00a7/a71d58ad-4cba-48b6-8dab-f3091fc31cd5?t=1552603281253</w:t>
              </w:r>
            </w:hyperlink>
            <w:r>
              <w:t xml:space="preserve"> accessed May 2019</w:t>
            </w:r>
          </w:p>
          <w:p w14:paraId="6EBEEC63" w14:textId="77777777" w:rsidR="00543E0B" w:rsidRDefault="00543E0B" w:rsidP="00162174">
            <w:pPr>
              <w:pStyle w:val="Tabletext"/>
              <w:keepNext/>
              <w:spacing w:line="240" w:lineRule="auto"/>
              <w:ind w:left="493" w:hanging="493"/>
            </w:pPr>
          </w:p>
          <w:p w14:paraId="6EBEEC64" w14:textId="77777777" w:rsidR="00543E0B" w:rsidRPr="00162174" w:rsidRDefault="00543E0B" w:rsidP="00162174">
            <w:pPr>
              <w:pStyle w:val="Tabletext"/>
              <w:keepNext/>
              <w:spacing w:line="240" w:lineRule="auto"/>
              <w:ind w:left="493" w:hanging="493"/>
            </w:pPr>
            <w:r w:rsidRPr="00543E0B">
              <w:t>Whetton P, Hennessy K, Cl</w:t>
            </w:r>
            <w:r>
              <w:t>arke J, McInnes K, Kent D 2012</w:t>
            </w:r>
            <w:r>
              <w:rPr>
                <w:lang w:val="en"/>
              </w:rPr>
              <w:t xml:space="preserve"> </w:t>
            </w:r>
            <w:r w:rsidRPr="00543E0B">
              <w:rPr>
                <w:i/>
                <w:lang w:val="en"/>
              </w:rPr>
              <w:t>Use of Representative Climate Futures in i</w:t>
            </w:r>
            <w:r>
              <w:rPr>
                <w:i/>
                <w:lang w:val="en"/>
              </w:rPr>
              <w:t>mpact and adaptation assessment.</w:t>
            </w:r>
            <w:r>
              <w:rPr>
                <w:lang w:val="en"/>
              </w:rPr>
              <w:t xml:space="preserve"> Climatic Change 115, 433-442. 10.1007/s10584-012-0471-z.</w:t>
            </w:r>
          </w:p>
          <w:p w14:paraId="6EBEEC65" w14:textId="77777777" w:rsidR="00162174" w:rsidRPr="00BF21A7" w:rsidRDefault="00162174" w:rsidP="00114146">
            <w:pPr>
              <w:pStyle w:val="Tabletext"/>
              <w:keepNext/>
              <w:spacing w:line="240" w:lineRule="auto"/>
              <w:ind w:left="493" w:hanging="493"/>
            </w:pPr>
          </w:p>
        </w:tc>
      </w:tr>
    </w:tbl>
    <w:p w14:paraId="6EBEEC67" w14:textId="77777777" w:rsidR="007203C3" w:rsidRPr="00BF21A7" w:rsidRDefault="00B70DFD" w:rsidP="00D622B9">
      <w:r w:rsidRPr="00BF21A7">
        <w:lastRenderedPageBreak/>
        <w:fldChar w:fldCharType="begin"/>
      </w:r>
      <w:r w:rsidR="00C37525" w:rsidRPr="00BF21A7">
        <w:instrText xml:space="preserve"> ADDIN </w:instrText>
      </w:r>
      <w:r w:rsidRPr="00BF21A7">
        <w:fldChar w:fldCharType="end"/>
      </w:r>
    </w:p>
    <w:sectPr w:rsidR="007203C3" w:rsidRPr="00BF21A7" w:rsidSect="00824C01">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EEC6B" w14:textId="77777777" w:rsidR="00FB6B9A" w:rsidRDefault="00FB6B9A" w:rsidP="00D622B9">
      <w:r>
        <w:separator/>
      </w:r>
    </w:p>
  </w:endnote>
  <w:endnote w:type="continuationSeparator" w:id="0">
    <w:p w14:paraId="6EBEEC6C" w14:textId="77777777" w:rsidR="00FB6B9A" w:rsidRDefault="00FB6B9A" w:rsidP="00D622B9">
      <w:r>
        <w:continuationSeparator/>
      </w:r>
    </w:p>
  </w:endnote>
  <w:endnote w:type="continuationNotice" w:id="1">
    <w:p w14:paraId="6EBEEC6D" w14:textId="77777777" w:rsidR="00FB6B9A" w:rsidRDefault="00FB6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7E962" w14:textId="77777777" w:rsidR="00E47C60" w:rsidRDefault="00E47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EC70" w14:textId="77777777" w:rsidR="00CA0A2B" w:rsidRPr="00637239" w:rsidRDefault="00CA0A2B" w:rsidP="003B5A88">
    <w:pPr>
      <w:pStyle w:val="Footer"/>
      <w:pBdr>
        <w:top w:val="single" w:sz="12" w:space="0" w:color="auto"/>
      </w:pBdr>
    </w:pPr>
  </w:p>
  <w:p w14:paraId="6EBEEC71" w14:textId="41EB91F7" w:rsidR="00CA0A2B" w:rsidRPr="00637239" w:rsidRDefault="00CA0A2B" w:rsidP="003B5A88">
    <w:pPr>
      <w:pStyle w:val="Footer"/>
      <w:pBdr>
        <w:top w:val="single" w:sz="12" w:space="0" w:color="auto"/>
      </w:pBdr>
      <w:rPr>
        <w:sz w:val="20"/>
      </w:rPr>
    </w:pPr>
    <w:r w:rsidRPr="00155012">
      <w:rPr>
        <w:sz w:val="20"/>
      </w:rPr>
      <w:t xml:space="preserve">Jellinbah Central North Extension Advice </w:t>
    </w:r>
    <w:r w:rsidRPr="00637239">
      <w:rPr>
        <w:color w:val="FF0000"/>
        <w:sz w:val="20"/>
      </w:rPr>
      <w:ptab w:relativeTo="margin" w:alignment="right" w:leader="none"/>
    </w:r>
    <w:r w:rsidR="00EE1DA3" w:rsidRPr="00EE1DA3">
      <w:rPr>
        <w:sz w:val="20"/>
      </w:rPr>
      <w:t>29</w:t>
    </w:r>
    <w:r w:rsidRPr="00637239">
      <w:rPr>
        <w:color w:val="FF0000"/>
        <w:sz w:val="20"/>
      </w:rPr>
      <w:t xml:space="preserve"> </w:t>
    </w:r>
    <w:r w:rsidRPr="00062AFE">
      <w:rPr>
        <w:sz w:val="20"/>
      </w:rPr>
      <w:t>May 2019</w:t>
    </w:r>
  </w:p>
  <w:p w14:paraId="6EBEEC72" w14:textId="77777777" w:rsidR="00CA0A2B" w:rsidRPr="00637239" w:rsidRDefault="00CA0A2B"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E47C60">
      <w:rPr>
        <w:noProof/>
        <w:sz w:val="20"/>
      </w:rPr>
      <w:t>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EC74" w14:textId="77777777" w:rsidR="00CA0A2B" w:rsidRPr="007B11FD" w:rsidRDefault="00CA0A2B" w:rsidP="000F240D">
    <w:pPr>
      <w:pStyle w:val="Footer"/>
      <w:pBdr>
        <w:top w:val="single" w:sz="12" w:space="0" w:color="auto"/>
      </w:pBdr>
      <w:ind w:left="-426"/>
    </w:pPr>
  </w:p>
  <w:p w14:paraId="6EBEEC75" w14:textId="0E7A2232" w:rsidR="00CA0A2B" w:rsidRDefault="00CA0A2B" w:rsidP="000F240D">
    <w:pPr>
      <w:pStyle w:val="Footer"/>
      <w:pBdr>
        <w:top w:val="single" w:sz="12" w:space="0" w:color="auto"/>
      </w:pBdr>
      <w:ind w:left="-426"/>
      <w:rPr>
        <w:color w:val="FF0000"/>
        <w:sz w:val="20"/>
      </w:rPr>
    </w:pPr>
    <w:r w:rsidRPr="00062AFE">
      <w:rPr>
        <w:sz w:val="20"/>
      </w:rPr>
      <w:t>Jellinbah</w:t>
    </w:r>
    <w:r w:rsidR="00EE1DA3">
      <w:rPr>
        <w:sz w:val="20"/>
      </w:rPr>
      <w:t xml:space="preserve"> Central North Extension Advice</w:t>
    </w:r>
    <w:r w:rsidR="00F00378" w:rsidRPr="00F00378">
      <w:rPr>
        <w:sz w:val="20"/>
      </w:rPr>
      <w:tab/>
    </w:r>
    <w:r w:rsidR="00F00378">
      <w:rPr>
        <w:sz w:val="20"/>
      </w:rPr>
      <w:tab/>
    </w:r>
    <w:r w:rsidR="00F00378" w:rsidRPr="00F00378">
      <w:rPr>
        <w:sz w:val="20"/>
      </w:rPr>
      <w:t>29 May 2019</w:t>
    </w:r>
  </w:p>
  <w:p w14:paraId="6EBEEC76" w14:textId="77777777" w:rsidR="00CA0A2B" w:rsidRPr="00637239" w:rsidRDefault="00CA0A2B"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E47C60">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EEC68" w14:textId="77777777" w:rsidR="00FB6B9A" w:rsidRDefault="00FB6B9A" w:rsidP="00D622B9">
      <w:r>
        <w:separator/>
      </w:r>
    </w:p>
  </w:footnote>
  <w:footnote w:type="continuationSeparator" w:id="0">
    <w:p w14:paraId="6EBEEC69" w14:textId="77777777" w:rsidR="00FB6B9A" w:rsidRDefault="00FB6B9A" w:rsidP="00D622B9">
      <w:r>
        <w:continuationSeparator/>
      </w:r>
    </w:p>
  </w:footnote>
  <w:footnote w:type="continuationNotice" w:id="1">
    <w:p w14:paraId="6EBEEC6A" w14:textId="77777777" w:rsidR="00FB6B9A" w:rsidRDefault="00FB6B9A">
      <w:pPr>
        <w:spacing w:after="0" w:line="240" w:lineRule="auto"/>
      </w:pPr>
    </w:p>
  </w:footnote>
  <w:footnote w:id="2">
    <w:p w14:paraId="6EBEEC7A" w14:textId="77777777" w:rsidR="00CA0A2B" w:rsidRDefault="00CA0A2B">
      <w:pPr>
        <w:pStyle w:val="FootnoteText"/>
      </w:pPr>
      <w:r>
        <w:rPr>
          <w:rStyle w:val="FootnoteReference"/>
        </w:rPr>
        <w:footnoteRef/>
      </w:r>
      <w:r>
        <w:t xml:space="preserve"> Expected publication on 11 June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EC6E" w14:textId="77777777" w:rsidR="00CA0A2B" w:rsidRDefault="00CA0A2B"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4E476" w14:textId="77777777" w:rsidR="00E47C60" w:rsidRDefault="00E47C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EC73" w14:textId="77777777" w:rsidR="00CA0A2B" w:rsidRDefault="00CA0A2B"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EBEEC78" wp14:editId="6EBEEC79">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885A9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72AF178"/>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96B53D9"/>
    <w:multiLevelType w:val="hybridMultilevel"/>
    <w:tmpl w:val="0D3AB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3"/>
  </w:num>
  <w:num w:numId="8">
    <w:abstractNumId w:val="3"/>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9"/>
  </w:num>
  <w:num w:numId="21">
    <w:abstractNumId w:val="1"/>
  </w:num>
  <w:num w:numId="22">
    <w:abstractNumId w:val="0"/>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060CE"/>
    <w:rsid w:val="00007437"/>
    <w:rsid w:val="00010210"/>
    <w:rsid w:val="000121A0"/>
    <w:rsid w:val="0001298D"/>
    <w:rsid w:val="00012D66"/>
    <w:rsid w:val="00015ADA"/>
    <w:rsid w:val="00015B96"/>
    <w:rsid w:val="0001674D"/>
    <w:rsid w:val="00016968"/>
    <w:rsid w:val="000171F8"/>
    <w:rsid w:val="00020C99"/>
    <w:rsid w:val="00022481"/>
    <w:rsid w:val="0002707B"/>
    <w:rsid w:val="00031545"/>
    <w:rsid w:val="00031B32"/>
    <w:rsid w:val="00035ACC"/>
    <w:rsid w:val="000372F3"/>
    <w:rsid w:val="0004256A"/>
    <w:rsid w:val="0004660A"/>
    <w:rsid w:val="0004715C"/>
    <w:rsid w:val="0005148E"/>
    <w:rsid w:val="000547F0"/>
    <w:rsid w:val="000558D7"/>
    <w:rsid w:val="00056B2F"/>
    <w:rsid w:val="00057018"/>
    <w:rsid w:val="00062A46"/>
    <w:rsid w:val="00062AFE"/>
    <w:rsid w:val="00065CD7"/>
    <w:rsid w:val="000666F0"/>
    <w:rsid w:val="00071D10"/>
    <w:rsid w:val="00071D9E"/>
    <w:rsid w:val="000759E5"/>
    <w:rsid w:val="0007601C"/>
    <w:rsid w:val="00076607"/>
    <w:rsid w:val="00084AC6"/>
    <w:rsid w:val="00085816"/>
    <w:rsid w:val="00090AD3"/>
    <w:rsid w:val="00091608"/>
    <w:rsid w:val="0009191A"/>
    <w:rsid w:val="0009196E"/>
    <w:rsid w:val="00092F92"/>
    <w:rsid w:val="0009333C"/>
    <w:rsid w:val="00093E5E"/>
    <w:rsid w:val="00094729"/>
    <w:rsid w:val="0009704F"/>
    <w:rsid w:val="00097EA6"/>
    <w:rsid w:val="000A0788"/>
    <w:rsid w:val="000A0F11"/>
    <w:rsid w:val="000A1138"/>
    <w:rsid w:val="000A125A"/>
    <w:rsid w:val="000A228F"/>
    <w:rsid w:val="000A57CD"/>
    <w:rsid w:val="000B2FF3"/>
    <w:rsid w:val="000B3758"/>
    <w:rsid w:val="000B3BC0"/>
    <w:rsid w:val="000B4472"/>
    <w:rsid w:val="000B7681"/>
    <w:rsid w:val="000B7B42"/>
    <w:rsid w:val="000B7E24"/>
    <w:rsid w:val="000C02B7"/>
    <w:rsid w:val="000C2814"/>
    <w:rsid w:val="000C3EB2"/>
    <w:rsid w:val="000C451B"/>
    <w:rsid w:val="000C5342"/>
    <w:rsid w:val="000C706A"/>
    <w:rsid w:val="000D2887"/>
    <w:rsid w:val="000D50A2"/>
    <w:rsid w:val="000D6D63"/>
    <w:rsid w:val="000D706B"/>
    <w:rsid w:val="000D7810"/>
    <w:rsid w:val="000E0081"/>
    <w:rsid w:val="000E07CF"/>
    <w:rsid w:val="000E1529"/>
    <w:rsid w:val="000E2CC2"/>
    <w:rsid w:val="000E4F54"/>
    <w:rsid w:val="000F0A2B"/>
    <w:rsid w:val="000F240D"/>
    <w:rsid w:val="000F317E"/>
    <w:rsid w:val="000F3C6F"/>
    <w:rsid w:val="000F4514"/>
    <w:rsid w:val="00100BEF"/>
    <w:rsid w:val="00102A3A"/>
    <w:rsid w:val="00102B1E"/>
    <w:rsid w:val="00102E17"/>
    <w:rsid w:val="00104D99"/>
    <w:rsid w:val="00112D28"/>
    <w:rsid w:val="00114146"/>
    <w:rsid w:val="0011498E"/>
    <w:rsid w:val="00116F28"/>
    <w:rsid w:val="00117A45"/>
    <w:rsid w:val="00117C11"/>
    <w:rsid w:val="00121A3E"/>
    <w:rsid w:val="001224AE"/>
    <w:rsid w:val="00122CE5"/>
    <w:rsid w:val="00123035"/>
    <w:rsid w:val="0012388C"/>
    <w:rsid w:val="001337D4"/>
    <w:rsid w:val="00133FBF"/>
    <w:rsid w:val="001340EA"/>
    <w:rsid w:val="00140EF0"/>
    <w:rsid w:val="00141E02"/>
    <w:rsid w:val="00144FB0"/>
    <w:rsid w:val="00147C12"/>
    <w:rsid w:val="00147EFC"/>
    <w:rsid w:val="00152759"/>
    <w:rsid w:val="001527A1"/>
    <w:rsid w:val="001530DC"/>
    <w:rsid w:val="00153486"/>
    <w:rsid w:val="001539AF"/>
    <w:rsid w:val="00154989"/>
    <w:rsid w:val="00155012"/>
    <w:rsid w:val="00155543"/>
    <w:rsid w:val="00155A9F"/>
    <w:rsid w:val="00155F32"/>
    <w:rsid w:val="0015684F"/>
    <w:rsid w:val="00160262"/>
    <w:rsid w:val="001611F9"/>
    <w:rsid w:val="0016186F"/>
    <w:rsid w:val="00162174"/>
    <w:rsid w:val="0016281C"/>
    <w:rsid w:val="0016433A"/>
    <w:rsid w:val="0016780A"/>
    <w:rsid w:val="001713FA"/>
    <w:rsid w:val="00173EBF"/>
    <w:rsid w:val="001765DA"/>
    <w:rsid w:val="0018297A"/>
    <w:rsid w:val="00182E2B"/>
    <w:rsid w:val="00183E75"/>
    <w:rsid w:val="001842A2"/>
    <w:rsid w:val="00185039"/>
    <w:rsid w:val="00185407"/>
    <w:rsid w:val="001859DC"/>
    <w:rsid w:val="00186465"/>
    <w:rsid w:val="00187FA8"/>
    <w:rsid w:val="0019067C"/>
    <w:rsid w:val="001922D0"/>
    <w:rsid w:val="00192F5E"/>
    <w:rsid w:val="00196A82"/>
    <w:rsid w:val="00197772"/>
    <w:rsid w:val="00197A5B"/>
    <w:rsid w:val="001A03C7"/>
    <w:rsid w:val="001A079F"/>
    <w:rsid w:val="001A51C8"/>
    <w:rsid w:val="001B3FA7"/>
    <w:rsid w:val="001B472B"/>
    <w:rsid w:val="001B4CA8"/>
    <w:rsid w:val="001B6256"/>
    <w:rsid w:val="001C2A92"/>
    <w:rsid w:val="001C401B"/>
    <w:rsid w:val="001C4F3D"/>
    <w:rsid w:val="001C7CC1"/>
    <w:rsid w:val="001D0CDC"/>
    <w:rsid w:val="001D1D82"/>
    <w:rsid w:val="001D1E42"/>
    <w:rsid w:val="001D3922"/>
    <w:rsid w:val="001D743F"/>
    <w:rsid w:val="001E06AB"/>
    <w:rsid w:val="001E1182"/>
    <w:rsid w:val="001E188F"/>
    <w:rsid w:val="001E1B7B"/>
    <w:rsid w:val="001E2E34"/>
    <w:rsid w:val="001E4603"/>
    <w:rsid w:val="001E6CFB"/>
    <w:rsid w:val="001E6E6B"/>
    <w:rsid w:val="001F0318"/>
    <w:rsid w:val="001F0E8B"/>
    <w:rsid w:val="001F5738"/>
    <w:rsid w:val="001F6C0D"/>
    <w:rsid w:val="001F742D"/>
    <w:rsid w:val="00200944"/>
    <w:rsid w:val="00201269"/>
    <w:rsid w:val="00202387"/>
    <w:rsid w:val="00202C90"/>
    <w:rsid w:val="002126D0"/>
    <w:rsid w:val="00213DE8"/>
    <w:rsid w:val="0021527B"/>
    <w:rsid w:val="00216118"/>
    <w:rsid w:val="00220707"/>
    <w:rsid w:val="002209AB"/>
    <w:rsid w:val="002230DA"/>
    <w:rsid w:val="00224490"/>
    <w:rsid w:val="002251E3"/>
    <w:rsid w:val="002262E6"/>
    <w:rsid w:val="00227A95"/>
    <w:rsid w:val="00230936"/>
    <w:rsid w:val="002316BD"/>
    <w:rsid w:val="00233687"/>
    <w:rsid w:val="002336F3"/>
    <w:rsid w:val="00237B54"/>
    <w:rsid w:val="00242F53"/>
    <w:rsid w:val="00246320"/>
    <w:rsid w:val="002473FC"/>
    <w:rsid w:val="00252E3C"/>
    <w:rsid w:val="002539C3"/>
    <w:rsid w:val="00255E7A"/>
    <w:rsid w:val="002605C3"/>
    <w:rsid w:val="0026110D"/>
    <w:rsid w:val="002611D9"/>
    <w:rsid w:val="00262198"/>
    <w:rsid w:val="00264083"/>
    <w:rsid w:val="00264AF9"/>
    <w:rsid w:val="0026742E"/>
    <w:rsid w:val="00270C82"/>
    <w:rsid w:val="00271B15"/>
    <w:rsid w:val="00272A3A"/>
    <w:rsid w:val="00277426"/>
    <w:rsid w:val="00277A51"/>
    <w:rsid w:val="002821DC"/>
    <w:rsid w:val="00285542"/>
    <w:rsid w:val="00285F1B"/>
    <w:rsid w:val="00287E1F"/>
    <w:rsid w:val="00290DBD"/>
    <w:rsid w:val="0029137E"/>
    <w:rsid w:val="00291857"/>
    <w:rsid w:val="002921C2"/>
    <w:rsid w:val="00292B81"/>
    <w:rsid w:val="00293023"/>
    <w:rsid w:val="0029322E"/>
    <w:rsid w:val="002932BC"/>
    <w:rsid w:val="00294A0A"/>
    <w:rsid w:val="00296477"/>
    <w:rsid w:val="002974BC"/>
    <w:rsid w:val="002A3FFE"/>
    <w:rsid w:val="002A55AA"/>
    <w:rsid w:val="002A5EC3"/>
    <w:rsid w:val="002A7C77"/>
    <w:rsid w:val="002B18AE"/>
    <w:rsid w:val="002B2813"/>
    <w:rsid w:val="002B5449"/>
    <w:rsid w:val="002B6472"/>
    <w:rsid w:val="002B67D3"/>
    <w:rsid w:val="002C1C93"/>
    <w:rsid w:val="002C2D08"/>
    <w:rsid w:val="002C3197"/>
    <w:rsid w:val="002C3257"/>
    <w:rsid w:val="002C3738"/>
    <w:rsid w:val="002C4453"/>
    <w:rsid w:val="002C5066"/>
    <w:rsid w:val="002C692E"/>
    <w:rsid w:val="002C7E32"/>
    <w:rsid w:val="002D255C"/>
    <w:rsid w:val="002D4AAC"/>
    <w:rsid w:val="002D5659"/>
    <w:rsid w:val="002D6445"/>
    <w:rsid w:val="002D6C33"/>
    <w:rsid w:val="002E1AB0"/>
    <w:rsid w:val="002E3214"/>
    <w:rsid w:val="002E35E7"/>
    <w:rsid w:val="002E43EF"/>
    <w:rsid w:val="002F045A"/>
    <w:rsid w:val="002F084F"/>
    <w:rsid w:val="002F0F94"/>
    <w:rsid w:val="002F1928"/>
    <w:rsid w:val="002F2838"/>
    <w:rsid w:val="002F38FC"/>
    <w:rsid w:val="002F3DF5"/>
    <w:rsid w:val="0030039D"/>
    <w:rsid w:val="00300715"/>
    <w:rsid w:val="00301A87"/>
    <w:rsid w:val="003020D2"/>
    <w:rsid w:val="0030326F"/>
    <w:rsid w:val="0031019D"/>
    <w:rsid w:val="00310394"/>
    <w:rsid w:val="00310701"/>
    <w:rsid w:val="00311031"/>
    <w:rsid w:val="00311510"/>
    <w:rsid w:val="003131C4"/>
    <w:rsid w:val="0031324B"/>
    <w:rsid w:val="003138AC"/>
    <w:rsid w:val="00315980"/>
    <w:rsid w:val="00316F7F"/>
    <w:rsid w:val="00317A64"/>
    <w:rsid w:val="00320162"/>
    <w:rsid w:val="003204C4"/>
    <w:rsid w:val="003206C5"/>
    <w:rsid w:val="0032087E"/>
    <w:rsid w:val="003218E8"/>
    <w:rsid w:val="00322C24"/>
    <w:rsid w:val="00323F3D"/>
    <w:rsid w:val="003255B0"/>
    <w:rsid w:val="00325702"/>
    <w:rsid w:val="00330DCE"/>
    <w:rsid w:val="00331E11"/>
    <w:rsid w:val="00334761"/>
    <w:rsid w:val="003360BF"/>
    <w:rsid w:val="00337EBC"/>
    <w:rsid w:val="0034033E"/>
    <w:rsid w:val="00341DCD"/>
    <w:rsid w:val="00343E78"/>
    <w:rsid w:val="00343FD7"/>
    <w:rsid w:val="0034504D"/>
    <w:rsid w:val="0034563E"/>
    <w:rsid w:val="003504CC"/>
    <w:rsid w:val="00350E66"/>
    <w:rsid w:val="00351861"/>
    <w:rsid w:val="003518D6"/>
    <w:rsid w:val="0035264A"/>
    <w:rsid w:val="0035460C"/>
    <w:rsid w:val="003556BD"/>
    <w:rsid w:val="00362B4A"/>
    <w:rsid w:val="00364E6D"/>
    <w:rsid w:val="00365147"/>
    <w:rsid w:val="0037016E"/>
    <w:rsid w:val="00370E55"/>
    <w:rsid w:val="00372908"/>
    <w:rsid w:val="00376457"/>
    <w:rsid w:val="0037694D"/>
    <w:rsid w:val="00381917"/>
    <w:rsid w:val="00382942"/>
    <w:rsid w:val="00383020"/>
    <w:rsid w:val="00383750"/>
    <w:rsid w:val="003845C7"/>
    <w:rsid w:val="0038512A"/>
    <w:rsid w:val="00386D06"/>
    <w:rsid w:val="00396930"/>
    <w:rsid w:val="00397276"/>
    <w:rsid w:val="003975FD"/>
    <w:rsid w:val="003A0593"/>
    <w:rsid w:val="003A25B4"/>
    <w:rsid w:val="003A37F6"/>
    <w:rsid w:val="003B0A41"/>
    <w:rsid w:val="003B3CAA"/>
    <w:rsid w:val="003B5A88"/>
    <w:rsid w:val="003B60CC"/>
    <w:rsid w:val="003B6230"/>
    <w:rsid w:val="003C0BE3"/>
    <w:rsid w:val="003C1B25"/>
    <w:rsid w:val="003C1B8E"/>
    <w:rsid w:val="003C2443"/>
    <w:rsid w:val="003C31E0"/>
    <w:rsid w:val="003C5DA3"/>
    <w:rsid w:val="003D456A"/>
    <w:rsid w:val="003D4BCD"/>
    <w:rsid w:val="003D5B04"/>
    <w:rsid w:val="003D77C3"/>
    <w:rsid w:val="003E01D8"/>
    <w:rsid w:val="003E2100"/>
    <w:rsid w:val="003E2135"/>
    <w:rsid w:val="003E2BDB"/>
    <w:rsid w:val="003E45FA"/>
    <w:rsid w:val="003E53CA"/>
    <w:rsid w:val="003E5ED5"/>
    <w:rsid w:val="003E72B1"/>
    <w:rsid w:val="003F0CB7"/>
    <w:rsid w:val="003F1487"/>
    <w:rsid w:val="003F4652"/>
    <w:rsid w:val="003F4D87"/>
    <w:rsid w:val="003F6F5B"/>
    <w:rsid w:val="00400F8F"/>
    <w:rsid w:val="00401021"/>
    <w:rsid w:val="0040189C"/>
    <w:rsid w:val="0040342D"/>
    <w:rsid w:val="00403FB9"/>
    <w:rsid w:val="00404D64"/>
    <w:rsid w:val="00405E1C"/>
    <w:rsid w:val="004118D4"/>
    <w:rsid w:val="0041192D"/>
    <w:rsid w:val="004124BD"/>
    <w:rsid w:val="0041275D"/>
    <w:rsid w:val="00413EE1"/>
    <w:rsid w:val="0042128E"/>
    <w:rsid w:val="0042202C"/>
    <w:rsid w:val="0042465A"/>
    <w:rsid w:val="004248B8"/>
    <w:rsid w:val="00426DD8"/>
    <w:rsid w:val="00427DE9"/>
    <w:rsid w:val="00430856"/>
    <w:rsid w:val="00432B60"/>
    <w:rsid w:val="004333E6"/>
    <w:rsid w:val="0043782C"/>
    <w:rsid w:val="00440698"/>
    <w:rsid w:val="00446B86"/>
    <w:rsid w:val="00450600"/>
    <w:rsid w:val="00450981"/>
    <w:rsid w:val="00450F76"/>
    <w:rsid w:val="0045100E"/>
    <w:rsid w:val="004540E2"/>
    <w:rsid w:val="00454454"/>
    <w:rsid w:val="00456DBF"/>
    <w:rsid w:val="00462E01"/>
    <w:rsid w:val="00466521"/>
    <w:rsid w:val="004670F3"/>
    <w:rsid w:val="00467924"/>
    <w:rsid w:val="00470478"/>
    <w:rsid w:val="00470757"/>
    <w:rsid w:val="00471103"/>
    <w:rsid w:val="004712A5"/>
    <w:rsid w:val="0047266F"/>
    <w:rsid w:val="0047390D"/>
    <w:rsid w:val="004756EB"/>
    <w:rsid w:val="00476D6B"/>
    <w:rsid w:val="0048018F"/>
    <w:rsid w:val="00482B71"/>
    <w:rsid w:val="00484148"/>
    <w:rsid w:val="004861E6"/>
    <w:rsid w:val="0049013A"/>
    <w:rsid w:val="00492C16"/>
    <w:rsid w:val="004941A3"/>
    <w:rsid w:val="004A0678"/>
    <w:rsid w:val="004A3959"/>
    <w:rsid w:val="004A48A3"/>
    <w:rsid w:val="004A59FF"/>
    <w:rsid w:val="004A70BB"/>
    <w:rsid w:val="004B081E"/>
    <w:rsid w:val="004B0D92"/>
    <w:rsid w:val="004B0EC0"/>
    <w:rsid w:val="004B0F4D"/>
    <w:rsid w:val="004B1782"/>
    <w:rsid w:val="004B25DA"/>
    <w:rsid w:val="004B32B2"/>
    <w:rsid w:val="004B5A51"/>
    <w:rsid w:val="004B66F1"/>
    <w:rsid w:val="004C2BCA"/>
    <w:rsid w:val="004C34C7"/>
    <w:rsid w:val="004C3B7B"/>
    <w:rsid w:val="004C3EA0"/>
    <w:rsid w:val="004C606B"/>
    <w:rsid w:val="004D327F"/>
    <w:rsid w:val="004D46F2"/>
    <w:rsid w:val="004D74CD"/>
    <w:rsid w:val="004E23DB"/>
    <w:rsid w:val="004E26D2"/>
    <w:rsid w:val="004E2E19"/>
    <w:rsid w:val="004E3E27"/>
    <w:rsid w:val="004E5F6F"/>
    <w:rsid w:val="004E61EE"/>
    <w:rsid w:val="004F32CC"/>
    <w:rsid w:val="004F3D69"/>
    <w:rsid w:val="004F7169"/>
    <w:rsid w:val="00500D66"/>
    <w:rsid w:val="0050103B"/>
    <w:rsid w:val="00503045"/>
    <w:rsid w:val="005036A6"/>
    <w:rsid w:val="0050773F"/>
    <w:rsid w:val="00511E3E"/>
    <w:rsid w:val="00513274"/>
    <w:rsid w:val="00513DC0"/>
    <w:rsid w:val="005142BE"/>
    <w:rsid w:val="00514C8E"/>
    <w:rsid w:val="00516D3F"/>
    <w:rsid w:val="00517F35"/>
    <w:rsid w:val="00521EAD"/>
    <w:rsid w:val="00523A57"/>
    <w:rsid w:val="00523ED3"/>
    <w:rsid w:val="00531DBF"/>
    <w:rsid w:val="00531F85"/>
    <w:rsid w:val="005337FC"/>
    <w:rsid w:val="0053486E"/>
    <w:rsid w:val="0053592F"/>
    <w:rsid w:val="00543E0B"/>
    <w:rsid w:val="005446D0"/>
    <w:rsid w:val="00545759"/>
    <w:rsid w:val="00545BE0"/>
    <w:rsid w:val="005508B8"/>
    <w:rsid w:val="00554C6A"/>
    <w:rsid w:val="00557142"/>
    <w:rsid w:val="00561978"/>
    <w:rsid w:val="00562E85"/>
    <w:rsid w:val="0056332F"/>
    <w:rsid w:val="00564C32"/>
    <w:rsid w:val="00570A4E"/>
    <w:rsid w:val="005716D4"/>
    <w:rsid w:val="005744D3"/>
    <w:rsid w:val="00581C39"/>
    <w:rsid w:val="00581EF0"/>
    <w:rsid w:val="005834A4"/>
    <w:rsid w:val="0058466E"/>
    <w:rsid w:val="00584EF8"/>
    <w:rsid w:val="00584F6B"/>
    <w:rsid w:val="00586A9D"/>
    <w:rsid w:val="005903B6"/>
    <w:rsid w:val="00592B20"/>
    <w:rsid w:val="00592F31"/>
    <w:rsid w:val="005A0247"/>
    <w:rsid w:val="005A126E"/>
    <w:rsid w:val="005A1678"/>
    <w:rsid w:val="005A452F"/>
    <w:rsid w:val="005A703F"/>
    <w:rsid w:val="005A7849"/>
    <w:rsid w:val="005A7AD5"/>
    <w:rsid w:val="005B0855"/>
    <w:rsid w:val="005B0DB3"/>
    <w:rsid w:val="005B140D"/>
    <w:rsid w:val="005C1FEA"/>
    <w:rsid w:val="005C3495"/>
    <w:rsid w:val="005C3785"/>
    <w:rsid w:val="005D0E2D"/>
    <w:rsid w:val="005E13EA"/>
    <w:rsid w:val="005E15E0"/>
    <w:rsid w:val="005E1C45"/>
    <w:rsid w:val="005E3889"/>
    <w:rsid w:val="005E3DFC"/>
    <w:rsid w:val="005E42B6"/>
    <w:rsid w:val="005E60AF"/>
    <w:rsid w:val="005E7B4E"/>
    <w:rsid w:val="005F1DEA"/>
    <w:rsid w:val="005F3881"/>
    <w:rsid w:val="005F4932"/>
    <w:rsid w:val="005F4B30"/>
    <w:rsid w:val="005F4F48"/>
    <w:rsid w:val="00602F4B"/>
    <w:rsid w:val="00602FCB"/>
    <w:rsid w:val="00604438"/>
    <w:rsid w:val="0060756D"/>
    <w:rsid w:val="00607FC9"/>
    <w:rsid w:val="00610955"/>
    <w:rsid w:val="00610BA1"/>
    <w:rsid w:val="00610D56"/>
    <w:rsid w:val="0061490C"/>
    <w:rsid w:val="00616861"/>
    <w:rsid w:val="00620057"/>
    <w:rsid w:val="00622174"/>
    <w:rsid w:val="00622B29"/>
    <w:rsid w:val="00622FE1"/>
    <w:rsid w:val="00624D0F"/>
    <w:rsid w:val="0062521C"/>
    <w:rsid w:val="00630A2B"/>
    <w:rsid w:val="00630BA2"/>
    <w:rsid w:val="0063212E"/>
    <w:rsid w:val="0063283F"/>
    <w:rsid w:val="00632AE9"/>
    <w:rsid w:val="00632DC7"/>
    <w:rsid w:val="00633896"/>
    <w:rsid w:val="006357FB"/>
    <w:rsid w:val="00637239"/>
    <w:rsid w:val="006406FC"/>
    <w:rsid w:val="00641F47"/>
    <w:rsid w:val="0064407B"/>
    <w:rsid w:val="006442E7"/>
    <w:rsid w:val="00645D0F"/>
    <w:rsid w:val="00646122"/>
    <w:rsid w:val="00653E16"/>
    <w:rsid w:val="00657220"/>
    <w:rsid w:val="00660FC9"/>
    <w:rsid w:val="0066104B"/>
    <w:rsid w:val="00661419"/>
    <w:rsid w:val="006647C4"/>
    <w:rsid w:val="006655EE"/>
    <w:rsid w:val="00667C10"/>
    <w:rsid w:val="00667EF4"/>
    <w:rsid w:val="00672B85"/>
    <w:rsid w:val="00673B97"/>
    <w:rsid w:val="00674E59"/>
    <w:rsid w:val="00676FCA"/>
    <w:rsid w:val="00677177"/>
    <w:rsid w:val="0068056B"/>
    <w:rsid w:val="0068612E"/>
    <w:rsid w:val="00686F19"/>
    <w:rsid w:val="00687858"/>
    <w:rsid w:val="00687C92"/>
    <w:rsid w:val="006903B7"/>
    <w:rsid w:val="00692CF9"/>
    <w:rsid w:val="00692D61"/>
    <w:rsid w:val="00693424"/>
    <w:rsid w:val="00693ECB"/>
    <w:rsid w:val="00694817"/>
    <w:rsid w:val="0069534E"/>
    <w:rsid w:val="00696365"/>
    <w:rsid w:val="0069669C"/>
    <w:rsid w:val="006A00D0"/>
    <w:rsid w:val="006A1200"/>
    <w:rsid w:val="006A2C5A"/>
    <w:rsid w:val="006A49D8"/>
    <w:rsid w:val="006A4F4E"/>
    <w:rsid w:val="006A55B0"/>
    <w:rsid w:val="006B14DB"/>
    <w:rsid w:val="006B21C4"/>
    <w:rsid w:val="006B2B7F"/>
    <w:rsid w:val="006C458F"/>
    <w:rsid w:val="006C4694"/>
    <w:rsid w:val="006C4A1A"/>
    <w:rsid w:val="006C4DA7"/>
    <w:rsid w:val="006C74E1"/>
    <w:rsid w:val="006C7DAD"/>
    <w:rsid w:val="006D0393"/>
    <w:rsid w:val="006D1A83"/>
    <w:rsid w:val="006D1BAD"/>
    <w:rsid w:val="006D2E5C"/>
    <w:rsid w:val="006D5D1E"/>
    <w:rsid w:val="006E0591"/>
    <w:rsid w:val="006E1CFE"/>
    <w:rsid w:val="006E31A2"/>
    <w:rsid w:val="006E4F57"/>
    <w:rsid w:val="006E6D10"/>
    <w:rsid w:val="006F0273"/>
    <w:rsid w:val="006F10C4"/>
    <w:rsid w:val="006F17A1"/>
    <w:rsid w:val="006F24B6"/>
    <w:rsid w:val="006F40E9"/>
    <w:rsid w:val="006F48F0"/>
    <w:rsid w:val="006F5603"/>
    <w:rsid w:val="006F61A9"/>
    <w:rsid w:val="00700540"/>
    <w:rsid w:val="00701400"/>
    <w:rsid w:val="007025EA"/>
    <w:rsid w:val="00702D82"/>
    <w:rsid w:val="007037CF"/>
    <w:rsid w:val="00703BB8"/>
    <w:rsid w:val="00704B37"/>
    <w:rsid w:val="007061D9"/>
    <w:rsid w:val="00707B23"/>
    <w:rsid w:val="00711BD7"/>
    <w:rsid w:val="00712A8B"/>
    <w:rsid w:val="00714B40"/>
    <w:rsid w:val="00716583"/>
    <w:rsid w:val="007167C0"/>
    <w:rsid w:val="00717A51"/>
    <w:rsid w:val="007203C3"/>
    <w:rsid w:val="00720481"/>
    <w:rsid w:val="00721642"/>
    <w:rsid w:val="00721A30"/>
    <w:rsid w:val="00721BC7"/>
    <w:rsid w:val="0072510B"/>
    <w:rsid w:val="00725EC1"/>
    <w:rsid w:val="00727C18"/>
    <w:rsid w:val="00727E2F"/>
    <w:rsid w:val="00733193"/>
    <w:rsid w:val="00734218"/>
    <w:rsid w:val="00734EAC"/>
    <w:rsid w:val="00737CBA"/>
    <w:rsid w:val="007408A8"/>
    <w:rsid w:val="00743723"/>
    <w:rsid w:val="00743E60"/>
    <w:rsid w:val="00744E26"/>
    <w:rsid w:val="00752FF8"/>
    <w:rsid w:val="00754BE0"/>
    <w:rsid w:val="00754C17"/>
    <w:rsid w:val="0075732A"/>
    <w:rsid w:val="0075745C"/>
    <w:rsid w:val="00760262"/>
    <w:rsid w:val="0076292D"/>
    <w:rsid w:val="0076310C"/>
    <w:rsid w:val="0076326B"/>
    <w:rsid w:val="0076556C"/>
    <w:rsid w:val="00766009"/>
    <w:rsid w:val="0076744F"/>
    <w:rsid w:val="00767BCE"/>
    <w:rsid w:val="00767EFC"/>
    <w:rsid w:val="00770304"/>
    <w:rsid w:val="007707DE"/>
    <w:rsid w:val="00770B5D"/>
    <w:rsid w:val="007752F1"/>
    <w:rsid w:val="00776768"/>
    <w:rsid w:val="007772AD"/>
    <w:rsid w:val="00781C17"/>
    <w:rsid w:val="00782D61"/>
    <w:rsid w:val="00784E40"/>
    <w:rsid w:val="00787631"/>
    <w:rsid w:val="007877F0"/>
    <w:rsid w:val="00787D99"/>
    <w:rsid w:val="00791024"/>
    <w:rsid w:val="007921C6"/>
    <w:rsid w:val="00792D7D"/>
    <w:rsid w:val="00794818"/>
    <w:rsid w:val="007A2573"/>
    <w:rsid w:val="007A3B9C"/>
    <w:rsid w:val="007B047A"/>
    <w:rsid w:val="007B106C"/>
    <w:rsid w:val="007B11FD"/>
    <w:rsid w:val="007B1A4E"/>
    <w:rsid w:val="007B2110"/>
    <w:rsid w:val="007B21D6"/>
    <w:rsid w:val="007B3D05"/>
    <w:rsid w:val="007B5503"/>
    <w:rsid w:val="007B5806"/>
    <w:rsid w:val="007C0A2C"/>
    <w:rsid w:val="007C110F"/>
    <w:rsid w:val="007C309C"/>
    <w:rsid w:val="007C48B5"/>
    <w:rsid w:val="007C5EA7"/>
    <w:rsid w:val="007C6BB3"/>
    <w:rsid w:val="007C792D"/>
    <w:rsid w:val="007D14B4"/>
    <w:rsid w:val="007D1F0C"/>
    <w:rsid w:val="007D2209"/>
    <w:rsid w:val="007D3AD7"/>
    <w:rsid w:val="007E11EA"/>
    <w:rsid w:val="007E24F6"/>
    <w:rsid w:val="007F03D0"/>
    <w:rsid w:val="00800F64"/>
    <w:rsid w:val="00801FB7"/>
    <w:rsid w:val="00802F0B"/>
    <w:rsid w:val="00804922"/>
    <w:rsid w:val="00810A67"/>
    <w:rsid w:val="0081315B"/>
    <w:rsid w:val="008132B0"/>
    <w:rsid w:val="00814062"/>
    <w:rsid w:val="00815C9D"/>
    <w:rsid w:val="00820739"/>
    <w:rsid w:val="00821A04"/>
    <w:rsid w:val="00824C01"/>
    <w:rsid w:val="00826651"/>
    <w:rsid w:val="00832119"/>
    <w:rsid w:val="00833CF7"/>
    <w:rsid w:val="00834AED"/>
    <w:rsid w:val="00837BD1"/>
    <w:rsid w:val="00843160"/>
    <w:rsid w:val="00845601"/>
    <w:rsid w:val="00847F66"/>
    <w:rsid w:val="008515E3"/>
    <w:rsid w:val="008518D1"/>
    <w:rsid w:val="008524B9"/>
    <w:rsid w:val="008542A4"/>
    <w:rsid w:val="00855C5C"/>
    <w:rsid w:val="00855E2B"/>
    <w:rsid w:val="0085652B"/>
    <w:rsid w:val="0086233C"/>
    <w:rsid w:val="008647EC"/>
    <w:rsid w:val="00864DEE"/>
    <w:rsid w:val="00865CFA"/>
    <w:rsid w:val="008715B3"/>
    <w:rsid w:val="0087270D"/>
    <w:rsid w:val="00877225"/>
    <w:rsid w:val="008809D6"/>
    <w:rsid w:val="00881548"/>
    <w:rsid w:val="00881FD8"/>
    <w:rsid w:val="00883CE7"/>
    <w:rsid w:val="008903FF"/>
    <w:rsid w:val="008910ED"/>
    <w:rsid w:val="008930B5"/>
    <w:rsid w:val="008938F7"/>
    <w:rsid w:val="00893E0F"/>
    <w:rsid w:val="008A02B9"/>
    <w:rsid w:val="008A187F"/>
    <w:rsid w:val="008A1ECB"/>
    <w:rsid w:val="008A1F14"/>
    <w:rsid w:val="008A3C96"/>
    <w:rsid w:val="008A4907"/>
    <w:rsid w:val="008A6419"/>
    <w:rsid w:val="008A6503"/>
    <w:rsid w:val="008A76D5"/>
    <w:rsid w:val="008B0BBA"/>
    <w:rsid w:val="008B1627"/>
    <w:rsid w:val="008B30C2"/>
    <w:rsid w:val="008B4019"/>
    <w:rsid w:val="008B505F"/>
    <w:rsid w:val="008B65C9"/>
    <w:rsid w:val="008C00AD"/>
    <w:rsid w:val="008C2D4A"/>
    <w:rsid w:val="008C31B5"/>
    <w:rsid w:val="008C6A05"/>
    <w:rsid w:val="008C7BCD"/>
    <w:rsid w:val="008C7DBB"/>
    <w:rsid w:val="008D27F3"/>
    <w:rsid w:val="008D3900"/>
    <w:rsid w:val="008D6DCF"/>
    <w:rsid w:val="008D6E1D"/>
    <w:rsid w:val="008D6EDB"/>
    <w:rsid w:val="008D6EEC"/>
    <w:rsid w:val="008E264A"/>
    <w:rsid w:val="008E36FE"/>
    <w:rsid w:val="008E3E40"/>
    <w:rsid w:val="008E73D9"/>
    <w:rsid w:val="008E7AC0"/>
    <w:rsid w:val="008F39B4"/>
    <w:rsid w:val="008F4162"/>
    <w:rsid w:val="008F58FF"/>
    <w:rsid w:val="00903E02"/>
    <w:rsid w:val="00907BEE"/>
    <w:rsid w:val="009110D5"/>
    <w:rsid w:val="00913175"/>
    <w:rsid w:val="00916EDB"/>
    <w:rsid w:val="00917D72"/>
    <w:rsid w:val="00920861"/>
    <w:rsid w:val="009211A8"/>
    <w:rsid w:val="00922B13"/>
    <w:rsid w:val="009242EF"/>
    <w:rsid w:val="00924698"/>
    <w:rsid w:val="00924AB9"/>
    <w:rsid w:val="00924B8A"/>
    <w:rsid w:val="0092615F"/>
    <w:rsid w:val="00932291"/>
    <w:rsid w:val="00933B1B"/>
    <w:rsid w:val="0093408E"/>
    <w:rsid w:val="0094014D"/>
    <w:rsid w:val="00940467"/>
    <w:rsid w:val="00941A1B"/>
    <w:rsid w:val="00941BC3"/>
    <w:rsid w:val="00942973"/>
    <w:rsid w:val="00942ECD"/>
    <w:rsid w:val="00944DEC"/>
    <w:rsid w:val="00946B55"/>
    <w:rsid w:val="00947507"/>
    <w:rsid w:val="00952DDF"/>
    <w:rsid w:val="00952EC4"/>
    <w:rsid w:val="00954A7B"/>
    <w:rsid w:val="009608E4"/>
    <w:rsid w:val="009617CB"/>
    <w:rsid w:val="00962299"/>
    <w:rsid w:val="00972423"/>
    <w:rsid w:val="00973F19"/>
    <w:rsid w:val="00980F1B"/>
    <w:rsid w:val="009812D4"/>
    <w:rsid w:val="00982653"/>
    <w:rsid w:val="00982EA7"/>
    <w:rsid w:val="00983828"/>
    <w:rsid w:val="009842B9"/>
    <w:rsid w:val="00984449"/>
    <w:rsid w:val="00985168"/>
    <w:rsid w:val="009873F4"/>
    <w:rsid w:val="00987507"/>
    <w:rsid w:val="00991997"/>
    <w:rsid w:val="009920D8"/>
    <w:rsid w:val="0099487F"/>
    <w:rsid w:val="009A1D67"/>
    <w:rsid w:val="009A371F"/>
    <w:rsid w:val="009A3F42"/>
    <w:rsid w:val="009A4869"/>
    <w:rsid w:val="009A48A5"/>
    <w:rsid w:val="009B19E9"/>
    <w:rsid w:val="009B38BE"/>
    <w:rsid w:val="009B4556"/>
    <w:rsid w:val="009B5030"/>
    <w:rsid w:val="009B682F"/>
    <w:rsid w:val="009B71DF"/>
    <w:rsid w:val="009C134D"/>
    <w:rsid w:val="009C3D0F"/>
    <w:rsid w:val="009C405C"/>
    <w:rsid w:val="009C72EA"/>
    <w:rsid w:val="009D25A4"/>
    <w:rsid w:val="009D4443"/>
    <w:rsid w:val="009D550A"/>
    <w:rsid w:val="009D6232"/>
    <w:rsid w:val="009D7C9F"/>
    <w:rsid w:val="009E1293"/>
    <w:rsid w:val="009E1B19"/>
    <w:rsid w:val="009E1D6D"/>
    <w:rsid w:val="009E67BE"/>
    <w:rsid w:val="009E79B6"/>
    <w:rsid w:val="009E7F55"/>
    <w:rsid w:val="009F35E2"/>
    <w:rsid w:val="009F3F7A"/>
    <w:rsid w:val="009F438B"/>
    <w:rsid w:val="009F65F9"/>
    <w:rsid w:val="009F68BA"/>
    <w:rsid w:val="009F6F71"/>
    <w:rsid w:val="00A024DD"/>
    <w:rsid w:val="00A0584E"/>
    <w:rsid w:val="00A06277"/>
    <w:rsid w:val="00A06325"/>
    <w:rsid w:val="00A063B2"/>
    <w:rsid w:val="00A079DC"/>
    <w:rsid w:val="00A1037A"/>
    <w:rsid w:val="00A10BAB"/>
    <w:rsid w:val="00A111C2"/>
    <w:rsid w:val="00A114D9"/>
    <w:rsid w:val="00A1277C"/>
    <w:rsid w:val="00A13158"/>
    <w:rsid w:val="00A17C39"/>
    <w:rsid w:val="00A21440"/>
    <w:rsid w:val="00A238AA"/>
    <w:rsid w:val="00A3218E"/>
    <w:rsid w:val="00A338E7"/>
    <w:rsid w:val="00A35CAA"/>
    <w:rsid w:val="00A36E7F"/>
    <w:rsid w:val="00A41E65"/>
    <w:rsid w:val="00A426F9"/>
    <w:rsid w:val="00A43517"/>
    <w:rsid w:val="00A43E0A"/>
    <w:rsid w:val="00A44D95"/>
    <w:rsid w:val="00A46247"/>
    <w:rsid w:val="00A47F07"/>
    <w:rsid w:val="00A5224C"/>
    <w:rsid w:val="00A530C7"/>
    <w:rsid w:val="00A53907"/>
    <w:rsid w:val="00A53EC7"/>
    <w:rsid w:val="00A547B2"/>
    <w:rsid w:val="00A55F5B"/>
    <w:rsid w:val="00A56A6B"/>
    <w:rsid w:val="00A60185"/>
    <w:rsid w:val="00A611EE"/>
    <w:rsid w:val="00A622EC"/>
    <w:rsid w:val="00A65D90"/>
    <w:rsid w:val="00A661EA"/>
    <w:rsid w:val="00A66263"/>
    <w:rsid w:val="00A6775C"/>
    <w:rsid w:val="00A70A6C"/>
    <w:rsid w:val="00A70D79"/>
    <w:rsid w:val="00A76A82"/>
    <w:rsid w:val="00A821D7"/>
    <w:rsid w:val="00A830E5"/>
    <w:rsid w:val="00A83DF5"/>
    <w:rsid w:val="00A84BF3"/>
    <w:rsid w:val="00A86B4B"/>
    <w:rsid w:val="00A87135"/>
    <w:rsid w:val="00A8769C"/>
    <w:rsid w:val="00A904FB"/>
    <w:rsid w:val="00A9089D"/>
    <w:rsid w:val="00A93280"/>
    <w:rsid w:val="00A93C73"/>
    <w:rsid w:val="00A94049"/>
    <w:rsid w:val="00A951EA"/>
    <w:rsid w:val="00A961A6"/>
    <w:rsid w:val="00A973E1"/>
    <w:rsid w:val="00A97CCA"/>
    <w:rsid w:val="00A97F71"/>
    <w:rsid w:val="00AA00AD"/>
    <w:rsid w:val="00AA041F"/>
    <w:rsid w:val="00AA1687"/>
    <w:rsid w:val="00AA1C65"/>
    <w:rsid w:val="00AA2548"/>
    <w:rsid w:val="00AA3B37"/>
    <w:rsid w:val="00AA3B6E"/>
    <w:rsid w:val="00AA58C4"/>
    <w:rsid w:val="00AA7FE6"/>
    <w:rsid w:val="00AB11C8"/>
    <w:rsid w:val="00AB2248"/>
    <w:rsid w:val="00AC08A8"/>
    <w:rsid w:val="00AC3D97"/>
    <w:rsid w:val="00AC5865"/>
    <w:rsid w:val="00AC618C"/>
    <w:rsid w:val="00AD1930"/>
    <w:rsid w:val="00AD20F6"/>
    <w:rsid w:val="00AD2831"/>
    <w:rsid w:val="00AD2D5D"/>
    <w:rsid w:val="00AD56C8"/>
    <w:rsid w:val="00AD58F2"/>
    <w:rsid w:val="00AD5B05"/>
    <w:rsid w:val="00AE30DC"/>
    <w:rsid w:val="00AE440D"/>
    <w:rsid w:val="00AE46C9"/>
    <w:rsid w:val="00AE5712"/>
    <w:rsid w:val="00AE7BDC"/>
    <w:rsid w:val="00AF5EA3"/>
    <w:rsid w:val="00AF6573"/>
    <w:rsid w:val="00AF65FE"/>
    <w:rsid w:val="00AF71EA"/>
    <w:rsid w:val="00AF7690"/>
    <w:rsid w:val="00B02D91"/>
    <w:rsid w:val="00B0512A"/>
    <w:rsid w:val="00B0529F"/>
    <w:rsid w:val="00B05D52"/>
    <w:rsid w:val="00B10A93"/>
    <w:rsid w:val="00B1418B"/>
    <w:rsid w:val="00B151A0"/>
    <w:rsid w:val="00B1520C"/>
    <w:rsid w:val="00B1548F"/>
    <w:rsid w:val="00B1560E"/>
    <w:rsid w:val="00B1566A"/>
    <w:rsid w:val="00B20F84"/>
    <w:rsid w:val="00B21195"/>
    <w:rsid w:val="00B22B3D"/>
    <w:rsid w:val="00B22B57"/>
    <w:rsid w:val="00B24B22"/>
    <w:rsid w:val="00B25310"/>
    <w:rsid w:val="00B27F8F"/>
    <w:rsid w:val="00B32F8F"/>
    <w:rsid w:val="00B41E1E"/>
    <w:rsid w:val="00B42C1C"/>
    <w:rsid w:val="00B46523"/>
    <w:rsid w:val="00B4690F"/>
    <w:rsid w:val="00B47C42"/>
    <w:rsid w:val="00B510B1"/>
    <w:rsid w:val="00B54DE9"/>
    <w:rsid w:val="00B553EC"/>
    <w:rsid w:val="00B55870"/>
    <w:rsid w:val="00B558D9"/>
    <w:rsid w:val="00B60059"/>
    <w:rsid w:val="00B61FA7"/>
    <w:rsid w:val="00B63AFA"/>
    <w:rsid w:val="00B70DFD"/>
    <w:rsid w:val="00B77732"/>
    <w:rsid w:val="00B80D6D"/>
    <w:rsid w:val="00B826BF"/>
    <w:rsid w:val="00B860F7"/>
    <w:rsid w:val="00B86F51"/>
    <w:rsid w:val="00B912E1"/>
    <w:rsid w:val="00B9154F"/>
    <w:rsid w:val="00B92E53"/>
    <w:rsid w:val="00B9357B"/>
    <w:rsid w:val="00B93DD0"/>
    <w:rsid w:val="00B97604"/>
    <w:rsid w:val="00B97732"/>
    <w:rsid w:val="00BA0849"/>
    <w:rsid w:val="00BA56D7"/>
    <w:rsid w:val="00BA65A8"/>
    <w:rsid w:val="00BA6A97"/>
    <w:rsid w:val="00BA6D19"/>
    <w:rsid w:val="00BA7461"/>
    <w:rsid w:val="00BA7DA9"/>
    <w:rsid w:val="00BC1FDD"/>
    <w:rsid w:val="00BC3784"/>
    <w:rsid w:val="00BC4215"/>
    <w:rsid w:val="00BC697B"/>
    <w:rsid w:val="00BD0396"/>
    <w:rsid w:val="00BD0520"/>
    <w:rsid w:val="00BD17A9"/>
    <w:rsid w:val="00BD1A6F"/>
    <w:rsid w:val="00BD3D60"/>
    <w:rsid w:val="00BD5B71"/>
    <w:rsid w:val="00BE3E96"/>
    <w:rsid w:val="00BE41AA"/>
    <w:rsid w:val="00BE4A29"/>
    <w:rsid w:val="00BE60C6"/>
    <w:rsid w:val="00BE6D3C"/>
    <w:rsid w:val="00BE7852"/>
    <w:rsid w:val="00BF21A7"/>
    <w:rsid w:val="00BF4918"/>
    <w:rsid w:val="00BF6D87"/>
    <w:rsid w:val="00BF7CEE"/>
    <w:rsid w:val="00C03880"/>
    <w:rsid w:val="00C03B25"/>
    <w:rsid w:val="00C03EB1"/>
    <w:rsid w:val="00C1153B"/>
    <w:rsid w:val="00C135CF"/>
    <w:rsid w:val="00C14B25"/>
    <w:rsid w:val="00C173B3"/>
    <w:rsid w:val="00C24BD0"/>
    <w:rsid w:val="00C2683F"/>
    <w:rsid w:val="00C3184D"/>
    <w:rsid w:val="00C3201D"/>
    <w:rsid w:val="00C37525"/>
    <w:rsid w:val="00C413DD"/>
    <w:rsid w:val="00C42531"/>
    <w:rsid w:val="00C43084"/>
    <w:rsid w:val="00C45C13"/>
    <w:rsid w:val="00C464B9"/>
    <w:rsid w:val="00C4714E"/>
    <w:rsid w:val="00C50941"/>
    <w:rsid w:val="00C5504F"/>
    <w:rsid w:val="00C55991"/>
    <w:rsid w:val="00C60A1A"/>
    <w:rsid w:val="00C63376"/>
    <w:rsid w:val="00C64157"/>
    <w:rsid w:val="00C66CB4"/>
    <w:rsid w:val="00C74F97"/>
    <w:rsid w:val="00C76A08"/>
    <w:rsid w:val="00C76BA8"/>
    <w:rsid w:val="00C803D7"/>
    <w:rsid w:val="00C8276E"/>
    <w:rsid w:val="00C83AD1"/>
    <w:rsid w:val="00C842AC"/>
    <w:rsid w:val="00C85B7B"/>
    <w:rsid w:val="00C87026"/>
    <w:rsid w:val="00C92346"/>
    <w:rsid w:val="00C92AD5"/>
    <w:rsid w:val="00C93152"/>
    <w:rsid w:val="00C93FD9"/>
    <w:rsid w:val="00C95CD2"/>
    <w:rsid w:val="00C96688"/>
    <w:rsid w:val="00C966F6"/>
    <w:rsid w:val="00CA0723"/>
    <w:rsid w:val="00CA0A2B"/>
    <w:rsid w:val="00CA0FAF"/>
    <w:rsid w:val="00CA3814"/>
    <w:rsid w:val="00CA4542"/>
    <w:rsid w:val="00CB1690"/>
    <w:rsid w:val="00CB1863"/>
    <w:rsid w:val="00CB3995"/>
    <w:rsid w:val="00CB6D76"/>
    <w:rsid w:val="00CB6E35"/>
    <w:rsid w:val="00CC27E7"/>
    <w:rsid w:val="00CC2B33"/>
    <w:rsid w:val="00CC4365"/>
    <w:rsid w:val="00CC5C12"/>
    <w:rsid w:val="00CC6277"/>
    <w:rsid w:val="00CD11B0"/>
    <w:rsid w:val="00CD275A"/>
    <w:rsid w:val="00CD5565"/>
    <w:rsid w:val="00CD5E0E"/>
    <w:rsid w:val="00CD7E84"/>
    <w:rsid w:val="00CE3180"/>
    <w:rsid w:val="00CE71C2"/>
    <w:rsid w:val="00CF2242"/>
    <w:rsid w:val="00CF2E7E"/>
    <w:rsid w:val="00CF42D5"/>
    <w:rsid w:val="00CF4C99"/>
    <w:rsid w:val="00CF4EDA"/>
    <w:rsid w:val="00CF52CA"/>
    <w:rsid w:val="00CF562A"/>
    <w:rsid w:val="00CF5929"/>
    <w:rsid w:val="00D00281"/>
    <w:rsid w:val="00D01E11"/>
    <w:rsid w:val="00D021CB"/>
    <w:rsid w:val="00D10C4C"/>
    <w:rsid w:val="00D10DC4"/>
    <w:rsid w:val="00D10F1A"/>
    <w:rsid w:val="00D116F8"/>
    <w:rsid w:val="00D15280"/>
    <w:rsid w:val="00D1706C"/>
    <w:rsid w:val="00D17596"/>
    <w:rsid w:val="00D177CA"/>
    <w:rsid w:val="00D20A5D"/>
    <w:rsid w:val="00D2154C"/>
    <w:rsid w:val="00D22640"/>
    <w:rsid w:val="00D248D5"/>
    <w:rsid w:val="00D26228"/>
    <w:rsid w:val="00D26D3A"/>
    <w:rsid w:val="00D30063"/>
    <w:rsid w:val="00D33756"/>
    <w:rsid w:val="00D34DC2"/>
    <w:rsid w:val="00D402A9"/>
    <w:rsid w:val="00D441B2"/>
    <w:rsid w:val="00D45C91"/>
    <w:rsid w:val="00D45EE3"/>
    <w:rsid w:val="00D4710D"/>
    <w:rsid w:val="00D50618"/>
    <w:rsid w:val="00D509E9"/>
    <w:rsid w:val="00D50BD6"/>
    <w:rsid w:val="00D51077"/>
    <w:rsid w:val="00D51D0E"/>
    <w:rsid w:val="00D52D5D"/>
    <w:rsid w:val="00D53B1C"/>
    <w:rsid w:val="00D57A2B"/>
    <w:rsid w:val="00D61320"/>
    <w:rsid w:val="00D61714"/>
    <w:rsid w:val="00D620BE"/>
    <w:rsid w:val="00D622B9"/>
    <w:rsid w:val="00D64CFB"/>
    <w:rsid w:val="00D652C8"/>
    <w:rsid w:val="00D656FF"/>
    <w:rsid w:val="00D66F6A"/>
    <w:rsid w:val="00D73238"/>
    <w:rsid w:val="00D74FCA"/>
    <w:rsid w:val="00D75C52"/>
    <w:rsid w:val="00D82448"/>
    <w:rsid w:val="00D83615"/>
    <w:rsid w:val="00D83AAD"/>
    <w:rsid w:val="00D846B8"/>
    <w:rsid w:val="00D84735"/>
    <w:rsid w:val="00D84882"/>
    <w:rsid w:val="00D87F2D"/>
    <w:rsid w:val="00D90474"/>
    <w:rsid w:val="00D94220"/>
    <w:rsid w:val="00D97037"/>
    <w:rsid w:val="00DA0679"/>
    <w:rsid w:val="00DA1B12"/>
    <w:rsid w:val="00DA4F90"/>
    <w:rsid w:val="00DA54C9"/>
    <w:rsid w:val="00DA6739"/>
    <w:rsid w:val="00DA6CAE"/>
    <w:rsid w:val="00DB0D24"/>
    <w:rsid w:val="00DB194B"/>
    <w:rsid w:val="00DB1A9E"/>
    <w:rsid w:val="00DB31D6"/>
    <w:rsid w:val="00DB3296"/>
    <w:rsid w:val="00DB4005"/>
    <w:rsid w:val="00DB44AD"/>
    <w:rsid w:val="00DB44E2"/>
    <w:rsid w:val="00DB61F1"/>
    <w:rsid w:val="00DB76B6"/>
    <w:rsid w:val="00DC325B"/>
    <w:rsid w:val="00DC34EB"/>
    <w:rsid w:val="00DC4E2E"/>
    <w:rsid w:val="00DC67B7"/>
    <w:rsid w:val="00DC70B1"/>
    <w:rsid w:val="00DC78C0"/>
    <w:rsid w:val="00DD120D"/>
    <w:rsid w:val="00DD1C34"/>
    <w:rsid w:val="00DE1859"/>
    <w:rsid w:val="00DE2C10"/>
    <w:rsid w:val="00DE697B"/>
    <w:rsid w:val="00DF0B05"/>
    <w:rsid w:val="00DF1261"/>
    <w:rsid w:val="00DF14C9"/>
    <w:rsid w:val="00DF1E5B"/>
    <w:rsid w:val="00DF2275"/>
    <w:rsid w:val="00DF3B5C"/>
    <w:rsid w:val="00DF3F5E"/>
    <w:rsid w:val="00DF5461"/>
    <w:rsid w:val="00DF5653"/>
    <w:rsid w:val="00DF6055"/>
    <w:rsid w:val="00E0596E"/>
    <w:rsid w:val="00E06CFE"/>
    <w:rsid w:val="00E06F66"/>
    <w:rsid w:val="00E117D5"/>
    <w:rsid w:val="00E15F0C"/>
    <w:rsid w:val="00E16313"/>
    <w:rsid w:val="00E1687B"/>
    <w:rsid w:val="00E178F9"/>
    <w:rsid w:val="00E20E23"/>
    <w:rsid w:val="00E2111A"/>
    <w:rsid w:val="00E21678"/>
    <w:rsid w:val="00E23CCC"/>
    <w:rsid w:val="00E270CE"/>
    <w:rsid w:val="00E33858"/>
    <w:rsid w:val="00E344AA"/>
    <w:rsid w:val="00E356E5"/>
    <w:rsid w:val="00E36B41"/>
    <w:rsid w:val="00E36F81"/>
    <w:rsid w:val="00E378A8"/>
    <w:rsid w:val="00E37ECE"/>
    <w:rsid w:val="00E40B9B"/>
    <w:rsid w:val="00E40DA0"/>
    <w:rsid w:val="00E4517C"/>
    <w:rsid w:val="00E45765"/>
    <w:rsid w:val="00E47C60"/>
    <w:rsid w:val="00E5098C"/>
    <w:rsid w:val="00E53510"/>
    <w:rsid w:val="00E54ECD"/>
    <w:rsid w:val="00E56322"/>
    <w:rsid w:val="00E56880"/>
    <w:rsid w:val="00E574EF"/>
    <w:rsid w:val="00E57CD8"/>
    <w:rsid w:val="00E57E07"/>
    <w:rsid w:val="00E60213"/>
    <w:rsid w:val="00E60A9D"/>
    <w:rsid w:val="00E620E9"/>
    <w:rsid w:val="00E62E12"/>
    <w:rsid w:val="00E661B2"/>
    <w:rsid w:val="00E74D29"/>
    <w:rsid w:val="00E80056"/>
    <w:rsid w:val="00E806FF"/>
    <w:rsid w:val="00E83C74"/>
    <w:rsid w:val="00E83CEE"/>
    <w:rsid w:val="00E8515F"/>
    <w:rsid w:val="00E91F18"/>
    <w:rsid w:val="00E9226D"/>
    <w:rsid w:val="00E9340B"/>
    <w:rsid w:val="00E96424"/>
    <w:rsid w:val="00E965D7"/>
    <w:rsid w:val="00EA2A91"/>
    <w:rsid w:val="00EA31EB"/>
    <w:rsid w:val="00EA3CB0"/>
    <w:rsid w:val="00EA416C"/>
    <w:rsid w:val="00EA5941"/>
    <w:rsid w:val="00EB06AE"/>
    <w:rsid w:val="00EB0865"/>
    <w:rsid w:val="00EB60CE"/>
    <w:rsid w:val="00EB6A65"/>
    <w:rsid w:val="00EB7D53"/>
    <w:rsid w:val="00EC27F0"/>
    <w:rsid w:val="00EC37F0"/>
    <w:rsid w:val="00EC596B"/>
    <w:rsid w:val="00ED5EEB"/>
    <w:rsid w:val="00ED6C5D"/>
    <w:rsid w:val="00ED700D"/>
    <w:rsid w:val="00ED7CF2"/>
    <w:rsid w:val="00EE13C5"/>
    <w:rsid w:val="00EE1DA3"/>
    <w:rsid w:val="00EE3146"/>
    <w:rsid w:val="00EE4122"/>
    <w:rsid w:val="00EF50BB"/>
    <w:rsid w:val="00EF5270"/>
    <w:rsid w:val="00EF71E4"/>
    <w:rsid w:val="00F00192"/>
    <w:rsid w:val="00F00378"/>
    <w:rsid w:val="00F00EBC"/>
    <w:rsid w:val="00F01A22"/>
    <w:rsid w:val="00F01DF6"/>
    <w:rsid w:val="00F027B8"/>
    <w:rsid w:val="00F0340D"/>
    <w:rsid w:val="00F035F2"/>
    <w:rsid w:val="00F03BF4"/>
    <w:rsid w:val="00F045F2"/>
    <w:rsid w:val="00F05553"/>
    <w:rsid w:val="00F059A6"/>
    <w:rsid w:val="00F11840"/>
    <w:rsid w:val="00F14A04"/>
    <w:rsid w:val="00F22951"/>
    <w:rsid w:val="00F22E6F"/>
    <w:rsid w:val="00F23756"/>
    <w:rsid w:val="00F2464C"/>
    <w:rsid w:val="00F2523A"/>
    <w:rsid w:val="00F25FFA"/>
    <w:rsid w:val="00F310D2"/>
    <w:rsid w:val="00F31E11"/>
    <w:rsid w:val="00F36F3D"/>
    <w:rsid w:val="00F3775B"/>
    <w:rsid w:val="00F37C48"/>
    <w:rsid w:val="00F405E7"/>
    <w:rsid w:val="00F424D7"/>
    <w:rsid w:val="00F472BF"/>
    <w:rsid w:val="00F477BD"/>
    <w:rsid w:val="00F50333"/>
    <w:rsid w:val="00F50E56"/>
    <w:rsid w:val="00F53491"/>
    <w:rsid w:val="00F54656"/>
    <w:rsid w:val="00F55386"/>
    <w:rsid w:val="00F56411"/>
    <w:rsid w:val="00F56D9E"/>
    <w:rsid w:val="00F60181"/>
    <w:rsid w:val="00F60C61"/>
    <w:rsid w:val="00F60CB6"/>
    <w:rsid w:val="00F65527"/>
    <w:rsid w:val="00F657D7"/>
    <w:rsid w:val="00F65A1C"/>
    <w:rsid w:val="00F66F50"/>
    <w:rsid w:val="00F711C9"/>
    <w:rsid w:val="00F72C8D"/>
    <w:rsid w:val="00F74CDD"/>
    <w:rsid w:val="00F7628B"/>
    <w:rsid w:val="00F77432"/>
    <w:rsid w:val="00F81162"/>
    <w:rsid w:val="00F82FF8"/>
    <w:rsid w:val="00F8330D"/>
    <w:rsid w:val="00F84305"/>
    <w:rsid w:val="00F8485C"/>
    <w:rsid w:val="00F87149"/>
    <w:rsid w:val="00F87FFE"/>
    <w:rsid w:val="00F90F9F"/>
    <w:rsid w:val="00F9138D"/>
    <w:rsid w:val="00F954C9"/>
    <w:rsid w:val="00F9713B"/>
    <w:rsid w:val="00F97BF4"/>
    <w:rsid w:val="00FA07F5"/>
    <w:rsid w:val="00FA2C30"/>
    <w:rsid w:val="00FA4CF0"/>
    <w:rsid w:val="00FA61AA"/>
    <w:rsid w:val="00FA69A4"/>
    <w:rsid w:val="00FB092E"/>
    <w:rsid w:val="00FB1279"/>
    <w:rsid w:val="00FB1495"/>
    <w:rsid w:val="00FB5B79"/>
    <w:rsid w:val="00FB6B9A"/>
    <w:rsid w:val="00FC13AE"/>
    <w:rsid w:val="00FC20F8"/>
    <w:rsid w:val="00FC6825"/>
    <w:rsid w:val="00FD10BB"/>
    <w:rsid w:val="00FD1694"/>
    <w:rsid w:val="00FD16FF"/>
    <w:rsid w:val="00FD2134"/>
    <w:rsid w:val="00FD7636"/>
    <w:rsid w:val="00FE2E87"/>
    <w:rsid w:val="00FE3229"/>
    <w:rsid w:val="00FE4485"/>
    <w:rsid w:val="00FE74C3"/>
    <w:rsid w:val="00FF215C"/>
    <w:rsid w:val="00FF49E8"/>
    <w:rsid w:val="00FF66C4"/>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E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customStyle="1" w:styleId="Text">
    <w:name w:val="Text"/>
    <w:uiPriority w:val="99"/>
    <w:qFormat/>
    <w:rsid w:val="00090AD3"/>
    <w:pPr>
      <w:spacing w:before="120" w:after="120" w:line="288" w:lineRule="auto"/>
    </w:pPr>
    <w:rPr>
      <w:lang w:eastAsia="en-US"/>
    </w:rPr>
  </w:style>
  <w:style w:type="character" w:customStyle="1" w:styleId="TextItalic">
    <w:name w:val="Text Italic"/>
    <w:uiPriority w:val="99"/>
    <w:rsid w:val="00090AD3"/>
    <w:rPr>
      <w:rFonts w:ascii="Arial" w:hAnsi="Arial"/>
      <w:i/>
      <w:iCs/>
    </w:rPr>
  </w:style>
  <w:style w:type="paragraph" w:styleId="FootnoteText">
    <w:name w:val="footnote text"/>
    <w:basedOn w:val="Normal"/>
    <w:link w:val="FootnoteTextChar"/>
    <w:uiPriority w:val="99"/>
    <w:semiHidden/>
    <w:unhideWhenUsed/>
    <w:rsid w:val="00CA0A2B"/>
    <w:pPr>
      <w:spacing w:after="0" w:line="240" w:lineRule="auto"/>
    </w:pPr>
  </w:style>
  <w:style w:type="character" w:customStyle="1" w:styleId="FootnoteTextChar">
    <w:name w:val="Footnote Text Char"/>
    <w:basedOn w:val="DefaultParagraphFont"/>
    <w:link w:val="FootnoteText"/>
    <w:uiPriority w:val="99"/>
    <w:semiHidden/>
    <w:rsid w:val="00CA0A2B"/>
    <w:rPr>
      <w:rFonts w:eastAsia="Times New Roman" w:cs="Arial"/>
      <w:lang w:eastAsia="en-US"/>
    </w:rPr>
  </w:style>
  <w:style w:type="character" w:styleId="FootnoteReference">
    <w:name w:val="footnote reference"/>
    <w:basedOn w:val="DefaultParagraphFont"/>
    <w:uiPriority w:val="99"/>
    <w:semiHidden/>
    <w:unhideWhenUsed/>
    <w:rsid w:val="00CA0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5172">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20778018">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6060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16714392">
      <w:bodyDiv w:val="1"/>
      <w:marLeft w:val="0"/>
      <w:marRight w:val="0"/>
      <w:marTop w:val="0"/>
      <w:marBottom w:val="0"/>
      <w:divBdr>
        <w:top w:val="none" w:sz="0" w:space="0" w:color="auto"/>
        <w:left w:val="none" w:sz="0" w:space="0" w:color="auto"/>
        <w:bottom w:val="none" w:sz="0" w:space="0" w:color="auto"/>
        <w:right w:val="none" w:sz="0" w:space="0" w:color="auto"/>
      </w:divBdr>
    </w:div>
    <w:div w:id="90696347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18875192">
      <w:bodyDiv w:val="1"/>
      <w:marLeft w:val="0"/>
      <w:marRight w:val="0"/>
      <w:marTop w:val="0"/>
      <w:marBottom w:val="0"/>
      <w:divBdr>
        <w:top w:val="none" w:sz="0" w:space="0" w:color="auto"/>
        <w:left w:val="none" w:sz="0" w:space="0" w:color="auto"/>
        <w:bottom w:val="none" w:sz="0" w:space="0" w:color="auto"/>
        <w:right w:val="none" w:sz="0" w:space="0" w:color="auto"/>
      </w:divBdr>
    </w:div>
    <w:div w:id="1602714124">
      <w:bodyDiv w:val="1"/>
      <w:marLeft w:val="0"/>
      <w:marRight w:val="0"/>
      <w:marTop w:val="0"/>
      <w:marBottom w:val="0"/>
      <w:divBdr>
        <w:top w:val="none" w:sz="0" w:space="0" w:color="auto"/>
        <w:left w:val="none" w:sz="0" w:space="0" w:color="auto"/>
        <w:bottom w:val="none" w:sz="0" w:space="0" w:color="auto"/>
        <w:right w:val="none" w:sz="0" w:space="0" w:color="auto"/>
      </w:divBdr>
    </w:div>
    <w:div w:id="18499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om.gov.au/water/nwa/2017/fitzroy/climateandwater/climateandwater.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sc.environment.gov.au/system/files/resources/012fa918-ee79-4131-9c8d-02c9b2de65cf/files/iesc-information-guidelines-may-201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m.gov.au/water/groundwater/gde/" TargetMode="External"/><Relationship Id="rId25" Type="http://schemas.openxmlformats.org/officeDocument/2006/relationships/hyperlink" Target="http://epbcnotices.environment.gov.au/_entity/annotation/c812bdb3-6e2d-e811-ad33-005056ba00a7/a71d58ad-4cba-48b6-8dab-f3091fc31cd5?t=1552603281253" TargetMode="External"/><Relationship Id="rId2" Type="http://schemas.openxmlformats.org/officeDocument/2006/relationships/numbering" Target="numbering.xml"/><Relationship Id="rId16" Type="http://schemas.openxmlformats.org/officeDocument/2006/relationships/hyperlink" Target="http://waterquality.gov.au/anz-guidelines" TargetMode="External"/><Relationship Id="rId20" Type="http://schemas.openxmlformats.org/officeDocument/2006/relationships/hyperlink" Target="http://eisdocs.dsdip.qld.gov.au/Lower%20Fitzroy%20River%20Infrastructure/EIS/Volume%203/V3%20Appendix%20M%20Fitzroy%20River%20turtle%20(Rheodytes%20leukops)%20species%20management%20program/vol3-app-m-fitzroy-river-turtle-species-management-program-jun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vironment.des.qld.gov.au/water/policy/pdf/plans/fitzroy_mackenzie_river_wqo_290911.pdf" TargetMode="External"/><Relationship Id="rId5" Type="http://schemas.openxmlformats.org/officeDocument/2006/relationships/webSettings" Target="webSettings.xml"/><Relationship Id="rId15" Type="http://schemas.openxmlformats.org/officeDocument/2006/relationships/hyperlink" Target="http://www.ga.gov.au/scientific-topics/earth-obs/case-studies/water-observations-from-space" TargetMode="External"/><Relationship Id="rId23" Type="http://schemas.openxmlformats.org/officeDocument/2006/relationships/hyperlink" Target="https://www.sciencedirect.com/science/article/pii/S0034425715301929" TargetMode="External"/><Relationship Id="rId10" Type="http://schemas.openxmlformats.org/officeDocument/2006/relationships/footer" Target="footer1.xml"/><Relationship Id="rId19" Type="http://schemas.openxmlformats.org/officeDocument/2006/relationships/hyperlink" Target="http://www.iesc.environment.gov.au/publications/information-guidelines-explanatory-note-assessing-groundwater-dependent-ecosyste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limatechangeinaustralia.gov.au/en/climate-projections/climate-futures-tool/projections/" TargetMode="External"/><Relationship Id="rId22" Type="http://schemas.openxmlformats.org/officeDocument/2006/relationships/hyperlink" Target="http://www.minerals.org.au/leading_practice/water_accounting_framework_for_the_australian_minerals_industry"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70480-8D54-4331-9D88-A22C14AE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1F25C67C.dotm</Template>
  <TotalTime>0</TotalTime>
  <Pages>13</Pages>
  <Words>6270</Words>
  <Characters>35741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2019-103: Jellinbah Coal Mine – Central North Extension (EPBC 2018/8139) – Expansion </dc:title>
  <dc:creator/>
  <cp:lastModifiedBy/>
  <cp:revision>1</cp:revision>
  <dcterms:created xsi:type="dcterms:W3CDTF">2019-06-13T02:18:00Z</dcterms:created>
  <dcterms:modified xsi:type="dcterms:W3CDTF">2019-06-13T02:18:00Z</dcterms:modified>
</cp:coreProperties>
</file>