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83C9CB" w14:textId="77777777" w:rsidR="00714B40" w:rsidRPr="00BF21A7" w:rsidRDefault="00714B40" w:rsidP="00714B40">
      <w:pPr>
        <w:pStyle w:val="Header"/>
        <w:suppressLineNumbers/>
        <w:ind w:hanging="1418"/>
        <w:sectPr w:rsidR="00714B40" w:rsidRPr="00BF21A7" w:rsidSect="00264083">
          <w:headerReference w:type="even" r:id="rId8"/>
          <w:headerReference w:type="default" r:id="rId9"/>
          <w:footerReference w:type="even" r:id="rId10"/>
          <w:footerReference w:type="default" r:id="rId11"/>
          <w:headerReference w:type="first" r:id="rId12"/>
          <w:footerReference w:type="first" r:id="rId13"/>
          <w:pgSz w:w="11906" w:h="16838"/>
          <w:pgMar w:top="142" w:right="1440" w:bottom="1440" w:left="1440" w:header="425" w:footer="425" w:gutter="0"/>
          <w:lnNumType w:countBy="1" w:restart="continuous"/>
          <w:pgNumType w:start="1"/>
          <w:cols w:space="708"/>
          <w:titlePg/>
          <w:docGrid w:linePitch="360"/>
        </w:sectPr>
      </w:pPr>
    </w:p>
    <w:p w14:paraId="15E15603" w14:textId="77777777" w:rsidR="001765DA" w:rsidRPr="00BF21A7" w:rsidRDefault="00F027B8" w:rsidP="009E7F55">
      <w:pPr>
        <w:pStyle w:val="Heading1"/>
        <w:suppressLineNumbers/>
      </w:pPr>
      <w:r w:rsidRPr="00BF21A7">
        <w:t>Advi</w:t>
      </w:r>
      <w:r w:rsidR="001765DA" w:rsidRPr="00BF21A7">
        <w:t>ce to decision maker on coal mining</w:t>
      </w:r>
      <w:r w:rsidR="00E21678" w:rsidRPr="00BF21A7">
        <w:t xml:space="preserve"> project </w:t>
      </w:r>
    </w:p>
    <w:p w14:paraId="00AD738E" w14:textId="77777777" w:rsidR="004861E6" w:rsidRPr="00AC6176" w:rsidRDefault="00D10C4C" w:rsidP="009E7F55">
      <w:pPr>
        <w:pStyle w:val="Heading2"/>
        <w:suppressLineNumbers/>
      </w:pPr>
      <w:bookmarkStart w:id="0" w:name="_GoBack"/>
      <w:r w:rsidRPr="00AC6176">
        <w:t xml:space="preserve">IESC </w:t>
      </w:r>
      <w:r w:rsidR="00C43084" w:rsidRPr="00AC6176">
        <w:t>201</w:t>
      </w:r>
      <w:r w:rsidR="00AC6176" w:rsidRPr="00AC6176">
        <w:t>9</w:t>
      </w:r>
      <w:r w:rsidR="00CC27E7" w:rsidRPr="00AC6176">
        <w:t>-</w:t>
      </w:r>
      <w:r w:rsidR="00AC6176" w:rsidRPr="00AC6176">
        <w:t>104</w:t>
      </w:r>
      <w:r w:rsidR="001765DA" w:rsidRPr="00AC6176">
        <w:t>:</w:t>
      </w:r>
      <w:r w:rsidR="002974BC" w:rsidRPr="00AC6176">
        <w:t xml:space="preserve"> </w:t>
      </w:r>
      <w:proofErr w:type="spellStart"/>
      <w:r w:rsidR="00AC6176" w:rsidRPr="00AC6176">
        <w:rPr>
          <w:rFonts w:ascii="Arial Bold" w:hAnsi="Arial Bold"/>
        </w:rPr>
        <w:t>Glendell</w:t>
      </w:r>
      <w:proofErr w:type="spellEnd"/>
      <w:r w:rsidR="00AC6176" w:rsidRPr="00AC6176">
        <w:rPr>
          <w:rFonts w:ascii="Arial Bold" w:hAnsi="Arial Bold"/>
        </w:rPr>
        <w:t xml:space="preserve"> Continued Operations</w:t>
      </w:r>
      <w:r w:rsidR="00AC6176">
        <w:rPr>
          <w:rFonts w:ascii="Arial Bold" w:hAnsi="Arial Bold"/>
        </w:rPr>
        <w:t xml:space="preserve"> Project</w:t>
      </w:r>
      <w:r w:rsidR="00C803D7" w:rsidRPr="00AC6176">
        <w:t xml:space="preserve"> </w:t>
      </w:r>
      <w:r w:rsidR="00D83AAD" w:rsidRPr="00AC6176">
        <w:t>(</w:t>
      </w:r>
      <w:r w:rsidR="00AC6176" w:rsidRPr="00AC6176">
        <w:t>GA-10005</w:t>
      </w:r>
      <w:r w:rsidR="00D83AAD" w:rsidRPr="00AC6176">
        <w:t xml:space="preserve">) </w:t>
      </w:r>
      <w:r w:rsidR="00C803D7" w:rsidRPr="00AC6176">
        <w:t>– Expansion</w:t>
      </w:r>
    </w:p>
    <w:tbl>
      <w:tblPr>
        <w:tblW w:w="9640" w:type="dxa"/>
        <w:tblInd w:w="-284" w:type="dxa"/>
        <w:tblBorders>
          <w:insideH w:val="single" w:sz="4" w:space="0" w:color="auto"/>
        </w:tblBorders>
        <w:tblCellMar>
          <w:top w:w="113" w:type="dxa"/>
          <w:bottom w:w="113" w:type="dxa"/>
        </w:tblCellMar>
        <w:tblLook w:val="01E0" w:firstRow="1" w:lastRow="1" w:firstColumn="1" w:lastColumn="1" w:noHBand="0" w:noVBand="0"/>
      </w:tblPr>
      <w:tblGrid>
        <w:gridCol w:w="1810"/>
        <w:gridCol w:w="7830"/>
      </w:tblGrid>
      <w:tr w:rsidR="001765DA" w:rsidRPr="00BF21A7" w14:paraId="13432E7D" w14:textId="77777777" w:rsidTr="00784E40">
        <w:trPr>
          <w:trHeight w:val="563"/>
        </w:trPr>
        <w:tc>
          <w:tcPr>
            <w:tcW w:w="1810" w:type="dxa"/>
            <w:tcBorders>
              <w:top w:val="single" w:sz="4" w:space="0" w:color="auto"/>
              <w:bottom w:val="single" w:sz="4" w:space="0" w:color="auto"/>
            </w:tcBorders>
          </w:tcPr>
          <w:bookmarkEnd w:id="0"/>
          <w:p w14:paraId="1936C67C" w14:textId="77777777" w:rsidR="001765DA" w:rsidRPr="00BF21A7" w:rsidRDefault="001765DA" w:rsidP="00277A51">
            <w:pPr>
              <w:pStyle w:val="Heading6"/>
              <w:suppressLineNumbers/>
            </w:pPr>
            <w:r w:rsidRPr="00BF21A7">
              <w:t>Requesting agency</w:t>
            </w:r>
          </w:p>
        </w:tc>
        <w:tc>
          <w:tcPr>
            <w:tcW w:w="7830" w:type="dxa"/>
            <w:tcBorders>
              <w:top w:val="single" w:sz="4" w:space="0" w:color="auto"/>
              <w:bottom w:val="single" w:sz="4" w:space="0" w:color="auto"/>
            </w:tcBorders>
          </w:tcPr>
          <w:p w14:paraId="656949DA" w14:textId="77777777" w:rsidR="003E2BDB" w:rsidRPr="00BF21A7" w:rsidRDefault="003E2BDB" w:rsidP="00277A51">
            <w:pPr>
              <w:pStyle w:val="Tabletext"/>
              <w:suppressLineNumbers/>
            </w:pPr>
            <w:r w:rsidRPr="00BF21A7">
              <w:t>The New South Wales Mining and Petroleum Gateway Panel</w:t>
            </w:r>
          </w:p>
        </w:tc>
      </w:tr>
      <w:tr w:rsidR="001765DA" w:rsidRPr="00BF21A7" w14:paraId="1521AB7B" w14:textId="77777777" w:rsidTr="00784E40">
        <w:trPr>
          <w:trHeight w:val="19"/>
        </w:trPr>
        <w:tc>
          <w:tcPr>
            <w:tcW w:w="1810" w:type="dxa"/>
            <w:tcBorders>
              <w:top w:val="single" w:sz="4" w:space="0" w:color="auto"/>
              <w:bottom w:val="single" w:sz="4" w:space="0" w:color="auto"/>
            </w:tcBorders>
          </w:tcPr>
          <w:p w14:paraId="135B3DFD" w14:textId="77777777" w:rsidR="001765DA" w:rsidRPr="00BF21A7" w:rsidRDefault="001765DA" w:rsidP="00277A51">
            <w:pPr>
              <w:pStyle w:val="Heading6"/>
              <w:suppressLineNumbers/>
            </w:pPr>
            <w:r w:rsidRPr="00BF21A7">
              <w:t>Date of request</w:t>
            </w:r>
          </w:p>
        </w:tc>
        <w:tc>
          <w:tcPr>
            <w:tcW w:w="7830" w:type="dxa"/>
            <w:tcBorders>
              <w:top w:val="single" w:sz="4" w:space="0" w:color="auto"/>
              <w:bottom w:val="single" w:sz="4" w:space="0" w:color="auto"/>
            </w:tcBorders>
          </w:tcPr>
          <w:p w14:paraId="2E65DED0" w14:textId="77777777" w:rsidR="001765DA" w:rsidRPr="00BF21A7" w:rsidRDefault="00AC6176" w:rsidP="00AC6176">
            <w:pPr>
              <w:pStyle w:val="Tabletext"/>
              <w:suppressLineNumbers/>
            </w:pPr>
            <w:r w:rsidRPr="00AC6176">
              <w:t xml:space="preserve">13 May </w:t>
            </w:r>
            <w:r w:rsidR="00716583" w:rsidRPr="00AC6176">
              <w:t>201</w:t>
            </w:r>
            <w:r w:rsidRPr="00AC6176">
              <w:t>9</w:t>
            </w:r>
            <w:r w:rsidR="00E21678" w:rsidRPr="00AC6176">
              <w:rPr>
                <w:b/>
              </w:rPr>
              <w:t xml:space="preserve"> </w:t>
            </w:r>
          </w:p>
        </w:tc>
      </w:tr>
      <w:tr w:rsidR="00185039" w:rsidRPr="00BF21A7" w14:paraId="2AEF5CD1" w14:textId="77777777" w:rsidTr="00784E40">
        <w:trPr>
          <w:trHeight w:val="19"/>
        </w:trPr>
        <w:tc>
          <w:tcPr>
            <w:tcW w:w="1810" w:type="dxa"/>
            <w:tcBorders>
              <w:top w:val="single" w:sz="4" w:space="0" w:color="auto"/>
              <w:bottom w:val="single" w:sz="4" w:space="0" w:color="auto"/>
            </w:tcBorders>
          </w:tcPr>
          <w:p w14:paraId="47BC3FF6" w14:textId="77777777" w:rsidR="00185039" w:rsidRPr="00BF21A7" w:rsidRDefault="00185039" w:rsidP="00277A51">
            <w:pPr>
              <w:pStyle w:val="Heading6"/>
              <w:suppressLineNumbers/>
            </w:pPr>
            <w:r w:rsidRPr="00BF21A7">
              <w:t>Date request accepted</w:t>
            </w:r>
          </w:p>
        </w:tc>
        <w:tc>
          <w:tcPr>
            <w:tcW w:w="7830" w:type="dxa"/>
            <w:tcBorders>
              <w:top w:val="single" w:sz="4" w:space="0" w:color="auto"/>
              <w:bottom w:val="single" w:sz="4" w:space="0" w:color="auto"/>
            </w:tcBorders>
          </w:tcPr>
          <w:p w14:paraId="1BEE95A3" w14:textId="77777777" w:rsidR="00185039" w:rsidRPr="00BF21A7" w:rsidRDefault="00AC6176" w:rsidP="00277A51">
            <w:pPr>
              <w:pStyle w:val="Tabletext"/>
              <w:suppressLineNumbers/>
            </w:pPr>
            <w:r w:rsidRPr="00AC6176">
              <w:t>14 May 2019</w:t>
            </w:r>
          </w:p>
        </w:tc>
      </w:tr>
      <w:tr w:rsidR="00062A46" w:rsidRPr="00BF21A7" w14:paraId="7727B2C6" w14:textId="77777777" w:rsidTr="00784E40">
        <w:trPr>
          <w:trHeight w:val="19"/>
        </w:trPr>
        <w:tc>
          <w:tcPr>
            <w:tcW w:w="1810" w:type="dxa"/>
            <w:tcBorders>
              <w:top w:val="single" w:sz="4" w:space="0" w:color="auto"/>
              <w:bottom w:val="single" w:sz="4" w:space="0" w:color="auto"/>
            </w:tcBorders>
          </w:tcPr>
          <w:p w14:paraId="3BC88628" w14:textId="77777777" w:rsidR="00062A46" w:rsidRPr="00BF21A7" w:rsidRDefault="00062A46" w:rsidP="00277A51">
            <w:pPr>
              <w:pStyle w:val="Heading6"/>
              <w:suppressLineNumbers/>
            </w:pPr>
            <w:r w:rsidRPr="00BF21A7">
              <w:t xml:space="preserve">Advice stage </w:t>
            </w:r>
          </w:p>
        </w:tc>
        <w:tc>
          <w:tcPr>
            <w:tcW w:w="7830" w:type="dxa"/>
            <w:tcBorders>
              <w:top w:val="single" w:sz="4" w:space="0" w:color="auto"/>
              <w:bottom w:val="single" w:sz="4" w:space="0" w:color="auto"/>
            </w:tcBorders>
          </w:tcPr>
          <w:p w14:paraId="16CF8A45" w14:textId="77777777" w:rsidR="00AC6176" w:rsidRPr="00BF21A7" w:rsidRDefault="0081315B" w:rsidP="00AC6176">
            <w:pPr>
              <w:pStyle w:val="Tabletext"/>
              <w:suppressLineNumbers/>
              <w:rPr>
                <w:lang w:eastAsia="en-AU"/>
              </w:rPr>
            </w:pPr>
            <w:r w:rsidRPr="00BF21A7">
              <w:rPr>
                <w:lang w:eastAsia="en-AU"/>
              </w:rPr>
              <w:t xml:space="preserve">Gateway Application </w:t>
            </w:r>
          </w:p>
          <w:p w14:paraId="32F83576" w14:textId="77777777" w:rsidR="00062A46" w:rsidRPr="00BF21A7" w:rsidRDefault="00062A46" w:rsidP="00277A51">
            <w:pPr>
              <w:pStyle w:val="Tabletext"/>
              <w:suppressLineNumbers/>
              <w:rPr>
                <w:lang w:eastAsia="en-AU"/>
              </w:rPr>
            </w:pPr>
          </w:p>
        </w:tc>
      </w:tr>
    </w:tbl>
    <w:p w14:paraId="49025E00" w14:textId="77777777" w:rsidR="00C60A1A" w:rsidRPr="00BF21A7" w:rsidRDefault="00C60A1A" w:rsidP="00C60A1A">
      <w:pPr>
        <w:pStyle w:val="Heading3"/>
        <w:spacing w:before="0" w:after="0"/>
      </w:pPr>
    </w:p>
    <w:tbl>
      <w:tblPr>
        <w:tblW w:w="964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7E6E6"/>
        <w:tblLook w:val="0000" w:firstRow="0" w:lastRow="0" w:firstColumn="0" w:lastColumn="0" w:noHBand="0" w:noVBand="0"/>
      </w:tblPr>
      <w:tblGrid>
        <w:gridCol w:w="9640"/>
      </w:tblGrid>
      <w:tr w:rsidR="00C60A1A" w:rsidRPr="00BF21A7" w14:paraId="06D65FB5" w14:textId="77777777" w:rsidTr="00784E40">
        <w:trPr>
          <w:trHeight w:val="2955"/>
        </w:trPr>
        <w:tc>
          <w:tcPr>
            <w:tcW w:w="9640" w:type="dxa"/>
            <w:shd w:val="clear" w:color="auto" w:fill="E7E6E6"/>
          </w:tcPr>
          <w:p w14:paraId="7ADCFA71" w14:textId="77777777" w:rsidR="00C60A1A" w:rsidRPr="00BF21A7" w:rsidRDefault="00C60A1A" w:rsidP="008A352B">
            <w:pPr>
              <w:pStyle w:val="NEWNormalTNR12"/>
              <w:spacing w:before="120" w:after="120" w:line="276" w:lineRule="auto"/>
              <w:ind w:left="34"/>
              <w:rPr>
                <w:rFonts w:ascii="Arial" w:hAnsi="Arial" w:cs="Arial"/>
                <w:sz w:val="20"/>
                <w:szCs w:val="20"/>
              </w:rPr>
            </w:pPr>
            <w:r w:rsidRPr="00BF21A7">
              <w:rPr>
                <w:rFonts w:ascii="Arial" w:hAnsi="Arial" w:cs="Arial"/>
                <w:sz w:val="20"/>
                <w:szCs w:val="20"/>
              </w:rPr>
              <w:t>The Independent Expert Scientific Committee on Coal Seam Gas and Large Coal Mining Development (the IESC) provides independent, expert, scientific advice to the Australian and state government regulators on the potential impacts of coal seam gas and large coal mining proposals on water resources. The advice is designed to ensure that decisions by regulators on coal seam gas or large coal mining developments are informed by the best available science.</w:t>
            </w:r>
          </w:p>
          <w:p w14:paraId="0A80B618" w14:textId="39E7502B" w:rsidR="00C60A1A" w:rsidRPr="00BF21A7" w:rsidRDefault="00C60A1A" w:rsidP="00C23654">
            <w:pPr>
              <w:pStyle w:val="NEWNormalTNR12"/>
              <w:spacing w:before="120" w:after="120" w:line="276" w:lineRule="auto"/>
              <w:ind w:left="34"/>
              <w:rPr>
                <w:rFonts w:asciiTheme="minorHAnsi" w:hAnsiTheme="minorHAnsi"/>
                <w:sz w:val="20"/>
                <w:szCs w:val="20"/>
              </w:rPr>
            </w:pPr>
            <w:r w:rsidRPr="00BF21A7">
              <w:rPr>
                <w:rFonts w:ascii="Arial" w:hAnsi="Arial" w:cs="Arial"/>
                <w:sz w:val="20"/>
                <w:szCs w:val="20"/>
              </w:rPr>
              <w:t xml:space="preserve">The IESC was requested by the New South Wales Mining and Petroleum Gateway Panel to provide advice on </w:t>
            </w:r>
            <w:proofErr w:type="spellStart"/>
            <w:r w:rsidR="00C23654">
              <w:rPr>
                <w:rFonts w:ascii="Arial" w:hAnsi="Arial" w:cs="Arial"/>
                <w:sz w:val="20"/>
                <w:szCs w:val="20"/>
              </w:rPr>
              <w:t>Glendell</w:t>
            </w:r>
            <w:proofErr w:type="spellEnd"/>
            <w:r w:rsidR="00C23654">
              <w:rPr>
                <w:rFonts w:ascii="Arial" w:hAnsi="Arial" w:cs="Arial"/>
                <w:sz w:val="20"/>
                <w:szCs w:val="20"/>
              </w:rPr>
              <w:t xml:space="preserve"> Tenements Pty </w:t>
            </w:r>
            <w:proofErr w:type="spellStart"/>
            <w:r w:rsidR="00C23654">
              <w:rPr>
                <w:rFonts w:ascii="Arial" w:hAnsi="Arial" w:cs="Arial"/>
                <w:sz w:val="20"/>
                <w:szCs w:val="20"/>
              </w:rPr>
              <w:t>Ltd’s</w:t>
            </w:r>
            <w:proofErr w:type="spellEnd"/>
            <w:r w:rsidRPr="00BF21A7">
              <w:rPr>
                <w:rFonts w:ascii="Arial" w:hAnsi="Arial" w:cs="Arial"/>
                <w:sz w:val="20"/>
                <w:szCs w:val="20"/>
              </w:rPr>
              <w:t xml:space="preserve"> </w:t>
            </w:r>
            <w:proofErr w:type="spellStart"/>
            <w:r w:rsidR="00AC6176">
              <w:rPr>
                <w:rFonts w:ascii="Arial" w:hAnsi="Arial" w:cs="Arial"/>
                <w:sz w:val="20"/>
                <w:szCs w:val="20"/>
              </w:rPr>
              <w:t>Glendell</w:t>
            </w:r>
            <w:proofErr w:type="spellEnd"/>
            <w:r w:rsidR="00AC6176">
              <w:rPr>
                <w:rFonts w:ascii="Arial" w:hAnsi="Arial" w:cs="Arial"/>
                <w:sz w:val="20"/>
                <w:szCs w:val="20"/>
              </w:rPr>
              <w:t xml:space="preserve"> Continued Operations Project </w:t>
            </w:r>
            <w:r w:rsidRPr="00BF21A7">
              <w:rPr>
                <w:rFonts w:ascii="Arial" w:hAnsi="Arial" w:cs="Arial"/>
                <w:sz w:val="20"/>
                <w:szCs w:val="20"/>
              </w:rPr>
              <w:t xml:space="preserve">in </w:t>
            </w:r>
            <w:r w:rsidR="00AC6176">
              <w:rPr>
                <w:rFonts w:ascii="Arial" w:hAnsi="Arial" w:cs="Arial"/>
                <w:sz w:val="20"/>
                <w:szCs w:val="20"/>
              </w:rPr>
              <w:t>New South Wales (NSW)</w:t>
            </w:r>
            <w:r w:rsidRPr="00BF21A7">
              <w:rPr>
                <w:rFonts w:ascii="Arial" w:hAnsi="Arial" w:cs="Arial"/>
                <w:sz w:val="20"/>
                <w:szCs w:val="20"/>
              </w:rPr>
              <w:t>. This document provides the IESC’s advice in response to the requesting agency’s questions. These questions are directed at matters specific to the project to be considered during the requesting agency’s assessment process. This advice draws upon the available assessment docume</w:t>
            </w:r>
            <w:r w:rsidR="00F424D7" w:rsidRPr="00BF21A7">
              <w:rPr>
                <w:rFonts w:ascii="Arial" w:hAnsi="Arial" w:cs="Arial"/>
                <w:sz w:val="20"/>
                <w:szCs w:val="20"/>
              </w:rPr>
              <w:t xml:space="preserve">ntation, data and methodologies, </w:t>
            </w:r>
            <w:r w:rsidRPr="00BF21A7">
              <w:rPr>
                <w:rFonts w:ascii="Arial" w:hAnsi="Arial" w:cs="Arial"/>
                <w:sz w:val="20"/>
                <w:szCs w:val="20"/>
              </w:rPr>
              <w:t>together with the expert deliberations of the IESC</w:t>
            </w:r>
            <w:r w:rsidR="001E2E34" w:rsidRPr="00BF21A7">
              <w:rPr>
                <w:rFonts w:ascii="Arial" w:hAnsi="Arial" w:cs="Arial"/>
                <w:sz w:val="20"/>
                <w:szCs w:val="20"/>
              </w:rPr>
              <w:t>,</w:t>
            </w:r>
            <w:r w:rsidRPr="00BF21A7">
              <w:rPr>
                <w:rFonts w:ascii="Arial" w:hAnsi="Arial" w:cs="Arial"/>
                <w:sz w:val="20"/>
                <w:szCs w:val="20"/>
              </w:rPr>
              <w:t xml:space="preserve"> and is assessed against the IESC Information Guidelines (</w:t>
            </w:r>
            <w:r w:rsidR="00C93FC2">
              <w:rPr>
                <w:rFonts w:ascii="Arial" w:hAnsi="Arial" w:cs="Arial"/>
                <w:sz w:val="20"/>
                <w:szCs w:val="20"/>
              </w:rPr>
              <w:t>IESC</w:t>
            </w:r>
            <w:r w:rsidR="001E2E34" w:rsidRPr="00BF21A7">
              <w:rPr>
                <w:rFonts w:ascii="Arial" w:hAnsi="Arial" w:cs="Arial"/>
                <w:sz w:val="20"/>
                <w:szCs w:val="20"/>
              </w:rPr>
              <w:t xml:space="preserve"> 2018</w:t>
            </w:r>
            <w:r w:rsidRPr="00BF21A7">
              <w:rPr>
                <w:rFonts w:ascii="Arial" w:hAnsi="Arial" w:cs="Arial"/>
                <w:sz w:val="20"/>
                <w:szCs w:val="20"/>
              </w:rPr>
              <w:t>).</w:t>
            </w:r>
          </w:p>
        </w:tc>
      </w:tr>
    </w:tbl>
    <w:p w14:paraId="692263F0" w14:textId="77777777" w:rsidR="00C60A1A" w:rsidRPr="00BF21A7" w:rsidRDefault="00C60A1A" w:rsidP="00C60A1A"/>
    <w:p w14:paraId="6760EF70" w14:textId="51CA4FC6" w:rsidR="00787D99" w:rsidRPr="00BF21A7" w:rsidRDefault="00787D99" w:rsidP="00D622B9">
      <w:pPr>
        <w:pStyle w:val="Heading3"/>
        <w:rPr>
          <w:color w:val="365F91" w:themeColor="accent1" w:themeShade="BF"/>
        </w:rPr>
      </w:pPr>
      <w:r w:rsidRPr="00BF21A7">
        <w:t>Summary</w:t>
      </w:r>
      <w:r w:rsidRPr="00BF21A7">
        <w:rPr>
          <w:color w:val="365F91" w:themeColor="accent1" w:themeShade="BF"/>
        </w:rPr>
        <w:t xml:space="preserve"> </w:t>
      </w:r>
    </w:p>
    <w:p w14:paraId="0CCE8231" w14:textId="77777777" w:rsidR="00161CC5" w:rsidRPr="00C7125E" w:rsidRDefault="00C7125E" w:rsidP="00291857">
      <w:r>
        <w:t xml:space="preserve">The </w:t>
      </w:r>
      <w:proofErr w:type="spellStart"/>
      <w:r w:rsidR="00161CC5" w:rsidRPr="00161CC5">
        <w:t>Glendell</w:t>
      </w:r>
      <w:proofErr w:type="spellEnd"/>
      <w:r w:rsidR="00161CC5" w:rsidRPr="00161CC5">
        <w:t xml:space="preserve"> </w:t>
      </w:r>
      <w:r w:rsidR="00161CC5">
        <w:t xml:space="preserve">Continued Operations Project is a proposed expansion of the existing </w:t>
      </w:r>
      <w:proofErr w:type="spellStart"/>
      <w:r w:rsidR="00161CC5">
        <w:t>Glendell</w:t>
      </w:r>
      <w:proofErr w:type="spellEnd"/>
      <w:r w:rsidR="00161CC5">
        <w:t xml:space="preserve"> Mine located approximately 20 km northwest of Singleton in the New South Wales Hunter Valley. The expansion would include extending the current </w:t>
      </w:r>
      <w:r w:rsidR="001D7B33">
        <w:t xml:space="preserve">open cut </w:t>
      </w:r>
      <w:proofErr w:type="spellStart"/>
      <w:r w:rsidR="00161CC5">
        <w:t>Glendell</w:t>
      </w:r>
      <w:proofErr w:type="spellEnd"/>
      <w:r w:rsidR="00161CC5">
        <w:t xml:space="preserve"> Pit to the northwest to allow mining of approximately 135</w:t>
      </w:r>
      <w:r w:rsidR="009743E0">
        <w:t> </w:t>
      </w:r>
      <w:r w:rsidR="00161CC5">
        <w:t xml:space="preserve">Mt run-of-mine (ROM) coal. </w:t>
      </w:r>
      <w:r w:rsidR="00177EF2">
        <w:t>The project will</w:t>
      </w:r>
      <w:r w:rsidR="00161CC5">
        <w:t xml:space="preserve"> increase the </w:t>
      </w:r>
      <w:r w:rsidR="00177EF2">
        <w:t>mine disturbance</w:t>
      </w:r>
      <w:r w:rsidR="00161CC5">
        <w:t xml:space="preserve"> area</w:t>
      </w:r>
      <w:r w:rsidR="00177EF2">
        <w:t xml:space="preserve">, divert </w:t>
      </w:r>
      <w:proofErr w:type="spellStart"/>
      <w:r w:rsidR="00177EF2">
        <w:t>Yorks</w:t>
      </w:r>
      <w:proofErr w:type="spellEnd"/>
      <w:r w:rsidR="00177EF2">
        <w:t xml:space="preserve"> Creek</w:t>
      </w:r>
      <w:r>
        <w:t xml:space="preserve">, </w:t>
      </w:r>
      <w:r w:rsidR="00BD5E15" w:rsidRPr="00162509">
        <w:t xml:space="preserve">increase groundwater drawdown in the alluvium, contribute to cumulative impacts, </w:t>
      </w:r>
      <w:r w:rsidRPr="00162509">
        <w:t>alter</w:t>
      </w:r>
      <w:r>
        <w:t xml:space="preserve"> catchment area</w:t>
      </w:r>
      <w:r w:rsidR="00950E1B">
        <w:t>s</w:t>
      </w:r>
      <w:r>
        <w:t xml:space="preserve"> and flows</w:t>
      </w:r>
      <w:r w:rsidR="008D11AA">
        <w:t xml:space="preserve"> of several creeks</w:t>
      </w:r>
      <w:r>
        <w:t>,</w:t>
      </w:r>
      <w:r w:rsidR="00177EF2">
        <w:t xml:space="preserve"> and require the </w:t>
      </w:r>
      <w:r w:rsidR="008D11AA" w:rsidRPr="008D11AA">
        <w:t xml:space="preserve">demolition of the existing </w:t>
      </w:r>
      <w:proofErr w:type="spellStart"/>
      <w:r w:rsidR="008D11AA" w:rsidRPr="008D11AA">
        <w:t>Glendell</w:t>
      </w:r>
      <w:proofErr w:type="spellEnd"/>
      <w:r w:rsidR="008D11AA" w:rsidRPr="008D11AA">
        <w:t xml:space="preserve"> mine infrastructure area</w:t>
      </w:r>
      <w:r w:rsidR="00CB6D4C">
        <w:t xml:space="preserve"> (MIA)</w:t>
      </w:r>
      <w:r w:rsidR="008D11AA" w:rsidRPr="008D11AA">
        <w:t xml:space="preserve"> </w:t>
      </w:r>
      <w:r w:rsidR="008D11AA">
        <w:t>and</w:t>
      </w:r>
      <w:r w:rsidR="008D11AA" w:rsidRPr="008D11AA">
        <w:t xml:space="preserve"> </w:t>
      </w:r>
      <w:r w:rsidR="00177EF2">
        <w:t xml:space="preserve">construction of a new </w:t>
      </w:r>
      <w:r w:rsidR="008D11AA">
        <w:t>one</w:t>
      </w:r>
      <w:r w:rsidR="00177EF2">
        <w:t>. Existing coal handling facilities</w:t>
      </w:r>
      <w:r w:rsidR="008D11AA">
        <w:t>,</w:t>
      </w:r>
      <w:r w:rsidR="00177EF2">
        <w:t xml:space="preserve"> including the coal handling and preparation plant and train loadout areas</w:t>
      </w:r>
      <w:r w:rsidR="008D11AA">
        <w:t>,</w:t>
      </w:r>
      <w:r w:rsidR="00177EF2">
        <w:t xml:space="preserve"> will be used.</w:t>
      </w:r>
      <w:r w:rsidR="00032099">
        <w:t xml:space="preserve"> The proposal would extend </w:t>
      </w:r>
      <w:r w:rsidR="00161CC5">
        <w:t>the l</w:t>
      </w:r>
      <w:r>
        <w:t>ife of the mine through to 2044.</w:t>
      </w:r>
    </w:p>
    <w:p w14:paraId="696557DB" w14:textId="77777777" w:rsidR="00BF21A7" w:rsidRPr="00BF21A7" w:rsidRDefault="00BF21A7" w:rsidP="00BF21A7">
      <w:pPr>
        <w:keepNext/>
      </w:pPr>
      <w:r w:rsidRPr="00BF21A7">
        <w:rPr>
          <w:u w:val="single"/>
        </w:rPr>
        <w:lastRenderedPageBreak/>
        <w:t>Key potential impacts</w:t>
      </w:r>
      <w:r w:rsidRPr="00BF21A7">
        <w:t xml:space="preserve"> from this project are:</w:t>
      </w:r>
    </w:p>
    <w:p w14:paraId="6FE86664" w14:textId="28746E70" w:rsidR="00BF21A7" w:rsidRDefault="007B0F07" w:rsidP="007A0EE2">
      <w:pPr>
        <w:pStyle w:val="ListParagraph"/>
        <w:numPr>
          <w:ilvl w:val="0"/>
          <w:numId w:val="36"/>
        </w:numPr>
      </w:pPr>
      <w:r>
        <w:t>d</w:t>
      </w:r>
      <w:r w:rsidRPr="007B0F07">
        <w:t xml:space="preserve">iversion </w:t>
      </w:r>
      <w:r>
        <w:t xml:space="preserve">of </w:t>
      </w:r>
      <w:proofErr w:type="spellStart"/>
      <w:r>
        <w:t>Yorks</w:t>
      </w:r>
      <w:proofErr w:type="spellEnd"/>
      <w:r>
        <w:t xml:space="preserve"> Creek into Bowman</w:t>
      </w:r>
      <w:r w:rsidR="00903E8A">
        <w:t>s</w:t>
      </w:r>
      <w:r>
        <w:t xml:space="preserve"> Creek which will disconnect </w:t>
      </w:r>
      <w:proofErr w:type="spellStart"/>
      <w:r>
        <w:t>Yorks</w:t>
      </w:r>
      <w:proofErr w:type="spellEnd"/>
      <w:r>
        <w:t xml:space="preserve"> Creek from its alluvium</w:t>
      </w:r>
      <w:r w:rsidR="00950E1B">
        <w:t xml:space="preserve"> and riparian corridor</w:t>
      </w:r>
      <w:r w:rsidR="008D11AA">
        <w:t>, and</w:t>
      </w:r>
      <w:r w:rsidR="00950E1B">
        <w:t xml:space="preserve"> </w:t>
      </w:r>
      <w:r>
        <w:t>potential</w:t>
      </w:r>
      <w:r w:rsidR="00C7125E">
        <w:t>ly</w:t>
      </w:r>
      <w:r>
        <w:t xml:space="preserve"> alter sediment and flow regimes</w:t>
      </w:r>
      <w:r w:rsidR="008D11AA">
        <w:t>, bed structure and in-stream</w:t>
      </w:r>
      <w:r>
        <w:t xml:space="preserve"> habitat availability in both </w:t>
      </w:r>
      <w:proofErr w:type="spellStart"/>
      <w:r>
        <w:t>Yorks</w:t>
      </w:r>
      <w:proofErr w:type="spellEnd"/>
      <w:r>
        <w:t xml:space="preserve"> and Bowmans Creeks</w:t>
      </w:r>
      <w:r w:rsidR="00073DD4">
        <w:t>;</w:t>
      </w:r>
    </w:p>
    <w:p w14:paraId="41ACF181" w14:textId="77777777" w:rsidR="007B0F07" w:rsidRDefault="007B0F07" w:rsidP="007A0EE2">
      <w:pPr>
        <w:pStyle w:val="ListParagraph"/>
        <w:numPr>
          <w:ilvl w:val="0"/>
          <w:numId w:val="36"/>
        </w:numPr>
      </w:pPr>
      <w:r>
        <w:t xml:space="preserve">changes to catchment areas and runoff patterns that could impact sediment and flow regimes and aquatic ecosystems within </w:t>
      </w:r>
      <w:proofErr w:type="spellStart"/>
      <w:r>
        <w:t>Yorks</w:t>
      </w:r>
      <w:proofErr w:type="spellEnd"/>
      <w:r>
        <w:t>, Bettys, Bowmans, Swamp and Main Creeks</w:t>
      </w:r>
      <w:r w:rsidR="00073DD4">
        <w:t>;</w:t>
      </w:r>
    </w:p>
    <w:p w14:paraId="22B9C05A" w14:textId="77777777" w:rsidR="007B0F07" w:rsidRPr="00162509" w:rsidRDefault="007B0F07" w:rsidP="007A0EE2">
      <w:pPr>
        <w:pStyle w:val="ListParagraph"/>
        <w:numPr>
          <w:ilvl w:val="0"/>
          <w:numId w:val="36"/>
        </w:numPr>
      </w:pPr>
      <w:r>
        <w:t>groundwater drawdown within the alluvial aquifers</w:t>
      </w:r>
      <w:r w:rsidR="008D11AA">
        <w:t xml:space="preserve">, with potential impacts on groundwater-dependent ecosystems (GDEs) such </w:t>
      </w:r>
      <w:r w:rsidR="008D11AA" w:rsidRPr="00162509">
        <w:t xml:space="preserve">as </w:t>
      </w:r>
      <w:r w:rsidR="000D746B" w:rsidRPr="00162509">
        <w:t xml:space="preserve">saturated alluvial sediments (including </w:t>
      </w:r>
      <w:r w:rsidR="008D11AA" w:rsidRPr="00162509">
        <w:t>stygofauna</w:t>
      </w:r>
      <w:r w:rsidR="000D746B" w:rsidRPr="00162509">
        <w:t>)</w:t>
      </w:r>
      <w:r w:rsidR="0092741B" w:rsidRPr="00162509">
        <w:t xml:space="preserve"> and</w:t>
      </w:r>
      <w:r w:rsidR="008D11AA" w:rsidRPr="00162509">
        <w:t xml:space="preserve"> groundwater-dependent vegetation</w:t>
      </w:r>
      <w:r w:rsidR="00073DD4" w:rsidRPr="00162509">
        <w:t>;</w:t>
      </w:r>
    </w:p>
    <w:p w14:paraId="4B14F20B" w14:textId="50D8F036" w:rsidR="007B0F07" w:rsidRPr="00162509" w:rsidRDefault="00950E1B" w:rsidP="007A0EE2">
      <w:pPr>
        <w:pStyle w:val="ListParagraph"/>
        <w:numPr>
          <w:ilvl w:val="0"/>
          <w:numId w:val="36"/>
        </w:numPr>
      </w:pPr>
      <w:r w:rsidRPr="00162509">
        <w:t>t</w:t>
      </w:r>
      <w:r w:rsidR="00C7125E" w:rsidRPr="00162509">
        <w:t xml:space="preserve">he presence of a final void in the rehabilitated landscape which could impact </w:t>
      </w:r>
      <w:r w:rsidR="006875A0" w:rsidRPr="00162509">
        <w:t xml:space="preserve">long-term </w:t>
      </w:r>
      <w:r w:rsidR="00C7125E" w:rsidRPr="00162509">
        <w:t>surface water and groundwater quality</w:t>
      </w:r>
      <w:r w:rsidR="000D746B" w:rsidRPr="00162509">
        <w:t xml:space="preserve"> (</w:t>
      </w:r>
      <w:r w:rsidR="00903E8A" w:rsidRPr="00162509">
        <w:t>particularly</w:t>
      </w:r>
      <w:r w:rsidR="000D746B" w:rsidRPr="00162509">
        <w:t xml:space="preserve"> </w:t>
      </w:r>
      <w:r w:rsidR="00F7058B" w:rsidRPr="00F76B32">
        <w:t>salinity</w:t>
      </w:r>
      <w:r w:rsidR="000D746B" w:rsidRPr="00162509">
        <w:t>)</w:t>
      </w:r>
      <w:r w:rsidR="00073DD4" w:rsidRPr="00162509">
        <w:t>; and</w:t>
      </w:r>
    </w:p>
    <w:p w14:paraId="7D96766B" w14:textId="77777777" w:rsidR="00C7125E" w:rsidRPr="00162509" w:rsidRDefault="00260FC6" w:rsidP="007A0EE2">
      <w:pPr>
        <w:pStyle w:val="ListParagraph"/>
        <w:numPr>
          <w:ilvl w:val="0"/>
          <w:numId w:val="36"/>
        </w:numPr>
      </w:pPr>
      <w:proofErr w:type="gramStart"/>
      <w:r w:rsidRPr="00162509">
        <w:t>the</w:t>
      </w:r>
      <w:proofErr w:type="gramEnd"/>
      <w:r w:rsidRPr="00162509">
        <w:t xml:space="preserve"> </w:t>
      </w:r>
      <w:r w:rsidR="00C7125E" w:rsidRPr="00162509">
        <w:t>further contribution to cumulative impacts on groundwater</w:t>
      </w:r>
      <w:r w:rsidR="007E1F2B" w:rsidRPr="00162509">
        <w:t xml:space="preserve"> </w:t>
      </w:r>
      <w:r w:rsidR="00903E8A" w:rsidRPr="00162509">
        <w:t>(</w:t>
      </w:r>
      <w:r w:rsidR="007E1F2B" w:rsidRPr="00162509">
        <w:t>possibly until 2200</w:t>
      </w:r>
      <w:r w:rsidR="00903E8A" w:rsidRPr="00162509">
        <w:t>)</w:t>
      </w:r>
      <w:r w:rsidR="00C7125E" w:rsidRPr="00162509">
        <w:t xml:space="preserve">, surface water and </w:t>
      </w:r>
      <w:r w:rsidR="007E1F2B" w:rsidRPr="00162509">
        <w:t>native flora and fauna</w:t>
      </w:r>
      <w:r w:rsidR="00C7125E" w:rsidRPr="00162509">
        <w:t xml:space="preserve"> in the wider Hunter Region. </w:t>
      </w:r>
    </w:p>
    <w:p w14:paraId="1049F2B1" w14:textId="106A9375" w:rsidR="004E26D2" w:rsidRPr="00162509" w:rsidRDefault="00162509" w:rsidP="00162509">
      <w:pPr>
        <w:ind w:left="360"/>
      </w:pPr>
      <w:r w:rsidRPr="00F76B32">
        <w:t xml:space="preserve">The IESC strongly encourages the proponent to capitalise on their previous experience of rehabilitation in the area and their control of the mines in the GRAWTS to describe in the </w:t>
      </w:r>
      <w:r w:rsidR="00C93FC2" w:rsidRPr="00F76B32">
        <w:t>environmental impact statement (</w:t>
      </w:r>
      <w:r w:rsidRPr="00F76B32">
        <w:t>EIS</w:t>
      </w:r>
      <w:r w:rsidR="00C93FC2" w:rsidRPr="00F76B32">
        <w:t>)</w:t>
      </w:r>
      <w:r w:rsidRPr="00F76B32">
        <w:t xml:space="preserve"> how they (1) will use the existing data and information to assess potential cumulative impacts of the project and (2) plan for appropriate rehabilitation strategies that will protect riparian corridors, current offset areas and other refuge habitats as source areas for plant and animal colonists in a changing climate. </w:t>
      </w:r>
      <w:r w:rsidR="004E26D2" w:rsidRPr="00F76B32">
        <w:t xml:space="preserve">The IESC has identified key areas in which additional work </w:t>
      </w:r>
      <w:r w:rsidR="007E1F2B" w:rsidRPr="00F76B32">
        <w:t>will</w:t>
      </w:r>
      <w:r w:rsidR="005A3023" w:rsidRPr="00F76B32">
        <w:t xml:space="preserve"> be</w:t>
      </w:r>
      <w:r w:rsidR="004E26D2" w:rsidRPr="00F76B32">
        <w:t xml:space="preserve"> required </w:t>
      </w:r>
      <w:r w:rsidR="007E1F2B" w:rsidRPr="00F76B32">
        <w:t xml:space="preserve">when the proponent prepares the </w:t>
      </w:r>
      <w:r w:rsidR="005A3023" w:rsidRPr="00F76B32">
        <w:t xml:space="preserve">detailed </w:t>
      </w:r>
      <w:r w:rsidR="00C93FC2" w:rsidRPr="00F76B32">
        <w:t>EIS</w:t>
      </w:r>
      <w:r w:rsidR="007E1F2B" w:rsidRPr="00F76B32">
        <w:t xml:space="preserve"> for the project. These key areas are detailed in this advice and </w:t>
      </w:r>
      <w:r w:rsidR="004E26D2" w:rsidRPr="00F76B32">
        <w:t>summarised below.</w:t>
      </w:r>
    </w:p>
    <w:p w14:paraId="3A48DE96" w14:textId="7941E754" w:rsidR="00BD5E15" w:rsidRPr="00162509" w:rsidRDefault="009216AC" w:rsidP="00BD5E15">
      <w:pPr>
        <w:pStyle w:val="ListParagraph"/>
        <w:numPr>
          <w:ilvl w:val="0"/>
          <w:numId w:val="42"/>
        </w:numPr>
      </w:pPr>
      <w:r w:rsidRPr="00F76B32">
        <w:t>Provide</w:t>
      </w:r>
      <w:r>
        <w:t xml:space="preserve"> f</w:t>
      </w:r>
      <w:r w:rsidR="00BD5E15" w:rsidRPr="00162509">
        <w:t>urther information on the baseline conditions of both groundwater and surface water resources including water quality, flow regimes and hydrological connectivity.</w:t>
      </w:r>
    </w:p>
    <w:p w14:paraId="188FFA55" w14:textId="77777777" w:rsidR="000E1B5A" w:rsidRPr="00162509" w:rsidRDefault="009E6E39" w:rsidP="007A0EE2">
      <w:pPr>
        <w:pStyle w:val="ListParagraph"/>
        <w:numPr>
          <w:ilvl w:val="0"/>
          <w:numId w:val="42"/>
        </w:numPr>
      </w:pPr>
      <w:r w:rsidRPr="00162509">
        <w:t xml:space="preserve">After completion of the proposed field mapping of alluvial aquifers in the project area, </w:t>
      </w:r>
      <w:r w:rsidR="00D15FBF" w:rsidRPr="00162509">
        <w:t xml:space="preserve">provide </w:t>
      </w:r>
      <w:r w:rsidRPr="00162509">
        <w:t>e</w:t>
      </w:r>
      <w:r w:rsidR="007E1F2B" w:rsidRPr="00162509">
        <w:t xml:space="preserve">stimation of groundwater drawdown and </w:t>
      </w:r>
      <w:r w:rsidR="00D15FBF" w:rsidRPr="00162509">
        <w:t xml:space="preserve">the </w:t>
      </w:r>
      <w:r w:rsidR="007E1F2B" w:rsidRPr="00162509">
        <w:t xml:space="preserve">likely effects on surface flows (especially low flows and </w:t>
      </w:r>
      <w:r w:rsidR="000D746B" w:rsidRPr="00162509">
        <w:t xml:space="preserve">ecologically important flow </w:t>
      </w:r>
      <w:r w:rsidR="00642647" w:rsidRPr="00162509">
        <w:t>components</w:t>
      </w:r>
      <w:r w:rsidR="007E1F2B" w:rsidRPr="00162509">
        <w:t>) in associated creeks</w:t>
      </w:r>
      <w:r w:rsidR="000E1B5A" w:rsidRPr="00162509">
        <w:t>.</w:t>
      </w:r>
    </w:p>
    <w:p w14:paraId="6683608C" w14:textId="1382C6BD" w:rsidR="00903E8A" w:rsidRPr="00162509" w:rsidRDefault="00903E8A" w:rsidP="00903E8A">
      <w:pPr>
        <w:pStyle w:val="ListParagraph"/>
        <w:numPr>
          <w:ilvl w:val="0"/>
          <w:numId w:val="42"/>
        </w:numPr>
      </w:pPr>
      <w:r w:rsidRPr="00162509">
        <w:t>Updat</w:t>
      </w:r>
      <w:r w:rsidR="00F76B32">
        <w:t>e</w:t>
      </w:r>
      <w:r w:rsidRPr="00162509">
        <w:t xml:space="preserve"> the groundwater model, including a sensitivity and uncertainty analysis and quantification of surface water-groundwater connectivity.</w:t>
      </w:r>
    </w:p>
    <w:p w14:paraId="591BDA9C" w14:textId="22D32273" w:rsidR="00BD5E15" w:rsidRPr="00162509" w:rsidRDefault="00BD5E15" w:rsidP="00BD5E15">
      <w:pPr>
        <w:pStyle w:val="ListParagraph"/>
        <w:numPr>
          <w:ilvl w:val="0"/>
          <w:numId w:val="42"/>
        </w:numPr>
      </w:pPr>
      <w:r w:rsidRPr="00162509">
        <w:t xml:space="preserve">Flood modelling that incorporates infrastructure changes, the </w:t>
      </w:r>
      <w:proofErr w:type="spellStart"/>
      <w:r w:rsidRPr="00162509">
        <w:t>Yorks</w:t>
      </w:r>
      <w:proofErr w:type="spellEnd"/>
      <w:r w:rsidRPr="00162509">
        <w:t xml:space="preserve"> Creek diversion and the final landform to assess flood risks to mine pits and detention </w:t>
      </w:r>
      <w:r w:rsidR="000238A5" w:rsidRPr="00162509">
        <w:t>storages and</w:t>
      </w:r>
      <w:r w:rsidRPr="00162509">
        <w:t xml:space="preserve"> changed floodplain behaviour. </w:t>
      </w:r>
    </w:p>
    <w:p w14:paraId="1C9E8743" w14:textId="77777777" w:rsidR="00903E8A" w:rsidRPr="00162509" w:rsidRDefault="00903E8A" w:rsidP="00903E8A">
      <w:pPr>
        <w:pStyle w:val="ListParagraph"/>
        <w:numPr>
          <w:ilvl w:val="0"/>
          <w:numId w:val="42"/>
        </w:numPr>
      </w:pPr>
      <w:r w:rsidRPr="00162509">
        <w:t>A detailed site water balance that specifies uncertainties in inputs and performance under future climatic conditions.</w:t>
      </w:r>
    </w:p>
    <w:p w14:paraId="08B7E119" w14:textId="77777777" w:rsidR="00BD5E15" w:rsidRPr="00162509" w:rsidRDefault="00BD5E15" w:rsidP="00BD5E15">
      <w:pPr>
        <w:pStyle w:val="ListParagraph"/>
        <w:numPr>
          <w:ilvl w:val="0"/>
          <w:numId w:val="42"/>
        </w:numPr>
      </w:pPr>
      <w:r w:rsidRPr="00162509">
        <w:t xml:space="preserve">A geochemistry study specific to the project area which assesses all waste rock material. </w:t>
      </w:r>
    </w:p>
    <w:p w14:paraId="114321B3" w14:textId="77777777" w:rsidR="00BD5E15" w:rsidRPr="00162509" w:rsidRDefault="00BD5E15" w:rsidP="007A0EE2">
      <w:pPr>
        <w:pStyle w:val="ListParagraph"/>
        <w:numPr>
          <w:ilvl w:val="0"/>
          <w:numId w:val="42"/>
        </w:numPr>
      </w:pPr>
      <w:r w:rsidRPr="00162509">
        <w:t>Further information on the salt balance of the site and salt sources and stores within the final landform, including salt derived from the alluvial aquifer.</w:t>
      </w:r>
    </w:p>
    <w:p w14:paraId="57708A8C" w14:textId="07793DBA" w:rsidR="00903E8A" w:rsidRDefault="00C93FC2" w:rsidP="00903E8A">
      <w:pPr>
        <w:pStyle w:val="ListParagraph"/>
        <w:numPr>
          <w:ilvl w:val="0"/>
          <w:numId w:val="42"/>
        </w:numPr>
      </w:pPr>
      <w:r w:rsidRPr="00290A92">
        <w:t>Provide</w:t>
      </w:r>
      <w:r w:rsidR="00903E8A" w:rsidRPr="00162509">
        <w:t xml:space="preserve"> a general </w:t>
      </w:r>
      <w:proofErr w:type="spellStart"/>
      <w:r w:rsidR="00903E8A" w:rsidRPr="00162509">
        <w:t>ecohydrological</w:t>
      </w:r>
      <w:proofErr w:type="spellEnd"/>
      <w:r w:rsidR="00903E8A" w:rsidRPr="00162509">
        <w:t xml:space="preserve"> conceptual model showing potential impact-effect pathways on water-related ecological assets, including GDEs and aquatic biota. An additional </w:t>
      </w:r>
      <w:proofErr w:type="spellStart"/>
      <w:r w:rsidR="00903E8A" w:rsidRPr="00162509">
        <w:t>ecohydrological</w:t>
      </w:r>
      <w:proofErr w:type="spellEnd"/>
      <w:r w:rsidR="00903E8A" w:rsidRPr="00162509">
        <w:t xml:space="preserve"> model specifically addressing the proposed </w:t>
      </w:r>
      <w:proofErr w:type="spellStart"/>
      <w:r w:rsidR="00903E8A" w:rsidRPr="00162509">
        <w:t>Yorks</w:t>
      </w:r>
      <w:proofErr w:type="spellEnd"/>
      <w:r w:rsidR="00903E8A" w:rsidRPr="00162509">
        <w:t xml:space="preserve"> Creek</w:t>
      </w:r>
      <w:r w:rsidR="00903E8A">
        <w:t xml:space="preserve"> diversion and its confluence with Bowmans Creek may be needed to further understand potential impacts from changes to flows, bank and bed stability and </w:t>
      </w:r>
      <w:proofErr w:type="spellStart"/>
      <w:r w:rsidR="00903E8A">
        <w:t>hyporheic</w:t>
      </w:r>
      <w:proofErr w:type="spellEnd"/>
      <w:r w:rsidR="00903E8A">
        <w:t xml:space="preserve"> conditions in Bowmans Creek.</w:t>
      </w:r>
    </w:p>
    <w:p w14:paraId="137FF162" w14:textId="4770F0EA" w:rsidR="00BD5E15" w:rsidRPr="00162509" w:rsidRDefault="00BD5E15" w:rsidP="00BD5E15">
      <w:pPr>
        <w:pStyle w:val="ListParagraph"/>
        <w:numPr>
          <w:ilvl w:val="0"/>
          <w:numId w:val="42"/>
        </w:numPr>
      </w:pPr>
      <w:r w:rsidRPr="00162509">
        <w:lastRenderedPageBreak/>
        <w:t>Provid</w:t>
      </w:r>
      <w:r w:rsidR="00D15FBF" w:rsidRPr="00162509">
        <w:t>e</w:t>
      </w:r>
      <w:r w:rsidRPr="00162509">
        <w:t xml:space="preserve"> detail on the proposed diversion of </w:t>
      </w:r>
      <w:proofErr w:type="spellStart"/>
      <w:r w:rsidRPr="00162509">
        <w:t>Yorks</w:t>
      </w:r>
      <w:proofErr w:type="spellEnd"/>
      <w:r w:rsidRPr="00162509">
        <w:t xml:space="preserve"> Creek and how the diversion will be built and managed to preserve ecological functions (including those occurring in </w:t>
      </w:r>
      <w:proofErr w:type="spellStart"/>
      <w:r w:rsidRPr="00162509">
        <w:t>hyporheic</w:t>
      </w:r>
      <w:proofErr w:type="spellEnd"/>
      <w:r w:rsidRPr="00162509">
        <w:t xml:space="preserve"> and riparian corridors) currently supported by </w:t>
      </w:r>
      <w:proofErr w:type="spellStart"/>
      <w:r w:rsidRPr="00162509">
        <w:t>Yorks</w:t>
      </w:r>
      <w:proofErr w:type="spellEnd"/>
      <w:r w:rsidRPr="00162509">
        <w:t xml:space="preserve"> Creek.</w:t>
      </w:r>
    </w:p>
    <w:p w14:paraId="2E5BEBE2" w14:textId="6A1A3589" w:rsidR="00BD5E15" w:rsidRPr="00162509" w:rsidRDefault="00F7058B" w:rsidP="00BD5E15">
      <w:pPr>
        <w:pStyle w:val="ListParagraph"/>
        <w:numPr>
          <w:ilvl w:val="0"/>
          <w:numId w:val="42"/>
        </w:numPr>
      </w:pPr>
      <w:r w:rsidRPr="00290A92">
        <w:t>E</w:t>
      </w:r>
      <w:r w:rsidR="00BD5E15" w:rsidRPr="00290A92">
        <w:t>cological</w:t>
      </w:r>
      <w:r w:rsidR="00BD5E15" w:rsidRPr="00162509">
        <w:t xml:space="preserve"> studies to determine the baseline condition of the aquatic ecosystems including permanent and semi-permanent pools (e.g. surface water flora and fauna), riparian vegetation and alluvial sediments (e.g. stygofauna, </w:t>
      </w:r>
      <w:proofErr w:type="spellStart"/>
      <w:r w:rsidR="00BD5E15" w:rsidRPr="00162509">
        <w:t>hyporheos</w:t>
      </w:r>
      <w:proofErr w:type="spellEnd"/>
      <w:r w:rsidR="00BD5E15" w:rsidRPr="00162509">
        <w:t>) in all creeks potentially affected by the project.</w:t>
      </w:r>
    </w:p>
    <w:p w14:paraId="1775082F" w14:textId="4DD07153" w:rsidR="00E24D77" w:rsidRPr="00162509" w:rsidRDefault="00F7058B" w:rsidP="007A0EE2">
      <w:pPr>
        <w:pStyle w:val="ListParagraph"/>
        <w:numPr>
          <w:ilvl w:val="0"/>
          <w:numId w:val="42"/>
        </w:numPr>
      </w:pPr>
      <w:r w:rsidRPr="00290A92">
        <w:t>Explicit</w:t>
      </w:r>
      <w:r w:rsidRPr="00162509">
        <w:t xml:space="preserve"> </w:t>
      </w:r>
      <w:r w:rsidR="00E24D77" w:rsidRPr="00162509">
        <w:t>consideration and assessment of project</w:t>
      </w:r>
      <w:r w:rsidR="00550D24" w:rsidRPr="00162509">
        <w:t>-</w:t>
      </w:r>
      <w:r w:rsidR="00E24D77" w:rsidRPr="00162509">
        <w:t>specific risks</w:t>
      </w:r>
      <w:r w:rsidR="00F76B32">
        <w:t>,</w:t>
      </w:r>
      <w:r w:rsidR="009E6E39" w:rsidRPr="00162509">
        <w:t xml:space="preserve"> and their materiality at different stages of the project, including during rehabilitation</w:t>
      </w:r>
      <w:r w:rsidR="00E24D77" w:rsidRPr="00162509">
        <w:t>.</w:t>
      </w:r>
      <w:r w:rsidR="003535A1" w:rsidRPr="00162509">
        <w:t xml:space="preserve"> This is required to inform the selection of appropriate mitigation options and development of management plans.</w:t>
      </w:r>
    </w:p>
    <w:p w14:paraId="7FC7A6B2" w14:textId="2EACEF10" w:rsidR="00F85B3D" w:rsidRPr="00162509" w:rsidRDefault="00F7058B" w:rsidP="00F85B3D">
      <w:pPr>
        <w:pStyle w:val="ListParagraph"/>
        <w:numPr>
          <w:ilvl w:val="0"/>
          <w:numId w:val="42"/>
        </w:numPr>
        <w:rPr>
          <w:b/>
        </w:rPr>
      </w:pPr>
      <w:r w:rsidRPr="00290A92">
        <w:t>A</w:t>
      </w:r>
      <w:r w:rsidR="00F85B3D" w:rsidRPr="00290A92">
        <w:t>ssessment</w:t>
      </w:r>
      <w:r w:rsidR="00F85B3D" w:rsidRPr="00162509">
        <w:t xml:space="preserve"> of potential cumulative impacts on groundwater and surface water quality, dynamics (e.g. flow regimes, groundwater flux) and biota (e.g. riparian vegetation, fish).</w:t>
      </w:r>
    </w:p>
    <w:p w14:paraId="295300A3" w14:textId="77777777" w:rsidR="00291857" w:rsidRPr="00162509" w:rsidRDefault="00291857" w:rsidP="00F85B3D">
      <w:pPr>
        <w:pStyle w:val="Heading3"/>
      </w:pPr>
      <w:r w:rsidRPr="00162509">
        <w:t>Context</w:t>
      </w:r>
    </w:p>
    <w:p w14:paraId="704C3E5C" w14:textId="77777777" w:rsidR="002B1C91" w:rsidRPr="00162509" w:rsidRDefault="00C7125E" w:rsidP="00D622B9">
      <w:r w:rsidRPr="00162509">
        <w:t xml:space="preserve">The </w:t>
      </w:r>
      <w:r w:rsidR="001072F4" w:rsidRPr="00162509">
        <w:t xml:space="preserve">proposed </w:t>
      </w:r>
      <w:r w:rsidRPr="00162509">
        <w:t xml:space="preserve">project </w:t>
      </w:r>
      <w:r w:rsidR="002B1C91" w:rsidRPr="00162509">
        <w:t xml:space="preserve">is within the Mount Owen Complex which incorporates the existing </w:t>
      </w:r>
      <w:proofErr w:type="spellStart"/>
      <w:r w:rsidR="002B1C91" w:rsidRPr="00162509">
        <w:t>Glendell</w:t>
      </w:r>
      <w:proofErr w:type="spellEnd"/>
      <w:r w:rsidR="002B1C91" w:rsidRPr="00162509">
        <w:t xml:space="preserve"> Mine, Mount Owen Mine (North Pit) and Ravensworth East Mine (Bayswater North Pit). </w:t>
      </w:r>
      <w:r w:rsidR="001072F4" w:rsidRPr="00162509">
        <w:t>A</w:t>
      </w:r>
      <w:r w:rsidR="002B1C91" w:rsidRPr="00162509">
        <w:t xml:space="preserve"> number of operational and historic coal mines</w:t>
      </w:r>
      <w:r w:rsidR="001072F4" w:rsidRPr="00162509">
        <w:t xml:space="preserve">, </w:t>
      </w:r>
      <w:r w:rsidR="002B1C91" w:rsidRPr="00162509">
        <w:t>two power stations and two quarries</w:t>
      </w:r>
      <w:r w:rsidR="001072F4" w:rsidRPr="00162509">
        <w:t xml:space="preserve"> occur in the wider area</w:t>
      </w:r>
      <w:r w:rsidR="002B1C91" w:rsidRPr="00162509">
        <w:t xml:space="preserve">. The Ravensworth State Forest </w:t>
      </w:r>
      <w:r w:rsidR="001072F4" w:rsidRPr="00162509">
        <w:t>lie</w:t>
      </w:r>
      <w:r w:rsidR="002B1C91" w:rsidRPr="00162509">
        <w:t>s northeast of the project</w:t>
      </w:r>
      <w:r w:rsidR="001072F4" w:rsidRPr="00162509">
        <w:t>,</w:t>
      </w:r>
      <w:r w:rsidR="002B1C91" w:rsidRPr="00162509">
        <w:t xml:space="preserve"> along with </w:t>
      </w:r>
      <w:r w:rsidR="001072F4" w:rsidRPr="00162509">
        <w:t>several</w:t>
      </w:r>
      <w:r w:rsidR="002B1C91" w:rsidRPr="00162509">
        <w:t xml:space="preserve"> biodiversity offset areas</w:t>
      </w:r>
      <w:r w:rsidR="00B7033D" w:rsidRPr="00162509">
        <w:t>. O</w:t>
      </w:r>
      <w:r w:rsidR="001072F4" w:rsidRPr="00162509">
        <w:t xml:space="preserve">ne of </w:t>
      </w:r>
      <w:r w:rsidR="00B7033D" w:rsidRPr="00162509">
        <w:t>these</w:t>
      </w:r>
      <w:r w:rsidR="002B1C91" w:rsidRPr="00162509">
        <w:t xml:space="preserve"> is immediately east of the current </w:t>
      </w:r>
      <w:proofErr w:type="spellStart"/>
      <w:r w:rsidR="002B1C91" w:rsidRPr="00162509">
        <w:t>Glendell</w:t>
      </w:r>
      <w:proofErr w:type="spellEnd"/>
      <w:r w:rsidR="002B1C91" w:rsidRPr="00162509">
        <w:t xml:space="preserve"> Pit</w:t>
      </w:r>
      <w:r w:rsidR="001072F4" w:rsidRPr="00162509">
        <w:t xml:space="preserve"> and</w:t>
      </w:r>
      <w:r w:rsidR="002B1C91" w:rsidRPr="00162509">
        <w:t xml:space="preserve"> partially within the Bettys Creek riparian corridor. The riparian corridors generally contain the oldest vegetation in the area and are likely to be important </w:t>
      </w:r>
      <w:r w:rsidR="00FC5126" w:rsidRPr="00162509">
        <w:t xml:space="preserve">habitats </w:t>
      </w:r>
      <w:r w:rsidR="001072F4" w:rsidRPr="00162509">
        <w:t xml:space="preserve">for native </w:t>
      </w:r>
      <w:r w:rsidR="002B1C91" w:rsidRPr="00162509">
        <w:t xml:space="preserve">fauna and flora. Maintaining these corridors will </w:t>
      </w:r>
      <w:r w:rsidR="001072F4" w:rsidRPr="00162509">
        <w:t>help</w:t>
      </w:r>
      <w:r w:rsidR="002B1C91" w:rsidRPr="00162509">
        <w:t xml:space="preserve"> reduc</w:t>
      </w:r>
      <w:r w:rsidR="001072F4" w:rsidRPr="00162509">
        <w:t>e</w:t>
      </w:r>
      <w:r w:rsidR="002B1C91" w:rsidRPr="00162509">
        <w:t xml:space="preserve"> impacts to </w:t>
      </w:r>
      <w:r w:rsidR="0003651C" w:rsidRPr="00162509">
        <w:rPr>
          <w:i/>
        </w:rPr>
        <w:t>Environment Protection and Biodiversity Conservation Act 1999</w:t>
      </w:r>
      <w:r w:rsidR="0003651C" w:rsidRPr="00162509">
        <w:t xml:space="preserve"> (</w:t>
      </w:r>
      <w:r w:rsidR="002B1C91" w:rsidRPr="00162509">
        <w:t>EPBC Act</w:t>
      </w:r>
      <w:r w:rsidR="0003651C" w:rsidRPr="00162509">
        <w:t>)</w:t>
      </w:r>
      <w:r w:rsidR="002B1C91" w:rsidRPr="00162509">
        <w:t>-listed species and allow dispersal of flora and fauna into the rehabilitated landscape.</w:t>
      </w:r>
    </w:p>
    <w:p w14:paraId="380144C3" w14:textId="77777777" w:rsidR="00C7125E" w:rsidRDefault="00004AF9" w:rsidP="00D622B9">
      <w:pPr>
        <w:rPr>
          <w:b/>
          <w:color w:val="FF0000"/>
        </w:rPr>
      </w:pPr>
      <w:r w:rsidRPr="00162509">
        <w:t xml:space="preserve">The existing </w:t>
      </w:r>
      <w:proofErr w:type="spellStart"/>
      <w:r w:rsidRPr="00162509">
        <w:t>Glendell</w:t>
      </w:r>
      <w:proofErr w:type="spellEnd"/>
      <w:r w:rsidRPr="00162509">
        <w:t xml:space="preserve"> Mine is part of the Greater Ravensworth Area Water and Tailings Scheme (GRAWTS). </w:t>
      </w:r>
      <w:r w:rsidR="009743E0" w:rsidRPr="00162509">
        <w:t>It is proposed that t</w:t>
      </w:r>
      <w:r w:rsidRPr="00162509">
        <w:t>he project will be incorporated into this scheme with some additional water management infrastructure constructed</w:t>
      </w:r>
      <w:r w:rsidR="009743E0" w:rsidRPr="00162509">
        <w:t>, although details are currently limited</w:t>
      </w:r>
      <w:r w:rsidRPr="00162509">
        <w:t>. The GRAWTS allows Glencore, who controls all the mines within the scheme through subsidiaries or joint ventures, to transfer water and tailings between mines to optimise manageme</w:t>
      </w:r>
      <w:r w:rsidR="00066732" w:rsidRPr="00162509">
        <w:t>nt, facilitate water reuse and</w:t>
      </w:r>
      <w:r w:rsidRPr="00162509">
        <w:t xml:space="preserve"> minimise discharges. The </w:t>
      </w:r>
      <w:r w:rsidR="00550D24" w:rsidRPr="00162509">
        <w:t xml:space="preserve">members of the GRAWTS are </w:t>
      </w:r>
      <w:r w:rsidRPr="00162509">
        <w:t>Mount Owen Complex mines</w:t>
      </w:r>
      <w:r w:rsidR="00550D24" w:rsidRPr="00162509">
        <w:t>,</w:t>
      </w:r>
      <w:r w:rsidRPr="00162509">
        <w:t xml:space="preserve"> Liddell Coal Operations, Integra Underground Mine and Ravensworth Operations</w:t>
      </w:r>
      <w:r w:rsidR="00AC4DB1" w:rsidRPr="00162509">
        <w:t xml:space="preserve"> but</w:t>
      </w:r>
      <w:r w:rsidRPr="00162509">
        <w:t xml:space="preserve"> </w:t>
      </w:r>
      <w:r w:rsidR="00AC4DB1" w:rsidRPr="00162509">
        <w:t>o</w:t>
      </w:r>
      <w:r w:rsidRPr="00162509">
        <w:t>nly Liddell Coal Operations and Ravensworth Operations have licenced water discharge points</w:t>
      </w:r>
      <w:r w:rsidR="00AC4DB1" w:rsidRPr="00162509">
        <w:t>.  Therefore,</w:t>
      </w:r>
      <w:r w:rsidRPr="00162509">
        <w:t xml:space="preserve"> when water needs to be discharged within the GRAWTS</w:t>
      </w:r>
      <w:r w:rsidR="00AC4DB1" w:rsidRPr="00162509">
        <w:t>,</w:t>
      </w:r>
      <w:r w:rsidRPr="00162509">
        <w:t xml:space="preserve"> it must be transferred to </w:t>
      </w:r>
      <w:r w:rsidR="00BD5E15" w:rsidRPr="00162509">
        <w:t>either Liddell Coal Operations or Ravensworth Operations</w:t>
      </w:r>
      <w:r w:rsidRPr="00162509">
        <w:t>.</w:t>
      </w:r>
      <w:r>
        <w:t xml:space="preserve">  </w:t>
      </w:r>
      <w:r w:rsidR="002B1C91">
        <w:t xml:space="preserve"> </w:t>
      </w:r>
      <w:r w:rsidR="00C7125E">
        <w:t xml:space="preserve"> </w:t>
      </w:r>
    </w:p>
    <w:p w14:paraId="23B7B1B3" w14:textId="77777777" w:rsidR="007203C3" w:rsidRPr="00BF21A7" w:rsidRDefault="00766009" w:rsidP="00D622B9">
      <w:pPr>
        <w:pStyle w:val="Heading3"/>
      </w:pPr>
      <w:r w:rsidRPr="00BF21A7">
        <w:t>Response to questions</w:t>
      </w:r>
    </w:p>
    <w:p w14:paraId="5928F718" w14:textId="77777777" w:rsidR="00766009" w:rsidRPr="003E1018" w:rsidRDefault="007203C3" w:rsidP="003E1018">
      <w:pPr>
        <w:pStyle w:val="Default"/>
        <w:spacing w:after="200" w:line="276" w:lineRule="auto"/>
        <w:rPr>
          <w:rFonts w:ascii="Arial" w:eastAsia="Times New Roman" w:hAnsi="Arial" w:cs="Arial"/>
          <w:color w:val="auto"/>
          <w:sz w:val="20"/>
          <w:szCs w:val="20"/>
          <w:lang w:eastAsia="en-US"/>
        </w:rPr>
      </w:pPr>
      <w:r w:rsidRPr="00BF21A7">
        <w:rPr>
          <w:rFonts w:ascii="Arial" w:eastAsia="Times New Roman" w:hAnsi="Arial" w:cs="Arial"/>
          <w:color w:val="auto"/>
          <w:sz w:val="20"/>
          <w:szCs w:val="20"/>
          <w:lang w:eastAsia="en-US"/>
        </w:rPr>
        <w:t xml:space="preserve">The </w:t>
      </w:r>
      <w:r w:rsidR="00CF562A" w:rsidRPr="00BF21A7">
        <w:rPr>
          <w:rFonts w:ascii="Arial" w:eastAsia="Times New Roman" w:hAnsi="Arial" w:cs="Arial"/>
          <w:color w:val="auto"/>
          <w:sz w:val="20"/>
          <w:szCs w:val="20"/>
          <w:lang w:eastAsia="en-US"/>
        </w:rPr>
        <w:t>IESC</w:t>
      </w:r>
      <w:r w:rsidRPr="00BF21A7">
        <w:rPr>
          <w:rFonts w:ascii="Arial" w:eastAsia="Times New Roman" w:hAnsi="Arial" w:cs="Arial"/>
          <w:color w:val="auto"/>
          <w:sz w:val="20"/>
          <w:szCs w:val="20"/>
          <w:lang w:eastAsia="en-US"/>
        </w:rPr>
        <w:t xml:space="preserve">’s advice, in response to the </w:t>
      </w:r>
      <w:r w:rsidR="00E57CD8" w:rsidRPr="00BF21A7">
        <w:rPr>
          <w:rFonts w:ascii="Arial" w:eastAsia="Times New Roman" w:hAnsi="Arial" w:cs="Arial"/>
          <w:color w:val="auto"/>
          <w:sz w:val="20"/>
          <w:szCs w:val="20"/>
          <w:lang w:eastAsia="en-US"/>
        </w:rPr>
        <w:t>requesting agency</w:t>
      </w:r>
      <w:r w:rsidRPr="00BF21A7">
        <w:rPr>
          <w:rFonts w:ascii="Arial" w:eastAsia="Times New Roman" w:hAnsi="Arial" w:cs="Arial"/>
          <w:color w:val="auto"/>
          <w:sz w:val="20"/>
          <w:szCs w:val="20"/>
          <w:lang w:eastAsia="en-US"/>
        </w:rPr>
        <w:t>’s</w:t>
      </w:r>
      <w:r w:rsidR="00D441B2" w:rsidRPr="00BF21A7">
        <w:rPr>
          <w:rFonts w:ascii="Arial" w:eastAsia="Times New Roman" w:hAnsi="Arial" w:cs="Arial"/>
          <w:color w:val="auto"/>
          <w:sz w:val="20"/>
          <w:szCs w:val="20"/>
          <w:lang w:eastAsia="en-US"/>
        </w:rPr>
        <w:t xml:space="preserve"> </w:t>
      </w:r>
      <w:r w:rsidRPr="00BF21A7">
        <w:rPr>
          <w:rFonts w:ascii="Arial" w:eastAsia="Times New Roman" w:hAnsi="Arial" w:cs="Arial"/>
          <w:color w:val="auto"/>
          <w:sz w:val="20"/>
          <w:szCs w:val="20"/>
          <w:lang w:eastAsia="en-US"/>
        </w:rPr>
        <w:t xml:space="preserve">specific question is provided below. </w:t>
      </w:r>
    </w:p>
    <w:tbl>
      <w:tblPr>
        <w:tblStyle w:val="TableGrid"/>
        <w:tblW w:w="0" w:type="auto"/>
        <w:tblLook w:val="04A0" w:firstRow="1" w:lastRow="0" w:firstColumn="1" w:lastColumn="0" w:noHBand="0" w:noVBand="1"/>
      </w:tblPr>
      <w:tblGrid>
        <w:gridCol w:w="9346"/>
      </w:tblGrid>
      <w:tr w:rsidR="00C858C6" w:rsidRPr="00C858C6" w14:paraId="3BE6A424" w14:textId="77777777" w:rsidTr="00C858C6">
        <w:trPr>
          <w:cnfStyle w:val="100000000000" w:firstRow="1" w:lastRow="0" w:firstColumn="0" w:lastColumn="0" w:oddVBand="0" w:evenVBand="0" w:oddHBand="0" w:evenHBand="0" w:firstRowFirstColumn="0" w:firstRowLastColumn="0" w:lastRowFirstColumn="0" w:lastRowLastColumn="0"/>
        </w:trPr>
        <w:tc>
          <w:tcPr>
            <w:tcW w:w="9346" w:type="dxa"/>
            <w:shd w:val="clear" w:color="auto" w:fill="D9D9D9" w:themeFill="background1" w:themeFillShade="D9"/>
          </w:tcPr>
          <w:p w14:paraId="139C301C" w14:textId="77777777" w:rsidR="00C858C6" w:rsidRDefault="00C858C6" w:rsidP="00C858C6">
            <w:pPr>
              <w:tabs>
                <w:tab w:val="left" w:pos="7665"/>
              </w:tabs>
              <w:contextualSpacing/>
            </w:pPr>
            <w:r w:rsidRPr="00C858C6">
              <w:t>Question 1: Could the IESC advise on the:</w:t>
            </w:r>
          </w:p>
          <w:p w14:paraId="69EE5439" w14:textId="77777777" w:rsidR="00C858C6" w:rsidRPr="00C858C6" w:rsidRDefault="006C2E8A" w:rsidP="00C858C6">
            <w:pPr>
              <w:pStyle w:val="ListBullet"/>
              <w:contextualSpacing/>
            </w:pPr>
            <w:r>
              <w:t>p</w:t>
            </w:r>
            <w:r w:rsidR="00C858C6" w:rsidRPr="00C858C6">
              <w:t>otential likelihood and significance of any impacts of the proposal on water resources</w:t>
            </w:r>
          </w:p>
          <w:p w14:paraId="7721F56E" w14:textId="77777777" w:rsidR="00C858C6" w:rsidRPr="00C858C6" w:rsidRDefault="00C858C6" w:rsidP="00C858C6">
            <w:pPr>
              <w:pStyle w:val="ListBullet"/>
              <w:contextualSpacing/>
            </w:pPr>
            <w:r w:rsidRPr="00C858C6">
              <w:t>appropriateness of the proposed mitigation measures</w:t>
            </w:r>
          </w:p>
          <w:p w14:paraId="6CD17E49" w14:textId="77777777" w:rsidR="00C858C6" w:rsidRPr="00C858C6" w:rsidRDefault="006C2E8A" w:rsidP="00C858C6">
            <w:pPr>
              <w:pStyle w:val="ListBullet"/>
              <w:contextualSpacing/>
            </w:pPr>
            <w:proofErr w:type="gramStart"/>
            <w:r>
              <w:t>f</w:t>
            </w:r>
            <w:r w:rsidR="00C858C6" w:rsidRPr="00C858C6">
              <w:t>urther</w:t>
            </w:r>
            <w:proofErr w:type="gramEnd"/>
            <w:r w:rsidR="00C858C6" w:rsidRPr="00C858C6">
              <w:t xml:space="preserve"> studies that should be undertaken.</w:t>
            </w:r>
          </w:p>
        </w:tc>
      </w:tr>
    </w:tbl>
    <w:p w14:paraId="1A33C907" w14:textId="77777777" w:rsidR="007203C3" w:rsidRPr="00C858C6" w:rsidRDefault="00C858C6" w:rsidP="00C858C6">
      <w:pPr>
        <w:tabs>
          <w:tab w:val="left" w:pos="7665"/>
        </w:tabs>
      </w:pPr>
      <w:r>
        <w:tab/>
      </w:r>
    </w:p>
    <w:p w14:paraId="4FB3E41D" w14:textId="53DEDF23" w:rsidR="00A9029B" w:rsidRPr="00162509" w:rsidRDefault="00073DD4" w:rsidP="00300C6C">
      <w:pPr>
        <w:pStyle w:val="ListNumber"/>
      </w:pPr>
      <w:r w:rsidRPr="00162509">
        <w:t xml:space="preserve">The IESC notes that the documentation provided with the advice request for this project is associated with a Gateway Application. The focus of the Gateway process is on potential impacts to </w:t>
      </w:r>
      <w:r w:rsidR="00C62CFC" w:rsidRPr="00162509">
        <w:t>B</w:t>
      </w:r>
      <w:r w:rsidRPr="00162509">
        <w:t xml:space="preserve">iophysical </w:t>
      </w:r>
      <w:r w:rsidR="00C62CFC" w:rsidRPr="00162509">
        <w:t>S</w:t>
      </w:r>
      <w:r w:rsidRPr="00162509">
        <w:t xml:space="preserve">trategic </w:t>
      </w:r>
      <w:r w:rsidR="00C62CFC" w:rsidRPr="00162509">
        <w:t>A</w:t>
      </w:r>
      <w:r w:rsidRPr="00162509">
        <w:t xml:space="preserve">gricultural </w:t>
      </w:r>
      <w:r w:rsidR="00C62CFC" w:rsidRPr="00162509">
        <w:t>L</w:t>
      </w:r>
      <w:r w:rsidRPr="00162509">
        <w:t>and</w:t>
      </w:r>
      <w:r w:rsidR="00C62CFC" w:rsidRPr="00162509">
        <w:t xml:space="preserve"> (BSAL)</w:t>
      </w:r>
      <w:r w:rsidR="00A9029B" w:rsidRPr="00162509">
        <w:t xml:space="preserve"> (NSW Government 2013)</w:t>
      </w:r>
      <w:r w:rsidRPr="00162509">
        <w:t>. As the Gateway process occurs at an early stage of the project assessment process</w:t>
      </w:r>
      <w:r w:rsidR="00C62CFC" w:rsidRPr="00162509">
        <w:t>,</w:t>
      </w:r>
      <w:r w:rsidRPr="00162509">
        <w:t xml:space="preserve"> the information provided is limited in detail with many </w:t>
      </w:r>
      <w:r w:rsidRPr="00162509">
        <w:lastRenderedPageBreak/>
        <w:t>impact assessment studies still underway or yet to commence. This means that potential impacts</w:t>
      </w:r>
      <w:r w:rsidR="00C62CFC" w:rsidRPr="00162509">
        <w:t xml:space="preserve"> and</w:t>
      </w:r>
      <w:r w:rsidRPr="00162509">
        <w:t xml:space="preserve"> their likelihood and significance </w:t>
      </w:r>
      <w:r w:rsidR="0013487C" w:rsidRPr="00162509">
        <w:t>are</w:t>
      </w:r>
      <w:r w:rsidRPr="00162509">
        <w:t xml:space="preserve"> </w:t>
      </w:r>
      <w:r w:rsidR="00066732" w:rsidRPr="00162509">
        <w:t xml:space="preserve">not yet </w:t>
      </w:r>
      <w:r w:rsidRPr="00162509">
        <w:t>clear</w:t>
      </w:r>
      <w:r w:rsidR="00F7058B" w:rsidRPr="00290A92">
        <w:t>.</w:t>
      </w:r>
      <w:r w:rsidRPr="00290A92">
        <w:t xml:space="preserve"> </w:t>
      </w:r>
      <w:r w:rsidR="00F7058B" w:rsidRPr="00290A92">
        <w:t>A</w:t>
      </w:r>
      <w:r w:rsidRPr="00290A92">
        <w:t>s a</w:t>
      </w:r>
      <w:r w:rsidRPr="00162509">
        <w:t xml:space="preserve"> result</w:t>
      </w:r>
      <w:r w:rsidR="00C62CFC" w:rsidRPr="00162509">
        <w:t>,</w:t>
      </w:r>
      <w:r w:rsidRPr="00162509">
        <w:t xml:space="preserve"> mitigation and management measures are high-level and conceptual with minimal detail. These factors</w:t>
      </w:r>
      <w:r w:rsidR="00FF1227" w:rsidRPr="00162509">
        <w:t xml:space="preserve"> </w:t>
      </w:r>
      <w:r w:rsidRPr="00162509">
        <w:t xml:space="preserve">hamper the IESC’s use of </w:t>
      </w:r>
      <w:r w:rsidR="00C62CFC" w:rsidRPr="00162509">
        <w:t xml:space="preserve">information in </w:t>
      </w:r>
      <w:r w:rsidRPr="00162509">
        <w:t xml:space="preserve">the documentation to answer the requesting agency’s </w:t>
      </w:r>
      <w:r w:rsidR="00C62CFC" w:rsidRPr="00162509">
        <w:t xml:space="preserve">first two </w:t>
      </w:r>
      <w:r w:rsidR="00A9029B" w:rsidRPr="00162509">
        <w:t>points</w:t>
      </w:r>
      <w:r w:rsidRPr="00162509">
        <w:t>.</w:t>
      </w:r>
      <w:r w:rsidR="006B10D1" w:rsidRPr="00162509">
        <w:t xml:space="preserve"> </w:t>
      </w:r>
      <w:r w:rsidR="00A9029B" w:rsidRPr="00162509">
        <w:t>The following paragraphs describe information and additional studies needed to identify the likelihood and significance of potential impacts with greater certainty, and to guide appropriate mitigation and management strategies</w:t>
      </w:r>
      <w:r w:rsidR="00D93FD1" w:rsidRPr="00162509">
        <w:t>.</w:t>
      </w:r>
    </w:p>
    <w:p w14:paraId="43430CD1" w14:textId="77777777" w:rsidR="00CF5929" w:rsidRPr="00162509" w:rsidRDefault="00ED0DA4" w:rsidP="00D622B9">
      <w:pPr>
        <w:pStyle w:val="ListNumber"/>
      </w:pPr>
      <w:r w:rsidRPr="00162509">
        <w:t>T</w:t>
      </w:r>
      <w:r w:rsidR="00356650" w:rsidRPr="00162509">
        <w:t xml:space="preserve">he IESC </w:t>
      </w:r>
      <w:r w:rsidR="006B10D1" w:rsidRPr="00162509">
        <w:t xml:space="preserve">recognises </w:t>
      </w:r>
      <w:r w:rsidR="00950E1B" w:rsidRPr="00162509">
        <w:t>that the</w:t>
      </w:r>
      <w:r w:rsidR="006B10D1" w:rsidRPr="00162509">
        <w:t xml:space="preserve"> proponent</w:t>
      </w:r>
      <w:r w:rsidR="00356650" w:rsidRPr="00162509">
        <w:t>:</w:t>
      </w:r>
    </w:p>
    <w:p w14:paraId="7E4F976C" w14:textId="3973912D" w:rsidR="006B10D1" w:rsidRPr="00162509" w:rsidRDefault="006B10D1" w:rsidP="006B10D1">
      <w:pPr>
        <w:pStyle w:val="ListNumber2"/>
      </w:pPr>
      <w:r w:rsidRPr="00162509">
        <w:t>has requested a conditional Gateway approval which identifies the issues that they should assess in detail in the EIS being prepared for the p</w:t>
      </w:r>
      <w:r w:rsidR="00132FBB">
        <w:t xml:space="preserve">roject (Umwelt 2019a, p. 7); </w:t>
      </w:r>
    </w:p>
    <w:p w14:paraId="4E7100D8" w14:textId="28CC68CD" w:rsidR="007F1C41" w:rsidRDefault="007F1C41" w:rsidP="00D622B9">
      <w:pPr>
        <w:pStyle w:val="ListNumber2"/>
      </w:pPr>
      <w:r w:rsidRPr="00162509">
        <w:t xml:space="preserve">will consider the IESC Information Guidelines and </w:t>
      </w:r>
      <w:r w:rsidR="008D5384" w:rsidRPr="00162509">
        <w:t>E</w:t>
      </w:r>
      <w:r w:rsidRPr="00162509">
        <w:t xml:space="preserve">xplanatory </w:t>
      </w:r>
      <w:r w:rsidR="008D5384" w:rsidRPr="00162509">
        <w:t>N</w:t>
      </w:r>
      <w:r w:rsidR="00132FBB">
        <w:t>otes when preparing their EIS; and</w:t>
      </w:r>
      <w:r w:rsidRPr="00162509">
        <w:t xml:space="preserve"> </w:t>
      </w:r>
    </w:p>
    <w:p w14:paraId="1B1E7458" w14:textId="1506BD72" w:rsidR="00162509" w:rsidRPr="00290A92" w:rsidRDefault="00162509" w:rsidP="00D622B9">
      <w:pPr>
        <w:pStyle w:val="ListNumber2"/>
      </w:pPr>
      <w:proofErr w:type="gramStart"/>
      <w:r w:rsidRPr="00290A92">
        <w:t>has</w:t>
      </w:r>
      <w:proofErr w:type="gramEnd"/>
      <w:r w:rsidRPr="00290A92">
        <w:t xml:space="preserve"> committed to undertaking further studies to address knowledge gaps for the project EIS. </w:t>
      </w:r>
    </w:p>
    <w:p w14:paraId="603A4CFD" w14:textId="77777777" w:rsidR="00C858C6" w:rsidRPr="00162509" w:rsidRDefault="00C858C6" w:rsidP="00C858C6">
      <w:pPr>
        <w:pStyle w:val="ListNumber"/>
        <w:numPr>
          <w:ilvl w:val="0"/>
          <w:numId w:val="0"/>
        </w:numPr>
        <w:ind w:left="369" w:hanging="369"/>
        <w:rPr>
          <w:u w:val="single"/>
        </w:rPr>
      </w:pPr>
      <w:r w:rsidRPr="00162509">
        <w:rPr>
          <w:u w:val="single"/>
        </w:rPr>
        <w:t>Groundwater</w:t>
      </w:r>
    </w:p>
    <w:p w14:paraId="37A85CAE" w14:textId="68E6CFDD" w:rsidR="00AE393A" w:rsidRPr="00162509" w:rsidRDefault="005626C3" w:rsidP="00AE393A">
      <w:pPr>
        <w:pStyle w:val="ListNumber"/>
      </w:pPr>
      <w:r w:rsidRPr="00162509">
        <w:t xml:space="preserve">The </w:t>
      </w:r>
      <w:r w:rsidR="00AE393A" w:rsidRPr="00162509">
        <w:t>IESC notes</w:t>
      </w:r>
      <w:r w:rsidRPr="00162509">
        <w:t xml:space="preserve"> that the nature and extent of potential impacts to hard rock aquifers from this project will be limited. This is because extensive depressurisation of this aquifer has already occurred in the project area from adjacent approved coal mines. </w:t>
      </w:r>
      <w:r w:rsidR="00843830" w:rsidRPr="00162509">
        <w:t>However, p</w:t>
      </w:r>
      <w:r w:rsidRPr="00162509">
        <w:t xml:space="preserve">otential impacts to the alluvial aquifers </w:t>
      </w:r>
      <w:r w:rsidR="00843830" w:rsidRPr="00162509">
        <w:t xml:space="preserve">are likely and </w:t>
      </w:r>
      <w:r w:rsidRPr="00162509">
        <w:t>require further investigation. The proponent states they are investigati</w:t>
      </w:r>
      <w:r w:rsidR="00843830" w:rsidRPr="00162509">
        <w:t>ng</w:t>
      </w:r>
      <w:r w:rsidRPr="00162509">
        <w:t xml:space="preserve"> the thickness and extent of the alluvial aquifers to ensure these aquifers are appropriately represented i</w:t>
      </w:r>
      <w:r w:rsidR="00C16673" w:rsidRPr="00162509">
        <w:t xml:space="preserve">n the </w:t>
      </w:r>
      <w:r w:rsidR="00C16673" w:rsidRPr="00667FC9">
        <w:t xml:space="preserve">groundwater </w:t>
      </w:r>
      <w:r w:rsidR="00C16673" w:rsidRPr="00290A92">
        <w:t>modelling</w:t>
      </w:r>
      <w:r w:rsidR="00F7058B" w:rsidRPr="00290A92">
        <w:t xml:space="preserve"> to</w:t>
      </w:r>
      <w:r w:rsidR="00F7058B" w:rsidRPr="00667FC9">
        <w:t xml:space="preserve"> </w:t>
      </w:r>
      <w:r w:rsidR="005A3023" w:rsidRPr="00667FC9">
        <w:t xml:space="preserve">assess </w:t>
      </w:r>
      <w:r w:rsidR="00C16673" w:rsidRPr="00667FC9">
        <w:t>the likelihood and significance of potential impacts</w:t>
      </w:r>
      <w:r w:rsidR="006527E8" w:rsidRPr="00290A92">
        <w:t xml:space="preserve">. This </w:t>
      </w:r>
      <w:r w:rsidR="00290A92">
        <w:t xml:space="preserve">investigation </w:t>
      </w:r>
      <w:r w:rsidR="00C16673" w:rsidRPr="00CB7D49">
        <w:t xml:space="preserve">should incorporate all alluvial aquifers that </w:t>
      </w:r>
      <w:r w:rsidR="00843830" w:rsidRPr="00CB7D49">
        <w:t xml:space="preserve">may be impacted by </w:t>
      </w:r>
      <w:r w:rsidR="00C16673" w:rsidRPr="00CB7D49">
        <w:t>the project</w:t>
      </w:r>
      <w:r w:rsidR="00922299" w:rsidRPr="00CB7D49">
        <w:t>, including alluvial aquifers beyond the project area</w:t>
      </w:r>
      <w:r w:rsidR="00C16673" w:rsidRPr="00CB7D49">
        <w:t>.</w:t>
      </w:r>
    </w:p>
    <w:p w14:paraId="50F83FB9" w14:textId="08D85109" w:rsidR="007F1C41" w:rsidRPr="00162509" w:rsidRDefault="00F072A7" w:rsidP="00546C16">
      <w:pPr>
        <w:pStyle w:val="ListNumber"/>
      </w:pPr>
      <w:r w:rsidRPr="00162509">
        <w:t>As identified in Paragraph 3</w:t>
      </w:r>
      <w:r w:rsidR="009216AC">
        <w:t>,</w:t>
      </w:r>
      <w:r w:rsidRPr="00162509">
        <w:t xml:space="preserve"> t</w:t>
      </w:r>
      <w:r w:rsidR="00C16673" w:rsidRPr="00162509">
        <w:t xml:space="preserve">here is </w:t>
      </w:r>
      <w:r w:rsidR="00645D83" w:rsidRPr="00162509">
        <w:t>a</w:t>
      </w:r>
      <w:r w:rsidR="00C16673" w:rsidRPr="00162509">
        <w:t xml:space="preserve"> need for an improved understanding of the alluvial aquifers near the project area. Further discussion and analysis </w:t>
      </w:r>
      <w:r w:rsidR="00F7058B" w:rsidRPr="00290A92">
        <w:t>are</w:t>
      </w:r>
      <w:r w:rsidR="00C16673" w:rsidRPr="00162509">
        <w:t xml:space="preserve"> required in the EIS </w:t>
      </w:r>
      <w:r w:rsidR="00717DD2" w:rsidRPr="00162509">
        <w:t>about</w:t>
      </w:r>
      <w:r w:rsidR="00C16673" w:rsidRPr="00162509">
        <w:t xml:space="preserve"> the issues outlined below.</w:t>
      </w:r>
    </w:p>
    <w:p w14:paraId="5EB1851B" w14:textId="77777777" w:rsidR="00546C16" w:rsidRPr="00162509" w:rsidRDefault="00066732" w:rsidP="007F1C41">
      <w:pPr>
        <w:pStyle w:val="ListNumber2"/>
      </w:pPr>
      <w:r w:rsidRPr="00162509">
        <w:t>It is not clear w</w:t>
      </w:r>
      <w:r w:rsidR="00CA1508" w:rsidRPr="00162509">
        <w:t>hether a direct hydraulic connection</w:t>
      </w:r>
      <w:r w:rsidR="00D15FBF" w:rsidRPr="00162509">
        <w:t>,</w:t>
      </w:r>
      <w:r w:rsidR="00CA1508" w:rsidRPr="00162509">
        <w:t xml:space="preserve"> and hence a</w:t>
      </w:r>
      <w:r w:rsidRPr="00162509">
        <w:t xml:space="preserve"> potential</w:t>
      </w:r>
      <w:r w:rsidR="00CA1508" w:rsidRPr="00162509">
        <w:t xml:space="preserve"> impact pathway exists</w:t>
      </w:r>
      <w:r w:rsidR="00D15FBF" w:rsidRPr="00162509">
        <w:t>,</w:t>
      </w:r>
      <w:r w:rsidR="00CA1508" w:rsidRPr="00162509">
        <w:t xml:space="preserve"> between the hard rock aquifer and the alluvi</w:t>
      </w:r>
      <w:r w:rsidR="00C500E2" w:rsidRPr="00162509">
        <w:t>um</w:t>
      </w:r>
      <w:r w:rsidR="00CA1508" w:rsidRPr="00162509">
        <w:t xml:space="preserve">. </w:t>
      </w:r>
      <w:r w:rsidR="00C16673" w:rsidRPr="00162509">
        <w:t xml:space="preserve">The proponent has stated </w:t>
      </w:r>
      <w:r w:rsidR="00CA1508" w:rsidRPr="00162509">
        <w:t>that the</w:t>
      </w:r>
      <w:r w:rsidR="00546C16" w:rsidRPr="00162509">
        <w:t xml:space="preserve"> co</w:t>
      </w:r>
      <w:r w:rsidR="00247C0F" w:rsidRPr="00162509">
        <w:t>al seam/hard rock aquifers do not</w:t>
      </w:r>
      <w:r w:rsidR="00546C16" w:rsidRPr="00162509">
        <w:t xml:space="preserve"> sub</w:t>
      </w:r>
      <w:r w:rsidR="00247C0F" w:rsidRPr="00162509">
        <w:t>-</w:t>
      </w:r>
      <w:r w:rsidR="00546C16" w:rsidRPr="00162509">
        <w:t>crop</w:t>
      </w:r>
      <w:r w:rsidR="00247C0F" w:rsidRPr="00162509">
        <w:t xml:space="preserve"> beneath the alluvium of Bowmans Creek</w:t>
      </w:r>
      <w:r w:rsidR="00645D83" w:rsidRPr="00162509">
        <w:t xml:space="preserve"> (Umwelt 2019</w:t>
      </w:r>
      <w:r w:rsidR="00BA4F2D" w:rsidRPr="00162509">
        <w:t>a</w:t>
      </w:r>
      <w:r w:rsidR="00645D83" w:rsidRPr="00162509">
        <w:t>, p. 46)</w:t>
      </w:r>
      <w:r w:rsidR="00247C0F" w:rsidRPr="00162509">
        <w:t xml:space="preserve">. The IESC notes that this could reduce the likelihood of potential drawdown in </w:t>
      </w:r>
      <w:r w:rsidR="00CA1508" w:rsidRPr="00162509">
        <w:t xml:space="preserve">the </w:t>
      </w:r>
      <w:r w:rsidR="00247C0F" w:rsidRPr="00162509">
        <w:t>alluvial aquifer</w:t>
      </w:r>
      <w:r w:rsidRPr="00162509">
        <w:t>;</w:t>
      </w:r>
      <w:r w:rsidR="00CA1508" w:rsidRPr="00162509">
        <w:t xml:space="preserve"> h</w:t>
      </w:r>
      <w:r w:rsidR="00247C0F" w:rsidRPr="00162509">
        <w:t>owever, the proponent has not provided evidence to support this geological conceptualisation.</w:t>
      </w:r>
    </w:p>
    <w:p w14:paraId="5B4C4209" w14:textId="2617E052" w:rsidR="00546C16" w:rsidRPr="00CB7D49" w:rsidRDefault="00546C16" w:rsidP="007F1C41">
      <w:pPr>
        <w:pStyle w:val="ListNumber3"/>
      </w:pPr>
      <w:r w:rsidRPr="00162509">
        <w:t>Further investigation</w:t>
      </w:r>
      <w:r w:rsidR="00247C0F" w:rsidRPr="00162509">
        <w:t xml:space="preserve">s including field studies and modelling should be undertaken and </w:t>
      </w:r>
      <w:r w:rsidR="00066732" w:rsidRPr="00162509">
        <w:t xml:space="preserve">described </w:t>
      </w:r>
      <w:r w:rsidR="00247C0F" w:rsidRPr="00162509">
        <w:t>in the EIS to support conclusions on potential impact</w:t>
      </w:r>
      <w:r w:rsidR="00066732" w:rsidRPr="00162509">
        <w:t>s</w:t>
      </w:r>
      <w:r w:rsidR="00247C0F" w:rsidRPr="00162509">
        <w:t xml:space="preserve"> to the alluvium</w:t>
      </w:r>
      <w:r w:rsidR="00066732" w:rsidRPr="00162509">
        <w:t>,</w:t>
      </w:r>
      <w:r w:rsidR="00247C0F" w:rsidRPr="00162509">
        <w:t xml:space="preserve"> particularly </w:t>
      </w:r>
      <w:r w:rsidR="00CA1508" w:rsidRPr="00162509">
        <w:t>in Bowmans Creek</w:t>
      </w:r>
      <w:r w:rsidR="0040786D" w:rsidRPr="00162509">
        <w:t xml:space="preserve"> </w:t>
      </w:r>
      <w:r w:rsidR="0040786D" w:rsidRPr="00290A92">
        <w:t>because</w:t>
      </w:r>
      <w:r w:rsidR="00247C0F" w:rsidRPr="00667FC9">
        <w:t xml:space="preserve"> this aquifer has been identified as a highly productive aquifer under the New South Wales </w:t>
      </w:r>
      <w:r w:rsidR="00247C0F" w:rsidRPr="00CB7D49">
        <w:rPr>
          <w:i/>
        </w:rPr>
        <w:t>Aquifer Interference Policy</w:t>
      </w:r>
      <w:r w:rsidR="00247C0F" w:rsidRPr="00CB7D49">
        <w:t>.</w:t>
      </w:r>
    </w:p>
    <w:p w14:paraId="178E3C52" w14:textId="77777777" w:rsidR="00CA1508" w:rsidRPr="00CB7D49" w:rsidRDefault="00CA1508" w:rsidP="007F1C41">
      <w:pPr>
        <w:pStyle w:val="ListNumber3"/>
      </w:pPr>
      <w:r w:rsidRPr="00CB7D49">
        <w:t>Data obtained from the recently installed alluvial monitoring bores which have been paired with hard rock monitoring bores (Umwelt 2019a, p. 46) should be provided in the EIS. Th</w:t>
      </w:r>
      <w:r w:rsidR="00066732" w:rsidRPr="00CB7D49">
        <w:t>ese</w:t>
      </w:r>
      <w:r w:rsidRPr="00CB7D49">
        <w:t xml:space="preserve"> data will increase the understanding of inter-aquifer connectivity at the site and may support the </w:t>
      </w:r>
      <w:r w:rsidR="00BA24FF" w:rsidRPr="00CB7D49">
        <w:t xml:space="preserve">current </w:t>
      </w:r>
      <w:r w:rsidRPr="00CB7D49">
        <w:t>geological conceptualisation.</w:t>
      </w:r>
    </w:p>
    <w:p w14:paraId="46ACE297" w14:textId="77777777" w:rsidR="00247C0F" w:rsidRPr="00162509" w:rsidRDefault="00247C0F" w:rsidP="00301CB9">
      <w:pPr>
        <w:pStyle w:val="ListNumber2"/>
      </w:pPr>
      <w:r w:rsidRPr="00162509">
        <w:t xml:space="preserve">Additional investigations including conceptualisation and modelling of the alluvial aquifers associated with </w:t>
      </w:r>
      <w:proofErr w:type="spellStart"/>
      <w:r w:rsidRPr="00162509">
        <w:t>Yorks</w:t>
      </w:r>
      <w:proofErr w:type="spellEnd"/>
      <w:r w:rsidR="00FA4554" w:rsidRPr="00162509">
        <w:t>,</w:t>
      </w:r>
      <w:r w:rsidRPr="00162509">
        <w:t xml:space="preserve"> Swamp</w:t>
      </w:r>
      <w:r w:rsidR="00FA4554" w:rsidRPr="00162509">
        <w:t xml:space="preserve"> and Bettys Creek</w:t>
      </w:r>
      <w:r w:rsidR="00645D83" w:rsidRPr="00162509">
        <w:t>s</w:t>
      </w:r>
      <w:r w:rsidRPr="00162509">
        <w:t xml:space="preserve"> are required. These investigations will improve the understanding of the </w:t>
      </w:r>
      <w:proofErr w:type="spellStart"/>
      <w:r w:rsidRPr="00162509">
        <w:t>ecohydrology</w:t>
      </w:r>
      <w:proofErr w:type="spellEnd"/>
      <w:r w:rsidRPr="00162509">
        <w:t xml:space="preserve"> of these systems which is needed to determine the nature, extent and likelihood of potential impacts</w:t>
      </w:r>
      <w:r w:rsidR="00066732" w:rsidRPr="00162509">
        <w:t xml:space="preserve"> (discussed further in </w:t>
      </w:r>
      <w:r w:rsidR="00066732" w:rsidRPr="009F243B">
        <w:t>P</w:t>
      </w:r>
      <w:r w:rsidR="00301CB9" w:rsidRPr="009F243B">
        <w:t xml:space="preserve">aragraphs </w:t>
      </w:r>
      <w:r w:rsidR="001A3D4E" w:rsidRPr="009F243B">
        <w:t>14d, 14e, 22 and 23)</w:t>
      </w:r>
      <w:r w:rsidRPr="009F243B">
        <w:t>.</w:t>
      </w:r>
      <w:r w:rsidRPr="00162509">
        <w:t xml:space="preserve">  </w:t>
      </w:r>
    </w:p>
    <w:p w14:paraId="717D9BA9" w14:textId="77777777" w:rsidR="00066732" w:rsidRPr="00162509" w:rsidRDefault="00066732" w:rsidP="00066732">
      <w:pPr>
        <w:pStyle w:val="ListNumber"/>
      </w:pPr>
      <w:r w:rsidRPr="00162509">
        <w:lastRenderedPageBreak/>
        <w:t xml:space="preserve">It is noted that the groundwater model will be updated (Umwelt 2019a, p. 47). The IESC suggests the following be incorporated: </w:t>
      </w:r>
    </w:p>
    <w:p w14:paraId="7AC9964E" w14:textId="503C1321" w:rsidR="00066732" w:rsidRPr="00162509" w:rsidRDefault="00066732" w:rsidP="00066732">
      <w:pPr>
        <w:pStyle w:val="ListNumber2"/>
      </w:pPr>
      <w:r w:rsidRPr="00162509">
        <w:t>a sensitivity and uncertainty analysis with consideration given to the IESC Explanatory Note</w:t>
      </w:r>
      <w:r w:rsidR="00667FC9">
        <w:t>:</w:t>
      </w:r>
      <w:r w:rsidRPr="00162509">
        <w:t xml:space="preserve"> Uncertainty analysis – Guidance for groundwater modelling within a risk framework</w:t>
      </w:r>
      <w:r w:rsidRPr="00162509">
        <w:rPr>
          <w:i/>
        </w:rPr>
        <w:t xml:space="preserve"> </w:t>
      </w:r>
      <w:r w:rsidRPr="00162509">
        <w:t>(</w:t>
      </w:r>
      <w:proofErr w:type="spellStart"/>
      <w:r w:rsidRPr="00162509">
        <w:t>Middlemis</w:t>
      </w:r>
      <w:proofErr w:type="spellEnd"/>
      <w:r w:rsidRPr="00162509">
        <w:t xml:space="preserve"> and </w:t>
      </w:r>
      <w:proofErr w:type="spellStart"/>
      <w:r w:rsidRPr="00162509">
        <w:t>Peeters</w:t>
      </w:r>
      <w:proofErr w:type="spellEnd"/>
      <w:r w:rsidRPr="00162509">
        <w:t xml:space="preserve"> 2018); and</w:t>
      </w:r>
    </w:p>
    <w:p w14:paraId="22982E8A" w14:textId="5CEC12AB" w:rsidR="00066732" w:rsidRPr="00162509" w:rsidRDefault="00066732" w:rsidP="00066732">
      <w:pPr>
        <w:pStyle w:val="ListNumber2"/>
      </w:pPr>
      <w:proofErr w:type="gramStart"/>
      <w:r w:rsidRPr="00162509">
        <w:t>a</w:t>
      </w:r>
      <w:proofErr w:type="gramEnd"/>
      <w:r w:rsidRPr="00162509">
        <w:t xml:space="preserve"> coupled surface water-groundwater model be developed at a spatial and temporal scale sufficient to quantify the interaction between surface water and groundwater</w:t>
      </w:r>
      <w:r w:rsidR="00CD615C" w:rsidRPr="00162509">
        <w:t xml:space="preserve"> </w:t>
      </w:r>
      <w:r w:rsidRPr="00162509">
        <w:t>(</w:t>
      </w:r>
      <w:proofErr w:type="spellStart"/>
      <w:r w:rsidRPr="00162509">
        <w:t>Rassam</w:t>
      </w:r>
      <w:proofErr w:type="spellEnd"/>
      <w:r w:rsidRPr="00162509">
        <w:t xml:space="preserve"> et al. 2008, 2011).</w:t>
      </w:r>
    </w:p>
    <w:p w14:paraId="433E35E1" w14:textId="77777777" w:rsidR="002461C2" w:rsidRPr="00162509" w:rsidRDefault="00C45CAA" w:rsidP="007F1C41">
      <w:pPr>
        <w:pStyle w:val="ListNumber"/>
      </w:pPr>
      <w:r w:rsidRPr="00162509">
        <w:t xml:space="preserve">In the provided documentation, </w:t>
      </w:r>
      <w:r w:rsidR="00FA4554" w:rsidRPr="00162509">
        <w:t xml:space="preserve">discussion of potential impacts to groundwater quality </w:t>
      </w:r>
      <w:r w:rsidR="00FA10C0" w:rsidRPr="00162509">
        <w:t xml:space="preserve">is </w:t>
      </w:r>
      <w:r w:rsidR="00FA4554" w:rsidRPr="00162509">
        <w:t xml:space="preserve">limited. The IESC notes that </w:t>
      </w:r>
      <w:r w:rsidR="004B4E1F" w:rsidRPr="00162509">
        <w:t>in the EPBC Act Referral (2019, p. 26) for the project</w:t>
      </w:r>
      <w:r w:rsidR="00717DD2" w:rsidRPr="00162509">
        <w:t>,</w:t>
      </w:r>
      <w:r w:rsidR="004B4E1F" w:rsidRPr="00162509">
        <w:t xml:space="preserve"> </w:t>
      </w:r>
      <w:r w:rsidR="00FA4554" w:rsidRPr="00162509">
        <w:t xml:space="preserve">the proponent has committed to providing a more comprehensive analysis within the EIS that will consider the results of a geochemical analysis. </w:t>
      </w:r>
      <w:r w:rsidR="00222970" w:rsidRPr="00162509">
        <w:t xml:space="preserve">The results of this analysis are needed to inform the development of mitigation, monitoring and management strategies. The </w:t>
      </w:r>
      <w:r w:rsidR="002461C2" w:rsidRPr="00162509">
        <w:t>analysis should consider:</w:t>
      </w:r>
    </w:p>
    <w:p w14:paraId="44A5D919" w14:textId="77777777" w:rsidR="002461C2" w:rsidRPr="00162509" w:rsidRDefault="00BA24FF" w:rsidP="002461C2">
      <w:pPr>
        <w:pStyle w:val="ListNumber2"/>
      </w:pPr>
      <w:r w:rsidRPr="00162509">
        <w:t>i</w:t>
      </w:r>
      <w:r w:rsidR="002461C2" w:rsidRPr="00162509">
        <w:t>ncluding existing monitoring data to support any conclusions on the likelihood of potential impacts;</w:t>
      </w:r>
    </w:p>
    <w:p w14:paraId="29865E30" w14:textId="77777777" w:rsidR="002461C2" w:rsidRPr="00162509" w:rsidRDefault="00BA24FF" w:rsidP="002461C2">
      <w:pPr>
        <w:pStyle w:val="ListNumber2"/>
      </w:pPr>
      <w:proofErr w:type="gramStart"/>
      <w:r w:rsidRPr="00162509">
        <w:t>a</w:t>
      </w:r>
      <w:r w:rsidR="002461C2" w:rsidRPr="00162509">
        <w:t>ll</w:t>
      </w:r>
      <w:proofErr w:type="gramEnd"/>
      <w:r w:rsidR="002461C2" w:rsidRPr="00162509">
        <w:t xml:space="preserve"> potential pathways for impacts to groundwater quality. This should include uncontrolled releases from water storages, seepage from void</w:t>
      </w:r>
      <w:r w:rsidRPr="00162509">
        <w:t>s</w:t>
      </w:r>
      <w:r w:rsidR="002461C2" w:rsidRPr="00162509">
        <w:t xml:space="preserve"> and dams</w:t>
      </w:r>
      <w:r w:rsidRPr="00162509">
        <w:t>,</w:t>
      </w:r>
      <w:r w:rsidR="002461C2" w:rsidRPr="00162509">
        <w:t xml:space="preserve"> and infiltration of water from waste rock stockpiles into the groundwater system; and</w:t>
      </w:r>
    </w:p>
    <w:p w14:paraId="22D82391" w14:textId="77777777" w:rsidR="002461C2" w:rsidRPr="00162509" w:rsidRDefault="00BA24FF" w:rsidP="002461C2">
      <w:pPr>
        <w:pStyle w:val="ListNumber2"/>
      </w:pPr>
      <w:proofErr w:type="gramStart"/>
      <w:r w:rsidRPr="00162509">
        <w:t>t</w:t>
      </w:r>
      <w:r w:rsidR="00222970" w:rsidRPr="00162509">
        <w:t>he</w:t>
      </w:r>
      <w:proofErr w:type="gramEnd"/>
      <w:r w:rsidR="00222970" w:rsidRPr="00162509">
        <w:t xml:space="preserve"> suite of </w:t>
      </w:r>
      <w:proofErr w:type="spellStart"/>
      <w:r w:rsidR="00222970" w:rsidRPr="00162509">
        <w:t>analytes</w:t>
      </w:r>
      <w:proofErr w:type="spellEnd"/>
      <w:r w:rsidR="00222970" w:rsidRPr="00162509">
        <w:t xml:space="preserve"> to be monitored in the future</w:t>
      </w:r>
      <w:r w:rsidR="00202709" w:rsidRPr="00162509">
        <w:t>,</w:t>
      </w:r>
      <w:r w:rsidR="00222970" w:rsidRPr="00162509">
        <w:t xml:space="preserve"> with justification for</w:t>
      </w:r>
      <w:r w:rsidR="00202709" w:rsidRPr="00162509">
        <w:t xml:space="preserve"> each </w:t>
      </w:r>
      <w:proofErr w:type="spellStart"/>
      <w:r w:rsidR="00202709" w:rsidRPr="00162509">
        <w:t>analyte</w:t>
      </w:r>
      <w:proofErr w:type="spellEnd"/>
      <w:r w:rsidR="00202709" w:rsidRPr="00162509">
        <w:t xml:space="preserve"> in</w:t>
      </w:r>
      <w:r w:rsidRPr="00162509">
        <w:t xml:space="preserve"> the current suite and</w:t>
      </w:r>
      <w:r w:rsidR="00222970" w:rsidRPr="00162509">
        <w:t xml:space="preserve"> any proposed changes. </w:t>
      </w:r>
    </w:p>
    <w:p w14:paraId="58D93A21" w14:textId="77777777" w:rsidR="00EE187E" w:rsidRPr="00162509" w:rsidRDefault="00EE187E" w:rsidP="007F1C41">
      <w:pPr>
        <w:pStyle w:val="ListNumber"/>
      </w:pPr>
      <w:r>
        <w:t>Further discussion and analysis of potential changes to</w:t>
      </w:r>
      <w:r w:rsidR="004831CA">
        <w:t>, and implications of,</w:t>
      </w:r>
      <w:r>
        <w:t xml:space="preserve"> </w:t>
      </w:r>
      <w:r w:rsidR="00FA4554">
        <w:t>hydraulic conductivity</w:t>
      </w:r>
      <w:r w:rsidR="000A2EBE">
        <w:t xml:space="preserve"> and connectivity between </w:t>
      </w:r>
      <w:r>
        <w:t>aquifers</w:t>
      </w:r>
      <w:r w:rsidR="000A2EBE">
        <w:t xml:space="preserve"> is required in the EIS. The proponent has noted that </w:t>
      </w:r>
      <w:r>
        <w:t xml:space="preserve">backfilling </w:t>
      </w:r>
      <w:r w:rsidR="000A2EBE">
        <w:t xml:space="preserve">will </w:t>
      </w:r>
      <w:r w:rsidR="000A2EBE" w:rsidRPr="00162509">
        <w:t>potential</w:t>
      </w:r>
      <w:r w:rsidR="00583E47" w:rsidRPr="00162509">
        <w:t>ly</w:t>
      </w:r>
      <w:r w:rsidR="000A2EBE" w:rsidRPr="00162509">
        <w:t xml:space="preserve"> change aquifer characteristics</w:t>
      </w:r>
      <w:r w:rsidR="00583E47" w:rsidRPr="00162509">
        <w:t xml:space="preserve"> (Umwelt 2019</w:t>
      </w:r>
      <w:r w:rsidR="00BA4F2D" w:rsidRPr="00162509">
        <w:t>a</w:t>
      </w:r>
      <w:r w:rsidR="00583E47" w:rsidRPr="00162509">
        <w:t>, p. 52)</w:t>
      </w:r>
      <w:r w:rsidR="000A2EBE" w:rsidRPr="00162509">
        <w:t>. The updated groundwater model should include these changes where appropriate.</w:t>
      </w:r>
      <w:r w:rsidR="004831CA" w:rsidRPr="00162509">
        <w:t xml:space="preserve"> The changes should also be captured as potential impact-effect pathways in the </w:t>
      </w:r>
      <w:proofErr w:type="spellStart"/>
      <w:r w:rsidR="004831CA" w:rsidRPr="00162509">
        <w:t>ecohydrological</w:t>
      </w:r>
      <w:proofErr w:type="spellEnd"/>
      <w:r w:rsidR="004831CA" w:rsidRPr="00162509">
        <w:t xml:space="preserve"> model.</w:t>
      </w:r>
    </w:p>
    <w:p w14:paraId="2097F6A1" w14:textId="77777777" w:rsidR="000A2EBE" w:rsidRPr="00162509" w:rsidRDefault="000A2EBE" w:rsidP="008A352B">
      <w:pPr>
        <w:pStyle w:val="ListNumber"/>
      </w:pPr>
      <w:r w:rsidRPr="00162509">
        <w:t xml:space="preserve">Analysis of the temporal variability in electrical conductivity (EC) data for the </w:t>
      </w:r>
      <w:r w:rsidR="00172EF8" w:rsidRPr="00162509">
        <w:t xml:space="preserve">alluvial sediments of </w:t>
      </w:r>
      <w:r w:rsidRPr="00162509">
        <w:t xml:space="preserve">Bowmans, </w:t>
      </w:r>
      <w:proofErr w:type="spellStart"/>
      <w:r w:rsidRPr="00162509">
        <w:t>Yorks</w:t>
      </w:r>
      <w:proofErr w:type="spellEnd"/>
      <w:r w:rsidRPr="00162509">
        <w:t xml:space="preserve"> and Swamp Creek</w:t>
      </w:r>
      <w:r w:rsidR="00583E47" w:rsidRPr="00162509">
        <w:t>s</w:t>
      </w:r>
      <w:r w:rsidRPr="00162509">
        <w:t xml:space="preserve"> is needed. An understanding of this temporal variability would </w:t>
      </w:r>
      <w:r w:rsidR="00172EF8" w:rsidRPr="00162509">
        <w:t xml:space="preserve">inform </w:t>
      </w:r>
      <w:r w:rsidRPr="00162509">
        <w:t>the conceptualisation of surface water-groundwater connectivity</w:t>
      </w:r>
      <w:r w:rsidR="00E27553" w:rsidRPr="00162509">
        <w:t>.</w:t>
      </w:r>
    </w:p>
    <w:p w14:paraId="00DD54E3" w14:textId="77777777" w:rsidR="007F1C41" w:rsidRPr="00162509" w:rsidRDefault="00E27553" w:rsidP="007F1C41">
      <w:pPr>
        <w:pStyle w:val="ListNumber"/>
      </w:pPr>
      <w:r w:rsidRPr="00162509">
        <w:t>The p</w:t>
      </w:r>
      <w:r w:rsidR="007F1C41" w:rsidRPr="00162509">
        <w:t xml:space="preserve">roponent </w:t>
      </w:r>
      <w:r w:rsidRPr="00162509">
        <w:t>has stated</w:t>
      </w:r>
      <w:r w:rsidR="007F1C41" w:rsidRPr="00162509">
        <w:t xml:space="preserve"> they have extensive </w:t>
      </w:r>
      <w:r w:rsidRPr="00162509">
        <w:t xml:space="preserve">groundwater monitoring data acquired over </w:t>
      </w:r>
      <w:r w:rsidR="00583E47" w:rsidRPr="00162509">
        <w:t xml:space="preserve">approximately </w:t>
      </w:r>
      <w:r w:rsidRPr="00162509">
        <w:t>13 years at the Mount Owen Complex</w:t>
      </w:r>
      <w:r w:rsidR="00583E47" w:rsidRPr="00162509">
        <w:t xml:space="preserve"> (Umwelt 2019</w:t>
      </w:r>
      <w:r w:rsidR="00BA4F2D" w:rsidRPr="00162509">
        <w:t>a</w:t>
      </w:r>
      <w:r w:rsidR="00583E47" w:rsidRPr="00162509">
        <w:t>, p. 50)</w:t>
      </w:r>
      <w:r w:rsidRPr="00162509">
        <w:t>. The IESC suggests</w:t>
      </w:r>
      <w:r w:rsidR="004F2265" w:rsidRPr="00162509">
        <w:t xml:space="preserve"> these data</w:t>
      </w:r>
      <w:r w:rsidRPr="00162509">
        <w:t>:</w:t>
      </w:r>
    </w:p>
    <w:p w14:paraId="460E2623" w14:textId="1EDACB48" w:rsidR="007F1C41" w:rsidRPr="00CB7D49" w:rsidRDefault="00E27553" w:rsidP="007F1C41">
      <w:pPr>
        <w:pStyle w:val="ListNumber2"/>
      </w:pPr>
      <w:proofErr w:type="gramStart"/>
      <w:r w:rsidRPr="00667FC9">
        <w:t>be</w:t>
      </w:r>
      <w:proofErr w:type="gramEnd"/>
      <w:r w:rsidRPr="00667FC9">
        <w:t xml:space="preserve"> provided</w:t>
      </w:r>
      <w:r w:rsidR="007F1C41" w:rsidRPr="00670D91">
        <w:t xml:space="preserve"> in full</w:t>
      </w:r>
      <w:r w:rsidR="00222970" w:rsidRPr="00CB7D49">
        <w:t xml:space="preserve"> in a graphical time-series format with statistical analysis and spatial representation of changes</w:t>
      </w:r>
      <w:r w:rsidR="00CD615C" w:rsidRPr="00CB7D49">
        <w:t xml:space="preserve"> </w:t>
      </w:r>
      <w:r w:rsidR="00CD615C" w:rsidRPr="00290A92">
        <w:t>(as an appendix or electronically)</w:t>
      </w:r>
      <w:r w:rsidR="00D10635" w:rsidRPr="00667FC9">
        <w:t>,</w:t>
      </w:r>
      <w:r w:rsidR="007F1C41" w:rsidRPr="00670D91">
        <w:t xml:space="preserve"> and summarise</w:t>
      </w:r>
      <w:r w:rsidR="00583E47" w:rsidRPr="00CB7D49">
        <w:t>d</w:t>
      </w:r>
      <w:r w:rsidRPr="00CB7D49">
        <w:t xml:space="preserve"> within the EIS report</w:t>
      </w:r>
      <w:r w:rsidR="007F1C41" w:rsidRPr="00CB7D49">
        <w:t xml:space="preserve"> to support</w:t>
      </w:r>
      <w:r w:rsidRPr="00CB7D49">
        <w:t xml:space="preserve"> the</w:t>
      </w:r>
      <w:r w:rsidR="007F1C41" w:rsidRPr="00CB7D49">
        <w:t xml:space="preserve"> discussion of baseline conditions</w:t>
      </w:r>
      <w:r w:rsidRPr="00CB7D49">
        <w:t xml:space="preserve">. </w:t>
      </w:r>
      <w:r w:rsidR="00172EF8" w:rsidRPr="00CB7D49">
        <w:t>Spatial and temporal variation in b</w:t>
      </w:r>
      <w:r w:rsidRPr="00CB7D49">
        <w:t>aseline condition</w:t>
      </w:r>
      <w:r w:rsidR="00583E47" w:rsidRPr="00CB7D49">
        <w:t>s</w:t>
      </w:r>
      <w:r w:rsidRPr="00CB7D49">
        <w:t xml:space="preserve"> for both groundwater level and quality must be established so that changes relating to impacts from the project can be identified if they occur</w:t>
      </w:r>
      <w:r w:rsidR="008D5384" w:rsidRPr="00CB7D49">
        <w:t>; and</w:t>
      </w:r>
    </w:p>
    <w:p w14:paraId="27D9E3DC" w14:textId="77777777" w:rsidR="00EE187E" w:rsidRDefault="00E27553" w:rsidP="007F1C41">
      <w:pPr>
        <w:pStyle w:val="ListNumber2"/>
      </w:pPr>
      <w:proofErr w:type="gramStart"/>
      <w:r>
        <w:t>also</w:t>
      </w:r>
      <w:proofErr w:type="gramEnd"/>
      <w:r>
        <w:t xml:space="preserve"> be used to s</w:t>
      </w:r>
      <w:r w:rsidR="00EE187E">
        <w:t xml:space="preserve">upport </w:t>
      </w:r>
      <w:r>
        <w:t>the proponent</w:t>
      </w:r>
      <w:r w:rsidR="00DC6E95">
        <w:t>’</w:t>
      </w:r>
      <w:r>
        <w:t xml:space="preserve">s conclusions on the likelihood, extent and magnitude of potential </w:t>
      </w:r>
      <w:r w:rsidR="00EE187E">
        <w:t xml:space="preserve">seepage occurring </w:t>
      </w:r>
      <w:r w:rsidR="00DC6E95">
        <w:t>in</w:t>
      </w:r>
      <w:r w:rsidR="00EE187E">
        <w:t xml:space="preserve">to </w:t>
      </w:r>
      <w:r>
        <w:t>the groundwater</w:t>
      </w:r>
      <w:r w:rsidR="00EE187E">
        <w:t xml:space="preserve"> system</w:t>
      </w:r>
      <w:r w:rsidR="00583E47">
        <w:t xml:space="preserve"> from water and waste rock storages</w:t>
      </w:r>
      <w:r>
        <w:t xml:space="preserve">. This is important </w:t>
      </w:r>
      <w:r w:rsidR="00EE187E">
        <w:t xml:space="preserve">given </w:t>
      </w:r>
      <w:r>
        <w:t xml:space="preserve">the proponent has observed that water level changes </w:t>
      </w:r>
      <w:r w:rsidR="00EE187E">
        <w:t xml:space="preserve">at </w:t>
      </w:r>
      <w:r>
        <w:t xml:space="preserve">monitoring bore </w:t>
      </w:r>
      <w:r w:rsidR="00EE187E">
        <w:t xml:space="preserve">NPZ9 </w:t>
      </w:r>
      <w:r>
        <w:t>are related to continual filling of the nearby tailings emplacement area (Glencore 2019</w:t>
      </w:r>
      <w:r w:rsidR="00F00673">
        <w:t>a</w:t>
      </w:r>
      <w:r>
        <w:t>, p.</w:t>
      </w:r>
      <w:r w:rsidR="00066732">
        <w:t> </w:t>
      </w:r>
      <w:r>
        <w:t xml:space="preserve">21) which could imply </w:t>
      </w:r>
      <w:r w:rsidR="00EE187E">
        <w:t xml:space="preserve">seepage from the tailings emplacement </w:t>
      </w:r>
      <w:r>
        <w:t>facility in</w:t>
      </w:r>
      <w:r w:rsidR="00EE187E">
        <w:t xml:space="preserve">to the </w:t>
      </w:r>
      <w:r>
        <w:t>groundwater</w:t>
      </w:r>
      <w:r w:rsidR="00EE187E">
        <w:t xml:space="preserve"> system</w:t>
      </w:r>
      <w:r>
        <w:t>.</w:t>
      </w:r>
    </w:p>
    <w:p w14:paraId="6D073760" w14:textId="3F881F23" w:rsidR="00EE187E" w:rsidRDefault="006C5E36" w:rsidP="007F1C41">
      <w:pPr>
        <w:pStyle w:val="ListNumber"/>
      </w:pPr>
      <w:r>
        <w:lastRenderedPageBreak/>
        <w:t>Proposed m</w:t>
      </w:r>
      <w:r w:rsidR="00EE187E">
        <w:t>onitoring and management</w:t>
      </w:r>
      <w:r>
        <w:t xml:space="preserve"> measures </w:t>
      </w:r>
      <w:r w:rsidR="00CC4C99">
        <w:t>must be fully described</w:t>
      </w:r>
      <w:r w:rsidR="002E0E02">
        <w:t xml:space="preserve"> </w:t>
      </w:r>
      <w:r w:rsidR="002E0E02" w:rsidRPr="00290A92">
        <w:t>and updated</w:t>
      </w:r>
      <w:r>
        <w:t xml:space="preserve"> in the EIS, specifically</w:t>
      </w:r>
      <w:r w:rsidR="00CC4C99">
        <w:t xml:space="preserve"> including</w:t>
      </w:r>
      <w:r w:rsidR="00EE187E">
        <w:t>:</w:t>
      </w:r>
    </w:p>
    <w:p w14:paraId="48E45084" w14:textId="77777777" w:rsidR="00EE187E" w:rsidRPr="00162509" w:rsidRDefault="00583E47" w:rsidP="00EE187E">
      <w:pPr>
        <w:pStyle w:val="ListNumber2"/>
      </w:pPr>
      <w:proofErr w:type="gramStart"/>
      <w:r>
        <w:t>t</w:t>
      </w:r>
      <w:r w:rsidR="006C5E36">
        <w:t>he</w:t>
      </w:r>
      <w:proofErr w:type="gramEnd"/>
      <w:r w:rsidR="006C5E36">
        <w:t xml:space="preserve"> m</w:t>
      </w:r>
      <w:r w:rsidR="007F1C41">
        <w:t xml:space="preserve">onitoring network map </w:t>
      </w:r>
      <w:r w:rsidR="00D53733">
        <w:t xml:space="preserve">which </w:t>
      </w:r>
      <w:r w:rsidR="006C5E36">
        <w:t>requires</w:t>
      </w:r>
      <w:r w:rsidR="007F1C41">
        <w:t xml:space="preserve"> updating to clearly </w:t>
      </w:r>
      <w:r w:rsidR="006C5E36">
        <w:t xml:space="preserve">identify </w:t>
      </w:r>
      <w:r w:rsidR="00780461">
        <w:t xml:space="preserve">within </w:t>
      </w:r>
      <w:r w:rsidR="007F1C41">
        <w:t>which aquifer</w:t>
      </w:r>
      <w:r w:rsidR="006C5E36">
        <w:t xml:space="preserve">s monitoring bores are located. This will allow an assessment of the adequacy of the spatial </w:t>
      </w:r>
      <w:r w:rsidR="006C5E36" w:rsidRPr="00162509">
        <w:t>coverage of the network</w:t>
      </w:r>
      <w:r w:rsidR="008D5384" w:rsidRPr="00162509">
        <w:t>;</w:t>
      </w:r>
    </w:p>
    <w:p w14:paraId="79F1AE7E" w14:textId="77777777" w:rsidR="00EE187E" w:rsidRPr="00162509" w:rsidRDefault="00583E47" w:rsidP="00EE187E">
      <w:pPr>
        <w:pStyle w:val="ListNumber2"/>
      </w:pPr>
      <w:r w:rsidRPr="00162509">
        <w:t>a</w:t>
      </w:r>
      <w:r w:rsidR="006C5E36" w:rsidRPr="00162509">
        <w:t xml:space="preserve"> s</w:t>
      </w:r>
      <w:r w:rsidR="00EE187E" w:rsidRPr="00162509">
        <w:t>ummary of the monitoring program</w:t>
      </w:r>
      <w:r w:rsidR="006C5E36" w:rsidRPr="00162509">
        <w:t xml:space="preserve"> with discussion of any </w:t>
      </w:r>
      <w:r w:rsidR="00EE187E" w:rsidRPr="00162509">
        <w:t>proposed additions or change</w:t>
      </w:r>
      <w:r w:rsidR="006C5E36" w:rsidRPr="00162509">
        <w:t>s t</w:t>
      </w:r>
      <w:r w:rsidR="00BA24FF" w:rsidRPr="00162509">
        <w:t xml:space="preserve">o the network and </w:t>
      </w:r>
      <w:r w:rsidR="00066732" w:rsidRPr="00162509">
        <w:t xml:space="preserve">suite of </w:t>
      </w:r>
      <w:proofErr w:type="spellStart"/>
      <w:r w:rsidR="00BA24FF" w:rsidRPr="00162509">
        <w:t>analyte</w:t>
      </w:r>
      <w:r w:rsidR="00066732" w:rsidRPr="00162509">
        <w:t>s</w:t>
      </w:r>
      <w:proofErr w:type="spellEnd"/>
      <w:r w:rsidR="00EE187E" w:rsidRPr="00162509">
        <w:t xml:space="preserve"> to </w:t>
      </w:r>
      <w:r w:rsidR="00780461" w:rsidRPr="00162509">
        <w:t xml:space="preserve">measure potential impacts of the </w:t>
      </w:r>
      <w:r w:rsidR="00EE187E" w:rsidRPr="00162509">
        <w:t>project</w:t>
      </w:r>
      <w:r w:rsidR="00780461" w:rsidRPr="00162509">
        <w:t>, and the effectiveness of mitigation measures</w:t>
      </w:r>
      <w:r w:rsidR="008D5384" w:rsidRPr="00162509">
        <w:t>;</w:t>
      </w:r>
    </w:p>
    <w:p w14:paraId="2E36D139" w14:textId="2C840E4C" w:rsidR="00EE187E" w:rsidRPr="00162509" w:rsidRDefault="00D53733" w:rsidP="000F614C">
      <w:pPr>
        <w:pStyle w:val="ListNumber2"/>
      </w:pPr>
      <w:proofErr w:type="gramStart"/>
      <w:r w:rsidRPr="00162509">
        <w:t>provision</w:t>
      </w:r>
      <w:proofErr w:type="gramEnd"/>
      <w:r w:rsidRPr="00162509">
        <w:t xml:space="preserve"> of the full suite </w:t>
      </w:r>
      <w:r w:rsidR="00D93FD1" w:rsidRPr="00162509">
        <w:t xml:space="preserve">of monitoring </w:t>
      </w:r>
      <w:r w:rsidR="00583E47" w:rsidRPr="00162509">
        <w:t>d</w:t>
      </w:r>
      <w:r w:rsidR="006C5E36" w:rsidRPr="00162509">
        <w:t>ata collected in the existing monitoring program. Th</w:t>
      </w:r>
      <w:r w:rsidR="00562A14" w:rsidRPr="00162509">
        <w:t>ese</w:t>
      </w:r>
      <w:r w:rsidR="006C5E36" w:rsidRPr="00162509">
        <w:t xml:space="preserve"> data </w:t>
      </w:r>
      <w:r w:rsidR="00562A14" w:rsidRPr="00162509">
        <w:t>are needed to</w:t>
      </w:r>
      <w:r w:rsidR="006C5E36" w:rsidRPr="00162509">
        <w:t xml:space="preserve"> support </w:t>
      </w:r>
      <w:r w:rsidR="00562A14" w:rsidRPr="00162509">
        <w:t xml:space="preserve">the proponent’s </w:t>
      </w:r>
      <w:r w:rsidR="006C5E36" w:rsidRPr="00162509">
        <w:t xml:space="preserve">assessments </w:t>
      </w:r>
      <w:r w:rsidR="00562A14" w:rsidRPr="00162509">
        <w:t xml:space="preserve">about </w:t>
      </w:r>
      <w:r w:rsidR="006C5E36" w:rsidRPr="00162509">
        <w:t xml:space="preserve">the likelihood and significance of impacts </w:t>
      </w:r>
      <w:r w:rsidR="00562A14" w:rsidRPr="00162509">
        <w:t>of the projec</w:t>
      </w:r>
      <w:r w:rsidR="006C5E36" w:rsidRPr="00162509">
        <w:t>t</w:t>
      </w:r>
      <w:r w:rsidR="008D5384" w:rsidRPr="00162509">
        <w:t>;</w:t>
      </w:r>
      <w:r w:rsidR="006C5E36" w:rsidRPr="00162509">
        <w:t xml:space="preserve"> </w:t>
      </w:r>
    </w:p>
    <w:p w14:paraId="08054363" w14:textId="77777777" w:rsidR="00066732" w:rsidRPr="00162509" w:rsidRDefault="00066732" w:rsidP="00066732">
      <w:pPr>
        <w:pStyle w:val="ListNumber2"/>
      </w:pPr>
      <w:r w:rsidRPr="00162509">
        <w:t>the future monitoring program which should be expanded to include a range of organic parameters such as polycyclic aromatic hydrocarbons (PAHs);</w:t>
      </w:r>
    </w:p>
    <w:p w14:paraId="4CF6F1F9" w14:textId="77777777" w:rsidR="006C5E36" w:rsidRPr="00162509" w:rsidRDefault="00583E47" w:rsidP="00565009">
      <w:pPr>
        <w:pStyle w:val="ListNumber2"/>
      </w:pPr>
      <w:r w:rsidRPr="00162509">
        <w:t>t</w:t>
      </w:r>
      <w:r w:rsidR="006C5E36" w:rsidRPr="00162509">
        <w:t xml:space="preserve">he results of analyses of waste rock geochemistry </w:t>
      </w:r>
      <w:r w:rsidR="00D53733" w:rsidRPr="00162509">
        <w:t xml:space="preserve">which </w:t>
      </w:r>
      <w:r w:rsidR="006C5E36" w:rsidRPr="00162509">
        <w:t>should be explicitly used to inform and justify the selected monitoring suite</w:t>
      </w:r>
      <w:r w:rsidR="00066732" w:rsidRPr="00162509">
        <w:t xml:space="preserve"> of </w:t>
      </w:r>
      <w:proofErr w:type="spellStart"/>
      <w:r w:rsidR="00066732" w:rsidRPr="00162509">
        <w:t>analytes</w:t>
      </w:r>
      <w:proofErr w:type="spellEnd"/>
      <w:r w:rsidR="008D5384" w:rsidRPr="00162509">
        <w:t>;</w:t>
      </w:r>
      <w:r w:rsidR="00066732" w:rsidRPr="00162509">
        <w:t xml:space="preserve"> </w:t>
      </w:r>
      <w:r w:rsidR="008D5384" w:rsidRPr="00162509">
        <w:t>and</w:t>
      </w:r>
    </w:p>
    <w:p w14:paraId="38ADC276" w14:textId="77777777" w:rsidR="00EE187E" w:rsidRPr="00162509" w:rsidRDefault="00583E47" w:rsidP="008A352B">
      <w:pPr>
        <w:pStyle w:val="ListNumber2"/>
      </w:pPr>
      <w:proofErr w:type="gramStart"/>
      <w:r w:rsidRPr="00162509">
        <w:t>t</w:t>
      </w:r>
      <w:r w:rsidR="006C5E36" w:rsidRPr="00162509">
        <w:t>he</w:t>
      </w:r>
      <w:proofErr w:type="gramEnd"/>
      <w:r w:rsidR="006C5E36" w:rsidRPr="00162509">
        <w:t xml:space="preserve"> trigger</w:t>
      </w:r>
      <w:r w:rsidR="00BF2BCE" w:rsidRPr="00162509">
        <w:t>-</w:t>
      </w:r>
      <w:r w:rsidR="006C5E36" w:rsidRPr="00162509">
        <w:t>action response plans (</w:t>
      </w:r>
      <w:r w:rsidR="00EE187E" w:rsidRPr="00162509">
        <w:t>TARPs</w:t>
      </w:r>
      <w:r w:rsidR="006C5E36" w:rsidRPr="00162509">
        <w:t>)</w:t>
      </w:r>
      <w:r w:rsidR="00EE187E" w:rsidRPr="00162509">
        <w:t xml:space="preserve"> </w:t>
      </w:r>
      <w:r w:rsidR="000A24D3" w:rsidRPr="00162509">
        <w:t xml:space="preserve">updated to include </w:t>
      </w:r>
      <w:r w:rsidR="00EE187E" w:rsidRPr="00162509">
        <w:t xml:space="preserve">specifics on </w:t>
      </w:r>
      <w:r w:rsidR="000A24D3" w:rsidRPr="00162509">
        <w:t xml:space="preserve">the </w:t>
      </w:r>
      <w:r w:rsidR="00EE187E" w:rsidRPr="00162509">
        <w:t xml:space="preserve">implementation of </w:t>
      </w:r>
      <w:r w:rsidR="000A24D3" w:rsidRPr="00162509">
        <w:t xml:space="preserve">proposed </w:t>
      </w:r>
      <w:r w:rsidR="00EE187E" w:rsidRPr="00162509">
        <w:t>response</w:t>
      </w:r>
      <w:r w:rsidR="000A24D3" w:rsidRPr="00162509">
        <w:t>s</w:t>
      </w:r>
      <w:r w:rsidR="00EE187E" w:rsidRPr="00162509">
        <w:t>, management options available and timeframes</w:t>
      </w:r>
      <w:r w:rsidR="000A24D3" w:rsidRPr="00162509">
        <w:t xml:space="preserve"> for action</w:t>
      </w:r>
      <w:r w:rsidRPr="00162509">
        <w:t>s</w:t>
      </w:r>
      <w:r w:rsidR="000A24D3" w:rsidRPr="00162509">
        <w:t xml:space="preserve"> and response</w:t>
      </w:r>
      <w:r w:rsidRPr="00162509">
        <w:t>s</w:t>
      </w:r>
      <w:r w:rsidR="00BF2BCE" w:rsidRPr="00162509">
        <w:t xml:space="preserve"> so that the likely success of the TARPs can be assessed</w:t>
      </w:r>
      <w:r w:rsidR="00DA07B9" w:rsidRPr="00162509">
        <w:t>. Currently</w:t>
      </w:r>
      <w:r w:rsidR="00BF2BCE" w:rsidRPr="00162509">
        <w:t>,</w:t>
      </w:r>
      <w:r w:rsidR="00DA07B9" w:rsidRPr="00162509">
        <w:t xml:space="preserve"> timeframes are only provided for </w:t>
      </w:r>
      <w:r w:rsidR="000A24D3" w:rsidRPr="00162509">
        <w:t>reporting to regulatory authorities.</w:t>
      </w:r>
    </w:p>
    <w:p w14:paraId="7D09FD02" w14:textId="20504C41" w:rsidR="000A24D3" w:rsidRPr="00162509" w:rsidRDefault="000A24D3" w:rsidP="00015D44">
      <w:pPr>
        <w:pStyle w:val="ListNumber"/>
      </w:pPr>
      <w:r w:rsidRPr="00162509">
        <w:t xml:space="preserve">Detailed information </w:t>
      </w:r>
      <w:r w:rsidR="007D2FD5" w:rsidRPr="00162509">
        <w:t xml:space="preserve">is needed </w:t>
      </w:r>
      <w:r w:rsidRPr="00162509">
        <w:t xml:space="preserve">on the </w:t>
      </w:r>
      <w:r w:rsidR="00BD075B" w:rsidRPr="00162509">
        <w:t xml:space="preserve">volume </w:t>
      </w:r>
      <w:r w:rsidRPr="00162509">
        <w:t>of groundwater available under current licences specifically for the project. The proponent has provided information on the total licenced volumes held but it is unclear how much of this volume is already utilised by approved operations at the Mount Owen Complex. The proponent should also outline in the EIS any addition</w:t>
      </w:r>
      <w:r w:rsidR="00583E47" w:rsidRPr="00162509">
        <w:t xml:space="preserve">al licences </w:t>
      </w:r>
      <w:r w:rsidRPr="00162509">
        <w:t xml:space="preserve">that will </w:t>
      </w:r>
      <w:r w:rsidR="00BF2BCE" w:rsidRPr="00162509">
        <w:t xml:space="preserve">be </w:t>
      </w:r>
      <w:r w:rsidRPr="00162509">
        <w:t>need</w:t>
      </w:r>
      <w:r w:rsidR="00BF2BCE" w:rsidRPr="00162509">
        <w:t>ed</w:t>
      </w:r>
      <w:r w:rsidR="00301CB9" w:rsidRPr="00162509">
        <w:t xml:space="preserve"> based on the results of t</w:t>
      </w:r>
      <w:r w:rsidR="00BD7D7F" w:rsidRPr="00162509">
        <w:t>he detailed water balance (</w:t>
      </w:r>
      <w:r w:rsidR="00BD7D7F" w:rsidRPr="009F243B">
        <w:t>see P</w:t>
      </w:r>
      <w:r w:rsidR="009F243B" w:rsidRPr="009F243B">
        <w:t>aragraph 19</w:t>
      </w:r>
      <w:r w:rsidR="00301CB9" w:rsidRPr="009F243B">
        <w:t>)</w:t>
      </w:r>
      <w:r w:rsidRPr="00162509">
        <w:t xml:space="preserve"> and a plan to obtain these.</w:t>
      </w:r>
    </w:p>
    <w:p w14:paraId="033C3542" w14:textId="28E32E69" w:rsidR="007F1C41" w:rsidRPr="00162509" w:rsidRDefault="000A24D3" w:rsidP="007F1C41">
      <w:pPr>
        <w:pStyle w:val="ListNumber"/>
      </w:pPr>
      <w:r w:rsidRPr="00162509">
        <w:t xml:space="preserve">The search for registered bores in the vicinity of the project </w:t>
      </w:r>
      <w:r w:rsidR="00BF2BCE" w:rsidRPr="00162509">
        <w:t>appears to have been done</w:t>
      </w:r>
      <w:r w:rsidRPr="00162509">
        <w:t xml:space="preserve"> in 2014</w:t>
      </w:r>
      <w:r w:rsidR="00583E47" w:rsidRPr="00162509">
        <w:t xml:space="preserve"> (Glencore 2019</w:t>
      </w:r>
      <w:r w:rsidR="00F00673" w:rsidRPr="00162509">
        <w:t>a, p. 14</w:t>
      </w:r>
      <w:r w:rsidR="00583E47" w:rsidRPr="00162509">
        <w:t>)</w:t>
      </w:r>
      <w:r w:rsidR="00BF2BCE" w:rsidRPr="00162509">
        <w:t xml:space="preserve">, and </w:t>
      </w:r>
      <w:r w:rsidRPr="00162509">
        <w:t xml:space="preserve">should be updated. Additionally, if groundwater modelling results indicate that drawdown from the project could extend beyond the current search radius, the search radius should be </w:t>
      </w:r>
      <w:r w:rsidRPr="00290A92">
        <w:t>increased</w:t>
      </w:r>
      <w:r w:rsidR="00296833" w:rsidRPr="00290A92">
        <w:t xml:space="preserve"> accordingly</w:t>
      </w:r>
      <w:r w:rsidR="009230D0" w:rsidRPr="00290A92">
        <w:t xml:space="preserve"> and </w:t>
      </w:r>
      <w:r w:rsidR="00260FC6" w:rsidRPr="00290A92">
        <w:t xml:space="preserve">include </w:t>
      </w:r>
      <w:r w:rsidR="007D2FD5" w:rsidRPr="00290A92">
        <w:t>a buffer</w:t>
      </w:r>
      <w:r w:rsidR="007D2FD5" w:rsidRPr="00162509">
        <w:t xml:space="preserve"> that allows for uncertainty in drawdown predictions (</w:t>
      </w:r>
      <w:r w:rsidR="00BD7D7F" w:rsidRPr="009F243B">
        <w:t>see P</w:t>
      </w:r>
      <w:r w:rsidR="007D2FD5" w:rsidRPr="009F243B">
        <w:t>a</w:t>
      </w:r>
      <w:r w:rsidR="001A3D4E" w:rsidRPr="009F243B">
        <w:t>ragraph 5</w:t>
      </w:r>
      <w:r w:rsidR="007D2FD5" w:rsidRPr="009F243B">
        <w:t>)</w:t>
      </w:r>
      <w:r w:rsidRPr="009F243B">
        <w:t>.</w:t>
      </w:r>
      <w:r w:rsidRPr="00162509">
        <w:t xml:space="preserve"> </w:t>
      </w:r>
    </w:p>
    <w:p w14:paraId="37D3DE73" w14:textId="77777777" w:rsidR="00C858C6" w:rsidRDefault="00C858C6" w:rsidP="00C858C6">
      <w:pPr>
        <w:pStyle w:val="ListNumber"/>
        <w:numPr>
          <w:ilvl w:val="0"/>
          <w:numId w:val="0"/>
        </w:numPr>
        <w:ind w:left="369" w:hanging="369"/>
        <w:rPr>
          <w:u w:val="single"/>
        </w:rPr>
      </w:pPr>
      <w:r>
        <w:rPr>
          <w:u w:val="single"/>
        </w:rPr>
        <w:t>Surface water</w:t>
      </w:r>
      <w:r w:rsidR="00717DD2">
        <w:rPr>
          <w:u w:val="single"/>
        </w:rPr>
        <w:t>s</w:t>
      </w:r>
    </w:p>
    <w:p w14:paraId="5609A178" w14:textId="45D3BBB6" w:rsidR="00BD075B" w:rsidRPr="00162509" w:rsidRDefault="00AF2A72" w:rsidP="00BD075B">
      <w:pPr>
        <w:pStyle w:val="ListNumber"/>
      </w:pPr>
      <w:r w:rsidRPr="00162509">
        <w:t>At this stage of the approvals process</w:t>
      </w:r>
      <w:r w:rsidR="00296833" w:rsidRPr="00162509">
        <w:t>,</w:t>
      </w:r>
      <w:r w:rsidRPr="00162509">
        <w:t xml:space="preserve"> t</w:t>
      </w:r>
      <w:r w:rsidR="00BD075B" w:rsidRPr="00162509">
        <w:t xml:space="preserve">he lack of quantitative information provided on </w:t>
      </w:r>
      <w:proofErr w:type="spellStart"/>
      <w:r w:rsidR="00BD075B" w:rsidRPr="00162509">
        <w:t>streamflows</w:t>
      </w:r>
      <w:proofErr w:type="spellEnd"/>
      <w:r w:rsidR="00BD075B" w:rsidRPr="00162509">
        <w:t xml:space="preserve"> and runoff </w:t>
      </w:r>
      <w:r w:rsidRPr="00162509">
        <w:t xml:space="preserve">prevents reliable assessment of </w:t>
      </w:r>
      <w:r w:rsidR="00BD075B" w:rsidRPr="00162509">
        <w:t>the likelihood and significance of surface water impacts. While the surface water systems are ephemeral</w:t>
      </w:r>
      <w:r w:rsidRPr="00162509">
        <w:t xml:space="preserve"> in the project area</w:t>
      </w:r>
      <w:r w:rsidR="00BD075B" w:rsidRPr="00162509">
        <w:t>,</w:t>
      </w:r>
      <w:r w:rsidR="00EF7E69" w:rsidRPr="00162509">
        <w:t xml:space="preserve"> the importance of ephemeral systems is now recognised </w:t>
      </w:r>
      <w:r w:rsidR="0056387A" w:rsidRPr="00162509">
        <w:t>(</w:t>
      </w:r>
      <w:proofErr w:type="spellStart"/>
      <w:r w:rsidR="0056387A" w:rsidRPr="00162509">
        <w:t>Da</w:t>
      </w:r>
      <w:r w:rsidR="0037465C" w:rsidRPr="00162509">
        <w:t>try</w:t>
      </w:r>
      <w:proofErr w:type="spellEnd"/>
      <w:r w:rsidR="0037465C" w:rsidRPr="00162509">
        <w:t xml:space="preserve"> et al</w:t>
      </w:r>
      <w:r w:rsidR="0037465C" w:rsidRPr="00670D91">
        <w:t xml:space="preserve">. </w:t>
      </w:r>
      <w:r w:rsidR="0037465C" w:rsidRPr="00290A92">
        <w:t>201</w:t>
      </w:r>
      <w:r w:rsidR="00296833" w:rsidRPr="00290A92">
        <w:t>8</w:t>
      </w:r>
      <w:r w:rsidR="00EF7E69" w:rsidRPr="00670D91">
        <w:t>).</w:t>
      </w:r>
      <w:r w:rsidR="00BD075B" w:rsidRPr="00162509">
        <w:t xml:space="preserve"> </w:t>
      </w:r>
      <w:r w:rsidR="00EF7E69" w:rsidRPr="00162509">
        <w:t>U</w:t>
      </w:r>
      <w:r w:rsidR="00BD075B" w:rsidRPr="00162509">
        <w:t>seful information</w:t>
      </w:r>
      <w:r w:rsidR="00EF7E69" w:rsidRPr="00162509">
        <w:t xml:space="preserve"> could be obtained from a variety of techniques including </w:t>
      </w:r>
      <w:r w:rsidR="00BD075B" w:rsidRPr="00162509">
        <w:t>observations of flows made during the water quality monitoring, from water level recording of on-site water storages</w:t>
      </w:r>
      <w:r w:rsidR="00EF7E69" w:rsidRPr="00162509">
        <w:t xml:space="preserve"> and stream pools</w:t>
      </w:r>
      <w:r w:rsidR="00BD075B" w:rsidRPr="00162509">
        <w:t xml:space="preserve">, and from images from </w:t>
      </w:r>
      <w:r w:rsidR="00066732" w:rsidRPr="00162509">
        <w:t>Water Observations from S</w:t>
      </w:r>
      <w:r w:rsidR="004D3C15" w:rsidRPr="00162509">
        <w:t>pace</w:t>
      </w:r>
      <w:r w:rsidR="004D3C15" w:rsidRPr="00162509">
        <w:rPr>
          <w:i/>
        </w:rPr>
        <w:t xml:space="preserve"> </w:t>
      </w:r>
      <w:r w:rsidR="004D3C15" w:rsidRPr="00162509">
        <w:t>(</w:t>
      </w:r>
      <w:proofErr w:type="spellStart"/>
      <w:r w:rsidR="00BD075B" w:rsidRPr="00162509">
        <w:t>WOfS</w:t>
      </w:r>
      <w:proofErr w:type="spellEnd"/>
      <w:r w:rsidR="004D3C15" w:rsidRPr="00162509">
        <w:t>)</w:t>
      </w:r>
      <w:r w:rsidR="00BD075B" w:rsidRPr="00162509">
        <w:t xml:space="preserve"> (Mueller et al. 2016). Information used in the “detailed analysis and calibration” of the site water balance modelling (Glencore, 2018) would also be useful in this regard. The quantitative analysis of such information would allow the impacts of altered catchment areas and other mining-related activities on surface water resources to be assessed. </w:t>
      </w:r>
    </w:p>
    <w:p w14:paraId="4A845235" w14:textId="04C22626" w:rsidR="00EE187E" w:rsidRPr="00162509" w:rsidRDefault="009A6A12" w:rsidP="00EE187E">
      <w:pPr>
        <w:pStyle w:val="ListNumber"/>
      </w:pPr>
      <w:r w:rsidRPr="00162509">
        <w:t>M</w:t>
      </w:r>
      <w:r w:rsidR="00EE187E" w:rsidRPr="00162509">
        <w:t xml:space="preserve">ore information on the </w:t>
      </w:r>
      <w:r w:rsidRPr="00162509">
        <w:t xml:space="preserve">proposed diversion of </w:t>
      </w:r>
      <w:proofErr w:type="spellStart"/>
      <w:r w:rsidR="00EE187E" w:rsidRPr="00162509">
        <w:t>Yorks</w:t>
      </w:r>
      <w:proofErr w:type="spellEnd"/>
      <w:r w:rsidR="00EE187E" w:rsidRPr="00162509">
        <w:t xml:space="preserve"> Creek </w:t>
      </w:r>
      <w:r w:rsidR="00296833" w:rsidRPr="00290A92">
        <w:t>will be</w:t>
      </w:r>
      <w:r w:rsidRPr="00670D91">
        <w:t xml:space="preserve"> needed</w:t>
      </w:r>
      <w:r w:rsidRPr="00162509">
        <w:t xml:space="preserve"> in the EIS. This information should </w:t>
      </w:r>
      <w:r w:rsidR="00BD075B" w:rsidRPr="00162509">
        <w:t>demonst</w:t>
      </w:r>
      <w:r w:rsidR="004D3C15" w:rsidRPr="00162509">
        <w:t xml:space="preserve">rate how the proposed diversion </w:t>
      </w:r>
      <w:r w:rsidR="009333A4" w:rsidRPr="00162509">
        <w:t xml:space="preserve">plans </w:t>
      </w:r>
      <w:r w:rsidR="00CD3840" w:rsidRPr="00162509">
        <w:t xml:space="preserve">to </w:t>
      </w:r>
      <w:r w:rsidR="009333A4" w:rsidRPr="00162509">
        <w:t xml:space="preserve">address </w:t>
      </w:r>
      <w:r w:rsidR="00E60AB4" w:rsidRPr="00162509">
        <w:t xml:space="preserve">the </w:t>
      </w:r>
      <w:r w:rsidR="00BD075B" w:rsidRPr="00162509">
        <w:t>guidelines developed by White et al</w:t>
      </w:r>
      <w:r w:rsidR="004D3C15" w:rsidRPr="00162509">
        <w:t>.</w:t>
      </w:r>
      <w:r w:rsidR="009230D0" w:rsidRPr="00162509">
        <w:t xml:space="preserve"> (2014) and should also address</w:t>
      </w:r>
      <w:r w:rsidRPr="00162509">
        <w:t xml:space="preserve"> the following issues.</w:t>
      </w:r>
    </w:p>
    <w:p w14:paraId="51529E62" w14:textId="77777777" w:rsidR="008A352B" w:rsidRDefault="008A352B" w:rsidP="008A352B">
      <w:pPr>
        <w:pStyle w:val="ListNumber2"/>
      </w:pPr>
      <w:r w:rsidRPr="00162509">
        <w:lastRenderedPageBreak/>
        <w:t xml:space="preserve">Detailed design specifications and a geotechnical </w:t>
      </w:r>
      <w:r w:rsidR="009333A4" w:rsidRPr="00162509">
        <w:t xml:space="preserve">and geomorphological </w:t>
      </w:r>
      <w:r w:rsidRPr="00162509">
        <w:t>assessment</w:t>
      </w:r>
      <w:r>
        <w:t xml:space="preserve"> of the proposed diversion are required. This information will be essential for determining the suitability of the proposed diversion and its likely long-term stability.</w:t>
      </w:r>
    </w:p>
    <w:p w14:paraId="6992FB5A" w14:textId="228544DF" w:rsidR="009A6A12" w:rsidRPr="00CB7D49" w:rsidRDefault="009A6A12" w:rsidP="00EE187E">
      <w:pPr>
        <w:pStyle w:val="ListNumber2"/>
      </w:pPr>
      <w:r>
        <w:t xml:space="preserve">The </w:t>
      </w:r>
      <w:r w:rsidRPr="00162509">
        <w:t xml:space="preserve">proposed diversion appears to be </w:t>
      </w:r>
      <w:r w:rsidR="00EE187E" w:rsidRPr="00162509">
        <w:t>shorter and straighter</w:t>
      </w:r>
      <w:r w:rsidRPr="00162509">
        <w:t xml:space="preserve"> than the current path of </w:t>
      </w:r>
      <w:proofErr w:type="spellStart"/>
      <w:r w:rsidRPr="00162509">
        <w:t>Yorks</w:t>
      </w:r>
      <w:proofErr w:type="spellEnd"/>
      <w:r w:rsidRPr="00162509">
        <w:t xml:space="preserve"> </w:t>
      </w:r>
      <w:r w:rsidR="000238A5" w:rsidRPr="00670D91">
        <w:t>Creek and</w:t>
      </w:r>
      <w:r w:rsidR="00411556" w:rsidRPr="00670D91">
        <w:t xml:space="preserve"> will enter Bowmans Creek some four river-k</w:t>
      </w:r>
      <w:r w:rsidR="00454D0E" w:rsidRPr="00CB7D49">
        <w:t>ilometres</w:t>
      </w:r>
      <w:r w:rsidR="00411556" w:rsidRPr="00CB7D49">
        <w:t xml:space="preserve"> upstream of the current confluence</w:t>
      </w:r>
      <w:r w:rsidRPr="00CB7D49">
        <w:t xml:space="preserve">. This </w:t>
      </w:r>
      <w:r w:rsidR="00296833" w:rsidRPr="00290A92">
        <w:t>is likely to</w:t>
      </w:r>
      <w:r w:rsidR="00EE187E" w:rsidRPr="00670D91">
        <w:t xml:space="preserve"> change </w:t>
      </w:r>
      <w:r w:rsidRPr="00670D91">
        <w:t xml:space="preserve">sediment </w:t>
      </w:r>
      <w:r w:rsidR="009333A4" w:rsidRPr="00CB7D49">
        <w:t xml:space="preserve">transport </w:t>
      </w:r>
      <w:r w:rsidRPr="00CB7D49">
        <w:t xml:space="preserve">processes (including erosion and deposition) within </w:t>
      </w:r>
      <w:proofErr w:type="spellStart"/>
      <w:r w:rsidRPr="00CB7D49">
        <w:t>Yorks</w:t>
      </w:r>
      <w:proofErr w:type="spellEnd"/>
      <w:r w:rsidRPr="00CB7D49">
        <w:t xml:space="preserve"> Creek and </w:t>
      </w:r>
      <w:r w:rsidR="00411556" w:rsidRPr="00CB7D49">
        <w:t xml:space="preserve">the section of </w:t>
      </w:r>
      <w:r w:rsidRPr="00CB7D49">
        <w:t>Bowmans Creek</w:t>
      </w:r>
      <w:r w:rsidR="00411556" w:rsidRPr="00CB7D49">
        <w:t xml:space="preserve"> immediately downstream of the new conf</w:t>
      </w:r>
      <w:r w:rsidR="00454D0E" w:rsidRPr="00CB7D49">
        <w:t>l</w:t>
      </w:r>
      <w:r w:rsidR="00411556" w:rsidRPr="00CB7D49">
        <w:t>uence</w:t>
      </w:r>
      <w:r w:rsidRPr="00CB7D49">
        <w:t xml:space="preserve">. </w:t>
      </w:r>
      <w:r w:rsidR="00F86E9F" w:rsidRPr="00CB7D49">
        <w:t xml:space="preserve">The proponent should consider </w:t>
      </w:r>
      <w:r w:rsidR="00296833" w:rsidRPr="00290A92">
        <w:t>lengthening the hydraulic path and incorporating</w:t>
      </w:r>
      <w:r w:rsidR="00F86E9F" w:rsidRPr="00670D91">
        <w:t xml:space="preserve"> meanders in the diversion to more closely replicate </w:t>
      </w:r>
      <w:r w:rsidR="00411556" w:rsidRPr="00CB7D49">
        <w:t xml:space="preserve">hydraulic </w:t>
      </w:r>
      <w:r w:rsidR="00F86E9F" w:rsidRPr="00CB7D49">
        <w:t>environments and flow</w:t>
      </w:r>
      <w:r w:rsidR="00296833" w:rsidRPr="00CB7D49">
        <w:t xml:space="preserve"> </w:t>
      </w:r>
      <w:r w:rsidR="00296833" w:rsidRPr="00290A92">
        <w:t>velocities</w:t>
      </w:r>
      <w:r w:rsidR="00F86E9F" w:rsidRPr="00670D91">
        <w:t xml:space="preserve"> of the current creek.</w:t>
      </w:r>
      <w:r w:rsidR="003669D4" w:rsidRPr="00670D91">
        <w:t xml:space="preserve"> </w:t>
      </w:r>
      <w:r w:rsidR="002B6F06" w:rsidRPr="00CB7D49">
        <w:t>The proponent also needs to assess how the altered location of the confluence will impact flow and sediment processes, flow volumes and fish habitat in Bowmans Creek, especially immediately downstream.</w:t>
      </w:r>
    </w:p>
    <w:p w14:paraId="46C19F29" w14:textId="18AF42EC" w:rsidR="00EE187E" w:rsidRPr="00162509" w:rsidRDefault="009A6A12" w:rsidP="00EE187E">
      <w:pPr>
        <w:pStyle w:val="ListNumber2"/>
      </w:pPr>
      <w:r w:rsidRPr="00162509">
        <w:t xml:space="preserve">A shorter stream length will also reduce available </w:t>
      </w:r>
      <w:r w:rsidR="00E91DA2" w:rsidRPr="00162509">
        <w:t xml:space="preserve">aquatic </w:t>
      </w:r>
      <w:r w:rsidRPr="00162509">
        <w:t>habitat and may affect the formation of instream habitats such as pools and riffles.</w:t>
      </w:r>
      <w:r w:rsidR="002D6763" w:rsidRPr="00162509">
        <w:t xml:space="preserve">  Aquatic biota</w:t>
      </w:r>
      <w:r w:rsidR="009333A4" w:rsidRPr="00162509">
        <w:t xml:space="preserve"> (including fish)</w:t>
      </w:r>
      <w:r w:rsidR="002D6763" w:rsidRPr="00162509">
        <w:t xml:space="preserve"> in </w:t>
      </w:r>
      <w:proofErr w:type="spellStart"/>
      <w:r w:rsidR="002D6763" w:rsidRPr="00162509">
        <w:t>Yorks</w:t>
      </w:r>
      <w:proofErr w:type="spellEnd"/>
      <w:r w:rsidR="002D6763" w:rsidRPr="00162509">
        <w:t xml:space="preserve"> Creek should be sampled </w:t>
      </w:r>
      <w:r w:rsidR="00C93E0A" w:rsidRPr="00162509">
        <w:t xml:space="preserve">during periods of flow and in </w:t>
      </w:r>
      <w:proofErr w:type="spellStart"/>
      <w:r w:rsidR="00C93E0A" w:rsidRPr="00162509">
        <w:t>refugial</w:t>
      </w:r>
      <w:proofErr w:type="spellEnd"/>
      <w:r w:rsidR="00C93E0A" w:rsidRPr="00162509">
        <w:t xml:space="preserve"> pools to provide baseline data against which to compare changes in community composition resulting from altered habitat in the diverted section. The EIS should explain </w:t>
      </w:r>
      <w:r w:rsidRPr="00162509">
        <w:t>how the diversion will affect the ecological function o</w:t>
      </w:r>
      <w:r w:rsidR="00E91DA2" w:rsidRPr="00162509">
        <w:t>f</w:t>
      </w:r>
      <w:r w:rsidRPr="00162509">
        <w:t xml:space="preserve"> </w:t>
      </w:r>
      <w:proofErr w:type="spellStart"/>
      <w:r w:rsidRPr="00162509">
        <w:t>Yorks</w:t>
      </w:r>
      <w:proofErr w:type="spellEnd"/>
      <w:r w:rsidRPr="00162509">
        <w:t xml:space="preserve"> </w:t>
      </w:r>
      <w:r w:rsidR="000238A5" w:rsidRPr="00162509">
        <w:t>Creek and</w:t>
      </w:r>
      <w:r w:rsidRPr="00162509">
        <w:t xml:space="preserve"> propose mitigation and management measures to </w:t>
      </w:r>
      <w:r w:rsidR="00154087" w:rsidRPr="00162509">
        <w:t xml:space="preserve">ensure the establishment and maintenance of ecological function in the new channel </w:t>
      </w:r>
      <w:r w:rsidR="00E91DA2" w:rsidRPr="00162509">
        <w:t>(e.g. White et al. 2014)</w:t>
      </w:r>
      <w:r w:rsidR="00154087" w:rsidRPr="00162509">
        <w:t>.</w:t>
      </w:r>
    </w:p>
    <w:p w14:paraId="0D03BE37" w14:textId="77777777" w:rsidR="00301CB9" w:rsidRPr="00162509" w:rsidRDefault="009A6A12" w:rsidP="00EE187E">
      <w:pPr>
        <w:pStyle w:val="ListNumber2"/>
      </w:pPr>
      <w:r w:rsidRPr="00162509">
        <w:t xml:space="preserve">Diversion of </w:t>
      </w:r>
      <w:proofErr w:type="spellStart"/>
      <w:r w:rsidRPr="00162509">
        <w:t>Yorks</w:t>
      </w:r>
      <w:proofErr w:type="spellEnd"/>
      <w:r w:rsidRPr="00162509">
        <w:t xml:space="preserve"> Creek </w:t>
      </w:r>
      <w:r w:rsidR="00E91DA2" w:rsidRPr="00162509">
        <w:t xml:space="preserve">is likely to </w:t>
      </w:r>
      <w:r w:rsidRPr="00162509">
        <w:t xml:space="preserve">result in </w:t>
      </w:r>
      <w:r w:rsidR="00DA678D" w:rsidRPr="00162509">
        <w:t xml:space="preserve">disconnection from </w:t>
      </w:r>
      <w:r w:rsidRPr="00162509">
        <w:t>its</w:t>
      </w:r>
      <w:r w:rsidR="00DA678D" w:rsidRPr="00162509">
        <w:t xml:space="preserve"> alluvium</w:t>
      </w:r>
      <w:r w:rsidR="00E91DA2" w:rsidRPr="00162509">
        <w:t xml:space="preserve">, with repercussions for associated GDEs (see </w:t>
      </w:r>
      <w:r w:rsidR="00E91DA2" w:rsidRPr="009F243B">
        <w:t>Para</w:t>
      </w:r>
      <w:r w:rsidR="00917A81" w:rsidRPr="009F243B">
        <w:t xml:space="preserve">graphs </w:t>
      </w:r>
      <w:r w:rsidR="001A3D4E" w:rsidRPr="009F243B">
        <w:t>22</w:t>
      </w:r>
      <w:r w:rsidR="00917A81" w:rsidRPr="009F243B">
        <w:t xml:space="preserve"> and 2</w:t>
      </w:r>
      <w:r w:rsidR="001A3D4E" w:rsidRPr="009F243B">
        <w:t>3</w:t>
      </w:r>
      <w:r w:rsidR="00E91DA2" w:rsidRPr="009F243B">
        <w:t>)</w:t>
      </w:r>
      <w:r w:rsidR="00E91DA2" w:rsidRPr="00162509">
        <w:t xml:space="preserve"> and in-stream ecological function supported by exchanges of surface</w:t>
      </w:r>
      <w:r w:rsidR="004D3C15" w:rsidRPr="00162509">
        <w:t xml:space="preserve"> water</w:t>
      </w:r>
      <w:r w:rsidR="00E91DA2" w:rsidRPr="00162509">
        <w:t xml:space="preserve"> and groundwater from the alluvium</w:t>
      </w:r>
      <w:r w:rsidRPr="00162509">
        <w:t xml:space="preserve">. </w:t>
      </w:r>
      <w:r w:rsidR="00154087" w:rsidRPr="00162509">
        <w:t xml:space="preserve">To </w:t>
      </w:r>
      <w:r w:rsidR="00E91DA2" w:rsidRPr="00162509">
        <w:t xml:space="preserve">reduce these impacts, </w:t>
      </w:r>
      <w:r w:rsidR="00154087" w:rsidRPr="00162509">
        <w:t xml:space="preserve">the proponent should consider </w:t>
      </w:r>
      <w:r w:rsidR="00E91DA2" w:rsidRPr="00162509">
        <w:t xml:space="preserve">including alluvial material below and along </w:t>
      </w:r>
      <w:r w:rsidR="00154087" w:rsidRPr="00162509">
        <w:t xml:space="preserve">the diversion </w:t>
      </w:r>
      <w:r w:rsidR="00E91DA2" w:rsidRPr="00162509">
        <w:t>to help</w:t>
      </w:r>
      <w:r w:rsidR="00154087" w:rsidRPr="00162509">
        <w:t xml:space="preserve"> establish a</w:t>
      </w:r>
      <w:r w:rsidR="00E91DA2" w:rsidRPr="00162509">
        <w:t xml:space="preserve"> </w:t>
      </w:r>
      <w:r w:rsidR="00154087" w:rsidRPr="00162509">
        <w:t>n</w:t>
      </w:r>
      <w:r w:rsidR="00E91DA2" w:rsidRPr="00162509">
        <w:t>ew</w:t>
      </w:r>
      <w:r w:rsidR="00154087" w:rsidRPr="00162509">
        <w:t xml:space="preserve"> alluvial </w:t>
      </w:r>
      <w:r w:rsidR="00E91DA2" w:rsidRPr="00162509">
        <w:t>corridor along</w:t>
      </w:r>
      <w:r w:rsidR="00154087" w:rsidRPr="00162509">
        <w:t xml:space="preserve"> the diversion.</w:t>
      </w:r>
      <w:r w:rsidR="002B6F06" w:rsidRPr="00162509">
        <w:t xml:space="preserve">  </w:t>
      </w:r>
    </w:p>
    <w:p w14:paraId="63A5010C" w14:textId="77777777" w:rsidR="00DA678D" w:rsidRDefault="002B6F06" w:rsidP="00EE187E">
      <w:pPr>
        <w:pStyle w:val="ListNumber2"/>
      </w:pPr>
      <w:r w:rsidRPr="00162509">
        <w:t xml:space="preserve">Similarly, ecological continuity along the riparian corridor of </w:t>
      </w:r>
      <w:proofErr w:type="spellStart"/>
      <w:r w:rsidRPr="00162509">
        <w:t>Yorks</w:t>
      </w:r>
      <w:proofErr w:type="spellEnd"/>
      <w:r w:rsidRPr="00162509">
        <w:t xml:space="preserve"> Creek will be disrupted by the diversion.</w:t>
      </w:r>
      <w:r w:rsidR="00301CB9" w:rsidRPr="00162509">
        <w:t xml:space="preserve"> The riparian corridors present at the project site are likely to provide important habitat and refuges for native flora and fauna</w:t>
      </w:r>
      <w:r w:rsidR="00CE322B" w:rsidRPr="00162509">
        <w:t xml:space="preserve"> that would be valuable during rehabilitation</w:t>
      </w:r>
      <w:r w:rsidR="00DA2568" w:rsidRPr="00162509">
        <w:t xml:space="preserve"> as a source of </w:t>
      </w:r>
      <w:r w:rsidR="009333A4" w:rsidRPr="00162509">
        <w:t>plant and animal colonists</w:t>
      </w:r>
      <w:r w:rsidR="00CE322B" w:rsidRPr="00162509">
        <w:t>. To minimise</w:t>
      </w:r>
      <w:r w:rsidRPr="00162509">
        <w:t xml:space="preserve"> impact</w:t>
      </w:r>
      <w:r w:rsidR="00CE322B" w:rsidRPr="00162509">
        <w:t>s</w:t>
      </w:r>
      <w:r w:rsidRPr="00162509">
        <w:t>, riparian vegetation should be established as rapidly as possible along the diversion and should be connected with existing riparian zone vegetation upstream and downstream to enhance ecologi</w:t>
      </w:r>
      <w:r>
        <w:t>cal connectivity along the corridor and improve the other contributions of riparian zone vegetation to ecological function in the diverted channel.</w:t>
      </w:r>
    </w:p>
    <w:p w14:paraId="4C26049F" w14:textId="77777777" w:rsidR="00CA35CE" w:rsidRDefault="00154087" w:rsidP="00454D0E">
      <w:pPr>
        <w:pStyle w:val="ListNumber2"/>
      </w:pPr>
      <w:r>
        <w:t xml:space="preserve">Information on </w:t>
      </w:r>
      <w:r w:rsidR="00015D44">
        <w:t>current shear stresses and</w:t>
      </w:r>
      <w:r>
        <w:t xml:space="preserve"> rates, volumes</w:t>
      </w:r>
      <w:r w:rsidR="00015D44">
        <w:t xml:space="preserve"> and</w:t>
      </w:r>
      <w:r>
        <w:t xml:space="preserve"> timings </w:t>
      </w:r>
      <w:r w:rsidR="00015D44">
        <w:t xml:space="preserve">of flows in </w:t>
      </w:r>
      <w:proofErr w:type="spellStart"/>
      <w:r w:rsidR="00015D44">
        <w:t>Yorks</w:t>
      </w:r>
      <w:proofErr w:type="spellEnd"/>
      <w:r w:rsidR="00015D44">
        <w:t xml:space="preserve"> Creek and those </w:t>
      </w:r>
      <w:r>
        <w:t>expected in the diverted channel are required</w:t>
      </w:r>
      <w:r w:rsidR="00015D44">
        <w:t xml:space="preserve"> for assessment of likely changes</w:t>
      </w:r>
      <w:r>
        <w:t xml:space="preserve">. </w:t>
      </w:r>
      <w:r w:rsidR="00015D44">
        <w:t>P</w:t>
      </w:r>
      <w:r>
        <w:t>revious diversion</w:t>
      </w:r>
      <w:r w:rsidR="008A352B">
        <w:t>s</w:t>
      </w:r>
      <w:r>
        <w:t xml:space="preserve"> at the Mount Owen Complex may have resulted in large changes to these characteristics</w:t>
      </w:r>
      <w:r w:rsidR="00F86E9F">
        <w:t xml:space="preserve"> (Glencore 2019b, pp. 18-19)</w:t>
      </w:r>
      <w:r w:rsidR="00CB6D4C">
        <w:t xml:space="preserve"> but the impacts of these are unclear</w:t>
      </w:r>
      <w:r>
        <w:t xml:space="preserve">. </w:t>
      </w:r>
    </w:p>
    <w:p w14:paraId="698C2ABD" w14:textId="77777777" w:rsidR="008A352B" w:rsidRDefault="008A352B" w:rsidP="008A352B">
      <w:pPr>
        <w:pStyle w:val="ListNumber"/>
      </w:pPr>
      <w:r>
        <w:t>Flood modelling for the project is needed in the EIS. This modelling should:</w:t>
      </w:r>
    </w:p>
    <w:p w14:paraId="415092D7" w14:textId="53E07033" w:rsidR="008A352B" w:rsidRDefault="008A352B" w:rsidP="008A352B">
      <w:pPr>
        <w:pStyle w:val="ListNumber2"/>
      </w:pPr>
      <w:proofErr w:type="gramStart"/>
      <w:r>
        <w:t>explicitly</w:t>
      </w:r>
      <w:proofErr w:type="gramEnd"/>
      <w:r>
        <w:t xml:space="preserve"> consider the proposed </w:t>
      </w:r>
      <w:proofErr w:type="spellStart"/>
      <w:r>
        <w:t>Glendell</w:t>
      </w:r>
      <w:proofErr w:type="spellEnd"/>
      <w:r>
        <w:t xml:space="preserve"> void </w:t>
      </w:r>
      <w:r w:rsidR="00BD075B">
        <w:t>over</w:t>
      </w:r>
      <w:r>
        <w:t xml:space="preserve"> a range of flood </w:t>
      </w:r>
      <w:r w:rsidR="00BD075B">
        <w:t xml:space="preserve">exceedance probabilities up to and including </w:t>
      </w:r>
      <w:r>
        <w:t xml:space="preserve">the </w:t>
      </w:r>
      <w:r w:rsidR="00BD075B">
        <w:t>P</w:t>
      </w:r>
      <w:r>
        <w:t xml:space="preserve">robable </w:t>
      </w:r>
      <w:r w:rsidR="00BD075B">
        <w:t>M</w:t>
      </w:r>
      <w:r>
        <w:t xml:space="preserve">aximum </w:t>
      </w:r>
      <w:r w:rsidR="00BD075B">
        <w:t>F</w:t>
      </w:r>
      <w:r>
        <w:t>lood (PMF) as previous flood modelling has not</w:t>
      </w:r>
      <w:r w:rsidR="00F86E9F">
        <w:t xml:space="preserve"> </w:t>
      </w:r>
      <w:r w:rsidR="00CF7729">
        <w:t xml:space="preserve">done this </w:t>
      </w:r>
      <w:r w:rsidR="00F86E9F">
        <w:t>(Glencore 2019</w:t>
      </w:r>
      <w:r w:rsidR="00F00673">
        <w:t>a</w:t>
      </w:r>
      <w:r w:rsidR="00F86E9F">
        <w:t>, p. 18)</w:t>
      </w:r>
      <w:r>
        <w:t xml:space="preserve">. This is needed to understand potential impacts </w:t>
      </w:r>
      <w:r w:rsidR="00CB6D4C">
        <w:t xml:space="preserve">posed by the final void </w:t>
      </w:r>
      <w:r>
        <w:t>to both flooding characteristics and water quality</w:t>
      </w:r>
      <w:r w:rsidR="008D5384">
        <w:t>;</w:t>
      </w:r>
    </w:p>
    <w:p w14:paraId="4B1E1773" w14:textId="77777777" w:rsidR="008A352B" w:rsidRDefault="008A352B" w:rsidP="008A352B">
      <w:pPr>
        <w:pStyle w:val="ListNumber2"/>
      </w:pPr>
      <w:r>
        <w:t>include the proposed diversion so that changes in flood levels and velocities that occur as a result of the diversion can be assessed</w:t>
      </w:r>
      <w:r w:rsidR="008D5384">
        <w:t>;</w:t>
      </w:r>
      <w:r>
        <w:t xml:space="preserve"> </w:t>
      </w:r>
    </w:p>
    <w:p w14:paraId="5C766C58" w14:textId="77777777" w:rsidR="00AF1564" w:rsidRPr="00162509" w:rsidRDefault="00AF1564" w:rsidP="008A352B">
      <w:pPr>
        <w:pStyle w:val="ListNumber2"/>
      </w:pPr>
      <w:proofErr w:type="gramStart"/>
      <w:r>
        <w:t>determine</w:t>
      </w:r>
      <w:proofErr w:type="gramEnd"/>
      <w:r>
        <w:t xml:space="preserve"> the likelihood of uncontrolled discharges from </w:t>
      </w:r>
      <w:r w:rsidR="00CB6D4C">
        <w:t xml:space="preserve">each </w:t>
      </w:r>
      <w:r>
        <w:t xml:space="preserve">water storage and identify if controlled discharge will </w:t>
      </w:r>
      <w:r w:rsidRPr="00162509">
        <w:t xml:space="preserve">be required from any </w:t>
      </w:r>
      <w:r w:rsidR="00CB6D4C" w:rsidRPr="00162509">
        <w:t>of them</w:t>
      </w:r>
      <w:r w:rsidRPr="00162509">
        <w:t xml:space="preserve"> under any of the</w:t>
      </w:r>
      <w:r w:rsidR="00395E42" w:rsidRPr="00162509">
        <w:t xml:space="preserve"> examined rainfall </w:t>
      </w:r>
      <w:r w:rsidR="00BD075B" w:rsidRPr="00162509">
        <w:t xml:space="preserve">and flood runoff </w:t>
      </w:r>
      <w:r w:rsidR="00395E42" w:rsidRPr="00162509">
        <w:t>scenarios. If any potential discharge is identified</w:t>
      </w:r>
      <w:r w:rsidR="00CB6D4C" w:rsidRPr="00162509">
        <w:t>,</w:t>
      </w:r>
      <w:r w:rsidR="00395E42" w:rsidRPr="00162509">
        <w:t xml:space="preserve"> then the receiving environment </w:t>
      </w:r>
      <w:r w:rsidR="00CB6D4C" w:rsidRPr="00162509">
        <w:t xml:space="preserve">and </w:t>
      </w:r>
      <w:r w:rsidR="00CB6D4C" w:rsidRPr="00162509">
        <w:lastRenderedPageBreak/>
        <w:t xml:space="preserve">potential impacts </w:t>
      </w:r>
      <w:r w:rsidR="00395E42" w:rsidRPr="00162509">
        <w:t xml:space="preserve">should be </w:t>
      </w:r>
      <w:r w:rsidR="00CB6D4C" w:rsidRPr="00162509">
        <w:t>describ</w:t>
      </w:r>
      <w:r w:rsidR="00395E42" w:rsidRPr="00162509">
        <w:t>ed</w:t>
      </w:r>
      <w:r w:rsidR="00CB6D4C" w:rsidRPr="00162509">
        <w:t xml:space="preserve">, along with </w:t>
      </w:r>
      <w:r w:rsidR="00FD75A0" w:rsidRPr="00162509">
        <w:t xml:space="preserve">appropriate management and </w:t>
      </w:r>
      <w:r w:rsidR="00CB6D4C" w:rsidRPr="00162509">
        <w:t>mitigation measures</w:t>
      </w:r>
      <w:r w:rsidR="008D5384" w:rsidRPr="00162509">
        <w:t>; and</w:t>
      </w:r>
      <w:r w:rsidRPr="00162509">
        <w:t xml:space="preserve"> </w:t>
      </w:r>
    </w:p>
    <w:p w14:paraId="46275671" w14:textId="77777777" w:rsidR="008A352B" w:rsidRPr="00162509" w:rsidRDefault="008A352B" w:rsidP="008A352B">
      <w:pPr>
        <w:pStyle w:val="ListNumber2"/>
      </w:pPr>
      <w:proofErr w:type="gramStart"/>
      <w:r w:rsidRPr="00162509">
        <w:t>include</w:t>
      </w:r>
      <w:proofErr w:type="gramEnd"/>
      <w:r w:rsidRPr="00162509">
        <w:t xml:space="preserve"> the realignment of Hebden Road and the proposed MIA to assess how these </w:t>
      </w:r>
      <w:r w:rsidR="00CB6D4C" w:rsidRPr="00162509">
        <w:t xml:space="preserve">may </w:t>
      </w:r>
      <w:r w:rsidRPr="00162509">
        <w:t>be impacted by flooding and how these structure</w:t>
      </w:r>
      <w:r w:rsidR="00CB6D4C" w:rsidRPr="00162509">
        <w:t>s may</w:t>
      </w:r>
      <w:r w:rsidRPr="00162509">
        <w:t xml:space="preserve"> alter flood </w:t>
      </w:r>
      <w:r w:rsidR="00BD075B" w:rsidRPr="00162509">
        <w:t>behaviour</w:t>
      </w:r>
      <w:r w:rsidRPr="00162509">
        <w:t>.</w:t>
      </w:r>
    </w:p>
    <w:p w14:paraId="6E2C0B29" w14:textId="576F61BB" w:rsidR="00771933" w:rsidRPr="00CB7D49" w:rsidRDefault="00771933" w:rsidP="00771933">
      <w:pPr>
        <w:pStyle w:val="ListNumber"/>
      </w:pPr>
      <w:r w:rsidRPr="00670D91">
        <w:t xml:space="preserve">An assessment of the potential changes to flow regimes of all creeks that may be impacted by the project is needed in the EIS. This assessment should include data on </w:t>
      </w:r>
      <w:r w:rsidR="00202EF9" w:rsidRPr="00CB7D49">
        <w:t xml:space="preserve">the baseline flow </w:t>
      </w:r>
      <w:r w:rsidR="00FD75A0" w:rsidRPr="00CB7D49">
        <w:t xml:space="preserve">regime </w:t>
      </w:r>
      <w:r w:rsidR="00202EF9" w:rsidRPr="00CB7D49">
        <w:t xml:space="preserve">and analysis of how these will be altered due to the project. This analysis needs to be undertaken using data collected at a suitable temporal scale to understand </w:t>
      </w:r>
      <w:r w:rsidR="00FD75A0" w:rsidRPr="00CB7D49">
        <w:t xml:space="preserve">the </w:t>
      </w:r>
      <w:r w:rsidR="00202EF9" w:rsidRPr="00CB7D49">
        <w:t>seasonality</w:t>
      </w:r>
      <w:r w:rsidR="00FD75A0" w:rsidRPr="00CB7D49">
        <w:t xml:space="preserve"> of ecologically important </w:t>
      </w:r>
      <w:r w:rsidR="00202EF9" w:rsidRPr="00CB7D49">
        <w:t>flow</w:t>
      </w:r>
      <w:r w:rsidR="00FD75A0" w:rsidRPr="00CB7D49">
        <w:t xml:space="preserve"> components</w:t>
      </w:r>
      <w:r w:rsidR="006B4B43" w:rsidRPr="00CB7D49">
        <w:t xml:space="preserve"> </w:t>
      </w:r>
      <w:r w:rsidR="006B4B43" w:rsidRPr="00290A92">
        <w:t>(e.g. low flows, durations of zero-flow periods)</w:t>
      </w:r>
      <w:r w:rsidR="00202EF9" w:rsidRPr="00670D91">
        <w:t>. These data are needed to inform selection of mitigation options and development of</w:t>
      </w:r>
      <w:r w:rsidR="00202EF9" w:rsidRPr="00CB7D49">
        <w:t xml:space="preserve"> monitoring and management plans. These data should also be used by the proponent to support conclusions on the likelihood and significance of potential impacts.</w:t>
      </w:r>
    </w:p>
    <w:p w14:paraId="2AB50321" w14:textId="77777777" w:rsidR="00771933" w:rsidRDefault="009A6A12" w:rsidP="00771933">
      <w:pPr>
        <w:pStyle w:val="ListNumber"/>
      </w:pPr>
      <w:r w:rsidRPr="00162509">
        <w:t xml:space="preserve">The proponent needs to provide </w:t>
      </w:r>
      <w:r w:rsidR="004D3C15" w:rsidRPr="00162509">
        <w:t xml:space="preserve">a </w:t>
      </w:r>
      <w:r w:rsidRPr="00162509">
        <w:t xml:space="preserve">comprehensive </w:t>
      </w:r>
      <w:r w:rsidR="00771933" w:rsidRPr="00162509">
        <w:t xml:space="preserve">assessment of surface </w:t>
      </w:r>
      <w:r w:rsidRPr="00162509">
        <w:t>water quality</w:t>
      </w:r>
      <w:r w:rsidR="00771933" w:rsidRPr="00162509">
        <w:t xml:space="preserve"> </w:t>
      </w:r>
      <w:r w:rsidR="004D3C15" w:rsidRPr="00162509">
        <w:t>that incorporates</w:t>
      </w:r>
      <w:r w:rsidR="00771933" w:rsidRPr="00162509">
        <w:t xml:space="preserve"> all existing monitoring data. These data are needed to establish the</w:t>
      </w:r>
      <w:r w:rsidR="00771933">
        <w:t xml:space="preserve"> baseline condition of creeks that could be impacted by the project, to inform selection of mitigation options and to assist development of monitoring and management plans. </w:t>
      </w:r>
    </w:p>
    <w:p w14:paraId="7D45DDBB" w14:textId="219C5533" w:rsidR="009A6A12" w:rsidRPr="00670D91" w:rsidRDefault="009A6A12" w:rsidP="008A352B">
      <w:pPr>
        <w:pStyle w:val="ListNumber"/>
      </w:pPr>
      <w:r w:rsidRPr="00670D91">
        <w:t xml:space="preserve">Updated schematics for the water management system (WMS) are required. These schematics should clearly show how the project and any additional water management infrastructure associated with the project </w:t>
      </w:r>
      <w:r w:rsidR="00552AA1" w:rsidRPr="00CB7D49">
        <w:t>will be integrated into the WMS and the GRAWTS.</w:t>
      </w:r>
      <w:r w:rsidR="00D77929" w:rsidRPr="00CB7D49">
        <w:t xml:space="preserve"> </w:t>
      </w:r>
      <w:r w:rsidR="00D77929" w:rsidRPr="00290A92">
        <w:t>The benefits of the GRAWTS for water and waste management should be presented in more detail. Quantitative information on flows and storage under various management scenarios is needed for the scheme.</w:t>
      </w:r>
    </w:p>
    <w:p w14:paraId="7C58397A" w14:textId="77777777" w:rsidR="00066732" w:rsidRDefault="00066732" w:rsidP="00066732">
      <w:pPr>
        <w:pStyle w:val="ListNumber"/>
      </w:pPr>
      <w:r>
        <w:t>A comprehensive water balance is needed for the project. The IESC notes that the proponent has committed to undertake this work in the EIS (Umwelt 2018, p. 89). The proponent should consider using:</w:t>
      </w:r>
    </w:p>
    <w:p w14:paraId="5FA208E9" w14:textId="77777777" w:rsidR="00066732" w:rsidRDefault="00066732" w:rsidP="00066732">
      <w:pPr>
        <w:pStyle w:val="ListNumber2"/>
      </w:pPr>
      <w:r>
        <w:t>the Minerals Council of Australia – Water Accounting Framework (2014) to identify the uncertainties in the water balance inputs; and</w:t>
      </w:r>
    </w:p>
    <w:p w14:paraId="663CBBC4" w14:textId="77777777" w:rsidR="00066732" w:rsidRDefault="00066732" w:rsidP="00066732">
      <w:pPr>
        <w:pStyle w:val="ListNumber2"/>
      </w:pPr>
      <w:proofErr w:type="gramStart"/>
      <w:r>
        <w:t>the</w:t>
      </w:r>
      <w:proofErr w:type="gramEnd"/>
      <w:r>
        <w:t xml:space="preserve"> water balance as evidence to support their conclusion that no changes to current discharge arrangements will be needed to accommodate the project (Umwelt 2019a, p. 52).</w:t>
      </w:r>
    </w:p>
    <w:p w14:paraId="42FC4856" w14:textId="77777777" w:rsidR="00CA35CE" w:rsidRPr="00CB7D49" w:rsidRDefault="00CA35CE" w:rsidP="00CA35CE">
      <w:pPr>
        <w:pStyle w:val="ListNumber"/>
      </w:pPr>
      <w:r w:rsidRPr="00670D91">
        <w:t xml:space="preserve">More information on potential North Pit Void water storage </w:t>
      </w:r>
      <w:r w:rsidR="00552AA1" w:rsidRPr="00CB7D49">
        <w:t xml:space="preserve">is </w:t>
      </w:r>
      <w:r w:rsidRPr="00CB7D49">
        <w:t>needed to underst</w:t>
      </w:r>
      <w:r w:rsidR="00D7311A" w:rsidRPr="00CB7D49">
        <w:t>and potential risks and impacts associated with this storage</w:t>
      </w:r>
      <w:r w:rsidR="00BD075B" w:rsidRPr="00CB7D49">
        <w:t xml:space="preserve"> under current and future climatic conditions</w:t>
      </w:r>
      <w:r w:rsidR="00D7311A" w:rsidRPr="00CB7D49">
        <w:t>. Information provided in the EIS should include</w:t>
      </w:r>
      <w:r w:rsidR="00BD075B" w:rsidRPr="00CB7D49">
        <w:t xml:space="preserve"> a long-term quantitative assessment of</w:t>
      </w:r>
      <w:r w:rsidR="00D7311A" w:rsidRPr="00CB7D49">
        <w:t>:</w:t>
      </w:r>
    </w:p>
    <w:p w14:paraId="636FE7ED" w14:textId="62C34B21" w:rsidR="00D7311A" w:rsidRPr="00CB7D49" w:rsidRDefault="00D7311A" w:rsidP="00CA35CE">
      <w:pPr>
        <w:pStyle w:val="ListNumber2"/>
      </w:pPr>
      <w:r w:rsidRPr="00CB7D49">
        <w:t>the l</w:t>
      </w:r>
      <w:r w:rsidR="00CA35CE" w:rsidRPr="00CB7D49">
        <w:t xml:space="preserve">ikely </w:t>
      </w:r>
      <w:r w:rsidRPr="00CB7D49">
        <w:t>water quality in the void</w:t>
      </w:r>
      <w:r w:rsidR="00454D0E" w:rsidRPr="00CB7D49">
        <w:t xml:space="preserve"> and changes over time</w:t>
      </w:r>
      <w:r w:rsidR="006E0C2E" w:rsidRPr="00CB7D49">
        <w:t xml:space="preserve"> </w:t>
      </w:r>
      <w:r w:rsidR="006E0C2E" w:rsidRPr="00290A92">
        <w:t>while it is used as a storage</w:t>
      </w:r>
      <w:r w:rsidR="008D5384" w:rsidRPr="00670D91">
        <w:t>;</w:t>
      </w:r>
      <w:r w:rsidR="00CA35CE" w:rsidRPr="00CB7D49">
        <w:t xml:space="preserve"> </w:t>
      </w:r>
    </w:p>
    <w:p w14:paraId="57216363" w14:textId="77777777" w:rsidR="00D7311A" w:rsidRPr="00CB7D49" w:rsidRDefault="00D7311A" w:rsidP="00CA35CE">
      <w:pPr>
        <w:pStyle w:val="ListNumber2"/>
      </w:pPr>
      <w:r w:rsidRPr="00CB7D49">
        <w:t xml:space="preserve">groundwater </w:t>
      </w:r>
      <w:r w:rsidR="00CA35CE" w:rsidRPr="00CB7D49">
        <w:t>inflows</w:t>
      </w:r>
      <w:r w:rsidRPr="00CB7D49">
        <w:t xml:space="preserve"> to the storage and whether the storage will be a sink</w:t>
      </w:r>
      <w:r w:rsidR="008D5384" w:rsidRPr="00CB7D49">
        <w:t>; and</w:t>
      </w:r>
    </w:p>
    <w:p w14:paraId="36EEA335" w14:textId="77777777" w:rsidR="00066732" w:rsidRPr="00CB7D49" w:rsidRDefault="00D7311A" w:rsidP="00066732">
      <w:pPr>
        <w:pStyle w:val="ListNumber2"/>
      </w:pPr>
      <w:proofErr w:type="gramStart"/>
      <w:r w:rsidRPr="00CB7D49">
        <w:t>the</w:t>
      </w:r>
      <w:proofErr w:type="gramEnd"/>
      <w:r w:rsidRPr="00CB7D49">
        <w:t xml:space="preserve"> volume of water that may be stored</w:t>
      </w:r>
      <w:r w:rsidR="00552AA1" w:rsidRPr="00CB7D49">
        <w:t xml:space="preserve"> within the North Pit Void</w:t>
      </w:r>
      <w:r w:rsidRPr="00CB7D49">
        <w:t>.</w:t>
      </w:r>
    </w:p>
    <w:p w14:paraId="7BF804B6" w14:textId="77777777" w:rsidR="00CA35CE" w:rsidRDefault="00D7311A" w:rsidP="00CA35CE">
      <w:pPr>
        <w:pStyle w:val="ListNumber"/>
      </w:pPr>
      <w:r>
        <w:t xml:space="preserve">The proposed </w:t>
      </w:r>
      <w:r w:rsidR="00CA35CE">
        <w:t xml:space="preserve">monitoring </w:t>
      </w:r>
      <w:r>
        <w:t xml:space="preserve">and management </w:t>
      </w:r>
      <w:r w:rsidR="00CA35CE">
        <w:t>program</w:t>
      </w:r>
      <w:r>
        <w:t xml:space="preserve"> should be detailed in the EIS to enable an assessment of its likely effectiveness. The proponent should</w:t>
      </w:r>
      <w:r w:rsidR="00CA35CE">
        <w:t xml:space="preserve">: </w:t>
      </w:r>
    </w:p>
    <w:p w14:paraId="74D9BFDC" w14:textId="77777777" w:rsidR="00CA35CE" w:rsidRDefault="00552AA1" w:rsidP="00CA35CE">
      <w:pPr>
        <w:pStyle w:val="ListNumber2"/>
      </w:pPr>
      <w:r>
        <w:t>p</w:t>
      </w:r>
      <w:r w:rsidR="00D7311A">
        <w:t xml:space="preserve">rovide a </w:t>
      </w:r>
      <w:r w:rsidR="00CA35CE">
        <w:t xml:space="preserve">summary </w:t>
      </w:r>
      <w:r w:rsidR="00D7311A">
        <w:t xml:space="preserve">of any </w:t>
      </w:r>
      <w:r w:rsidR="00CA35CE">
        <w:t>changes</w:t>
      </w:r>
      <w:r w:rsidR="00D7311A">
        <w:t xml:space="preserve"> or </w:t>
      </w:r>
      <w:r w:rsidR="00CA35CE">
        <w:t xml:space="preserve">additions </w:t>
      </w:r>
      <w:r w:rsidR="00D7311A">
        <w:t xml:space="preserve">to the monitoring network that would be required </w:t>
      </w:r>
      <w:r w:rsidR="00CA35CE">
        <w:t xml:space="preserve">due to </w:t>
      </w:r>
      <w:r w:rsidR="006604A1">
        <w:t xml:space="preserve">the </w:t>
      </w:r>
      <w:r w:rsidR="00CA35CE">
        <w:t>project</w:t>
      </w:r>
      <w:r w:rsidR="008D5384">
        <w:t>;</w:t>
      </w:r>
    </w:p>
    <w:p w14:paraId="60A263F7" w14:textId="77777777" w:rsidR="00CA35CE" w:rsidRDefault="00552AA1" w:rsidP="00CA35CE">
      <w:pPr>
        <w:pStyle w:val="ListNumber2"/>
      </w:pPr>
      <w:proofErr w:type="gramStart"/>
      <w:r>
        <w:t>d</w:t>
      </w:r>
      <w:r w:rsidR="00454D0E">
        <w:t>etermine</w:t>
      </w:r>
      <w:proofErr w:type="gramEnd"/>
      <w:r w:rsidR="00454D0E">
        <w:t xml:space="preserve"> site-</w:t>
      </w:r>
      <w:r w:rsidR="00D7311A">
        <w:t>specific</w:t>
      </w:r>
      <w:r w:rsidR="00454D0E">
        <w:t xml:space="preserve"> </w:t>
      </w:r>
      <w:r w:rsidR="00D7311A">
        <w:t xml:space="preserve">guideline values for all water quality </w:t>
      </w:r>
      <w:proofErr w:type="spellStart"/>
      <w:r w:rsidR="00D7311A">
        <w:t>analyte</w:t>
      </w:r>
      <w:r w:rsidR="004D3C15">
        <w:t>s</w:t>
      </w:r>
      <w:proofErr w:type="spellEnd"/>
      <w:r w:rsidR="00202EF9">
        <w:t xml:space="preserve"> (see Huynh and Hobbs 2019). </w:t>
      </w:r>
      <w:r w:rsidR="00D7311A">
        <w:t>Currently</w:t>
      </w:r>
      <w:r w:rsidR="006604A1">
        <w:t>,</w:t>
      </w:r>
      <w:r w:rsidR="00D7311A">
        <w:t xml:space="preserve"> guideline values have only been determined for </w:t>
      </w:r>
      <w:r w:rsidR="00CA35CE">
        <w:t xml:space="preserve">pH, EC and </w:t>
      </w:r>
      <w:r w:rsidR="00D7311A">
        <w:t>total suspended solids (</w:t>
      </w:r>
      <w:r w:rsidR="00CA35CE">
        <w:t>TSS</w:t>
      </w:r>
      <w:r w:rsidR="00D7311A">
        <w:t>)</w:t>
      </w:r>
      <w:r w:rsidR="008D5384">
        <w:t>; and</w:t>
      </w:r>
    </w:p>
    <w:p w14:paraId="50E1DD1C" w14:textId="77777777" w:rsidR="00D7311A" w:rsidRDefault="00552AA1" w:rsidP="00D7311A">
      <w:pPr>
        <w:pStyle w:val="ListNumber2"/>
      </w:pPr>
      <w:proofErr w:type="gramStart"/>
      <w:r>
        <w:lastRenderedPageBreak/>
        <w:t>u</w:t>
      </w:r>
      <w:r w:rsidR="00DA07B9">
        <w:t>pdate</w:t>
      </w:r>
      <w:proofErr w:type="gramEnd"/>
      <w:r w:rsidR="00DA07B9">
        <w:t xml:space="preserve"> TARPs</w:t>
      </w:r>
      <w:r w:rsidR="00D7311A">
        <w:t xml:space="preserve"> to include specifics on the implementation of proposed responses, management options available and timeframes for action and response</w:t>
      </w:r>
      <w:r w:rsidR="00DA07B9">
        <w:t>.</w:t>
      </w:r>
      <w:r w:rsidR="00DA07B9" w:rsidRPr="00DA07B9">
        <w:t xml:space="preserve"> </w:t>
      </w:r>
      <w:r w:rsidR="00DA07B9">
        <w:t>Currently</w:t>
      </w:r>
      <w:r w:rsidR="006604A1">
        <w:t>,</w:t>
      </w:r>
      <w:r w:rsidR="00DA07B9">
        <w:t xml:space="preserve"> timeframes are only provided for reporting to regulatory authorities. </w:t>
      </w:r>
    </w:p>
    <w:p w14:paraId="03EC67F9" w14:textId="77777777" w:rsidR="00C858C6" w:rsidRPr="00162509" w:rsidRDefault="00356650" w:rsidP="004D3C15">
      <w:pPr>
        <w:pStyle w:val="ListNumber"/>
        <w:keepNext/>
        <w:numPr>
          <w:ilvl w:val="0"/>
          <w:numId w:val="0"/>
        </w:numPr>
        <w:ind w:left="369" w:hanging="369"/>
        <w:rPr>
          <w:u w:val="single"/>
        </w:rPr>
      </w:pPr>
      <w:r>
        <w:rPr>
          <w:u w:val="single"/>
        </w:rPr>
        <w:t>Groundwater-</w:t>
      </w:r>
      <w:r w:rsidRPr="00162509">
        <w:rPr>
          <w:u w:val="single"/>
        </w:rPr>
        <w:t>dependent ecosystems</w:t>
      </w:r>
      <w:r w:rsidR="00717DD2" w:rsidRPr="00162509">
        <w:rPr>
          <w:u w:val="single"/>
        </w:rPr>
        <w:t xml:space="preserve"> (GDEs)</w:t>
      </w:r>
    </w:p>
    <w:p w14:paraId="1F5D650B" w14:textId="6BABA94F" w:rsidR="00CA35CE" w:rsidRPr="00CB7D49" w:rsidRDefault="00DA07B9" w:rsidP="00CA35CE">
      <w:pPr>
        <w:pStyle w:val="ListNumber"/>
      </w:pPr>
      <w:r w:rsidRPr="00162509">
        <w:t xml:space="preserve">To </w:t>
      </w:r>
      <w:r w:rsidR="008016EC" w:rsidRPr="00162509">
        <w:t>assess</w:t>
      </w:r>
      <w:r w:rsidRPr="00162509">
        <w:t xml:space="preserve"> </w:t>
      </w:r>
      <w:r w:rsidR="008016EC" w:rsidRPr="00162509">
        <w:t xml:space="preserve">the likelihood and significance of </w:t>
      </w:r>
      <w:r w:rsidRPr="00162509">
        <w:t xml:space="preserve">potential impacts </w:t>
      </w:r>
      <w:r w:rsidR="008016EC" w:rsidRPr="00162509">
        <w:t xml:space="preserve">of the project on </w:t>
      </w:r>
      <w:r w:rsidR="00545C37" w:rsidRPr="00162509">
        <w:t>GDEs</w:t>
      </w:r>
      <w:r w:rsidR="008016EC" w:rsidRPr="00162509">
        <w:t xml:space="preserve">, </w:t>
      </w:r>
      <w:r w:rsidR="00545C37" w:rsidRPr="00162509">
        <w:t>t</w:t>
      </w:r>
      <w:r w:rsidRPr="00162509">
        <w:t xml:space="preserve">he EIS </w:t>
      </w:r>
      <w:r w:rsidR="002D6763" w:rsidRPr="00162509">
        <w:t>should survey all likely GDEs in the project area</w:t>
      </w:r>
      <w:r w:rsidR="00066732" w:rsidRPr="00162509">
        <w:t xml:space="preserve">. </w:t>
      </w:r>
      <w:r w:rsidR="00216673" w:rsidRPr="00162509">
        <w:t>W</w:t>
      </w:r>
      <w:r w:rsidR="002D6763" w:rsidRPr="00162509">
        <w:t xml:space="preserve">here groundwater drawdown is predicted, </w:t>
      </w:r>
      <w:r w:rsidR="00B56F64">
        <w:t xml:space="preserve">the proponent should </w:t>
      </w:r>
      <w:r w:rsidR="002D6763" w:rsidRPr="00162509">
        <w:t>assess condition and groundwater dependency</w:t>
      </w:r>
      <w:r w:rsidR="00917A81" w:rsidRPr="00162509">
        <w:t xml:space="preserve"> of each GDE</w:t>
      </w:r>
      <w:r w:rsidR="002D6763" w:rsidRPr="00162509">
        <w:t xml:space="preserve">, use </w:t>
      </w:r>
      <w:proofErr w:type="spellStart"/>
      <w:r w:rsidR="002D6763" w:rsidRPr="00162509">
        <w:t>ecohydrological</w:t>
      </w:r>
      <w:proofErr w:type="spellEnd"/>
      <w:r w:rsidR="002D6763" w:rsidRPr="00162509">
        <w:t xml:space="preserve"> conceptual models to illustrate potential pathways of impacts, describe how GDEs will be monitored to detect impacts </w:t>
      </w:r>
      <w:r w:rsidR="00917A81" w:rsidRPr="00162509">
        <w:t xml:space="preserve">and </w:t>
      </w:r>
      <w:r w:rsidR="00A76741" w:rsidRPr="00162509">
        <w:t xml:space="preserve">propose </w:t>
      </w:r>
      <w:r w:rsidR="00066732" w:rsidRPr="00162509">
        <w:t xml:space="preserve">appropriate </w:t>
      </w:r>
      <w:r w:rsidR="00A76741" w:rsidRPr="00162509">
        <w:t>mitigation</w:t>
      </w:r>
      <w:r w:rsidR="00917A81" w:rsidRPr="00162509">
        <w:t xml:space="preserve"> </w:t>
      </w:r>
      <w:r w:rsidR="00A76741" w:rsidRPr="00670D91">
        <w:t>measures</w:t>
      </w:r>
      <w:r w:rsidR="00304B43" w:rsidRPr="00670D91">
        <w:t xml:space="preserve"> </w:t>
      </w:r>
      <w:r w:rsidR="00304B43" w:rsidRPr="00290A92">
        <w:t>(</w:t>
      </w:r>
      <w:r w:rsidR="006C7F29" w:rsidRPr="00290A92">
        <w:t>described in</w:t>
      </w:r>
      <w:r w:rsidR="00304B43" w:rsidRPr="00290A92">
        <w:t xml:space="preserve"> Doody et al. 2019)</w:t>
      </w:r>
      <w:r w:rsidR="002D6763" w:rsidRPr="00670D91">
        <w:t xml:space="preserve">. In particular, the EIS </w:t>
      </w:r>
      <w:r w:rsidRPr="00CB7D49">
        <w:t xml:space="preserve">requires a </w:t>
      </w:r>
      <w:r w:rsidR="00CA35CE" w:rsidRPr="00CB7D49">
        <w:t>detailed:</w:t>
      </w:r>
    </w:p>
    <w:p w14:paraId="5CFA2991" w14:textId="77777777" w:rsidR="00AF1564" w:rsidRPr="00162509" w:rsidRDefault="00CA35CE" w:rsidP="00AF1564">
      <w:pPr>
        <w:pStyle w:val="ListNumber2"/>
      </w:pPr>
      <w:r w:rsidRPr="00162509">
        <w:t xml:space="preserve">assessment </w:t>
      </w:r>
      <w:r w:rsidR="002D6763" w:rsidRPr="00162509">
        <w:t xml:space="preserve">of the aquatic biota (e.g. fish, surface and </w:t>
      </w:r>
      <w:proofErr w:type="spellStart"/>
      <w:r w:rsidR="002D6763" w:rsidRPr="00162509">
        <w:t>hyporheic</w:t>
      </w:r>
      <w:proofErr w:type="spellEnd"/>
      <w:r w:rsidR="002D6763" w:rsidRPr="00162509">
        <w:t xml:space="preserve"> invertebrates) in</w:t>
      </w:r>
      <w:r w:rsidRPr="00162509">
        <w:t xml:space="preserve"> </w:t>
      </w:r>
      <w:r w:rsidR="00C93E0A" w:rsidRPr="00162509">
        <w:t>creeks draining the project area</w:t>
      </w:r>
      <w:r w:rsidR="00552AA1" w:rsidRPr="00162509">
        <w:t xml:space="preserve"> due to the high potential for impacts </w:t>
      </w:r>
      <w:r w:rsidR="00C93E0A" w:rsidRPr="00162509">
        <w:t xml:space="preserve">to flow regimes (especially </w:t>
      </w:r>
      <w:r w:rsidR="00917A81" w:rsidRPr="00162509">
        <w:t xml:space="preserve">during </w:t>
      </w:r>
      <w:r w:rsidR="00C93E0A" w:rsidRPr="00162509">
        <w:t>low flows) caused by groundwater drawdown in the alluvial sediments</w:t>
      </w:r>
      <w:r w:rsidR="008D5384" w:rsidRPr="00162509">
        <w:t>;</w:t>
      </w:r>
    </w:p>
    <w:p w14:paraId="04197FF6" w14:textId="77777777" w:rsidR="00AF1564" w:rsidRPr="00162509" w:rsidRDefault="00AF1564" w:rsidP="00AF1564">
      <w:pPr>
        <w:pStyle w:val="ListNumber2"/>
      </w:pPr>
      <w:proofErr w:type="gramStart"/>
      <w:r w:rsidRPr="00162509">
        <w:t>study</w:t>
      </w:r>
      <w:proofErr w:type="gramEnd"/>
      <w:r w:rsidRPr="00162509">
        <w:t xml:space="preserve"> to identify the location</w:t>
      </w:r>
      <w:r w:rsidR="00917A81" w:rsidRPr="00162509">
        <w:t xml:space="preserve">s, basin features and habitat value </w:t>
      </w:r>
      <w:r w:rsidRPr="00162509">
        <w:t xml:space="preserve">of semi-permanent and permanent pools that occur in </w:t>
      </w:r>
      <w:r w:rsidR="00917A81" w:rsidRPr="00162509">
        <w:t xml:space="preserve">the ephemeral </w:t>
      </w:r>
      <w:r w:rsidRPr="00162509">
        <w:t xml:space="preserve">creeks potentially impacted by the project. </w:t>
      </w:r>
      <w:r w:rsidR="00917A81" w:rsidRPr="00162509">
        <w:t>Aquatic biota</w:t>
      </w:r>
      <w:r w:rsidRPr="00162509">
        <w:t xml:space="preserve"> </w:t>
      </w:r>
      <w:r w:rsidR="00917A81" w:rsidRPr="00162509">
        <w:t xml:space="preserve">(e.g. fish, amphibians and aquatic invertebrates) </w:t>
      </w:r>
      <w:r w:rsidRPr="00162509">
        <w:t>using the pools</w:t>
      </w:r>
      <w:r w:rsidR="00917A81" w:rsidRPr="00162509">
        <w:t xml:space="preserve"> should be surveyed to provide a baseline against which to assess effects on pool persistence caused by groundwater drawdown</w:t>
      </w:r>
      <w:r w:rsidR="008D5384" w:rsidRPr="00162509">
        <w:t>;</w:t>
      </w:r>
    </w:p>
    <w:p w14:paraId="614EC380" w14:textId="77777777" w:rsidR="00CA35CE" w:rsidRPr="00162509" w:rsidRDefault="00552AA1" w:rsidP="00CA35CE">
      <w:pPr>
        <w:pStyle w:val="ListNumber2"/>
      </w:pPr>
      <w:proofErr w:type="gramStart"/>
      <w:r w:rsidRPr="00162509">
        <w:t>a</w:t>
      </w:r>
      <w:r w:rsidR="00545C37" w:rsidRPr="00162509">
        <w:t>ssessment</w:t>
      </w:r>
      <w:proofErr w:type="gramEnd"/>
      <w:r w:rsidR="00545C37" w:rsidRPr="00162509">
        <w:t xml:space="preserve"> of whether </w:t>
      </w:r>
      <w:r w:rsidR="00A76741" w:rsidRPr="00162509">
        <w:t>platypus (</w:t>
      </w:r>
      <w:r w:rsidR="00A76741" w:rsidRPr="00162509">
        <w:rPr>
          <w:i/>
        </w:rPr>
        <w:t xml:space="preserve">Ornithorhynchus </w:t>
      </w:r>
      <w:proofErr w:type="spellStart"/>
      <w:r w:rsidR="00A76741" w:rsidRPr="00162509">
        <w:rPr>
          <w:i/>
        </w:rPr>
        <w:t>anatinus</w:t>
      </w:r>
      <w:proofErr w:type="spellEnd"/>
      <w:r w:rsidR="00A76741" w:rsidRPr="00162509">
        <w:t xml:space="preserve">) and </w:t>
      </w:r>
      <w:r w:rsidR="00545C37" w:rsidRPr="00162509">
        <w:t>EPBC Act-</w:t>
      </w:r>
      <w:r w:rsidR="00CA35CE" w:rsidRPr="00162509">
        <w:t>listed</w:t>
      </w:r>
      <w:r w:rsidR="00545C37" w:rsidRPr="00162509">
        <w:t xml:space="preserve"> </w:t>
      </w:r>
      <w:r w:rsidR="00CA35CE" w:rsidRPr="00162509">
        <w:t>species</w:t>
      </w:r>
      <w:r w:rsidR="00A76741" w:rsidRPr="00162509">
        <w:t xml:space="preserve"> (e.g. green and gold bell frog (</w:t>
      </w:r>
      <w:proofErr w:type="spellStart"/>
      <w:r w:rsidR="00A76741" w:rsidRPr="00162509">
        <w:rPr>
          <w:i/>
        </w:rPr>
        <w:t>Litoria</w:t>
      </w:r>
      <w:proofErr w:type="spellEnd"/>
      <w:r w:rsidR="00A76741" w:rsidRPr="00162509">
        <w:rPr>
          <w:i/>
        </w:rPr>
        <w:t xml:space="preserve"> </w:t>
      </w:r>
      <w:proofErr w:type="spellStart"/>
      <w:r w:rsidR="00A76741" w:rsidRPr="00162509">
        <w:rPr>
          <w:i/>
        </w:rPr>
        <w:t>aurea</w:t>
      </w:r>
      <w:proofErr w:type="spellEnd"/>
      <w:r w:rsidR="00A76741" w:rsidRPr="00162509">
        <w:t>), koala (</w:t>
      </w:r>
      <w:proofErr w:type="spellStart"/>
      <w:r w:rsidR="00A76741" w:rsidRPr="00162509">
        <w:rPr>
          <w:i/>
        </w:rPr>
        <w:t>Phascolactos</w:t>
      </w:r>
      <w:proofErr w:type="spellEnd"/>
      <w:r w:rsidR="00A76741" w:rsidRPr="00162509">
        <w:rPr>
          <w:i/>
        </w:rPr>
        <w:t xml:space="preserve"> </w:t>
      </w:r>
      <w:proofErr w:type="spellStart"/>
      <w:r w:rsidR="00A76741" w:rsidRPr="00162509">
        <w:rPr>
          <w:i/>
        </w:rPr>
        <w:t>cinereus</w:t>
      </w:r>
      <w:proofErr w:type="spellEnd"/>
      <w:r w:rsidR="00A76741" w:rsidRPr="00162509">
        <w:t>) and spotted-tail</w:t>
      </w:r>
      <w:r w:rsidR="00066732" w:rsidRPr="00162509">
        <w:t>ed</w:t>
      </w:r>
      <w:r w:rsidR="00A76741" w:rsidRPr="00162509">
        <w:t xml:space="preserve"> quoll (</w:t>
      </w:r>
      <w:proofErr w:type="spellStart"/>
      <w:r w:rsidR="00A76741" w:rsidRPr="00162509">
        <w:rPr>
          <w:i/>
        </w:rPr>
        <w:t>Dasyurus</w:t>
      </w:r>
      <w:proofErr w:type="spellEnd"/>
      <w:r w:rsidR="00A76741" w:rsidRPr="00162509">
        <w:rPr>
          <w:i/>
        </w:rPr>
        <w:t xml:space="preserve"> </w:t>
      </w:r>
      <w:proofErr w:type="spellStart"/>
      <w:r w:rsidR="00A76741" w:rsidRPr="00162509">
        <w:rPr>
          <w:i/>
        </w:rPr>
        <w:t>maculatus</w:t>
      </w:r>
      <w:proofErr w:type="spellEnd"/>
      <w:r w:rsidR="00A76741" w:rsidRPr="00162509">
        <w:rPr>
          <w:i/>
        </w:rPr>
        <w:t xml:space="preserve"> </w:t>
      </w:r>
      <w:proofErr w:type="spellStart"/>
      <w:r w:rsidR="00A76741" w:rsidRPr="00162509">
        <w:rPr>
          <w:i/>
        </w:rPr>
        <w:t>maculatus</w:t>
      </w:r>
      <w:proofErr w:type="spellEnd"/>
      <w:r w:rsidR="00A76741" w:rsidRPr="00162509">
        <w:t>))</w:t>
      </w:r>
      <w:r w:rsidR="00CA35CE" w:rsidRPr="00162509">
        <w:t xml:space="preserve"> are </w:t>
      </w:r>
      <w:r w:rsidR="00805612" w:rsidRPr="00162509">
        <w:t xml:space="preserve">using </w:t>
      </w:r>
      <w:r w:rsidR="00CA35CE" w:rsidRPr="00162509">
        <w:t xml:space="preserve">GDEs </w:t>
      </w:r>
      <w:r w:rsidR="00917A81" w:rsidRPr="00162509">
        <w:t xml:space="preserve">such as groundwater-dependent vegetation and groundwater-fed pools </w:t>
      </w:r>
      <w:r w:rsidR="00CA35CE" w:rsidRPr="00162509">
        <w:t xml:space="preserve">for habitat </w:t>
      </w:r>
      <w:r w:rsidR="00917A81" w:rsidRPr="00162509">
        <w:t>and/or food resources</w:t>
      </w:r>
      <w:r w:rsidR="00545C37" w:rsidRPr="00162509">
        <w:t>. Currently</w:t>
      </w:r>
      <w:r w:rsidR="00917A81" w:rsidRPr="00162509">
        <w:t>,</w:t>
      </w:r>
      <w:r w:rsidR="00545C37" w:rsidRPr="00162509">
        <w:t xml:space="preserve"> </w:t>
      </w:r>
      <w:r w:rsidR="00917A81" w:rsidRPr="00162509">
        <w:t xml:space="preserve">assessment of </w:t>
      </w:r>
      <w:r w:rsidR="00545C37" w:rsidRPr="00162509">
        <w:t xml:space="preserve">potential impacts to EPBC Act-listed species </w:t>
      </w:r>
      <w:r w:rsidR="00917A81" w:rsidRPr="00162509">
        <w:t>focuses on</w:t>
      </w:r>
      <w:r w:rsidR="00545C37" w:rsidRPr="00162509">
        <w:t xml:space="preserve"> direct clearing of habitat</w:t>
      </w:r>
      <w:r w:rsidR="00917A81" w:rsidRPr="00162509">
        <w:t xml:space="preserve"> whereas other impact-pathways may also be relevant</w:t>
      </w:r>
      <w:r w:rsidR="008D5384" w:rsidRPr="00162509">
        <w:t>;</w:t>
      </w:r>
    </w:p>
    <w:p w14:paraId="25AEFC1D" w14:textId="77777777" w:rsidR="00545C37" w:rsidRPr="00162509" w:rsidRDefault="00545C37" w:rsidP="00CA35CE">
      <w:pPr>
        <w:pStyle w:val="ListNumber2"/>
      </w:pPr>
      <w:proofErr w:type="gramStart"/>
      <w:r w:rsidRPr="00162509">
        <w:t>a</w:t>
      </w:r>
      <w:r w:rsidR="00CA5B4D" w:rsidRPr="00162509">
        <w:t>ssessment</w:t>
      </w:r>
      <w:proofErr w:type="gramEnd"/>
      <w:r w:rsidR="00CA5B4D" w:rsidRPr="00162509">
        <w:t xml:space="preserve"> of the </w:t>
      </w:r>
      <w:r w:rsidRPr="00162509">
        <w:t xml:space="preserve">baseline condition of </w:t>
      </w:r>
      <w:r w:rsidR="00917A81" w:rsidRPr="00162509">
        <w:t xml:space="preserve">alluvial and </w:t>
      </w:r>
      <w:r w:rsidR="00CA5B4D" w:rsidRPr="00162509">
        <w:t>riparian veg</w:t>
      </w:r>
      <w:r w:rsidRPr="00162509">
        <w:t>etation</w:t>
      </w:r>
      <w:r w:rsidR="00917A81" w:rsidRPr="00162509">
        <w:t xml:space="preserve"> and its dependence on groundwater</w:t>
      </w:r>
      <w:r w:rsidRPr="00162509">
        <w:t xml:space="preserve">. </w:t>
      </w:r>
      <w:r w:rsidR="00917A81" w:rsidRPr="00162509">
        <w:t>R</w:t>
      </w:r>
      <w:r w:rsidRPr="00162509">
        <w:t xml:space="preserve">iparian </w:t>
      </w:r>
      <w:r w:rsidR="00917A81" w:rsidRPr="00162509">
        <w:t xml:space="preserve">zones </w:t>
      </w:r>
      <w:r w:rsidRPr="00162509">
        <w:t xml:space="preserve">are likely to be key wildlife corridors </w:t>
      </w:r>
      <w:r w:rsidR="00917A81" w:rsidRPr="00162509">
        <w:t xml:space="preserve">(see </w:t>
      </w:r>
      <w:r w:rsidR="00917A81" w:rsidRPr="009F243B">
        <w:t>Paragraph</w:t>
      </w:r>
      <w:r w:rsidR="007D57E9" w:rsidRPr="009F243B">
        <w:t>s</w:t>
      </w:r>
      <w:r w:rsidR="00917A81" w:rsidRPr="009F243B">
        <w:t xml:space="preserve"> </w:t>
      </w:r>
      <w:r w:rsidR="001A3D4E" w:rsidRPr="009F243B">
        <w:t>14</w:t>
      </w:r>
      <w:r w:rsidR="00917A81" w:rsidRPr="009F243B">
        <w:t>d</w:t>
      </w:r>
      <w:r w:rsidR="007D57E9" w:rsidRPr="009F243B">
        <w:t xml:space="preserve"> and </w:t>
      </w:r>
      <w:r w:rsidR="00F751B8" w:rsidRPr="009F243B">
        <w:t>1</w:t>
      </w:r>
      <w:r w:rsidR="001A3D4E" w:rsidRPr="009F243B">
        <w:t>4</w:t>
      </w:r>
      <w:r w:rsidR="007D57E9" w:rsidRPr="009F243B">
        <w:t>e</w:t>
      </w:r>
      <w:r w:rsidR="00917A81" w:rsidRPr="00162509">
        <w:t xml:space="preserve">) </w:t>
      </w:r>
      <w:r w:rsidR="007118B4" w:rsidRPr="00162509">
        <w:t>providing organic matter and shading to the creeks, crucial habitat and dispersal pathways for terrestrial fauna, and sources of seeds and detritus</w:t>
      </w:r>
      <w:r w:rsidR="008D5384" w:rsidRPr="00162509">
        <w:t>;</w:t>
      </w:r>
      <w:r w:rsidRPr="00162509">
        <w:t xml:space="preserve"> </w:t>
      </w:r>
    </w:p>
    <w:p w14:paraId="450AAC9E" w14:textId="31965534" w:rsidR="00CA5B4D" w:rsidRPr="00CB7D49" w:rsidRDefault="007118B4" w:rsidP="00545C37">
      <w:pPr>
        <w:pStyle w:val="ListNumber2"/>
      </w:pPr>
      <w:proofErr w:type="spellStart"/>
      <w:proofErr w:type="gramStart"/>
      <w:r w:rsidRPr="00670D91">
        <w:t>hyporheos</w:t>
      </w:r>
      <w:proofErr w:type="spellEnd"/>
      <w:proofErr w:type="gramEnd"/>
      <w:r w:rsidRPr="00670D91">
        <w:t xml:space="preserve"> and </w:t>
      </w:r>
      <w:r w:rsidR="00545C37" w:rsidRPr="00CB7D49">
        <w:t>s</w:t>
      </w:r>
      <w:r w:rsidR="00CA5B4D" w:rsidRPr="00CB7D49">
        <w:t>tygo</w:t>
      </w:r>
      <w:r w:rsidR="00545C37" w:rsidRPr="00CB7D49">
        <w:t>fauna</w:t>
      </w:r>
      <w:r w:rsidR="00CA5B4D" w:rsidRPr="00CB7D49">
        <w:t xml:space="preserve"> assessment</w:t>
      </w:r>
      <w:r w:rsidR="00545C37" w:rsidRPr="00CB7D49">
        <w:t xml:space="preserve">. Stygofauna </w:t>
      </w:r>
      <w:r w:rsidRPr="00CB7D49">
        <w:t xml:space="preserve">and </w:t>
      </w:r>
      <w:proofErr w:type="spellStart"/>
      <w:r w:rsidRPr="00CB7D49">
        <w:t>hyporheic</w:t>
      </w:r>
      <w:proofErr w:type="spellEnd"/>
      <w:r w:rsidRPr="00CB7D49">
        <w:t xml:space="preserve"> invertebrates (</w:t>
      </w:r>
      <w:proofErr w:type="spellStart"/>
      <w:r w:rsidRPr="00CB7D49">
        <w:t>hyporheos</w:t>
      </w:r>
      <w:proofErr w:type="spellEnd"/>
      <w:r w:rsidRPr="00CB7D49">
        <w:t xml:space="preserve">) </w:t>
      </w:r>
      <w:r w:rsidR="00545C37" w:rsidRPr="00CB7D49">
        <w:t>are reported by the proponent to have been previously found in the</w:t>
      </w:r>
      <w:r w:rsidR="00CA5B4D" w:rsidRPr="00CB7D49">
        <w:t xml:space="preserve"> </w:t>
      </w:r>
      <w:proofErr w:type="spellStart"/>
      <w:r w:rsidR="00CA5B4D" w:rsidRPr="00CB7D49">
        <w:t>Yorks</w:t>
      </w:r>
      <w:proofErr w:type="spellEnd"/>
      <w:r w:rsidR="00CA5B4D" w:rsidRPr="00CB7D49">
        <w:t xml:space="preserve"> Creek alluvium</w:t>
      </w:r>
      <w:r w:rsidR="00552AA1" w:rsidRPr="00CB7D49">
        <w:t xml:space="preserve"> (EPBC Act Referral 2019, p. 27)</w:t>
      </w:r>
      <w:r w:rsidR="00545C37" w:rsidRPr="00CB7D49">
        <w:t xml:space="preserve">. This alluvium will be disconnected from </w:t>
      </w:r>
      <w:proofErr w:type="spellStart"/>
      <w:r w:rsidR="00545C37" w:rsidRPr="00CB7D49">
        <w:t>Yorks</w:t>
      </w:r>
      <w:proofErr w:type="spellEnd"/>
      <w:r w:rsidR="00545C37" w:rsidRPr="00CB7D49">
        <w:t xml:space="preserve"> Creek when it is diverted</w:t>
      </w:r>
      <w:r w:rsidRPr="00CB7D49">
        <w:t>,</w:t>
      </w:r>
      <w:r w:rsidR="00545C37" w:rsidRPr="00CB7D49">
        <w:t xml:space="preserve"> with some of the alluvium removed due to the pit expansion.</w:t>
      </w:r>
      <w:r w:rsidRPr="00CB7D49">
        <w:t xml:space="preserve">  There </w:t>
      </w:r>
      <w:r w:rsidR="00AC2642" w:rsidRPr="00CB7D49">
        <w:t>may</w:t>
      </w:r>
      <w:r w:rsidRPr="00CB7D49">
        <w:t xml:space="preserve"> also be groundwater drawdown in the alluvial corridors of other creeks</w:t>
      </w:r>
      <w:r w:rsidR="00A9555C" w:rsidRPr="00CB7D49">
        <w:t xml:space="preserve"> where stygofauna have also been recorded (e.g. Swamp and </w:t>
      </w:r>
      <w:proofErr w:type="spellStart"/>
      <w:r w:rsidR="00A9555C" w:rsidRPr="00CB7D49">
        <w:t>Glennies</w:t>
      </w:r>
      <w:proofErr w:type="spellEnd"/>
      <w:r w:rsidR="00A9555C" w:rsidRPr="00CB7D49">
        <w:t xml:space="preserve"> Creek (Referral 2019, p. 27</w:t>
      </w:r>
      <w:r w:rsidR="00066732" w:rsidRPr="00CB7D49">
        <w:t>)</w:t>
      </w:r>
      <w:r w:rsidR="00A9555C" w:rsidRPr="00CB7D49">
        <w:t>)</w:t>
      </w:r>
      <w:r w:rsidRPr="00CB7D49">
        <w:t xml:space="preserve">.  Baseline data on </w:t>
      </w:r>
      <w:proofErr w:type="spellStart"/>
      <w:r w:rsidRPr="00CB7D49">
        <w:t>hyporheos</w:t>
      </w:r>
      <w:proofErr w:type="spellEnd"/>
      <w:r w:rsidRPr="00CB7D49">
        <w:t xml:space="preserve"> and stygofauna community composition</w:t>
      </w:r>
      <w:r w:rsidR="00974CF6" w:rsidRPr="00CB7D49">
        <w:t xml:space="preserve"> </w:t>
      </w:r>
      <w:r w:rsidR="00974CF6" w:rsidRPr="00290A92">
        <w:t>in all potentially affected creeks in the project area</w:t>
      </w:r>
      <w:r w:rsidRPr="00670D91">
        <w:t xml:space="preserve"> are required </w:t>
      </w:r>
      <w:r w:rsidR="00545C37" w:rsidRPr="00CB7D49">
        <w:t>to determine the significance of th</w:t>
      </w:r>
      <w:r w:rsidRPr="00CB7D49">
        <w:t>ese</w:t>
      </w:r>
      <w:r w:rsidR="00545C37" w:rsidRPr="00CB7D49">
        <w:t xml:space="preserve"> impact</w:t>
      </w:r>
      <w:r w:rsidRPr="00CB7D49">
        <w:t>s</w:t>
      </w:r>
      <w:r w:rsidR="00545C37" w:rsidRPr="00CB7D49">
        <w:t xml:space="preserve"> and to inform the development of potential mitigation and management options</w:t>
      </w:r>
      <w:r w:rsidR="008D5384" w:rsidRPr="00CB7D49">
        <w:t>; and</w:t>
      </w:r>
      <w:r w:rsidR="00545C37" w:rsidRPr="00CB7D49">
        <w:t xml:space="preserve">  </w:t>
      </w:r>
    </w:p>
    <w:p w14:paraId="458CF932" w14:textId="77777777" w:rsidR="00CA5B4D" w:rsidRDefault="00953F62" w:rsidP="00805612">
      <w:pPr>
        <w:pStyle w:val="ListNumber2"/>
      </w:pPr>
      <w:proofErr w:type="gramStart"/>
      <w:r>
        <w:t>analysis</w:t>
      </w:r>
      <w:proofErr w:type="gramEnd"/>
      <w:r>
        <w:t xml:space="preserve"> that clearly identifies and maps</w:t>
      </w:r>
      <w:r w:rsidR="007118B4">
        <w:t xml:space="preserve"> </w:t>
      </w:r>
      <w:r w:rsidR="00E977C6">
        <w:t>the location</w:t>
      </w:r>
      <w:r w:rsidR="007118B4">
        <w:t>s</w:t>
      </w:r>
      <w:r w:rsidR="00E977C6">
        <w:t xml:space="preserve"> of potential </w:t>
      </w:r>
      <w:r w:rsidR="00CA5B4D">
        <w:t>terrestrial GDEs</w:t>
      </w:r>
      <w:r w:rsidR="007118B4">
        <w:t xml:space="preserve"> overlain with contour-maps showing predicted changes in</w:t>
      </w:r>
      <w:r w:rsidR="00E977C6">
        <w:t xml:space="preserve"> depth</w:t>
      </w:r>
      <w:r w:rsidR="007118B4">
        <w:t>s</w:t>
      </w:r>
      <w:r w:rsidR="00E977C6">
        <w:t xml:space="preserve"> to groundwater</w:t>
      </w:r>
      <w:r w:rsidR="007118B4">
        <w:t xml:space="preserve">. It would also be useful to map </w:t>
      </w:r>
      <w:r w:rsidR="00E977C6">
        <w:t>areas of potential terrestrial GDEs that</w:t>
      </w:r>
      <w:r w:rsidR="00CA5B4D">
        <w:t xml:space="preserve"> may be impacted by the project</w:t>
      </w:r>
      <w:r w:rsidR="007118B4">
        <w:t xml:space="preserve"> as well as those impacted by</w:t>
      </w:r>
      <w:r w:rsidR="00E977C6">
        <w:t xml:space="preserve"> already approved projects.</w:t>
      </w:r>
    </w:p>
    <w:p w14:paraId="4C40DE29" w14:textId="77777777" w:rsidR="00CA35CE" w:rsidRDefault="00E977C6" w:rsidP="00E977C6">
      <w:pPr>
        <w:pStyle w:val="ListNumber"/>
      </w:pPr>
      <w:r>
        <w:t>Proposed monitoring and management</w:t>
      </w:r>
      <w:r w:rsidR="00CA5B4D">
        <w:t xml:space="preserve"> </w:t>
      </w:r>
      <w:r>
        <w:t>measures for GDEs need to be outlined in the EIS. These measures and plans should include:</w:t>
      </w:r>
    </w:p>
    <w:p w14:paraId="6F97B36B" w14:textId="77777777" w:rsidR="00CA5B4D" w:rsidRPr="00162509" w:rsidRDefault="00CA5B4D" w:rsidP="00E977C6">
      <w:pPr>
        <w:pStyle w:val="ListNumber2"/>
      </w:pPr>
      <w:r>
        <w:t>TARPs</w:t>
      </w:r>
      <w:r w:rsidR="00E977C6">
        <w:t xml:space="preserve"> which incorporate specific</w:t>
      </w:r>
      <w:r w:rsidR="007118B4">
        <w:t xml:space="preserve"> details</w:t>
      </w:r>
      <w:r w:rsidR="00E977C6">
        <w:t xml:space="preserve"> o</w:t>
      </w:r>
      <w:r w:rsidR="007118B4">
        <w:t>f</w:t>
      </w:r>
      <w:r w:rsidR="00E977C6">
        <w:t xml:space="preserve"> the implementation of proposed responses, management options </w:t>
      </w:r>
      <w:r w:rsidR="00E977C6" w:rsidRPr="00162509">
        <w:t>available</w:t>
      </w:r>
      <w:r w:rsidR="00E71991" w:rsidRPr="00162509">
        <w:t>, their likely effectiveness,</w:t>
      </w:r>
      <w:r w:rsidR="00E977C6" w:rsidRPr="00162509">
        <w:t xml:space="preserve"> timeframes for action and response</w:t>
      </w:r>
      <w:r w:rsidR="008D5384" w:rsidRPr="00162509">
        <w:t>; and</w:t>
      </w:r>
    </w:p>
    <w:p w14:paraId="29CAF89F" w14:textId="77777777" w:rsidR="00CA5B4D" w:rsidRPr="00162509" w:rsidRDefault="00E977C6" w:rsidP="00E977C6">
      <w:pPr>
        <w:pStyle w:val="ListNumber2"/>
      </w:pPr>
      <w:r w:rsidRPr="00162509">
        <w:lastRenderedPageBreak/>
        <w:t>a</w:t>
      </w:r>
      <w:r w:rsidR="00CA5B4D" w:rsidRPr="00162509">
        <w:t xml:space="preserve">dditional creek diversion performance criteria </w:t>
      </w:r>
      <w:r w:rsidR="00E71991" w:rsidRPr="00162509">
        <w:t xml:space="preserve">(e.g. White et al. 2014) </w:t>
      </w:r>
      <w:r w:rsidR="00CA5B4D" w:rsidRPr="00162509">
        <w:t xml:space="preserve">that specifically consider establishment and success of </w:t>
      </w:r>
      <w:r w:rsidR="00690CA4" w:rsidRPr="00162509">
        <w:t>local native</w:t>
      </w:r>
      <w:r w:rsidR="00CA5B4D" w:rsidRPr="00162509">
        <w:t xml:space="preserve"> species</w:t>
      </w:r>
      <w:r w:rsidR="00E71991" w:rsidRPr="00162509">
        <w:t xml:space="preserve"> and inclusion of alluvial sediments along and below the diverted channel to simulate current </w:t>
      </w:r>
      <w:proofErr w:type="spellStart"/>
      <w:r w:rsidR="00E71991" w:rsidRPr="00162509">
        <w:t>hyporheic</w:t>
      </w:r>
      <w:proofErr w:type="spellEnd"/>
      <w:r w:rsidR="00E71991" w:rsidRPr="00162509">
        <w:t xml:space="preserve"> corridors and subsurface </w:t>
      </w:r>
      <w:proofErr w:type="spellStart"/>
      <w:r w:rsidR="00E71991" w:rsidRPr="00162509">
        <w:t>flowpaths</w:t>
      </w:r>
      <w:proofErr w:type="spellEnd"/>
      <w:r w:rsidRPr="00162509">
        <w:t>.</w:t>
      </w:r>
    </w:p>
    <w:p w14:paraId="6AB0C333" w14:textId="77777777" w:rsidR="00356650" w:rsidRPr="00162509" w:rsidRDefault="00356650" w:rsidP="00C858C6">
      <w:pPr>
        <w:pStyle w:val="ListNumber"/>
        <w:numPr>
          <w:ilvl w:val="0"/>
          <w:numId w:val="0"/>
        </w:numPr>
        <w:ind w:left="369" w:hanging="369"/>
        <w:rPr>
          <w:u w:val="single"/>
        </w:rPr>
      </w:pPr>
      <w:r w:rsidRPr="00162509">
        <w:rPr>
          <w:u w:val="single"/>
        </w:rPr>
        <w:t>Geochemistry</w:t>
      </w:r>
    </w:p>
    <w:p w14:paraId="1A3D7AC2" w14:textId="76005507" w:rsidR="00CA5B4D" w:rsidRPr="00162509" w:rsidRDefault="00E71991" w:rsidP="00F00673">
      <w:pPr>
        <w:pStyle w:val="ListNumber"/>
      </w:pPr>
      <w:r w:rsidRPr="00162509">
        <w:t>In the EIS, t</w:t>
      </w:r>
      <w:r w:rsidR="002125DE" w:rsidRPr="00162509">
        <w:t xml:space="preserve">he proponent should undertake and provide </w:t>
      </w:r>
      <w:r w:rsidRPr="00162509">
        <w:t xml:space="preserve">data for </w:t>
      </w:r>
      <w:r w:rsidR="002125DE" w:rsidRPr="00162509">
        <w:t>a geochemical a</w:t>
      </w:r>
      <w:r w:rsidR="00CA5B4D" w:rsidRPr="00162509">
        <w:t xml:space="preserve">ssessment specific to </w:t>
      </w:r>
      <w:r w:rsidR="002125DE" w:rsidRPr="00162509">
        <w:t xml:space="preserve">the </w:t>
      </w:r>
      <w:proofErr w:type="spellStart"/>
      <w:r w:rsidR="00CA5B4D" w:rsidRPr="00162509">
        <w:t>Glendell</w:t>
      </w:r>
      <w:proofErr w:type="spellEnd"/>
      <w:r w:rsidR="00CA5B4D" w:rsidRPr="00162509">
        <w:t xml:space="preserve"> </w:t>
      </w:r>
      <w:r w:rsidR="002125DE" w:rsidRPr="00162509">
        <w:t xml:space="preserve">Pit </w:t>
      </w:r>
      <w:r w:rsidR="00CA5B4D" w:rsidRPr="00162509">
        <w:t xml:space="preserve">area to confirm </w:t>
      </w:r>
      <w:r w:rsidR="002125DE" w:rsidRPr="00162509">
        <w:t xml:space="preserve">their current </w:t>
      </w:r>
      <w:r w:rsidRPr="00162509">
        <w:t xml:space="preserve">claims </w:t>
      </w:r>
      <w:r w:rsidR="00CA5B4D" w:rsidRPr="00162509">
        <w:t xml:space="preserve">that </w:t>
      </w:r>
      <w:r w:rsidR="002125DE" w:rsidRPr="00162509">
        <w:t>waste rock will not require specific management</w:t>
      </w:r>
      <w:r w:rsidR="008C1151" w:rsidRPr="00162509">
        <w:t xml:space="preserve"> (Glencore 2019b, p. 21)</w:t>
      </w:r>
      <w:r w:rsidR="002125DE" w:rsidRPr="00162509">
        <w:t xml:space="preserve">. The geochemical assessment should </w:t>
      </w:r>
      <w:r w:rsidR="00805612" w:rsidRPr="00162509">
        <w:t xml:space="preserve">also </w:t>
      </w:r>
      <w:r w:rsidR="008C1151" w:rsidRPr="00162509">
        <w:t>i</w:t>
      </w:r>
      <w:r w:rsidR="00CA5B4D" w:rsidRPr="00162509">
        <w:t xml:space="preserve">nclude </w:t>
      </w:r>
      <w:r w:rsidR="002125DE" w:rsidRPr="00162509">
        <w:t>an assessment</w:t>
      </w:r>
      <w:r w:rsidR="00805612" w:rsidRPr="00162509">
        <w:t xml:space="preserve"> of the salinity of waste material and consider</w:t>
      </w:r>
      <w:r w:rsidR="002125DE" w:rsidRPr="00162509">
        <w:t xml:space="preserve"> potentially acid </w:t>
      </w:r>
      <w:proofErr w:type="spellStart"/>
      <w:r w:rsidR="002125DE" w:rsidRPr="00162509">
        <w:t>sulfate</w:t>
      </w:r>
      <w:proofErr w:type="spellEnd"/>
      <w:r w:rsidR="002125DE" w:rsidRPr="00162509">
        <w:t xml:space="preserve"> soils. If </w:t>
      </w:r>
      <w:r w:rsidR="00805612" w:rsidRPr="00162509">
        <w:t xml:space="preserve">either of </w:t>
      </w:r>
      <w:r w:rsidR="002125DE" w:rsidRPr="00162509">
        <w:t>these are identified at the project site</w:t>
      </w:r>
      <w:r w:rsidRPr="00162509">
        <w:t>,</w:t>
      </w:r>
      <w:r w:rsidR="002125DE" w:rsidRPr="00162509">
        <w:t xml:space="preserve"> then a management plan would be needed.</w:t>
      </w:r>
    </w:p>
    <w:p w14:paraId="439B2849" w14:textId="77777777" w:rsidR="00CA5B4D" w:rsidRPr="00162509" w:rsidRDefault="002125DE" w:rsidP="00CA5B4D">
      <w:pPr>
        <w:pStyle w:val="ListNumber"/>
      </w:pPr>
      <w:r w:rsidRPr="00162509">
        <w:t>Further e</w:t>
      </w:r>
      <w:r w:rsidR="00CA5B4D" w:rsidRPr="00162509">
        <w:t xml:space="preserve">vidence </w:t>
      </w:r>
      <w:r w:rsidRPr="00162509">
        <w:t xml:space="preserve">is needed </w:t>
      </w:r>
      <w:r w:rsidR="00CA5B4D" w:rsidRPr="00162509">
        <w:t xml:space="preserve">to support </w:t>
      </w:r>
      <w:r w:rsidRPr="00162509">
        <w:t xml:space="preserve">the current </w:t>
      </w:r>
      <w:r w:rsidR="00CA5B4D" w:rsidRPr="00162509">
        <w:t>conclusions that there is sufficient existing capacity for the additional waste rock, tailings and rejects</w:t>
      </w:r>
      <w:r w:rsidRPr="00162509">
        <w:t xml:space="preserve"> that will be generated due to the project</w:t>
      </w:r>
      <w:r w:rsidR="008C1151" w:rsidRPr="00162509">
        <w:t xml:space="preserve"> (Umwelt 2019</w:t>
      </w:r>
      <w:r w:rsidR="00BA4F2D" w:rsidRPr="00162509">
        <w:t>a</w:t>
      </w:r>
      <w:r w:rsidR="008C1151" w:rsidRPr="00162509">
        <w:t>, p. 29)</w:t>
      </w:r>
      <w:r w:rsidRPr="00162509">
        <w:t>.</w:t>
      </w:r>
    </w:p>
    <w:p w14:paraId="3265611F" w14:textId="17D732F7" w:rsidR="00CA5B4D" w:rsidRPr="00162509" w:rsidRDefault="008C1151" w:rsidP="00CA5B4D">
      <w:pPr>
        <w:pStyle w:val="ListNumber"/>
      </w:pPr>
      <w:r w:rsidRPr="00162509">
        <w:t>M</w:t>
      </w:r>
      <w:r w:rsidR="002125DE" w:rsidRPr="00162509">
        <w:t xml:space="preserve">onitoring and management plans should be updated </w:t>
      </w:r>
      <w:r w:rsidR="00397BEA" w:rsidRPr="00162509">
        <w:t>to explicitly incorporate the project. During these updates</w:t>
      </w:r>
      <w:r w:rsidR="00E71991" w:rsidRPr="00162509">
        <w:t>,</w:t>
      </w:r>
      <w:r w:rsidR="00397BEA" w:rsidRPr="00162509">
        <w:t xml:space="preserve"> consideration is needed of whether the </w:t>
      </w:r>
      <w:r w:rsidR="00CB7D49">
        <w:t xml:space="preserve">existing </w:t>
      </w:r>
      <w:r w:rsidR="00397BEA" w:rsidRPr="00162509">
        <w:t>monitoring bore network will require changes</w:t>
      </w:r>
      <w:r w:rsidR="00E71991" w:rsidRPr="00162509">
        <w:t xml:space="preserve"> (e.g.</w:t>
      </w:r>
      <w:r w:rsidR="00397BEA" w:rsidRPr="00162509">
        <w:t xml:space="preserve"> to integrate any changes that may arise to the location of waste material storages</w:t>
      </w:r>
      <w:r w:rsidR="00E71991" w:rsidRPr="00162509">
        <w:t>)</w:t>
      </w:r>
      <w:r w:rsidR="00397BEA" w:rsidRPr="00162509">
        <w:t>.</w:t>
      </w:r>
    </w:p>
    <w:p w14:paraId="764BAB9D" w14:textId="77777777" w:rsidR="00356650" w:rsidRPr="00162509" w:rsidRDefault="00356650" w:rsidP="00C858C6">
      <w:pPr>
        <w:pStyle w:val="ListNumber"/>
        <w:numPr>
          <w:ilvl w:val="0"/>
          <w:numId w:val="0"/>
        </w:numPr>
        <w:ind w:left="369" w:hanging="369"/>
        <w:rPr>
          <w:u w:val="single"/>
        </w:rPr>
      </w:pPr>
      <w:r w:rsidRPr="00162509">
        <w:rPr>
          <w:u w:val="single"/>
        </w:rPr>
        <w:t xml:space="preserve">Final </w:t>
      </w:r>
      <w:r w:rsidR="005816FA" w:rsidRPr="00162509">
        <w:rPr>
          <w:u w:val="single"/>
        </w:rPr>
        <w:t xml:space="preserve">void and </w:t>
      </w:r>
      <w:r w:rsidRPr="00162509">
        <w:rPr>
          <w:u w:val="single"/>
        </w:rPr>
        <w:t>landforms</w:t>
      </w:r>
    </w:p>
    <w:p w14:paraId="50039F91" w14:textId="77777777" w:rsidR="00066732" w:rsidRPr="00162509" w:rsidRDefault="00066732" w:rsidP="00F00673">
      <w:pPr>
        <w:pStyle w:val="ListNumber"/>
      </w:pPr>
      <w:r w:rsidRPr="00162509">
        <w:t xml:space="preserve">The EIS needs to include analysis of the evolution of salinity and water level in the pit void lake. This information is key for understanding the potential risks posed by the void should it spill or leach. The analysis should use relevant predictions from the project’s surface water and groundwater modelling. It should also consider how the multiple voids that will remain across the Mount Owen Complex are likely to interact, especially through groundwater </w:t>
      </w:r>
      <w:proofErr w:type="spellStart"/>
      <w:r w:rsidRPr="00162509">
        <w:t>flowpaths</w:t>
      </w:r>
      <w:proofErr w:type="spellEnd"/>
      <w:r w:rsidRPr="00162509">
        <w:t xml:space="preserve"> (including in the alluvial sediments).</w:t>
      </w:r>
    </w:p>
    <w:p w14:paraId="360D6F7E" w14:textId="77777777" w:rsidR="00CA5B4D" w:rsidRPr="00162509" w:rsidRDefault="00397BEA" w:rsidP="00F00673">
      <w:pPr>
        <w:pStyle w:val="ListNumber"/>
      </w:pPr>
      <w:r w:rsidRPr="00162509">
        <w:t>The EIS needs to include further details on the proposed final landform and planned rehabilitation. When developing options for the project area</w:t>
      </w:r>
      <w:r w:rsidR="00E71991" w:rsidRPr="00162509">
        <w:t>,</w:t>
      </w:r>
      <w:r w:rsidRPr="00162509">
        <w:t xml:space="preserve"> c</w:t>
      </w:r>
      <w:r w:rsidR="00CA5B4D" w:rsidRPr="00162509">
        <w:t xml:space="preserve">onsideration of </w:t>
      </w:r>
      <w:r w:rsidRPr="00162509">
        <w:t>the limitations of site soils is required. Sodosols are the most common soil type at the project site</w:t>
      </w:r>
      <w:r w:rsidR="00E71991" w:rsidRPr="00162509">
        <w:t>, and t</w:t>
      </w:r>
      <w:r w:rsidRPr="00162509">
        <w:t xml:space="preserve">he proponent notes that these Sodosols can have high </w:t>
      </w:r>
      <w:proofErr w:type="spellStart"/>
      <w:r w:rsidRPr="00162509">
        <w:t>sodicity</w:t>
      </w:r>
      <w:proofErr w:type="spellEnd"/>
      <w:r w:rsidRPr="00162509">
        <w:t xml:space="preserve"> and a tendency for dispersion/erosion</w:t>
      </w:r>
      <w:r w:rsidR="008C1151" w:rsidRPr="00162509">
        <w:t xml:space="preserve"> (Umwelt 2019</w:t>
      </w:r>
      <w:r w:rsidR="00BA4F2D" w:rsidRPr="00162509">
        <w:t>a</w:t>
      </w:r>
      <w:r w:rsidR="008C1151" w:rsidRPr="00162509">
        <w:t>, App. A, p.</w:t>
      </w:r>
      <w:r w:rsidR="006C47C7" w:rsidRPr="00162509">
        <w:t> </w:t>
      </w:r>
      <w:r w:rsidR="008C1151" w:rsidRPr="00162509">
        <w:t>16)</w:t>
      </w:r>
      <w:r w:rsidRPr="00162509">
        <w:t>.</w:t>
      </w:r>
      <w:r w:rsidR="00E71991" w:rsidRPr="00162509">
        <w:t xml:space="preserve"> These soil properties have implications for erosion, stability and revegetation potential for the final landforms, and should be discussed in detail.</w:t>
      </w:r>
    </w:p>
    <w:p w14:paraId="3C7B0B3E" w14:textId="77777777" w:rsidR="00CA5B4D" w:rsidRPr="00162509" w:rsidRDefault="00397BEA" w:rsidP="0056387A">
      <w:pPr>
        <w:pStyle w:val="ListNumber"/>
      </w:pPr>
      <w:r w:rsidRPr="00162509">
        <w:t>As progressive rehabilitation is occurring at the Mount Owen Complex</w:t>
      </w:r>
      <w:r w:rsidR="00E71991" w:rsidRPr="00162509">
        <w:t>,</w:t>
      </w:r>
      <w:r w:rsidRPr="00162509">
        <w:t xml:space="preserve"> the IESC suggests that the proponent provide</w:t>
      </w:r>
      <w:r w:rsidR="00E71991" w:rsidRPr="00162509">
        <w:t>s</w:t>
      </w:r>
      <w:r w:rsidRPr="00162509">
        <w:t xml:space="preserve"> monitoring data collected from already rehabilitated areas to support proposed plans</w:t>
      </w:r>
      <w:r w:rsidR="00D02654" w:rsidRPr="00162509">
        <w:t>. Th</w:t>
      </w:r>
      <w:r w:rsidR="00E71991" w:rsidRPr="00162509">
        <w:t>ese</w:t>
      </w:r>
      <w:r w:rsidR="00D02654" w:rsidRPr="00162509">
        <w:t xml:space="preserve"> data can be used as evidence of the likelihood of success.</w:t>
      </w:r>
    </w:p>
    <w:p w14:paraId="576B1487" w14:textId="77777777" w:rsidR="00356650" w:rsidRPr="00162509" w:rsidRDefault="00356650" w:rsidP="00C858C6">
      <w:pPr>
        <w:pStyle w:val="ListNumber"/>
        <w:numPr>
          <w:ilvl w:val="0"/>
          <w:numId w:val="0"/>
        </w:numPr>
        <w:ind w:left="369" w:hanging="369"/>
        <w:rPr>
          <w:u w:val="single"/>
        </w:rPr>
      </w:pPr>
      <w:r w:rsidRPr="00162509">
        <w:rPr>
          <w:u w:val="single"/>
        </w:rPr>
        <w:t>Cumulative impacts</w:t>
      </w:r>
    </w:p>
    <w:p w14:paraId="41FF5210" w14:textId="1DED583C" w:rsidR="0056387A" w:rsidRPr="00CB7D49" w:rsidRDefault="0056387A" w:rsidP="00CA5B4D">
      <w:pPr>
        <w:pStyle w:val="ListNumber"/>
      </w:pPr>
      <w:r w:rsidRPr="00CB7D49">
        <w:t xml:space="preserve">Given the parent company of the proponent, Glencore, controls a number of the adjacent mines through subsidiaries and joint venture arrangements, there is considerable scope for </w:t>
      </w:r>
      <w:r w:rsidR="009C6987" w:rsidRPr="00290A92">
        <w:t>broad-scale</w:t>
      </w:r>
      <w:r w:rsidRPr="00CB7D49">
        <w:t xml:space="preserve"> management as has been shown by the GRAWTS. </w:t>
      </w:r>
      <w:r w:rsidR="009C6987" w:rsidRPr="00290A92">
        <w:t>There is an opportunity for this collective management</w:t>
      </w:r>
      <w:r w:rsidRPr="00CB7D49">
        <w:t xml:space="preserve"> to </w:t>
      </w:r>
      <w:r w:rsidR="009C6987" w:rsidRPr="00290A92">
        <w:t>address</w:t>
      </w:r>
      <w:r w:rsidRPr="00CB7D49">
        <w:t xml:space="preserve"> cumulative impacts</w:t>
      </w:r>
      <w:r w:rsidR="009C6987" w:rsidRPr="00CB7D49">
        <w:t xml:space="preserve"> </w:t>
      </w:r>
      <w:r w:rsidR="009C6987" w:rsidRPr="00290A92">
        <w:t>on surface water hydrology, water quality and aquatic and riparian biota</w:t>
      </w:r>
      <w:r w:rsidR="00453629" w:rsidRPr="00CB7D49">
        <w:t>, not just groundwater</w:t>
      </w:r>
      <w:r w:rsidRPr="00CB7D49">
        <w:t>. The IESC suggests that a comprehensive assessment of cumulative impacts be undertaken at the regional level to inform the development of mitigation options and management plans</w:t>
      </w:r>
      <w:r w:rsidR="009C6987" w:rsidRPr="00CB7D49">
        <w:t xml:space="preserve"> </w:t>
      </w:r>
      <w:r w:rsidR="009C6987" w:rsidRPr="00290A92">
        <w:t>at an appropriate broad (landscape) scale</w:t>
      </w:r>
      <w:r w:rsidRPr="00CB7D49">
        <w:t>. This would ensure</w:t>
      </w:r>
      <w:r w:rsidR="009C6987" w:rsidRPr="00290A92">
        <w:t>, for example,</w:t>
      </w:r>
      <w:r w:rsidRPr="00CB7D49">
        <w:t xml:space="preserve"> that existing offsets such as the one adjacent to Bettys Creek are managed to minimise impacts from subsequent changes to mining operations in the region. </w:t>
      </w:r>
    </w:p>
    <w:p w14:paraId="7AFC138A" w14:textId="77777777" w:rsidR="00546EC0" w:rsidRPr="00CB7D49" w:rsidRDefault="00D02654" w:rsidP="00CA5B4D">
      <w:pPr>
        <w:pStyle w:val="ListNumber"/>
      </w:pPr>
      <w:r w:rsidRPr="00CB7D49">
        <w:t>The IESC notes that the proponent has committed to investigating potential cumulative impacts further in the EIS through the groundwater model</w:t>
      </w:r>
      <w:r w:rsidR="008C1151" w:rsidRPr="00CB7D49">
        <w:t xml:space="preserve"> (EPBC Act Referral 2019, p. 26)</w:t>
      </w:r>
      <w:r w:rsidRPr="00CB7D49">
        <w:t>.</w:t>
      </w:r>
      <w:r w:rsidR="00202EF9" w:rsidRPr="00CB7D49">
        <w:t xml:space="preserve"> This assessment should consider the rate of recovery of groundwater levels and saturation of alluvial material</w:t>
      </w:r>
      <w:r w:rsidR="00546EC0" w:rsidRPr="00CB7D49">
        <w:t xml:space="preserve"> in addition to impacts from groundwater drawdown and the interactions of multiple final voids as this will </w:t>
      </w:r>
      <w:r w:rsidR="00546EC0" w:rsidRPr="00CB7D49">
        <w:lastRenderedPageBreak/>
        <w:t>provide information on the persistence of impacts.</w:t>
      </w:r>
      <w:r w:rsidR="007D57E9" w:rsidRPr="00CB7D49">
        <w:t xml:space="preserve"> The </w:t>
      </w:r>
      <w:r w:rsidR="005816FA" w:rsidRPr="00CB7D49">
        <w:t xml:space="preserve">potential </w:t>
      </w:r>
      <w:r w:rsidR="007D57E9" w:rsidRPr="00CB7D49">
        <w:t>sensitivity of these results to operational changes at other nearby mines should also be reported.</w:t>
      </w:r>
      <w:r w:rsidRPr="00CB7D49">
        <w:t xml:space="preserve"> </w:t>
      </w:r>
    </w:p>
    <w:p w14:paraId="4BC005B6" w14:textId="77777777" w:rsidR="00356650" w:rsidRPr="00CB7D49" w:rsidRDefault="00356650" w:rsidP="00C858C6">
      <w:pPr>
        <w:pStyle w:val="ListNumber"/>
        <w:numPr>
          <w:ilvl w:val="0"/>
          <w:numId w:val="0"/>
        </w:numPr>
        <w:ind w:left="369" w:hanging="369"/>
      </w:pPr>
      <w:r w:rsidRPr="00CB7D49">
        <w:rPr>
          <w:u w:val="single"/>
        </w:rPr>
        <w:t>Risk assessment</w:t>
      </w:r>
    </w:p>
    <w:p w14:paraId="20A7FE5F" w14:textId="77777777" w:rsidR="001611F9" w:rsidRPr="00CB7D49" w:rsidRDefault="00D02654" w:rsidP="001611F9">
      <w:pPr>
        <w:pStyle w:val="ListNumber"/>
      </w:pPr>
      <w:r w:rsidRPr="00CB7D49">
        <w:t>The current risk assessment for the project is noted to be a preliminary assessment. When this assessment is updated</w:t>
      </w:r>
      <w:r w:rsidR="00FB5523" w:rsidRPr="00CB7D49">
        <w:t xml:space="preserve"> for the EIS,</w:t>
      </w:r>
      <w:r w:rsidRPr="00CB7D49">
        <w:t xml:space="preserve"> the IESC suggests:</w:t>
      </w:r>
    </w:p>
    <w:p w14:paraId="67D64186" w14:textId="225B2E47" w:rsidR="00CA5B4D" w:rsidRPr="00CB7D49" w:rsidRDefault="00D02654" w:rsidP="00CA5B4D">
      <w:pPr>
        <w:pStyle w:val="ListNumber2"/>
      </w:pPr>
      <w:proofErr w:type="gramStart"/>
      <w:r w:rsidRPr="00CB7D49">
        <w:t>the</w:t>
      </w:r>
      <w:proofErr w:type="gramEnd"/>
      <w:r w:rsidRPr="00CB7D49">
        <w:t xml:space="preserve"> assessment includes a greater level of specificity</w:t>
      </w:r>
      <w:r w:rsidR="00384A0C" w:rsidRPr="00CB7D49">
        <w:t xml:space="preserve"> </w:t>
      </w:r>
      <w:r w:rsidR="00384A0C" w:rsidRPr="00290A92">
        <w:t>and prioritise</w:t>
      </w:r>
      <w:r w:rsidR="005D29A5" w:rsidRPr="00290A92">
        <w:t>s</w:t>
      </w:r>
      <w:r w:rsidR="00384A0C" w:rsidRPr="00290A92">
        <w:t xml:space="preserve"> the materiality of the risks</w:t>
      </w:r>
      <w:r w:rsidRPr="00CB7D49">
        <w:t>. The currently assessed risks are general and include multiple risks or pathways. Each individual risk and pathway should be assessed</w:t>
      </w:r>
      <w:r w:rsidR="00FB5523" w:rsidRPr="00CB7D49">
        <w:t xml:space="preserve"> </w:t>
      </w:r>
      <w:r w:rsidR="00CB7D49" w:rsidRPr="00CB7D49">
        <w:t xml:space="preserve">and </w:t>
      </w:r>
      <w:r w:rsidR="00FB5523" w:rsidRPr="00CB7D49">
        <w:t>justified with reference to conceptual models</w:t>
      </w:r>
      <w:r w:rsidR="00E11194">
        <w:t xml:space="preserve"> or</w:t>
      </w:r>
      <w:r w:rsidR="00FB5523" w:rsidRPr="00CB7D49">
        <w:t xml:space="preserve"> supporting data, and associated with</w:t>
      </w:r>
      <w:r w:rsidRPr="00CB7D49">
        <w:t xml:space="preserve"> corresponding mitigation and management options</w:t>
      </w:r>
      <w:r w:rsidR="008D5384" w:rsidRPr="00CB7D49">
        <w:t>; and</w:t>
      </w:r>
      <w:r w:rsidRPr="00CB7D49">
        <w:t xml:space="preserve"> </w:t>
      </w:r>
    </w:p>
    <w:p w14:paraId="219CA8AB" w14:textId="77777777" w:rsidR="00CF2E7E" w:rsidRPr="00CB7D49" w:rsidRDefault="00D02654" w:rsidP="00D02654">
      <w:pPr>
        <w:pStyle w:val="ListNumber2"/>
      </w:pPr>
      <w:proofErr w:type="gramStart"/>
      <w:r w:rsidRPr="00CB7D49">
        <w:t>where</w:t>
      </w:r>
      <w:proofErr w:type="gramEnd"/>
      <w:r w:rsidRPr="00CB7D49">
        <w:t xml:space="preserve"> possible</w:t>
      </w:r>
      <w:r w:rsidR="00FB5523" w:rsidRPr="00CB7D49">
        <w:t>,</w:t>
      </w:r>
      <w:r w:rsidRPr="00CB7D49">
        <w:t xml:space="preserve"> the risk assessment should be quantitative</w:t>
      </w:r>
      <w:r w:rsidR="0022594C" w:rsidRPr="00CB7D49">
        <w:t xml:space="preserve"> and include analyses of likely local short-term and regional long-term cumulative impacts</w:t>
      </w:r>
      <w:r w:rsidR="00690F0F" w:rsidRPr="00CB7D49">
        <w:t xml:space="preserve"> and their planned mitigation (considering the potential for shared data and collective rehabilitation strategies across the mining operations in the region</w:t>
      </w:r>
      <w:r w:rsidR="004677CA" w:rsidRPr="00CB7D49">
        <w:t xml:space="preserve"> </w:t>
      </w:r>
      <w:r w:rsidR="00BD7D7F" w:rsidRPr="00CB7D49">
        <w:t>see P</w:t>
      </w:r>
      <w:r w:rsidR="004677CA" w:rsidRPr="00CB7D49">
        <w:t>aragraph 3</w:t>
      </w:r>
      <w:r w:rsidR="0056387A" w:rsidRPr="00CB7D49">
        <w:t>0).</w:t>
      </w:r>
    </w:p>
    <w:tbl>
      <w:tblPr>
        <w:tblW w:w="5000" w:type="pct"/>
        <w:tblBorders>
          <w:insideH w:val="single" w:sz="4" w:space="0" w:color="auto"/>
        </w:tblBorders>
        <w:tblCellMar>
          <w:top w:w="113" w:type="dxa"/>
          <w:bottom w:w="113" w:type="dxa"/>
        </w:tblCellMar>
        <w:tblLook w:val="01E0" w:firstRow="1" w:lastRow="1" w:firstColumn="1" w:lastColumn="1" w:noHBand="0" w:noVBand="0"/>
      </w:tblPr>
      <w:tblGrid>
        <w:gridCol w:w="1586"/>
        <w:gridCol w:w="7770"/>
      </w:tblGrid>
      <w:tr w:rsidR="007203C3" w:rsidRPr="00BF21A7" w14:paraId="08D0BC14" w14:textId="77777777" w:rsidTr="00290A92">
        <w:trPr>
          <w:trHeight w:val="19"/>
        </w:trPr>
        <w:tc>
          <w:tcPr>
            <w:tcW w:w="249" w:type="pct"/>
            <w:tcBorders>
              <w:top w:val="single" w:sz="4" w:space="0" w:color="auto"/>
              <w:bottom w:val="single" w:sz="4" w:space="0" w:color="auto"/>
            </w:tcBorders>
          </w:tcPr>
          <w:p w14:paraId="11FF6CAF" w14:textId="77777777" w:rsidR="007203C3" w:rsidRPr="00BF21A7" w:rsidRDefault="007203C3" w:rsidP="00D622B9">
            <w:pPr>
              <w:pStyle w:val="Heading6"/>
            </w:pPr>
            <w:r w:rsidRPr="00BF21A7">
              <w:t>Date of advice</w:t>
            </w:r>
          </w:p>
        </w:tc>
        <w:tc>
          <w:tcPr>
            <w:tcW w:w="4751" w:type="pct"/>
            <w:tcBorders>
              <w:top w:val="single" w:sz="4" w:space="0" w:color="auto"/>
              <w:bottom w:val="single" w:sz="4" w:space="0" w:color="auto"/>
            </w:tcBorders>
          </w:tcPr>
          <w:p w14:paraId="0EF930C5" w14:textId="1C62FA50" w:rsidR="007203C3" w:rsidRPr="00BF21A7" w:rsidRDefault="00D20BE1" w:rsidP="00D20BE1">
            <w:pPr>
              <w:pStyle w:val="Tabletext"/>
            </w:pPr>
            <w:r w:rsidRPr="00D20BE1">
              <w:t>24</w:t>
            </w:r>
            <w:r w:rsidR="007203C3" w:rsidRPr="00D20BE1">
              <w:t xml:space="preserve"> </w:t>
            </w:r>
            <w:r w:rsidRPr="00D20BE1">
              <w:t>June</w:t>
            </w:r>
            <w:r w:rsidR="007203C3" w:rsidRPr="00D20BE1">
              <w:t xml:space="preserve"> 201</w:t>
            </w:r>
            <w:r w:rsidRPr="00D20BE1">
              <w:t>9</w:t>
            </w:r>
            <w:r w:rsidR="003E2135" w:rsidRPr="00D20BE1">
              <w:t xml:space="preserve"> </w:t>
            </w:r>
          </w:p>
        </w:tc>
      </w:tr>
      <w:tr w:rsidR="007203C3" w:rsidRPr="00BF21A7" w14:paraId="09276D68" w14:textId="77777777" w:rsidTr="00290A92">
        <w:trPr>
          <w:trHeight w:val="161"/>
        </w:trPr>
        <w:tc>
          <w:tcPr>
            <w:tcW w:w="249" w:type="pct"/>
            <w:tcBorders>
              <w:top w:val="single" w:sz="4" w:space="0" w:color="auto"/>
              <w:bottom w:val="single" w:sz="4" w:space="0" w:color="auto"/>
            </w:tcBorders>
          </w:tcPr>
          <w:p w14:paraId="4ACBFBD2" w14:textId="77777777" w:rsidR="007203C3" w:rsidRPr="00BF21A7" w:rsidRDefault="007203C3" w:rsidP="00D84735">
            <w:pPr>
              <w:pStyle w:val="Heading6"/>
            </w:pPr>
            <w:r w:rsidRPr="00BF21A7">
              <w:t xml:space="preserve">Source documentation </w:t>
            </w:r>
            <w:r w:rsidR="00D84735">
              <w:t>provided</w:t>
            </w:r>
            <w:r w:rsidRPr="00BF21A7">
              <w:t xml:space="preserve"> to the </w:t>
            </w:r>
            <w:r w:rsidR="00A83DF5" w:rsidRPr="00BF21A7">
              <w:t>IESC</w:t>
            </w:r>
            <w:r w:rsidRPr="00BF21A7">
              <w:t xml:space="preserve"> </w:t>
            </w:r>
            <w:r w:rsidR="00D84735">
              <w:t>for</w:t>
            </w:r>
            <w:r w:rsidRPr="00BF21A7">
              <w:t xml:space="preserve"> the formulation of this advice</w:t>
            </w:r>
          </w:p>
        </w:tc>
        <w:tc>
          <w:tcPr>
            <w:tcW w:w="4751" w:type="pct"/>
            <w:tcBorders>
              <w:top w:val="single" w:sz="4" w:space="0" w:color="auto"/>
              <w:bottom w:val="single" w:sz="4" w:space="0" w:color="auto"/>
            </w:tcBorders>
          </w:tcPr>
          <w:p w14:paraId="0E8875BE" w14:textId="77777777" w:rsidR="00BA4F2D" w:rsidRDefault="00BA4F2D" w:rsidP="00D622B9">
            <w:pPr>
              <w:pStyle w:val="Tabletext"/>
              <w:rPr>
                <w:b/>
                <w:color w:val="FF0000"/>
              </w:rPr>
            </w:pPr>
            <w:r>
              <w:t xml:space="preserve">Umwelt 2019a. </w:t>
            </w:r>
            <w:r>
              <w:rPr>
                <w:i/>
              </w:rPr>
              <w:t xml:space="preserve">Gateway Application – </w:t>
            </w:r>
            <w:proofErr w:type="spellStart"/>
            <w:r>
              <w:rPr>
                <w:i/>
              </w:rPr>
              <w:t>Glendell</w:t>
            </w:r>
            <w:proofErr w:type="spellEnd"/>
            <w:r>
              <w:rPr>
                <w:i/>
              </w:rPr>
              <w:t xml:space="preserve"> Continued Operations Project.</w:t>
            </w:r>
            <w:r>
              <w:t xml:space="preserve"> Final April 2019.</w:t>
            </w:r>
          </w:p>
          <w:p w14:paraId="2419B452" w14:textId="77777777" w:rsidR="007203C3" w:rsidRPr="00BF21A7" w:rsidRDefault="007203C3" w:rsidP="00D622B9">
            <w:pPr>
              <w:pStyle w:val="Tabletext"/>
              <w:rPr>
                <w:szCs w:val="22"/>
              </w:rPr>
            </w:pPr>
          </w:p>
        </w:tc>
      </w:tr>
      <w:tr w:rsidR="007203C3" w:rsidRPr="00BF21A7" w14:paraId="39085753" w14:textId="77777777" w:rsidTr="00290A92">
        <w:trPr>
          <w:trHeight w:val="19"/>
        </w:trPr>
        <w:tc>
          <w:tcPr>
            <w:tcW w:w="249" w:type="pct"/>
            <w:tcBorders>
              <w:top w:val="single" w:sz="4" w:space="0" w:color="auto"/>
              <w:bottom w:val="single" w:sz="4" w:space="0" w:color="auto"/>
            </w:tcBorders>
          </w:tcPr>
          <w:p w14:paraId="489CEA6D" w14:textId="77777777" w:rsidR="007203C3" w:rsidRPr="00BF21A7" w:rsidRDefault="007203C3" w:rsidP="00D622B9">
            <w:pPr>
              <w:pStyle w:val="Heading6"/>
            </w:pPr>
            <w:r w:rsidRPr="00BF21A7">
              <w:t xml:space="preserve">References cited within the </w:t>
            </w:r>
            <w:r w:rsidR="00A83DF5" w:rsidRPr="00BF21A7">
              <w:t>IESC</w:t>
            </w:r>
            <w:r w:rsidRPr="00BF21A7">
              <w:t>’s advice</w:t>
            </w:r>
          </w:p>
        </w:tc>
        <w:tc>
          <w:tcPr>
            <w:tcW w:w="4751" w:type="pct"/>
            <w:tcBorders>
              <w:top w:val="single" w:sz="4" w:space="0" w:color="auto"/>
              <w:bottom w:val="single" w:sz="4" w:space="0" w:color="auto"/>
            </w:tcBorders>
          </w:tcPr>
          <w:p w14:paraId="394602C7" w14:textId="6E964BF1" w:rsidR="0056387A" w:rsidRPr="00162509" w:rsidRDefault="0056387A" w:rsidP="00BD075B">
            <w:pPr>
              <w:pStyle w:val="Tabletext"/>
              <w:spacing w:line="240" w:lineRule="auto"/>
              <w:ind w:left="493" w:hanging="493"/>
            </w:pPr>
            <w:proofErr w:type="spellStart"/>
            <w:r w:rsidRPr="00162509">
              <w:t>Da</w:t>
            </w:r>
            <w:r w:rsidR="001D0D78" w:rsidRPr="00162509">
              <w:t>try</w:t>
            </w:r>
            <w:proofErr w:type="spellEnd"/>
            <w:r w:rsidR="001D0D78" w:rsidRPr="00162509">
              <w:t xml:space="preserve"> T, </w:t>
            </w:r>
            <w:proofErr w:type="spellStart"/>
            <w:r w:rsidR="001D0D78" w:rsidRPr="00162509">
              <w:t>Boulton</w:t>
            </w:r>
            <w:proofErr w:type="spellEnd"/>
            <w:r w:rsidR="001D0D78" w:rsidRPr="00162509">
              <w:t xml:space="preserve"> AJ, </w:t>
            </w:r>
            <w:proofErr w:type="spellStart"/>
            <w:r w:rsidR="001D0D78" w:rsidRPr="00162509">
              <w:t>Bonada</w:t>
            </w:r>
            <w:proofErr w:type="spellEnd"/>
            <w:r w:rsidR="001D0D78" w:rsidRPr="00162509">
              <w:t xml:space="preserve"> N, Fritz K, Leigh C, </w:t>
            </w:r>
            <w:proofErr w:type="spellStart"/>
            <w:r w:rsidR="001D0D78" w:rsidRPr="00162509">
              <w:t>Sauquet</w:t>
            </w:r>
            <w:proofErr w:type="spellEnd"/>
            <w:r w:rsidR="001D0D78" w:rsidRPr="00162509">
              <w:t xml:space="preserve"> E, </w:t>
            </w:r>
            <w:proofErr w:type="spellStart"/>
            <w:r w:rsidR="001D0D78" w:rsidRPr="00162509">
              <w:t>Tockner</w:t>
            </w:r>
            <w:proofErr w:type="spellEnd"/>
            <w:r w:rsidR="001D0D78" w:rsidRPr="00162509">
              <w:t xml:space="preserve"> K, </w:t>
            </w:r>
            <w:proofErr w:type="spellStart"/>
            <w:r w:rsidR="001D0D78" w:rsidRPr="00162509">
              <w:t>Hugueny</w:t>
            </w:r>
            <w:proofErr w:type="spellEnd"/>
            <w:r w:rsidR="001D0D78" w:rsidRPr="00162509">
              <w:t xml:space="preserve"> B and </w:t>
            </w:r>
            <w:proofErr w:type="spellStart"/>
            <w:r w:rsidR="001D0D78" w:rsidRPr="00CB7D49">
              <w:t>Dahm</w:t>
            </w:r>
            <w:proofErr w:type="spellEnd"/>
            <w:r w:rsidR="001D0D78" w:rsidRPr="00CB7D49">
              <w:t xml:space="preserve"> CN </w:t>
            </w:r>
            <w:r w:rsidR="001D0D78" w:rsidRPr="00290A92">
              <w:t>201</w:t>
            </w:r>
            <w:r w:rsidR="00384A0C" w:rsidRPr="00290A92">
              <w:t>8</w:t>
            </w:r>
            <w:r w:rsidR="001D0D78" w:rsidRPr="00CB7D49">
              <w:t xml:space="preserve">. Flow intermittence and ecosystem </w:t>
            </w:r>
            <w:r w:rsidR="001D0D78" w:rsidRPr="00290A92">
              <w:t>service</w:t>
            </w:r>
            <w:r w:rsidR="00384A0C" w:rsidRPr="00290A92">
              <w:t>s</w:t>
            </w:r>
            <w:r w:rsidR="001D0D78" w:rsidRPr="00CB7D49">
              <w:t xml:space="preserve"> in rivers of the Anthropocene. </w:t>
            </w:r>
            <w:r w:rsidR="001D0D78" w:rsidRPr="00CB7D49">
              <w:rPr>
                <w:i/>
              </w:rPr>
              <w:t>Journal of Applied Ecology</w:t>
            </w:r>
            <w:r w:rsidR="001D0D78" w:rsidRPr="00CB7D49">
              <w:t xml:space="preserve"> 55(1): </w:t>
            </w:r>
            <w:r w:rsidR="005632F1" w:rsidRPr="00CB7D49">
              <w:t>353</w:t>
            </w:r>
            <w:r w:rsidR="006B36B8" w:rsidRPr="00CB7D49">
              <w:t>-364.</w:t>
            </w:r>
          </w:p>
          <w:p w14:paraId="4DE55CFD" w14:textId="77777777" w:rsidR="00BD075B" w:rsidRPr="00162509" w:rsidRDefault="00BD075B" w:rsidP="00BD075B">
            <w:pPr>
              <w:pStyle w:val="Tabletext"/>
              <w:spacing w:line="240" w:lineRule="auto"/>
              <w:ind w:left="493" w:hanging="493"/>
            </w:pPr>
            <w:r w:rsidRPr="00162509">
              <w:t>Department of Natural Resources and Mines</w:t>
            </w:r>
            <w:r w:rsidR="00EA169F" w:rsidRPr="00162509">
              <w:t xml:space="preserve"> (DNRM)</w:t>
            </w:r>
            <w:r w:rsidRPr="00162509">
              <w:t xml:space="preserve"> 2014</w:t>
            </w:r>
            <w:r w:rsidR="00EA169F" w:rsidRPr="00162509">
              <w:t>.</w:t>
            </w:r>
            <w:r w:rsidRPr="00162509">
              <w:t xml:space="preserve"> </w:t>
            </w:r>
            <w:r w:rsidR="00DA3A8B" w:rsidRPr="00162509">
              <w:rPr>
                <w:i/>
              </w:rPr>
              <w:t>Guideline: W</w:t>
            </w:r>
            <w:r w:rsidRPr="00162509">
              <w:rPr>
                <w:i/>
              </w:rPr>
              <w:t xml:space="preserve">orks that interfere with water in a </w:t>
            </w:r>
            <w:r w:rsidR="00DA3A8B" w:rsidRPr="00162509">
              <w:rPr>
                <w:i/>
              </w:rPr>
              <w:t>watercours</w:t>
            </w:r>
            <w:r w:rsidRPr="00162509">
              <w:rPr>
                <w:i/>
              </w:rPr>
              <w:t>e</w:t>
            </w:r>
            <w:r w:rsidR="00DA3A8B" w:rsidRPr="00162509">
              <w:rPr>
                <w:i/>
              </w:rPr>
              <w:t xml:space="preserve"> for a resource activity</w:t>
            </w:r>
            <w:r w:rsidRPr="00162509">
              <w:rPr>
                <w:i/>
              </w:rPr>
              <w:t xml:space="preserve"> – watercourse diversions</w:t>
            </w:r>
            <w:r w:rsidR="00DA3A8B" w:rsidRPr="00162509">
              <w:rPr>
                <w:i/>
              </w:rPr>
              <w:t xml:space="preserve"> authorised under the Water Act 2000.</w:t>
            </w:r>
            <w:r w:rsidRPr="00162509">
              <w:t xml:space="preserve"> </w:t>
            </w:r>
            <w:r w:rsidR="00DA3A8B" w:rsidRPr="00162509">
              <w:t xml:space="preserve">State of Queensland. Available [online]: </w:t>
            </w:r>
            <w:hyperlink r:id="rId14" w:history="1">
              <w:r w:rsidR="00DA3A8B" w:rsidRPr="00162509">
                <w:rPr>
                  <w:rStyle w:val="Hyperlink"/>
                </w:rPr>
                <w:t>https://www.dnrme.qld.gov.au/?a=109113:policy_registry/watercourse-diversions-water-act.pdf&amp;ver=2.00</w:t>
              </w:r>
            </w:hyperlink>
            <w:r w:rsidR="00DA3A8B" w:rsidRPr="00162509">
              <w:t xml:space="preserve"> accessed June 2019.</w:t>
            </w:r>
          </w:p>
          <w:p w14:paraId="2B2860E9" w14:textId="77777777" w:rsidR="00690F0F" w:rsidRPr="00162509" w:rsidRDefault="00690F0F" w:rsidP="001E2E34">
            <w:pPr>
              <w:pStyle w:val="Tabletext"/>
              <w:spacing w:line="240" w:lineRule="auto"/>
              <w:ind w:left="493" w:hanging="493"/>
            </w:pPr>
            <w:r w:rsidRPr="00162509">
              <w:t>Doody TM, Hancock PJ, Pritchard JL 2019. Information Guidelines explanatory note: Assessing groundwater-dependent ecosystems. Report prepared for the Independent Expert Scientific Committee on Coal Seam Gas and Large Coal Mining Development through the Department of the Environment and Energy, Commonwealth of Australia.</w:t>
            </w:r>
          </w:p>
          <w:p w14:paraId="61509B4F" w14:textId="77777777" w:rsidR="00BA4F2D" w:rsidRPr="00162509" w:rsidRDefault="00BA4F2D" w:rsidP="001E2E34">
            <w:pPr>
              <w:pStyle w:val="Tabletext"/>
              <w:spacing w:line="240" w:lineRule="auto"/>
              <w:ind w:left="493" w:hanging="493"/>
            </w:pPr>
            <w:r w:rsidRPr="00162509">
              <w:t xml:space="preserve">EPBC Act Referral 2019. </w:t>
            </w:r>
            <w:proofErr w:type="spellStart"/>
            <w:r w:rsidRPr="00162509">
              <w:rPr>
                <w:i/>
              </w:rPr>
              <w:t>Glendell</w:t>
            </w:r>
            <w:proofErr w:type="spellEnd"/>
            <w:r w:rsidRPr="00162509">
              <w:rPr>
                <w:i/>
              </w:rPr>
              <w:t xml:space="preserve"> Continued Operations Project EPBC Act Referral. Submission #3982.</w:t>
            </w:r>
            <w:r w:rsidRPr="00162509">
              <w:t xml:space="preserve"> Available [online]: </w:t>
            </w:r>
            <w:hyperlink r:id="rId15" w:history="1">
              <w:r w:rsidRPr="00162509">
                <w:rPr>
                  <w:rStyle w:val="Hyperlink"/>
                </w:rPr>
                <w:t>http://epbcnotices.environment.gov.au/referralslist/</w:t>
              </w:r>
            </w:hyperlink>
            <w:r w:rsidRPr="00162509">
              <w:t xml:space="preserve"> (referral number </w:t>
            </w:r>
            <w:r w:rsidR="00F00673" w:rsidRPr="00162509">
              <w:t>2019/8409) accessed June 2019.</w:t>
            </w:r>
          </w:p>
          <w:p w14:paraId="2D485EED" w14:textId="77777777" w:rsidR="00BD075B" w:rsidRPr="00162509" w:rsidRDefault="00BD075B" w:rsidP="00BD075B">
            <w:pPr>
              <w:pStyle w:val="Tabletext"/>
              <w:spacing w:line="240" w:lineRule="auto"/>
              <w:ind w:left="493" w:hanging="493"/>
            </w:pPr>
            <w:r w:rsidRPr="00162509">
              <w:t xml:space="preserve">Glencore 2018. </w:t>
            </w:r>
            <w:r w:rsidRPr="00162509">
              <w:rPr>
                <w:i/>
              </w:rPr>
              <w:t>Water Management Plan</w:t>
            </w:r>
            <w:r w:rsidRPr="00162509">
              <w:t xml:space="preserve">. </w:t>
            </w:r>
            <w:r w:rsidR="00DA3A8B" w:rsidRPr="00162509">
              <w:t xml:space="preserve">Version 9.1 effective 22/11/2018. Available [online]: </w:t>
            </w:r>
            <w:hyperlink r:id="rId16" w:history="1">
              <w:r w:rsidR="00DA3A8B" w:rsidRPr="00162509">
                <w:rPr>
                  <w:rStyle w:val="Hyperlink"/>
                </w:rPr>
                <w:t>http://www.mtowencomplex.com.au/en/environment/Pages/plans-programs.aspx</w:t>
              </w:r>
            </w:hyperlink>
            <w:r w:rsidR="00DA3A8B" w:rsidRPr="00162509">
              <w:t xml:space="preserve"> accessed June 2019.</w:t>
            </w:r>
          </w:p>
          <w:p w14:paraId="456F6F61" w14:textId="77777777" w:rsidR="00F00673" w:rsidRPr="00162509" w:rsidRDefault="00F00673" w:rsidP="001E2E34">
            <w:pPr>
              <w:pStyle w:val="Tabletext"/>
              <w:spacing w:line="240" w:lineRule="auto"/>
              <w:ind w:left="493" w:hanging="493"/>
            </w:pPr>
            <w:r w:rsidRPr="00162509">
              <w:t xml:space="preserve">Glencore 2019a. </w:t>
            </w:r>
            <w:r w:rsidRPr="00162509">
              <w:rPr>
                <w:i/>
              </w:rPr>
              <w:t>Groundwater</w:t>
            </w:r>
            <w:r w:rsidR="00DA3A8B" w:rsidRPr="00162509">
              <w:rPr>
                <w:i/>
              </w:rPr>
              <w:t xml:space="preserve"> monitoring and management plan</w:t>
            </w:r>
            <w:r w:rsidRPr="00162509">
              <w:rPr>
                <w:i/>
              </w:rPr>
              <w:t>.</w:t>
            </w:r>
            <w:r w:rsidR="00DA3A8B" w:rsidRPr="00162509">
              <w:rPr>
                <w:i/>
              </w:rPr>
              <w:t xml:space="preserve"> </w:t>
            </w:r>
            <w:r w:rsidRPr="00162509">
              <w:t xml:space="preserve">Version 2.0 effective 01/03/2019. Available [online]: </w:t>
            </w:r>
            <w:hyperlink r:id="rId17" w:history="1">
              <w:r w:rsidRPr="00162509">
                <w:rPr>
                  <w:rStyle w:val="Hyperlink"/>
                </w:rPr>
                <w:t>http://www.mtowencomplex.com.au/en/environment/Pages/plans-programs.aspx</w:t>
              </w:r>
            </w:hyperlink>
            <w:r w:rsidRPr="00162509">
              <w:t xml:space="preserve"> accessed June 2019.</w:t>
            </w:r>
          </w:p>
          <w:p w14:paraId="1E73B6F5" w14:textId="77777777" w:rsidR="00F00673" w:rsidRPr="00162509" w:rsidRDefault="00F00673" w:rsidP="001E2E34">
            <w:pPr>
              <w:pStyle w:val="Tabletext"/>
              <w:spacing w:line="240" w:lineRule="auto"/>
              <w:ind w:left="493" w:hanging="493"/>
            </w:pPr>
            <w:r w:rsidRPr="00162509">
              <w:t xml:space="preserve">Glencore 2019b. </w:t>
            </w:r>
            <w:r w:rsidRPr="00162509">
              <w:rPr>
                <w:i/>
              </w:rPr>
              <w:t>Surface water monitoring and management plan.</w:t>
            </w:r>
            <w:r w:rsidRPr="00162509">
              <w:t xml:space="preserve"> Version 2.0 effective 01/03/2019. Available [online]: </w:t>
            </w:r>
            <w:hyperlink r:id="rId18" w:history="1">
              <w:r w:rsidRPr="00162509">
                <w:rPr>
                  <w:rStyle w:val="Hyperlink"/>
                </w:rPr>
                <w:t>http://www.mtowencomplex.com.au/en/environment/Pages/plans-programs.aspx</w:t>
              </w:r>
            </w:hyperlink>
            <w:r w:rsidRPr="00162509">
              <w:t xml:space="preserve"> accessed June 2019.</w:t>
            </w:r>
          </w:p>
          <w:p w14:paraId="75C0FD6B" w14:textId="77777777" w:rsidR="00F751B8" w:rsidRPr="00162509" w:rsidRDefault="00F751B8" w:rsidP="00F751B8">
            <w:pPr>
              <w:pStyle w:val="Tabletext"/>
              <w:spacing w:line="240" w:lineRule="auto"/>
              <w:ind w:left="493" w:hanging="493"/>
            </w:pPr>
            <w:r w:rsidRPr="00162509">
              <w:lastRenderedPageBreak/>
              <w:t xml:space="preserve">Huynh T and Hobbs D 2019. </w:t>
            </w:r>
            <w:r w:rsidRPr="00162509">
              <w:rPr>
                <w:i/>
              </w:rPr>
              <w:t xml:space="preserve">Deriving site-specific guideline values for </w:t>
            </w:r>
            <w:proofErr w:type="spellStart"/>
            <w:r w:rsidRPr="00162509">
              <w:rPr>
                <w:i/>
              </w:rPr>
              <w:t>physico</w:t>
            </w:r>
            <w:proofErr w:type="spellEnd"/>
            <w:r w:rsidRPr="00162509">
              <w:rPr>
                <w:i/>
              </w:rPr>
              <w:t xml:space="preserve">-chemical parameters and toxicants. </w:t>
            </w:r>
            <w:r w:rsidRPr="00162509">
              <w:t xml:space="preserve">Report prepared for the Independent Expert Scientific Committee on Coal Seam Gas and Large Coal Mining Development through the Department of the Environment and Energy, Commonwealth of Australian 2019. Available [online]: </w:t>
            </w:r>
            <w:hyperlink r:id="rId19" w:history="1">
              <w:r w:rsidRPr="00162509">
                <w:rPr>
                  <w:rStyle w:val="Hyperlink"/>
                </w:rPr>
                <w:t>http://iesc.environment.gov.au/publications/information-guidelines-explanatory-note-deriving-site-specific-guidelines-values</w:t>
              </w:r>
            </w:hyperlink>
            <w:r w:rsidRPr="00162509">
              <w:t xml:space="preserve"> accessed June 2019.</w:t>
            </w:r>
          </w:p>
          <w:p w14:paraId="725F0165" w14:textId="0815969A" w:rsidR="00F751B8" w:rsidRPr="00162509" w:rsidRDefault="00F751B8" w:rsidP="00F751B8">
            <w:pPr>
              <w:pStyle w:val="Tabletext"/>
              <w:spacing w:line="240" w:lineRule="auto"/>
              <w:ind w:left="493" w:hanging="493"/>
            </w:pPr>
            <w:r w:rsidRPr="00162509">
              <w:t xml:space="preserve">IESC 2018. </w:t>
            </w:r>
            <w:r w:rsidRPr="00162509">
              <w:rPr>
                <w:i/>
              </w:rPr>
              <w:t xml:space="preserve">Information </w:t>
            </w:r>
            <w:r w:rsidR="00384A0C" w:rsidRPr="00162509">
              <w:rPr>
                <w:i/>
              </w:rPr>
              <w:t>g</w:t>
            </w:r>
            <w:r w:rsidRPr="00162509">
              <w:rPr>
                <w:i/>
              </w:rPr>
              <w:t>uidelines for proponents preparing coal seam gas and large coal mining development proposals.</w:t>
            </w:r>
            <w:r w:rsidRPr="00162509">
              <w:t xml:space="preserve"> Available [online]: </w:t>
            </w:r>
            <w:hyperlink r:id="rId20" w:history="1">
              <w:r w:rsidRPr="00162509">
                <w:rPr>
                  <w:rStyle w:val="Hyperlink"/>
                </w:rPr>
                <w:t>http://iesc.environment.gov.au/publications/information-guidelines-independent-expert-scientific-committee-advice-coal-seam-gas</w:t>
              </w:r>
            </w:hyperlink>
            <w:r w:rsidRPr="00162509">
              <w:t xml:space="preserve"> accessed June 2019.</w:t>
            </w:r>
          </w:p>
          <w:p w14:paraId="4CF9D1B4" w14:textId="77777777" w:rsidR="00BA4F2D" w:rsidRPr="00162509" w:rsidRDefault="00BA4F2D" w:rsidP="001E2E34">
            <w:pPr>
              <w:pStyle w:val="Tabletext"/>
              <w:spacing w:line="240" w:lineRule="auto"/>
              <w:ind w:left="493" w:hanging="493"/>
            </w:pPr>
            <w:proofErr w:type="spellStart"/>
            <w:r w:rsidRPr="00162509">
              <w:t>Middlemis</w:t>
            </w:r>
            <w:proofErr w:type="spellEnd"/>
            <w:r w:rsidRPr="00162509">
              <w:t xml:space="preserve"> H and </w:t>
            </w:r>
            <w:proofErr w:type="spellStart"/>
            <w:r w:rsidRPr="00162509">
              <w:t>Peeters</w:t>
            </w:r>
            <w:proofErr w:type="spellEnd"/>
            <w:r w:rsidRPr="00162509">
              <w:t xml:space="preserve"> LJM 2018. </w:t>
            </w:r>
            <w:r w:rsidRPr="00162509">
              <w:rPr>
                <w:i/>
              </w:rPr>
              <w:t>Uncertainty analysis – Guidance for groundwater modelling within a risk framework.</w:t>
            </w:r>
            <w:r w:rsidRPr="00162509">
              <w:t xml:space="preserve"> A report prepared by the Independent Expert Scientific Committee on Coal Seam Gas and Large Coal Mining Development through the Department of the Environment and Energy, Commonwealth of Australia 2018. Available [online]: </w:t>
            </w:r>
            <w:hyperlink r:id="rId21" w:history="1">
              <w:r w:rsidRPr="00162509">
                <w:rPr>
                  <w:rStyle w:val="Hyperlink"/>
                </w:rPr>
                <w:t>http://iesc.environment.gov.au/publications/information-guidelines-explanatory-note-uncertainty-analysis</w:t>
              </w:r>
            </w:hyperlink>
            <w:r w:rsidRPr="00162509">
              <w:t xml:space="preserve"> accessed June 2019.</w:t>
            </w:r>
          </w:p>
          <w:p w14:paraId="12B3AC00" w14:textId="3F920FAC" w:rsidR="00B54B02" w:rsidRDefault="00F00673" w:rsidP="001E2E34">
            <w:pPr>
              <w:pStyle w:val="Tabletext"/>
              <w:spacing w:line="240" w:lineRule="auto"/>
              <w:ind w:left="493" w:hanging="493"/>
            </w:pPr>
            <w:r w:rsidRPr="00162509">
              <w:t xml:space="preserve">Minerals Council of Australia 2014. </w:t>
            </w:r>
            <w:r w:rsidRPr="00162509">
              <w:rPr>
                <w:i/>
              </w:rPr>
              <w:t xml:space="preserve">Water accounting framework for the minerals industry. User guide. </w:t>
            </w:r>
            <w:r w:rsidR="00B54B02">
              <w:t xml:space="preserve">Available [online]: </w:t>
            </w:r>
            <w:hyperlink r:id="rId22" w:history="1">
              <w:r w:rsidR="00B54B02" w:rsidRPr="00EA4A67">
                <w:rPr>
                  <w:rStyle w:val="Hyperlink"/>
                </w:rPr>
                <w:t>http://minerals.org.au/water-accounting-framework-australian-minerals-industry</w:t>
              </w:r>
            </w:hyperlink>
            <w:r w:rsidR="00B54B02">
              <w:t xml:space="preserve"> accessed June 2019.</w:t>
            </w:r>
          </w:p>
          <w:p w14:paraId="7E5AEEB9" w14:textId="11DA473B" w:rsidR="00EA169F" w:rsidRPr="00162509" w:rsidRDefault="00EA169F" w:rsidP="001E2E34">
            <w:pPr>
              <w:pStyle w:val="Tabletext"/>
              <w:spacing w:line="240" w:lineRule="auto"/>
              <w:ind w:left="493" w:hanging="493"/>
            </w:pPr>
            <w:r w:rsidRPr="00162509">
              <w:t xml:space="preserve">Mueller N, Lewis A, Roberts D, Ring S, Melrose R, Sixsmith J, </w:t>
            </w:r>
            <w:proofErr w:type="spellStart"/>
            <w:r w:rsidRPr="00162509">
              <w:t>Lymburner</w:t>
            </w:r>
            <w:proofErr w:type="spellEnd"/>
            <w:r w:rsidRPr="00162509">
              <w:t xml:space="preserve"> L, McIntyre A, Tan P, Curnow S and </w:t>
            </w:r>
            <w:proofErr w:type="spellStart"/>
            <w:r w:rsidRPr="00162509">
              <w:t>Ip</w:t>
            </w:r>
            <w:proofErr w:type="spellEnd"/>
            <w:r w:rsidRPr="00162509">
              <w:t xml:space="preserve"> A 2016. Water observations from space: Mapping surface water from 25 years of Landsat imagery across Australia. </w:t>
            </w:r>
            <w:r w:rsidRPr="00162509">
              <w:rPr>
                <w:i/>
              </w:rPr>
              <w:t>Remote Sensing of Envi</w:t>
            </w:r>
            <w:r w:rsidRPr="00CB7D49">
              <w:rPr>
                <w:i/>
              </w:rPr>
              <w:t>ronment</w:t>
            </w:r>
            <w:r w:rsidRPr="00CB7D49">
              <w:t xml:space="preserve">. </w:t>
            </w:r>
            <w:r w:rsidRPr="00290A92">
              <w:t>174</w:t>
            </w:r>
            <w:r w:rsidR="00384A0C" w:rsidRPr="00290A92">
              <w:t>:</w:t>
            </w:r>
            <w:r w:rsidRPr="00290A92">
              <w:t xml:space="preserve"> 341-352.</w:t>
            </w:r>
            <w:r w:rsidRPr="00CB7D49">
              <w:t xml:space="preserve"> Available [online]:</w:t>
            </w:r>
            <w:r w:rsidRPr="00162509">
              <w:t xml:space="preserve"> </w:t>
            </w:r>
            <w:hyperlink r:id="rId23" w:history="1">
              <w:r w:rsidRPr="00162509">
                <w:rPr>
                  <w:rStyle w:val="Hyperlink"/>
                </w:rPr>
                <w:t>https://www.sciencedirect.com/science/article/pii/S0034425715301929</w:t>
              </w:r>
            </w:hyperlink>
            <w:r w:rsidRPr="00162509">
              <w:t xml:space="preserve"> accessed June 2019.</w:t>
            </w:r>
          </w:p>
          <w:p w14:paraId="6B595968" w14:textId="77777777" w:rsidR="00AE393A" w:rsidRPr="00162509" w:rsidRDefault="00AE393A" w:rsidP="001E2E34">
            <w:pPr>
              <w:pStyle w:val="Tabletext"/>
              <w:spacing w:line="240" w:lineRule="auto"/>
              <w:ind w:left="493" w:hanging="493"/>
            </w:pPr>
            <w:r w:rsidRPr="00162509">
              <w:t>N</w:t>
            </w:r>
            <w:r w:rsidR="00F751B8" w:rsidRPr="00162509">
              <w:t xml:space="preserve">ew </w:t>
            </w:r>
            <w:r w:rsidRPr="00162509">
              <w:t>S</w:t>
            </w:r>
            <w:r w:rsidR="00F751B8" w:rsidRPr="00162509">
              <w:t xml:space="preserve">outh </w:t>
            </w:r>
            <w:r w:rsidRPr="00162509">
              <w:t>W</w:t>
            </w:r>
            <w:r w:rsidR="00F751B8" w:rsidRPr="00162509">
              <w:t>ales</w:t>
            </w:r>
            <w:r w:rsidRPr="00162509">
              <w:t xml:space="preserve"> Government 2013. </w:t>
            </w:r>
            <w:r w:rsidRPr="00162509">
              <w:rPr>
                <w:i/>
              </w:rPr>
              <w:t>Strategic regional land use policy – Guideline for Gateway applicants</w:t>
            </w:r>
            <w:r w:rsidR="00F00673" w:rsidRPr="00162509">
              <w:rPr>
                <w:i/>
              </w:rPr>
              <w:t xml:space="preserve">. </w:t>
            </w:r>
            <w:r w:rsidR="00F00673" w:rsidRPr="00162509">
              <w:t xml:space="preserve">Available [online]: </w:t>
            </w:r>
            <w:hyperlink r:id="rId24" w:history="1">
              <w:r w:rsidR="00F00673" w:rsidRPr="00162509">
                <w:rPr>
                  <w:rStyle w:val="Hyperlink"/>
                </w:rPr>
                <w:t>http://www.mpgp.nsw.gov.au/docs/Guideline%20for%20Gateway%20Applicants.pdf</w:t>
              </w:r>
            </w:hyperlink>
            <w:r w:rsidR="00F00673" w:rsidRPr="00162509">
              <w:t xml:space="preserve"> accessed June 2019.</w:t>
            </w:r>
          </w:p>
          <w:p w14:paraId="5791D9A6" w14:textId="77777777" w:rsidR="00DA3A8B" w:rsidRPr="00162509" w:rsidRDefault="00EA169F" w:rsidP="001E2E34">
            <w:pPr>
              <w:pStyle w:val="Tabletext"/>
              <w:spacing w:line="240" w:lineRule="auto"/>
              <w:ind w:left="493" w:hanging="493"/>
            </w:pPr>
            <w:proofErr w:type="spellStart"/>
            <w:r w:rsidRPr="00162509">
              <w:t>Rassam</w:t>
            </w:r>
            <w:proofErr w:type="spellEnd"/>
            <w:r w:rsidRPr="00162509">
              <w:t xml:space="preserve"> DW and Werner AD 2008. </w:t>
            </w:r>
            <w:r w:rsidR="00DA3A8B" w:rsidRPr="00162509">
              <w:rPr>
                <w:i/>
              </w:rPr>
              <w:t>Review of groundwater-surface</w:t>
            </w:r>
            <w:r w:rsidR="00CD2965" w:rsidRPr="00162509">
              <w:rPr>
                <w:i/>
              </w:rPr>
              <w:t xml:space="preserve"> </w:t>
            </w:r>
            <w:r w:rsidRPr="00162509">
              <w:rPr>
                <w:i/>
              </w:rPr>
              <w:t>water interaction modelling approaches and their suitability for Australian conditions.</w:t>
            </w:r>
            <w:r w:rsidRPr="00162509">
              <w:t xml:space="preserve"> </w:t>
            </w:r>
            <w:proofErr w:type="spellStart"/>
            <w:proofErr w:type="gramStart"/>
            <w:r w:rsidRPr="00162509">
              <w:t>eWater</w:t>
            </w:r>
            <w:proofErr w:type="spellEnd"/>
            <w:proofErr w:type="gramEnd"/>
            <w:r w:rsidRPr="00162509">
              <w:t xml:space="preserve"> Technical Report. </w:t>
            </w:r>
            <w:proofErr w:type="spellStart"/>
            <w:proofErr w:type="gramStart"/>
            <w:r w:rsidRPr="00162509">
              <w:t>eWater</w:t>
            </w:r>
            <w:proofErr w:type="spellEnd"/>
            <w:proofErr w:type="gramEnd"/>
            <w:r w:rsidRPr="00162509">
              <w:t xml:space="preserve"> Cooperative Research Centre, Canberra.</w:t>
            </w:r>
            <w:r w:rsidR="00DA3A8B" w:rsidRPr="00162509">
              <w:t xml:space="preserve"> Available [online]: </w:t>
            </w:r>
            <w:hyperlink r:id="rId25" w:history="1">
              <w:r w:rsidR="00DA3A8B" w:rsidRPr="00162509">
                <w:rPr>
                  <w:rStyle w:val="Hyperlink"/>
                </w:rPr>
                <w:t>https://ewater.org.au/uploads/files/Rassam_Werner-2008-Groundwater_Review.pdf</w:t>
              </w:r>
            </w:hyperlink>
            <w:r w:rsidR="00DA3A8B" w:rsidRPr="00162509">
              <w:t xml:space="preserve"> accessed June 2019.</w:t>
            </w:r>
          </w:p>
          <w:p w14:paraId="66F5F1CB" w14:textId="77777777" w:rsidR="00EA169F" w:rsidRPr="00162509" w:rsidRDefault="00EA169F" w:rsidP="001E2E34">
            <w:pPr>
              <w:pStyle w:val="Tabletext"/>
              <w:spacing w:line="240" w:lineRule="auto"/>
              <w:ind w:left="493" w:hanging="493"/>
            </w:pPr>
            <w:proofErr w:type="spellStart"/>
            <w:r w:rsidRPr="00162509">
              <w:t>Rassam</w:t>
            </w:r>
            <w:proofErr w:type="spellEnd"/>
            <w:r w:rsidRPr="00162509">
              <w:t xml:space="preserve"> DW, Jolly I and Pickett T 2011. </w:t>
            </w:r>
            <w:r w:rsidRPr="00162509">
              <w:rPr>
                <w:i/>
              </w:rPr>
              <w:t xml:space="preserve">Guidelines for modelling groundwater-surface water interactions in </w:t>
            </w:r>
            <w:proofErr w:type="spellStart"/>
            <w:r w:rsidRPr="00162509">
              <w:rPr>
                <w:i/>
              </w:rPr>
              <w:t>eWater</w:t>
            </w:r>
            <w:proofErr w:type="spellEnd"/>
            <w:r w:rsidRPr="00162509">
              <w:rPr>
                <w:i/>
              </w:rPr>
              <w:t xml:space="preserve"> Source: Towards best practice model application.</w:t>
            </w:r>
            <w:r w:rsidRPr="00162509">
              <w:t xml:space="preserve"> </w:t>
            </w:r>
            <w:r w:rsidR="00DA3A8B" w:rsidRPr="00162509">
              <w:t xml:space="preserve">Available [online]: </w:t>
            </w:r>
            <w:hyperlink r:id="rId26" w:history="1">
              <w:r w:rsidR="00342172" w:rsidRPr="00162509">
                <w:rPr>
                  <w:rStyle w:val="Hyperlink"/>
                </w:rPr>
                <w:t>https://ewater.org.au/publications/guidelines-for-water-management-modelling/</w:t>
              </w:r>
            </w:hyperlink>
            <w:r w:rsidR="00342172" w:rsidRPr="00162509">
              <w:t xml:space="preserve"> accessed June 2019.</w:t>
            </w:r>
          </w:p>
          <w:p w14:paraId="2156DCB0" w14:textId="77777777" w:rsidR="00717DD2" w:rsidRPr="00162509" w:rsidRDefault="00717DD2" w:rsidP="001E2E34">
            <w:pPr>
              <w:pStyle w:val="Tabletext"/>
              <w:spacing w:line="240" w:lineRule="auto"/>
              <w:ind w:left="493" w:hanging="493"/>
              <w:rPr>
                <w:i/>
              </w:rPr>
            </w:pPr>
            <w:r w:rsidRPr="00162509">
              <w:t xml:space="preserve">Umwelt 2018. </w:t>
            </w:r>
            <w:proofErr w:type="spellStart"/>
            <w:r w:rsidRPr="00162509">
              <w:rPr>
                <w:i/>
              </w:rPr>
              <w:t>Glendell</w:t>
            </w:r>
            <w:proofErr w:type="spellEnd"/>
            <w:r w:rsidRPr="00162509">
              <w:rPr>
                <w:i/>
              </w:rPr>
              <w:t xml:space="preserve"> Continued Operations Project. Preliminary environmental assessment (PEA).</w:t>
            </w:r>
            <w:r w:rsidRPr="00162509">
              <w:t xml:space="preserve"> Final May 2018. Available [online]: </w:t>
            </w:r>
            <w:hyperlink r:id="rId27" w:history="1">
              <w:r w:rsidRPr="00162509">
                <w:rPr>
                  <w:rStyle w:val="Hyperlink"/>
                </w:rPr>
                <w:t>http://epbcnotices.environment.gov.au/referralslist/</w:t>
              </w:r>
            </w:hyperlink>
            <w:r w:rsidRPr="00162509">
              <w:t xml:space="preserve"> (referral number 2019/8409) accessed June 2019.</w:t>
            </w:r>
          </w:p>
          <w:p w14:paraId="3B7F407A" w14:textId="77777777" w:rsidR="00DA07B9" w:rsidRPr="00162509" w:rsidRDefault="00DA07B9" w:rsidP="001E2E34">
            <w:pPr>
              <w:pStyle w:val="Tabletext"/>
              <w:spacing w:line="240" w:lineRule="auto"/>
              <w:ind w:left="493" w:hanging="493"/>
            </w:pPr>
            <w:r w:rsidRPr="00162509">
              <w:t xml:space="preserve">Umwelt 2019b. </w:t>
            </w:r>
            <w:proofErr w:type="spellStart"/>
            <w:r w:rsidR="00431B29" w:rsidRPr="00162509">
              <w:rPr>
                <w:i/>
              </w:rPr>
              <w:t>Glendell</w:t>
            </w:r>
            <w:proofErr w:type="spellEnd"/>
            <w:r w:rsidR="00431B29" w:rsidRPr="00162509">
              <w:rPr>
                <w:i/>
              </w:rPr>
              <w:t xml:space="preserve"> Continued Operations Project. Ecological matters of national environmental significance report.</w:t>
            </w:r>
            <w:r w:rsidR="00431B29" w:rsidRPr="00162509">
              <w:t xml:space="preserve"> Final February 2019. Available [online]: </w:t>
            </w:r>
            <w:hyperlink r:id="rId28" w:history="1">
              <w:r w:rsidR="00431B29" w:rsidRPr="00162509">
                <w:rPr>
                  <w:rStyle w:val="Hyperlink"/>
                </w:rPr>
                <w:t>http://epbcnotices.environment.gov.au/referralslist/</w:t>
              </w:r>
            </w:hyperlink>
            <w:r w:rsidR="00431B29" w:rsidRPr="00162509">
              <w:t xml:space="preserve"> (referral number 2019/8409) accessed June 2019.</w:t>
            </w:r>
          </w:p>
          <w:p w14:paraId="7AFF8E70" w14:textId="77777777" w:rsidR="00F00673" w:rsidRPr="00162509" w:rsidRDefault="00EA169F" w:rsidP="00F751B8">
            <w:pPr>
              <w:pStyle w:val="Tabletext"/>
              <w:spacing w:line="240" w:lineRule="auto"/>
              <w:ind w:left="493" w:hanging="493"/>
            </w:pPr>
            <w:r w:rsidRPr="00162509">
              <w:t xml:space="preserve">White K, </w:t>
            </w:r>
            <w:proofErr w:type="spellStart"/>
            <w:r w:rsidRPr="00162509">
              <w:t>Moar</w:t>
            </w:r>
            <w:proofErr w:type="spellEnd"/>
            <w:r w:rsidRPr="00162509">
              <w:t xml:space="preserve"> D, </w:t>
            </w:r>
            <w:proofErr w:type="spellStart"/>
            <w:r w:rsidRPr="00162509">
              <w:t>Hardie</w:t>
            </w:r>
            <w:proofErr w:type="spellEnd"/>
            <w:r w:rsidRPr="00162509">
              <w:t xml:space="preserve"> R, Blackham D and Lucas R 2014. </w:t>
            </w:r>
            <w:r w:rsidRPr="00162509">
              <w:rPr>
                <w:i/>
              </w:rPr>
              <w:t>Criteria for functioning river landscape units in mining and post mining landscapes.</w:t>
            </w:r>
            <w:r w:rsidRPr="00162509">
              <w:t xml:space="preserve"> Final report for ACARP Project C20017.</w:t>
            </w:r>
          </w:p>
        </w:tc>
      </w:tr>
    </w:tbl>
    <w:p w14:paraId="100ACFB7" w14:textId="77777777" w:rsidR="007203C3" w:rsidRPr="00BF21A7" w:rsidRDefault="00C37525" w:rsidP="00D622B9">
      <w:r w:rsidRPr="00BF21A7">
        <w:lastRenderedPageBreak/>
        <w:fldChar w:fldCharType="begin"/>
      </w:r>
      <w:r w:rsidRPr="00BF21A7">
        <w:instrText xml:space="preserve"> ADDIN </w:instrText>
      </w:r>
      <w:r w:rsidRPr="00BF21A7">
        <w:fldChar w:fldCharType="end"/>
      </w:r>
    </w:p>
    <w:sectPr w:rsidR="007203C3" w:rsidRPr="00BF21A7" w:rsidSect="00D20BE1">
      <w:type w:val="continuous"/>
      <w:pgSz w:w="11906" w:h="16838"/>
      <w:pgMar w:top="1440" w:right="1274" w:bottom="1440" w:left="1276" w:header="425" w:footer="425"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8BAAE4B" w16cid:durableId="20BB64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176DBF" w14:textId="77777777" w:rsidR="00FF42E0" w:rsidRDefault="00FF42E0" w:rsidP="00D622B9">
      <w:r>
        <w:separator/>
      </w:r>
    </w:p>
  </w:endnote>
  <w:endnote w:type="continuationSeparator" w:id="0">
    <w:p w14:paraId="0D363E85" w14:textId="77777777" w:rsidR="00FF42E0" w:rsidRDefault="00FF42E0" w:rsidP="00D62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altName w:val="Arial"/>
    <w:panose1 w:val="020B0704020202020204"/>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568E51" w14:textId="77777777" w:rsidR="00D64CA2" w:rsidRDefault="00D64CA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CB3547" w14:textId="77777777" w:rsidR="00454D0E" w:rsidRPr="00637239" w:rsidRDefault="00454D0E" w:rsidP="003B5A88">
    <w:pPr>
      <w:pStyle w:val="Footer"/>
      <w:pBdr>
        <w:top w:val="single" w:sz="12" w:space="0" w:color="auto"/>
      </w:pBdr>
    </w:pPr>
  </w:p>
  <w:p w14:paraId="0FC7DC3B" w14:textId="1256A2C4" w:rsidR="00454D0E" w:rsidRPr="00637239" w:rsidRDefault="00454D0E" w:rsidP="003B5A88">
    <w:pPr>
      <w:pStyle w:val="Footer"/>
      <w:pBdr>
        <w:top w:val="single" w:sz="12" w:space="0" w:color="auto"/>
      </w:pBdr>
      <w:rPr>
        <w:sz w:val="20"/>
      </w:rPr>
    </w:pPr>
    <w:proofErr w:type="spellStart"/>
    <w:r w:rsidRPr="00A450BA">
      <w:rPr>
        <w:sz w:val="20"/>
      </w:rPr>
      <w:t>Glendell</w:t>
    </w:r>
    <w:proofErr w:type="spellEnd"/>
    <w:r w:rsidRPr="00A450BA">
      <w:rPr>
        <w:sz w:val="20"/>
      </w:rPr>
      <w:t xml:space="preserve"> Continu</w:t>
    </w:r>
    <w:r>
      <w:rPr>
        <w:sz w:val="20"/>
      </w:rPr>
      <w:t xml:space="preserve">ed Operations </w:t>
    </w:r>
    <w:r w:rsidR="00455E48" w:rsidRPr="00D20BE1">
      <w:rPr>
        <w:sz w:val="20"/>
      </w:rPr>
      <w:t>Project</w:t>
    </w:r>
    <w:r w:rsidRPr="00D20BE1">
      <w:rPr>
        <w:sz w:val="20"/>
      </w:rPr>
      <w:ptab w:relativeTo="margin" w:alignment="right" w:leader="none"/>
    </w:r>
    <w:r w:rsidR="00D20BE1">
      <w:rPr>
        <w:sz w:val="20"/>
      </w:rPr>
      <w:t>24</w:t>
    </w:r>
    <w:r w:rsidRPr="00D20BE1">
      <w:rPr>
        <w:sz w:val="20"/>
      </w:rPr>
      <w:t xml:space="preserve"> </w:t>
    </w:r>
    <w:r w:rsidR="00D20BE1">
      <w:rPr>
        <w:sz w:val="20"/>
      </w:rPr>
      <w:t>June</w:t>
    </w:r>
    <w:r w:rsidRPr="00D20BE1">
      <w:rPr>
        <w:sz w:val="20"/>
      </w:rPr>
      <w:t xml:space="preserve"> 201</w:t>
    </w:r>
    <w:r w:rsidR="00D20BE1">
      <w:rPr>
        <w:sz w:val="20"/>
      </w:rPr>
      <w:t>9</w:t>
    </w:r>
  </w:p>
  <w:p w14:paraId="01588B98" w14:textId="77777777" w:rsidR="00454D0E" w:rsidRPr="00637239" w:rsidRDefault="00454D0E" w:rsidP="003B5A88">
    <w:pPr>
      <w:pStyle w:val="Footer"/>
      <w:pBdr>
        <w:top w:val="single" w:sz="12" w:space="0" w:color="auto"/>
      </w:pBdr>
      <w:jc w:val="center"/>
      <w:rPr>
        <w:sz w:val="20"/>
      </w:rPr>
    </w:pPr>
    <w:r w:rsidRPr="00637239">
      <w:rPr>
        <w:sz w:val="20"/>
      </w:rPr>
      <w:fldChar w:fldCharType="begin"/>
    </w:r>
    <w:r w:rsidRPr="00637239">
      <w:rPr>
        <w:sz w:val="20"/>
      </w:rPr>
      <w:instrText xml:space="preserve"> PAGE   \* MERGEFORMAT </w:instrText>
    </w:r>
    <w:r w:rsidRPr="00637239">
      <w:rPr>
        <w:sz w:val="20"/>
      </w:rPr>
      <w:fldChar w:fldCharType="separate"/>
    </w:r>
    <w:r w:rsidR="00D64CA2">
      <w:rPr>
        <w:noProof/>
        <w:sz w:val="20"/>
      </w:rPr>
      <w:t>12</w:t>
    </w:r>
    <w:r w:rsidRPr="00637239">
      <w:rPr>
        <w:sz w:val="2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251FFB" w14:textId="77777777" w:rsidR="00454D0E" w:rsidRPr="007B11FD" w:rsidRDefault="00454D0E" w:rsidP="000F240D">
    <w:pPr>
      <w:pStyle w:val="Footer"/>
      <w:pBdr>
        <w:top w:val="single" w:sz="12" w:space="0" w:color="auto"/>
      </w:pBdr>
      <w:ind w:left="-426"/>
    </w:pPr>
  </w:p>
  <w:p w14:paraId="0548922A" w14:textId="64B346AA" w:rsidR="00454D0E" w:rsidRDefault="00454D0E" w:rsidP="000F240D">
    <w:pPr>
      <w:pStyle w:val="Footer"/>
      <w:pBdr>
        <w:top w:val="single" w:sz="12" w:space="0" w:color="auto"/>
      </w:pBdr>
      <w:ind w:left="-426"/>
      <w:rPr>
        <w:color w:val="FF0000"/>
        <w:sz w:val="20"/>
      </w:rPr>
    </w:pPr>
    <w:proofErr w:type="spellStart"/>
    <w:r w:rsidRPr="00A9029B">
      <w:rPr>
        <w:sz w:val="20"/>
      </w:rPr>
      <w:t>Glendell</w:t>
    </w:r>
    <w:proofErr w:type="spellEnd"/>
    <w:r w:rsidRPr="00A9029B">
      <w:rPr>
        <w:sz w:val="20"/>
      </w:rPr>
      <w:t xml:space="preserve"> Continued Opera</w:t>
    </w:r>
    <w:r w:rsidR="009E4B43">
      <w:rPr>
        <w:sz w:val="20"/>
      </w:rPr>
      <w:t xml:space="preserve">tions Project </w:t>
    </w:r>
    <w:r w:rsidR="009E4B43" w:rsidRPr="00D20BE1">
      <w:rPr>
        <w:sz w:val="20"/>
      </w:rPr>
      <w:t>Advice</w:t>
    </w:r>
    <w:r w:rsidRPr="00D20BE1">
      <w:rPr>
        <w:sz w:val="20"/>
      </w:rPr>
      <w:ptab w:relativeTo="margin" w:alignment="right" w:leader="none"/>
    </w:r>
    <w:r w:rsidR="00D20BE1">
      <w:rPr>
        <w:sz w:val="20"/>
      </w:rPr>
      <w:t>24</w:t>
    </w:r>
    <w:r w:rsidRPr="00D20BE1">
      <w:rPr>
        <w:sz w:val="20"/>
      </w:rPr>
      <w:t xml:space="preserve"> </w:t>
    </w:r>
    <w:r w:rsidR="00D20BE1">
      <w:rPr>
        <w:sz w:val="20"/>
      </w:rPr>
      <w:t>June</w:t>
    </w:r>
    <w:r w:rsidRPr="00D20BE1">
      <w:rPr>
        <w:sz w:val="20"/>
      </w:rPr>
      <w:t xml:space="preserve"> 201</w:t>
    </w:r>
    <w:r w:rsidR="00D20BE1">
      <w:rPr>
        <w:sz w:val="20"/>
      </w:rPr>
      <w:t>9</w:t>
    </w:r>
  </w:p>
  <w:p w14:paraId="4C1C0EA7" w14:textId="77777777" w:rsidR="00454D0E" w:rsidRPr="00637239" w:rsidRDefault="00454D0E" w:rsidP="000F240D">
    <w:pPr>
      <w:pStyle w:val="Footer"/>
      <w:pBdr>
        <w:top w:val="none" w:sz="0" w:space="0" w:color="auto"/>
      </w:pBdr>
      <w:tabs>
        <w:tab w:val="left" w:pos="2865"/>
      </w:tabs>
      <w:rPr>
        <w:sz w:val="20"/>
      </w:rPr>
    </w:pPr>
    <w:r>
      <w:rPr>
        <w:sz w:val="20"/>
      </w:rPr>
      <w:tab/>
    </w:r>
    <w:r>
      <w:rPr>
        <w:sz w:val="20"/>
      </w:rPr>
      <w:tab/>
    </w:r>
    <w:r w:rsidRPr="00637239">
      <w:rPr>
        <w:sz w:val="20"/>
      </w:rPr>
      <w:fldChar w:fldCharType="begin"/>
    </w:r>
    <w:r w:rsidRPr="00637239">
      <w:rPr>
        <w:sz w:val="20"/>
      </w:rPr>
      <w:instrText xml:space="preserve"> PAGE   \* MERGEFORMAT </w:instrText>
    </w:r>
    <w:r w:rsidRPr="00637239">
      <w:rPr>
        <w:sz w:val="20"/>
      </w:rPr>
      <w:fldChar w:fldCharType="separate"/>
    </w:r>
    <w:r w:rsidR="00D64CA2">
      <w:rPr>
        <w:noProof/>
        <w:sz w:val="20"/>
      </w:rPr>
      <w:t>1</w:t>
    </w:r>
    <w:r w:rsidRPr="00637239">
      <w:rPr>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E4A4EB" w14:textId="77777777" w:rsidR="00FF42E0" w:rsidRDefault="00FF42E0" w:rsidP="00D622B9">
      <w:r>
        <w:separator/>
      </w:r>
    </w:p>
  </w:footnote>
  <w:footnote w:type="continuationSeparator" w:id="0">
    <w:p w14:paraId="1139BF56" w14:textId="77777777" w:rsidR="00FF42E0" w:rsidRDefault="00FF42E0" w:rsidP="00D622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98B84E" w14:textId="77777777" w:rsidR="00454D0E" w:rsidRDefault="00454D0E" w:rsidP="00D622B9">
    <w:pPr>
      <w:pStyle w:val="Classification"/>
    </w:pPr>
    <w:r>
      <w:rPr>
        <w:lang w:val="en-US"/>
      </w:rPr>
      <w:t>Error! Unknown document property 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870B58" w14:textId="77777777" w:rsidR="00D64CA2" w:rsidRDefault="00D64CA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D518A3" w14:textId="77777777" w:rsidR="00454D0E" w:rsidRDefault="00454D0E" w:rsidP="00264083">
    <w:pPr>
      <w:pStyle w:val="Header"/>
      <w:spacing w:after="0" w:line="240" w:lineRule="auto"/>
    </w:pPr>
    <w:r w:rsidRPr="00076FD2">
      <w:rPr>
        <w:noProof/>
        <w:lang w:eastAsia="en-AU"/>
      </w:rPr>
      <w:drawing>
        <wp:anchor distT="0" distB="0" distL="114300" distR="114300" simplePos="0" relativeHeight="251657216" behindDoc="0" locked="0" layoutInCell="1" allowOverlap="1" wp14:anchorId="2BDD8A56" wp14:editId="6D10D7A9">
          <wp:simplePos x="0" y="0"/>
          <wp:positionH relativeFrom="column">
            <wp:posOffset>-904875</wp:posOffset>
          </wp:positionH>
          <wp:positionV relativeFrom="paragraph">
            <wp:posOffset>-269875</wp:posOffset>
          </wp:positionV>
          <wp:extent cx="7724775" cy="2295525"/>
          <wp:effectExtent l="0" t="0" r="9525" b="9525"/>
          <wp:wrapSquare wrapText="bothSides"/>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7724775" cy="22955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E"/>
    <w:multiLevelType w:val="singleLevel"/>
    <w:tmpl w:val="3F286556"/>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DCBA67EE"/>
    <w:lvl w:ilvl="0">
      <w:start w:val="1"/>
      <w:numFmt w:val="decimal"/>
      <w:lvlText w:val="%1."/>
      <w:lvlJc w:val="left"/>
      <w:pPr>
        <w:tabs>
          <w:tab w:val="num" w:pos="643"/>
        </w:tabs>
        <w:ind w:left="643" w:hanging="360"/>
      </w:pPr>
    </w:lvl>
  </w:abstractNum>
  <w:abstractNum w:abstractNumId="2" w15:restartNumberingAfterBreak="0">
    <w:nsid w:val="FFFFFF80"/>
    <w:multiLevelType w:val="singleLevel"/>
    <w:tmpl w:val="032E3A2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560ED88A"/>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0A28084"/>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30E061F8"/>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1C3A2680"/>
    <w:lvl w:ilvl="0">
      <w:start w:val="1"/>
      <w:numFmt w:val="decimal"/>
      <w:lvlText w:val="%1."/>
      <w:lvlJc w:val="left"/>
      <w:pPr>
        <w:tabs>
          <w:tab w:val="num" w:pos="360"/>
        </w:tabs>
        <w:ind w:left="360" w:hanging="360"/>
      </w:pPr>
    </w:lvl>
  </w:abstractNum>
  <w:abstractNum w:abstractNumId="7" w15:restartNumberingAfterBreak="0">
    <w:nsid w:val="FFFFFF89"/>
    <w:multiLevelType w:val="singleLevel"/>
    <w:tmpl w:val="ED2E8AB6"/>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9" w15:restartNumberingAfterBreak="0">
    <w:nsid w:val="0AC600CE"/>
    <w:multiLevelType w:val="hybridMultilevel"/>
    <w:tmpl w:val="9064F232"/>
    <w:lvl w:ilvl="0" w:tplc="C08688E2">
      <w:start w:val="1"/>
      <w:numFmt w:val="decimal"/>
      <w:lvlText w:val="%1."/>
      <w:lvlJc w:val="left"/>
      <w:pPr>
        <w:ind w:left="360" w:hanging="360"/>
      </w:pPr>
      <w:rPr>
        <w:color w:val="auto"/>
      </w:rPr>
    </w:lvl>
    <w:lvl w:ilvl="1" w:tplc="A8BCD94C" w:tentative="1">
      <w:start w:val="1"/>
      <w:numFmt w:val="lowerLetter"/>
      <w:lvlText w:val="%2."/>
      <w:lvlJc w:val="left"/>
      <w:pPr>
        <w:ind w:left="1080" w:hanging="360"/>
      </w:pPr>
    </w:lvl>
    <w:lvl w:ilvl="2" w:tplc="CA5EF502" w:tentative="1">
      <w:start w:val="1"/>
      <w:numFmt w:val="lowerRoman"/>
      <w:lvlText w:val="%3."/>
      <w:lvlJc w:val="right"/>
      <w:pPr>
        <w:ind w:left="1800" w:hanging="180"/>
      </w:pPr>
    </w:lvl>
    <w:lvl w:ilvl="3" w:tplc="01F804FA" w:tentative="1">
      <w:start w:val="1"/>
      <w:numFmt w:val="decimal"/>
      <w:lvlText w:val="%4."/>
      <w:lvlJc w:val="left"/>
      <w:pPr>
        <w:ind w:left="2520" w:hanging="360"/>
      </w:pPr>
    </w:lvl>
    <w:lvl w:ilvl="4" w:tplc="3084ACBC" w:tentative="1">
      <w:start w:val="1"/>
      <w:numFmt w:val="lowerLetter"/>
      <w:lvlText w:val="%5."/>
      <w:lvlJc w:val="left"/>
      <w:pPr>
        <w:ind w:left="3240" w:hanging="360"/>
      </w:pPr>
    </w:lvl>
    <w:lvl w:ilvl="5" w:tplc="1AB4CD18" w:tentative="1">
      <w:start w:val="1"/>
      <w:numFmt w:val="lowerRoman"/>
      <w:lvlText w:val="%6."/>
      <w:lvlJc w:val="right"/>
      <w:pPr>
        <w:ind w:left="3960" w:hanging="180"/>
      </w:pPr>
    </w:lvl>
    <w:lvl w:ilvl="6" w:tplc="B9E040EC" w:tentative="1">
      <w:start w:val="1"/>
      <w:numFmt w:val="decimal"/>
      <w:lvlText w:val="%7."/>
      <w:lvlJc w:val="left"/>
      <w:pPr>
        <w:ind w:left="4680" w:hanging="360"/>
      </w:pPr>
    </w:lvl>
    <w:lvl w:ilvl="7" w:tplc="21E49A4C" w:tentative="1">
      <w:start w:val="1"/>
      <w:numFmt w:val="lowerLetter"/>
      <w:lvlText w:val="%8."/>
      <w:lvlJc w:val="left"/>
      <w:pPr>
        <w:ind w:left="5400" w:hanging="360"/>
      </w:pPr>
    </w:lvl>
    <w:lvl w:ilvl="8" w:tplc="F22AEB42" w:tentative="1">
      <w:start w:val="1"/>
      <w:numFmt w:val="lowerRoman"/>
      <w:lvlText w:val="%9."/>
      <w:lvlJc w:val="right"/>
      <w:pPr>
        <w:ind w:left="6120" w:hanging="180"/>
      </w:pPr>
    </w:lvl>
  </w:abstractNum>
  <w:abstractNum w:abstractNumId="10" w15:restartNumberingAfterBreak="0">
    <w:nsid w:val="0EF21922"/>
    <w:multiLevelType w:val="hybridMultilevel"/>
    <w:tmpl w:val="D4C6437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FAE3FF7"/>
    <w:multiLevelType w:val="hybridMultilevel"/>
    <w:tmpl w:val="70FC0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8D240F"/>
    <w:multiLevelType w:val="hybridMultilevel"/>
    <w:tmpl w:val="29E0E1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59F150A"/>
    <w:multiLevelType w:val="hybridMultilevel"/>
    <w:tmpl w:val="BAFCE4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7F38C8"/>
    <w:multiLevelType w:val="hybridMultilevel"/>
    <w:tmpl w:val="56A2DC7E"/>
    <w:lvl w:ilvl="0" w:tplc="6088D3FC">
      <w:start w:val="1"/>
      <w:numFmt w:val="bullet"/>
      <w:pStyle w:val="Lis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C203F93"/>
    <w:multiLevelType w:val="hybridMultilevel"/>
    <w:tmpl w:val="49907A7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505E7559"/>
    <w:multiLevelType w:val="hybridMultilevel"/>
    <w:tmpl w:val="231AF052"/>
    <w:lvl w:ilvl="0" w:tplc="0C090011">
      <w:start w:val="1"/>
      <w:numFmt w:val="decimal"/>
      <w:lvlText w:val="%1)"/>
      <w:lvlJc w:val="left"/>
      <w:pPr>
        <w:ind w:left="644"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51B25623"/>
    <w:multiLevelType w:val="multilevel"/>
    <w:tmpl w:val="50820AEC"/>
    <w:lvl w:ilvl="0">
      <w:start w:val="1"/>
      <w:numFmt w:val="decimal"/>
      <w:lvlText w:val="%1."/>
      <w:lvlJc w:val="left"/>
      <w:pPr>
        <w:ind w:left="360" w:hanging="360"/>
      </w:pPr>
      <w:rPr>
        <w:b/>
      </w:r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65456429"/>
    <w:multiLevelType w:val="multilevel"/>
    <w:tmpl w:val="5234F620"/>
    <w:lvl w:ilvl="0">
      <w:start w:val="1"/>
      <w:numFmt w:val="decimal"/>
      <w:pStyle w:val="ListNumber"/>
      <w:lvlText w:val="%1."/>
      <w:lvlJc w:val="left"/>
      <w:pPr>
        <w:ind w:left="369" w:hanging="369"/>
      </w:pPr>
      <w:rPr>
        <w:rFonts w:ascii="Arial" w:hAnsi="Arial" w:hint="default"/>
        <w:sz w:val="20"/>
        <w:szCs w:val="20"/>
      </w:rPr>
    </w:lvl>
    <w:lvl w:ilvl="1">
      <w:start w:val="1"/>
      <w:numFmt w:val="lowerLetter"/>
      <w:pStyle w:val="ListNumber2"/>
      <w:lvlText w:val="%2."/>
      <w:lvlJc w:val="left"/>
      <w:pPr>
        <w:ind w:left="738" w:hanging="369"/>
      </w:pPr>
      <w:rPr>
        <w:rFonts w:ascii="Arial" w:hAnsi="Arial" w:cs="Arial" w:hint="default"/>
        <w:sz w:val="20"/>
        <w:szCs w:val="20"/>
      </w:rPr>
    </w:lvl>
    <w:lvl w:ilvl="2">
      <w:start w:val="1"/>
      <w:numFmt w:val="lowerRoman"/>
      <w:pStyle w:val="ListNumber3"/>
      <w:lvlText w:val="%3."/>
      <w:lvlJc w:val="left"/>
      <w:pPr>
        <w:ind w:left="1107" w:hanging="369"/>
      </w:pPr>
      <w:rPr>
        <w:rFonts w:ascii="Arial" w:hAnsi="Arial" w:cs="Arial" w:hint="default"/>
        <w:sz w:val="20"/>
        <w:szCs w:val="20"/>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1" w15:restartNumberingAfterBreak="0">
    <w:nsid w:val="672074F1"/>
    <w:multiLevelType w:val="hybridMultilevel"/>
    <w:tmpl w:val="11ECDA4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2" w15:restartNumberingAfterBreak="0">
    <w:nsid w:val="72DD4FC6"/>
    <w:multiLevelType w:val="hybridMultilevel"/>
    <w:tmpl w:val="4ABC604C"/>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3" w15:restartNumberingAfterBreak="0">
    <w:nsid w:val="752C7484"/>
    <w:multiLevelType w:val="hybridMultilevel"/>
    <w:tmpl w:val="805E1B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25" w15:restartNumberingAfterBreak="0">
    <w:nsid w:val="7B85684F"/>
    <w:multiLevelType w:val="hybridMultilevel"/>
    <w:tmpl w:val="BDCA9B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8"/>
  </w:num>
  <w:num w:numId="3">
    <w:abstractNumId w:val="14"/>
  </w:num>
  <w:num w:numId="4">
    <w:abstractNumId w:val="13"/>
  </w:num>
  <w:num w:numId="5">
    <w:abstractNumId w:val="20"/>
  </w:num>
  <w:num w:numId="6">
    <w:abstractNumId w:val="22"/>
  </w:num>
  <w:num w:numId="7">
    <w:abstractNumId w:val="18"/>
  </w:num>
  <w:num w:numId="8">
    <w:abstractNumId w:val="10"/>
  </w:num>
  <w:num w:numId="9">
    <w:abstractNumId w:val="25"/>
  </w:num>
  <w:num w:numId="10">
    <w:abstractNumId w:val="6"/>
  </w:num>
  <w:num w:numId="11">
    <w:abstractNumId w:val="1"/>
  </w:num>
  <w:num w:numId="12">
    <w:abstractNumId w:val="0"/>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0"/>
  </w:num>
  <w:num w:numId="16">
    <w:abstractNumId w:val="20"/>
  </w:num>
  <w:num w:numId="17">
    <w:abstractNumId w:val="19"/>
  </w:num>
  <w:num w:numId="18">
    <w:abstractNumId w:val="9"/>
  </w:num>
  <w:num w:numId="19">
    <w:abstractNumId w:val="21"/>
  </w:num>
  <w:num w:numId="20">
    <w:abstractNumId w:val="11"/>
  </w:num>
  <w:num w:numId="21">
    <w:abstractNumId w:val="17"/>
  </w:num>
  <w:num w:numId="22">
    <w:abstractNumId w:val="20"/>
  </w:num>
  <w:num w:numId="23">
    <w:abstractNumId w:val="20"/>
  </w:num>
  <w:num w:numId="24">
    <w:abstractNumId w:val="20"/>
  </w:num>
  <w:num w:numId="25">
    <w:abstractNumId w:val="20"/>
  </w:num>
  <w:num w:numId="26">
    <w:abstractNumId w:val="20"/>
  </w:num>
  <w:num w:numId="27">
    <w:abstractNumId w:val="20"/>
  </w:num>
  <w:num w:numId="28">
    <w:abstractNumId w:val="20"/>
  </w:num>
  <w:num w:numId="29">
    <w:abstractNumId w:val="20"/>
  </w:num>
  <w:num w:numId="30">
    <w:abstractNumId w:val="16"/>
  </w:num>
  <w:num w:numId="31">
    <w:abstractNumId w:val="20"/>
  </w:num>
  <w:num w:numId="32">
    <w:abstractNumId w:val="16"/>
  </w:num>
  <w:num w:numId="33">
    <w:abstractNumId w:val="16"/>
  </w:num>
  <w:num w:numId="34">
    <w:abstractNumId w:val="16"/>
  </w:num>
  <w:num w:numId="35">
    <w:abstractNumId w:val="23"/>
  </w:num>
  <w:num w:numId="36">
    <w:abstractNumId w:val="12"/>
  </w:num>
  <w:num w:numId="37">
    <w:abstractNumId w:val="15"/>
  </w:num>
  <w:num w:numId="38">
    <w:abstractNumId w:val="16"/>
    <w:lvlOverride w:ilvl="0">
      <w:startOverride w:val="1"/>
    </w:lvlOverride>
  </w:num>
  <w:num w:numId="39">
    <w:abstractNumId w:val="7"/>
  </w:num>
  <w:num w:numId="40">
    <w:abstractNumId w:val="16"/>
  </w:num>
  <w:num w:numId="4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2"/>
  </w:num>
  <w:num w:numId="43">
    <w:abstractNumId w:val="5"/>
  </w:num>
  <w:num w:numId="44">
    <w:abstractNumId w:val="4"/>
  </w:num>
  <w:num w:numId="45">
    <w:abstractNumId w:val="3"/>
  </w:num>
  <w:num w:numId="46">
    <w:abstractNumId w:val="2"/>
  </w:num>
  <w:num w:numId="47">
    <w:abstractNumId w:val="2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1&lt;/Suspended&gt;&lt;/ENInstantFormat&gt;"/>
    <w:docVar w:name="EN.Layout" w:val="&lt;ENLayout&gt;&lt;Style&gt;Harvard&lt;/Style&gt;&lt;LeftDelim&gt;{&lt;/LeftDelim&gt;&lt;RightDelim&gt;}&lt;/RightDelim&gt;&lt;FontName&gt;Arial&lt;/FontName&gt;&lt;FontSize&gt;10&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xz5vrd20mz9trjezvzzvf9fhsxvzatfrr59v&quot;&gt;Ecology EndNote Library New&lt;record-ids&gt;&lt;item&gt;1617&lt;/item&gt;&lt;/record-ids&gt;&lt;/item&gt;&lt;/Libraries&gt;"/>
  </w:docVars>
  <w:rsids>
    <w:rsidRoot w:val="0041275D"/>
    <w:rsid w:val="00004AEE"/>
    <w:rsid w:val="00004AF9"/>
    <w:rsid w:val="00005CAA"/>
    <w:rsid w:val="00010210"/>
    <w:rsid w:val="00012D66"/>
    <w:rsid w:val="00013797"/>
    <w:rsid w:val="00015ADA"/>
    <w:rsid w:val="00015D44"/>
    <w:rsid w:val="00020C99"/>
    <w:rsid w:val="00022481"/>
    <w:rsid w:val="000238A5"/>
    <w:rsid w:val="0002707B"/>
    <w:rsid w:val="00031B32"/>
    <w:rsid w:val="00032099"/>
    <w:rsid w:val="000345AA"/>
    <w:rsid w:val="000349A1"/>
    <w:rsid w:val="0003651C"/>
    <w:rsid w:val="0005148E"/>
    <w:rsid w:val="0005326D"/>
    <w:rsid w:val="000547F0"/>
    <w:rsid w:val="00055AC9"/>
    <w:rsid w:val="00062A46"/>
    <w:rsid w:val="00066732"/>
    <w:rsid w:val="00073DD4"/>
    <w:rsid w:val="000759E5"/>
    <w:rsid w:val="0007601C"/>
    <w:rsid w:val="00084AC6"/>
    <w:rsid w:val="00085816"/>
    <w:rsid w:val="00091231"/>
    <w:rsid w:val="00091608"/>
    <w:rsid w:val="0009196E"/>
    <w:rsid w:val="00092F92"/>
    <w:rsid w:val="0009333C"/>
    <w:rsid w:val="00093E5E"/>
    <w:rsid w:val="00094729"/>
    <w:rsid w:val="0009704F"/>
    <w:rsid w:val="000A0F11"/>
    <w:rsid w:val="000A125A"/>
    <w:rsid w:val="000A228F"/>
    <w:rsid w:val="000A24D3"/>
    <w:rsid w:val="000A2EBE"/>
    <w:rsid w:val="000A57CD"/>
    <w:rsid w:val="000B2FF3"/>
    <w:rsid w:val="000B3758"/>
    <w:rsid w:val="000B7681"/>
    <w:rsid w:val="000B7B42"/>
    <w:rsid w:val="000C02B7"/>
    <w:rsid w:val="000C2814"/>
    <w:rsid w:val="000C451B"/>
    <w:rsid w:val="000C5342"/>
    <w:rsid w:val="000C706A"/>
    <w:rsid w:val="000D2887"/>
    <w:rsid w:val="000D6D63"/>
    <w:rsid w:val="000D706B"/>
    <w:rsid w:val="000D746B"/>
    <w:rsid w:val="000D7810"/>
    <w:rsid w:val="000E0081"/>
    <w:rsid w:val="000E07CF"/>
    <w:rsid w:val="000E1B5A"/>
    <w:rsid w:val="000F240D"/>
    <w:rsid w:val="000F614C"/>
    <w:rsid w:val="00100BEF"/>
    <w:rsid w:val="00102E17"/>
    <w:rsid w:val="001072F4"/>
    <w:rsid w:val="0011498E"/>
    <w:rsid w:val="00114A73"/>
    <w:rsid w:val="00116F28"/>
    <w:rsid w:val="00117A45"/>
    <w:rsid w:val="001224AE"/>
    <w:rsid w:val="00123035"/>
    <w:rsid w:val="0012388C"/>
    <w:rsid w:val="00132FBB"/>
    <w:rsid w:val="001337D4"/>
    <w:rsid w:val="001340EA"/>
    <w:rsid w:val="0013487C"/>
    <w:rsid w:val="00141E02"/>
    <w:rsid w:val="00147C12"/>
    <w:rsid w:val="00147EFC"/>
    <w:rsid w:val="001527A1"/>
    <w:rsid w:val="001530DC"/>
    <w:rsid w:val="001539AF"/>
    <w:rsid w:val="00154087"/>
    <w:rsid w:val="00154989"/>
    <w:rsid w:val="00155A9F"/>
    <w:rsid w:val="0015684F"/>
    <w:rsid w:val="00160262"/>
    <w:rsid w:val="001611F9"/>
    <w:rsid w:val="0016186F"/>
    <w:rsid w:val="00161CC5"/>
    <w:rsid w:val="00162509"/>
    <w:rsid w:val="0016281C"/>
    <w:rsid w:val="0016433A"/>
    <w:rsid w:val="0016780A"/>
    <w:rsid w:val="00167E9D"/>
    <w:rsid w:val="001713FA"/>
    <w:rsid w:val="00172EF8"/>
    <w:rsid w:val="00173EBF"/>
    <w:rsid w:val="001765DA"/>
    <w:rsid w:val="00177EF2"/>
    <w:rsid w:val="00181D9B"/>
    <w:rsid w:val="001842A2"/>
    <w:rsid w:val="00185039"/>
    <w:rsid w:val="00185407"/>
    <w:rsid w:val="00186465"/>
    <w:rsid w:val="00187FA8"/>
    <w:rsid w:val="001906C6"/>
    <w:rsid w:val="00190CF4"/>
    <w:rsid w:val="001922D0"/>
    <w:rsid w:val="00192F5E"/>
    <w:rsid w:val="00197772"/>
    <w:rsid w:val="001A3D4E"/>
    <w:rsid w:val="001A51C8"/>
    <w:rsid w:val="001A6BDF"/>
    <w:rsid w:val="001B472B"/>
    <w:rsid w:val="001B4CA8"/>
    <w:rsid w:val="001C2A92"/>
    <w:rsid w:val="001C4F3D"/>
    <w:rsid w:val="001D0CDC"/>
    <w:rsid w:val="001D0D78"/>
    <w:rsid w:val="001D1D82"/>
    <w:rsid w:val="001D511D"/>
    <w:rsid w:val="001D7B33"/>
    <w:rsid w:val="001E1182"/>
    <w:rsid w:val="001E2E34"/>
    <w:rsid w:val="001E74E1"/>
    <w:rsid w:val="001F0E8B"/>
    <w:rsid w:val="001F3275"/>
    <w:rsid w:val="001F75B1"/>
    <w:rsid w:val="00200944"/>
    <w:rsid w:val="00202387"/>
    <w:rsid w:val="00202709"/>
    <w:rsid w:val="00202C90"/>
    <w:rsid w:val="00202EF9"/>
    <w:rsid w:val="00210233"/>
    <w:rsid w:val="002114AE"/>
    <w:rsid w:val="002125DE"/>
    <w:rsid w:val="00213DE8"/>
    <w:rsid w:val="00216118"/>
    <w:rsid w:val="00216673"/>
    <w:rsid w:val="002209AB"/>
    <w:rsid w:val="00222970"/>
    <w:rsid w:val="002251E3"/>
    <w:rsid w:val="0022594C"/>
    <w:rsid w:val="002262E6"/>
    <w:rsid w:val="00227A95"/>
    <w:rsid w:val="002316BD"/>
    <w:rsid w:val="00233687"/>
    <w:rsid w:val="002336F3"/>
    <w:rsid w:val="00237078"/>
    <w:rsid w:val="002461C2"/>
    <w:rsid w:val="002473FC"/>
    <w:rsid w:val="00247C0F"/>
    <w:rsid w:val="002509F7"/>
    <w:rsid w:val="00252E3C"/>
    <w:rsid w:val="00260FC6"/>
    <w:rsid w:val="00262198"/>
    <w:rsid w:val="00264083"/>
    <w:rsid w:val="00264AF9"/>
    <w:rsid w:val="00277426"/>
    <w:rsid w:val="00277A51"/>
    <w:rsid w:val="00284F90"/>
    <w:rsid w:val="00285F1B"/>
    <w:rsid w:val="00290A92"/>
    <w:rsid w:val="00291857"/>
    <w:rsid w:val="00292B81"/>
    <w:rsid w:val="0029322E"/>
    <w:rsid w:val="00294A0A"/>
    <w:rsid w:val="00296477"/>
    <w:rsid w:val="00296833"/>
    <w:rsid w:val="002974BC"/>
    <w:rsid w:val="002A5EC3"/>
    <w:rsid w:val="002B18AE"/>
    <w:rsid w:val="002B1C91"/>
    <w:rsid w:val="002B6472"/>
    <w:rsid w:val="002B67D3"/>
    <w:rsid w:val="002B6F06"/>
    <w:rsid w:val="002C1C93"/>
    <w:rsid w:val="002C3257"/>
    <w:rsid w:val="002C3738"/>
    <w:rsid w:val="002C5066"/>
    <w:rsid w:val="002D4AAC"/>
    <w:rsid w:val="002D6763"/>
    <w:rsid w:val="002D6C33"/>
    <w:rsid w:val="002E0E02"/>
    <w:rsid w:val="002E1AB0"/>
    <w:rsid w:val="002E3190"/>
    <w:rsid w:val="002E43EF"/>
    <w:rsid w:val="002F045A"/>
    <w:rsid w:val="0030039D"/>
    <w:rsid w:val="00300715"/>
    <w:rsid w:val="003009F7"/>
    <w:rsid w:val="00301CB9"/>
    <w:rsid w:val="0030326F"/>
    <w:rsid w:val="00304B43"/>
    <w:rsid w:val="00310701"/>
    <w:rsid w:val="00310D2D"/>
    <w:rsid w:val="00311510"/>
    <w:rsid w:val="003138AC"/>
    <w:rsid w:val="00315980"/>
    <w:rsid w:val="00316F7F"/>
    <w:rsid w:val="00320162"/>
    <w:rsid w:val="0032087E"/>
    <w:rsid w:val="003218E8"/>
    <w:rsid w:val="00330DCE"/>
    <w:rsid w:val="00331E11"/>
    <w:rsid w:val="00334761"/>
    <w:rsid w:val="00337EBC"/>
    <w:rsid w:val="0034033E"/>
    <w:rsid w:val="00341DCD"/>
    <w:rsid w:val="00342172"/>
    <w:rsid w:val="00343E78"/>
    <w:rsid w:val="0034504D"/>
    <w:rsid w:val="0034563E"/>
    <w:rsid w:val="003504CC"/>
    <w:rsid w:val="003518D6"/>
    <w:rsid w:val="003535A1"/>
    <w:rsid w:val="0035460C"/>
    <w:rsid w:val="003556BD"/>
    <w:rsid w:val="00356650"/>
    <w:rsid w:val="00364E6D"/>
    <w:rsid w:val="00365147"/>
    <w:rsid w:val="003669D4"/>
    <w:rsid w:val="0037016E"/>
    <w:rsid w:val="00370E55"/>
    <w:rsid w:val="00372908"/>
    <w:rsid w:val="0037465C"/>
    <w:rsid w:val="00376457"/>
    <w:rsid w:val="0037694D"/>
    <w:rsid w:val="00381917"/>
    <w:rsid w:val="00383020"/>
    <w:rsid w:val="00383750"/>
    <w:rsid w:val="00384A0C"/>
    <w:rsid w:val="003903F6"/>
    <w:rsid w:val="0039323F"/>
    <w:rsid w:val="00395CAA"/>
    <w:rsid w:val="00395E42"/>
    <w:rsid w:val="003975FD"/>
    <w:rsid w:val="00397BEA"/>
    <w:rsid w:val="003A0593"/>
    <w:rsid w:val="003B3CAA"/>
    <w:rsid w:val="003B5A88"/>
    <w:rsid w:val="003B60CC"/>
    <w:rsid w:val="003C1B25"/>
    <w:rsid w:val="003C2443"/>
    <w:rsid w:val="003C31E0"/>
    <w:rsid w:val="003C5DA3"/>
    <w:rsid w:val="003D4BCD"/>
    <w:rsid w:val="003E01D8"/>
    <w:rsid w:val="003E1018"/>
    <w:rsid w:val="003E2100"/>
    <w:rsid w:val="003E2135"/>
    <w:rsid w:val="003E2BDB"/>
    <w:rsid w:val="003E45FA"/>
    <w:rsid w:val="003E53CA"/>
    <w:rsid w:val="003E5ED5"/>
    <w:rsid w:val="003E7E73"/>
    <w:rsid w:val="003F0CB7"/>
    <w:rsid w:val="003F6F5B"/>
    <w:rsid w:val="00400F8F"/>
    <w:rsid w:val="0040342D"/>
    <w:rsid w:val="00403FB9"/>
    <w:rsid w:val="00405E1C"/>
    <w:rsid w:val="0040786D"/>
    <w:rsid w:val="00411556"/>
    <w:rsid w:val="004118D4"/>
    <w:rsid w:val="0041192D"/>
    <w:rsid w:val="0041275D"/>
    <w:rsid w:val="00413EE1"/>
    <w:rsid w:val="0042128E"/>
    <w:rsid w:val="0042465A"/>
    <w:rsid w:val="00431B29"/>
    <w:rsid w:val="00431D37"/>
    <w:rsid w:val="00432B60"/>
    <w:rsid w:val="004333E6"/>
    <w:rsid w:val="00440698"/>
    <w:rsid w:val="00450600"/>
    <w:rsid w:val="00453629"/>
    <w:rsid w:val="004540E2"/>
    <w:rsid w:val="00454454"/>
    <w:rsid w:val="00454D0E"/>
    <w:rsid w:val="00455E48"/>
    <w:rsid w:val="004677CA"/>
    <w:rsid w:val="00467924"/>
    <w:rsid w:val="004712A5"/>
    <w:rsid w:val="0047266F"/>
    <w:rsid w:val="004756EB"/>
    <w:rsid w:val="00476D6B"/>
    <w:rsid w:val="0048018F"/>
    <w:rsid w:val="004831CA"/>
    <w:rsid w:val="004861E6"/>
    <w:rsid w:val="0049013A"/>
    <w:rsid w:val="00492C16"/>
    <w:rsid w:val="004A0678"/>
    <w:rsid w:val="004A48A3"/>
    <w:rsid w:val="004B0D92"/>
    <w:rsid w:val="004B0EC0"/>
    <w:rsid w:val="004B32B2"/>
    <w:rsid w:val="004B4E1F"/>
    <w:rsid w:val="004B5A51"/>
    <w:rsid w:val="004B66F1"/>
    <w:rsid w:val="004C3B7B"/>
    <w:rsid w:val="004C3EA0"/>
    <w:rsid w:val="004D327F"/>
    <w:rsid w:val="004D3C15"/>
    <w:rsid w:val="004D46F2"/>
    <w:rsid w:val="004D74CD"/>
    <w:rsid w:val="004E26D2"/>
    <w:rsid w:val="004F2265"/>
    <w:rsid w:val="004F32CC"/>
    <w:rsid w:val="004F3D69"/>
    <w:rsid w:val="004F7169"/>
    <w:rsid w:val="00500D66"/>
    <w:rsid w:val="005036A6"/>
    <w:rsid w:val="00511E3E"/>
    <w:rsid w:val="00514C8E"/>
    <w:rsid w:val="00517F35"/>
    <w:rsid w:val="00523A57"/>
    <w:rsid w:val="00523ED3"/>
    <w:rsid w:val="00531DBF"/>
    <w:rsid w:val="005337FC"/>
    <w:rsid w:val="00545759"/>
    <w:rsid w:val="00545BE0"/>
    <w:rsid w:val="00545C37"/>
    <w:rsid w:val="00546C16"/>
    <w:rsid w:val="00546EC0"/>
    <w:rsid w:val="00550D24"/>
    <w:rsid w:val="00552AA1"/>
    <w:rsid w:val="00554C2B"/>
    <w:rsid w:val="00554C6A"/>
    <w:rsid w:val="005626C3"/>
    <w:rsid w:val="00562A14"/>
    <w:rsid w:val="00562E85"/>
    <w:rsid w:val="005632F1"/>
    <w:rsid w:val="0056332F"/>
    <w:rsid w:val="0056387A"/>
    <w:rsid w:val="00564E5C"/>
    <w:rsid w:val="005816FA"/>
    <w:rsid w:val="00581C39"/>
    <w:rsid w:val="005834A4"/>
    <w:rsid w:val="00583E47"/>
    <w:rsid w:val="00584F6B"/>
    <w:rsid w:val="005903B6"/>
    <w:rsid w:val="00592B20"/>
    <w:rsid w:val="00592F31"/>
    <w:rsid w:val="005A0247"/>
    <w:rsid w:val="005A126E"/>
    <w:rsid w:val="005A2B9A"/>
    <w:rsid w:val="005A3023"/>
    <w:rsid w:val="005A452F"/>
    <w:rsid w:val="005A703F"/>
    <w:rsid w:val="005B0855"/>
    <w:rsid w:val="005B140D"/>
    <w:rsid w:val="005C1FEA"/>
    <w:rsid w:val="005C3495"/>
    <w:rsid w:val="005C3785"/>
    <w:rsid w:val="005D29A5"/>
    <w:rsid w:val="005E13EA"/>
    <w:rsid w:val="005E15E0"/>
    <w:rsid w:val="005E3889"/>
    <w:rsid w:val="005E3DFC"/>
    <w:rsid w:val="005E60AF"/>
    <w:rsid w:val="005E7B4E"/>
    <w:rsid w:val="005F1DEA"/>
    <w:rsid w:val="005F4932"/>
    <w:rsid w:val="0060117E"/>
    <w:rsid w:val="00601CA4"/>
    <w:rsid w:val="00602FCB"/>
    <w:rsid w:val="006059BB"/>
    <w:rsid w:val="00607FC9"/>
    <w:rsid w:val="00610955"/>
    <w:rsid w:val="0061490C"/>
    <w:rsid w:val="00616861"/>
    <w:rsid w:val="00622B29"/>
    <w:rsid w:val="00622FE1"/>
    <w:rsid w:val="0062521C"/>
    <w:rsid w:val="00630A2B"/>
    <w:rsid w:val="00630BA2"/>
    <w:rsid w:val="0063283F"/>
    <w:rsid w:val="00632DC7"/>
    <w:rsid w:val="00633896"/>
    <w:rsid w:val="006357FB"/>
    <w:rsid w:val="00637239"/>
    <w:rsid w:val="006406FC"/>
    <w:rsid w:val="00642647"/>
    <w:rsid w:val="0064407B"/>
    <w:rsid w:val="00645D83"/>
    <w:rsid w:val="00646122"/>
    <w:rsid w:val="006527E8"/>
    <w:rsid w:val="006534F3"/>
    <w:rsid w:val="00653E16"/>
    <w:rsid w:val="00657220"/>
    <w:rsid w:val="006604A1"/>
    <w:rsid w:val="0066104B"/>
    <w:rsid w:val="00661419"/>
    <w:rsid w:val="006655EE"/>
    <w:rsid w:val="00667C10"/>
    <w:rsid w:val="00667EF4"/>
    <w:rsid w:val="00667FC9"/>
    <w:rsid w:val="00670D91"/>
    <w:rsid w:val="00672B85"/>
    <w:rsid w:val="00673B97"/>
    <w:rsid w:val="00674E59"/>
    <w:rsid w:val="00676FCA"/>
    <w:rsid w:val="00677177"/>
    <w:rsid w:val="0068056B"/>
    <w:rsid w:val="006850B3"/>
    <w:rsid w:val="0068612E"/>
    <w:rsid w:val="00686A2B"/>
    <w:rsid w:val="006875A0"/>
    <w:rsid w:val="00687858"/>
    <w:rsid w:val="00687C92"/>
    <w:rsid w:val="006903B7"/>
    <w:rsid w:val="00690CA4"/>
    <w:rsid w:val="00690F0F"/>
    <w:rsid w:val="00692CF9"/>
    <w:rsid w:val="0069534E"/>
    <w:rsid w:val="00696365"/>
    <w:rsid w:val="0069669C"/>
    <w:rsid w:val="006A1200"/>
    <w:rsid w:val="006A2C5A"/>
    <w:rsid w:val="006A4F4E"/>
    <w:rsid w:val="006B10D1"/>
    <w:rsid w:val="006B14DB"/>
    <w:rsid w:val="006B21C4"/>
    <w:rsid w:val="006B36B8"/>
    <w:rsid w:val="006B4B43"/>
    <w:rsid w:val="006C2E8A"/>
    <w:rsid w:val="006C458F"/>
    <w:rsid w:val="006C47C7"/>
    <w:rsid w:val="006C4A1A"/>
    <w:rsid w:val="006C4DA7"/>
    <w:rsid w:val="006C5E36"/>
    <w:rsid w:val="006C6E18"/>
    <w:rsid w:val="006C7DAD"/>
    <w:rsid w:val="006C7F29"/>
    <w:rsid w:val="006D0393"/>
    <w:rsid w:val="006D1A83"/>
    <w:rsid w:val="006D2E5C"/>
    <w:rsid w:val="006D5D1E"/>
    <w:rsid w:val="006E0C2E"/>
    <w:rsid w:val="006E0D7B"/>
    <w:rsid w:val="006E1CFE"/>
    <w:rsid w:val="006E31A2"/>
    <w:rsid w:val="006E6D10"/>
    <w:rsid w:val="006F0273"/>
    <w:rsid w:val="006F10C4"/>
    <w:rsid w:val="006F40E9"/>
    <w:rsid w:val="006F5603"/>
    <w:rsid w:val="00701400"/>
    <w:rsid w:val="007037CF"/>
    <w:rsid w:val="00703BB8"/>
    <w:rsid w:val="00704B37"/>
    <w:rsid w:val="007118B4"/>
    <w:rsid w:val="00712A8B"/>
    <w:rsid w:val="00714B40"/>
    <w:rsid w:val="00716583"/>
    <w:rsid w:val="007167C0"/>
    <w:rsid w:val="00717DD2"/>
    <w:rsid w:val="007203C3"/>
    <w:rsid w:val="00720481"/>
    <w:rsid w:val="00721642"/>
    <w:rsid w:val="00721BC7"/>
    <w:rsid w:val="0072510B"/>
    <w:rsid w:val="00727C18"/>
    <w:rsid w:val="00727E2F"/>
    <w:rsid w:val="00733193"/>
    <w:rsid w:val="00737CBA"/>
    <w:rsid w:val="00743723"/>
    <w:rsid w:val="00752FF8"/>
    <w:rsid w:val="00754C17"/>
    <w:rsid w:val="0075732A"/>
    <w:rsid w:val="00760262"/>
    <w:rsid w:val="0076292D"/>
    <w:rsid w:val="0076310C"/>
    <w:rsid w:val="00766009"/>
    <w:rsid w:val="0076695A"/>
    <w:rsid w:val="00766B66"/>
    <w:rsid w:val="0076744F"/>
    <w:rsid w:val="00767BCE"/>
    <w:rsid w:val="00767EFC"/>
    <w:rsid w:val="007707DE"/>
    <w:rsid w:val="00770B5D"/>
    <w:rsid w:val="00771933"/>
    <w:rsid w:val="00771A49"/>
    <w:rsid w:val="007752F1"/>
    <w:rsid w:val="00776768"/>
    <w:rsid w:val="00780461"/>
    <w:rsid w:val="00782D61"/>
    <w:rsid w:val="00784E40"/>
    <w:rsid w:val="00787D99"/>
    <w:rsid w:val="00791024"/>
    <w:rsid w:val="007921C6"/>
    <w:rsid w:val="00794818"/>
    <w:rsid w:val="007A0EE2"/>
    <w:rsid w:val="007A2573"/>
    <w:rsid w:val="007A3B9C"/>
    <w:rsid w:val="007B047A"/>
    <w:rsid w:val="007B0F07"/>
    <w:rsid w:val="007B106C"/>
    <w:rsid w:val="007B11FD"/>
    <w:rsid w:val="007B1A4E"/>
    <w:rsid w:val="007B3D05"/>
    <w:rsid w:val="007B5503"/>
    <w:rsid w:val="007C0785"/>
    <w:rsid w:val="007C6BB3"/>
    <w:rsid w:val="007D14B4"/>
    <w:rsid w:val="007D2FD5"/>
    <w:rsid w:val="007D3AD7"/>
    <w:rsid w:val="007D4888"/>
    <w:rsid w:val="007D57E9"/>
    <w:rsid w:val="007E1F2B"/>
    <w:rsid w:val="007E24F6"/>
    <w:rsid w:val="007F1C41"/>
    <w:rsid w:val="00800F64"/>
    <w:rsid w:val="008016EC"/>
    <w:rsid w:val="00801FB7"/>
    <w:rsid w:val="00802F0B"/>
    <w:rsid w:val="00804922"/>
    <w:rsid w:val="00805612"/>
    <w:rsid w:val="00806288"/>
    <w:rsid w:val="00810A67"/>
    <w:rsid w:val="0081315B"/>
    <w:rsid w:val="00815C9D"/>
    <w:rsid w:val="00833CF7"/>
    <w:rsid w:val="00843160"/>
    <w:rsid w:val="00843830"/>
    <w:rsid w:val="00845601"/>
    <w:rsid w:val="008524B9"/>
    <w:rsid w:val="00855C5C"/>
    <w:rsid w:val="0086233C"/>
    <w:rsid w:val="00865CFA"/>
    <w:rsid w:val="0086691D"/>
    <w:rsid w:val="008715B3"/>
    <w:rsid w:val="00871E1B"/>
    <w:rsid w:val="00872FA1"/>
    <w:rsid w:val="00880F1E"/>
    <w:rsid w:val="00881FD8"/>
    <w:rsid w:val="008825D8"/>
    <w:rsid w:val="00883CE7"/>
    <w:rsid w:val="008938F7"/>
    <w:rsid w:val="008A187F"/>
    <w:rsid w:val="008A352B"/>
    <w:rsid w:val="008A3C96"/>
    <w:rsid w:val="008B0BBA"/>
    <w:rsid w:val="008B1627"/>
    <w:rsid w:val="008B4019"/>
    <w:rsid w:val="008B505F"/>
    <w:rsid w:val="008B65C9"/>
    <w:rsid w:val="008C00AD"/>
    <w:rsid w:val="008C1151"/>
    <w:rsid w:val="008C2D4A"/>
    <w:rsid w:val="008C6A05"/>
    <w:rsid w:val="008C7DBB"/>
    <w:rsid w:val="008D11AA"/>
    <w:rsid w:val="008D3900"/>
    <w:rsid w:val="008D5384"/>
    <w:rsid w:val="008D6E1D"/>
    <w:rsid w:val="008D6EDB"/>
    <w:rsid w:val="008E36FE"/>
    <w:rsid w:val="008F1B13"/>
    <w:rsid w:val="008F39B4"/>
    <w:rsid w:val="008F4162"/>
    <w:rsid w:val="00901D24"/>
    <w:rsid w:val="00903E02"/>
    <w:rsid w:val="00903E8A"/>
    <w:rsid w:val="00907A84"/>
    <w:rsid w:val="00910104"/>
    <w:rsid w:val="009104B4"/>
    <w:rsid w:val="00910D02"/>
    <w:rsid w:val="009110D5"/>
    <w:rsid w:val="00911A1B"/>
    <w:rsid w:val="00913175"/>
    <w:rsid w:val="00916EDB"/>
    <w:rsid w:val="00917A81"/>
    <w:rsid w:val="00917D72"/>
    <w:rsid w:val="00920861"/>
    <w:rsid w:val="009216AC"/>
    <w:rsid w:val="00922299"/>
    <w:rsid w:val="00922B13"/>
    <w:rsid w:val="009230D0"/>
    <w:rsid w:val="009242EF"/>
    <w:rsid w:val="00924AB9"/>
    <w:rsid w:val="0092615F"/>
    <w:rsid w:val="0092741B"/>
    <w:rsid w:val="00932291"/>
    <w:rsid w:val="009333A4"/>
    <w:rsid w:val="00933B1B"/>
    <w:rsid w:val="0093408E"/>
    <w:rsid w:val="0094014D"/>
    <w:rsid w:val="00940467"/>
    <w:rsid w:val="00942973"/>
    <w:rsid w:val="00947507"/>
    <w:rsid w:val="00950E1B"/>
    <w:rsid w:val="00952DDF"/>
    <w:rsid w:val="00952EC4"/>
    <w:rsid w:val="00953F62"/>
    <w:rsid w:val="00963A81"/>
    <w:rsid w:val="00964340"/>
    <w:rsid w:val="00972423"/>
    <w:rsid w:val="009743E0"/>
    <w:rsid w:val="00974CF6"/>
    <w:rsid w:val="009812D4"/>
    <w:rsid w:val="00982653"/>
    <w:rsid w:val="009873F4"/>
    <w:rsid w:val="00991997"/>
    <w:rsid w:val="009920D8"/>
    <w:rsid w:val="009A06AE"/>
    <w:rsid w:val="009A371F"/>
    <w:rsid w:val="009A3FEE"/>
    <w:rsid w:val="009A4869"/>
    <w:rsid w:val="009A6A12"/>
    <w:rsid w:val="009B38BE"/>
    <w:rsid w:val="009B4556"/>
    <w:rsid w:val="009B682F"/>
    <w:rsid w:val="009C3D0F"/>
    <w:rsid w:val="009C6987"/>
    <w:rsid w:val="009D6232"/>
    <w:rsid w:val="009D67B9"/>
    <w:rsid w:val="009E16E7"/>
    <w:rsid w:val="009E1B19"/>
    <w:rsid w:val="009E1D6D"/>
    <w:rsid w:val="009E4B43"/>
    <w:rsid w:val="009E4DEE"/>
    <w:rsid w:val="009E67BE"/>
    <w:rsid w:val="009E6E39"/>
    <w:rsid w:val="009E79B6"/>
    <w:rsid w:val="009E7F55"/>
    <w:rsid w:val="009F243B"/>
    <w:rsid w:val="009F35E2"/>
    <w:rsid w:val="009F3FB3"/>
    <w:rsid w:val="009F438B"/>
    <w:rsid w:val="009F65F9"/>
    <w:rsid w:val="009F68BA"/>
    <w:rsid w:val="00A05484"/>
    <w:rsid w:val="00A06277"/>
    <w:rsid w:val="00A06325"/>
    <w:rsid w:val="00A079DC"/>
    <w:rsid w:val="00A1037A"/>
    <w:rsid w:val="00A10BAB"/>
    <w:rsid w:val="00A111C2"/>
    <w:rsid w:val="00A17C39"/>
    <w:rsid w:val="00A21440"/>
    <w:rsid w:val="00A238AA"/>
    <w:rsid w:val="00A338E7"/>
    <w:rsid w:val="00A35CAA"/>
    <w:rsid w:val="00A36E7F"/>
    <w:rsid w:val="00A41E65"/>
    <w:rsid w:val="00A426F9"/>
    <w:rsid w:val="00A43517"/>
    <w:rsid w:val="00A43E0A"/>
    <w:rsid w:val="00A450BA"/>
    <w:rsid w:val="00A46247"/>
    <w:rsid w:val="00A47F07"/>
    <w:rsid w:val="00A51BAB"/>
    <w:rsid w:val="00A53083"/>
    <w:rsid w:val="00A530C7"/>
    <w:rsid w:val="00A55F5B"/>
    <w:rsid w:val="00A60185"/>
    <w:rsid w:val="00A611EE"/>
    <w:rsid w:val="00A622EC"/>
    <w:rsid w:val="00A661EA"/>
    <w:rsid w:val="00A66263"/>
    <w:rsid w:val="00A6775C"/>
    <w:rsid w:val="00A70A6C"/>
    <w:rsid w:val="00A7442E"/>
    <w:rsid w:val="00A76741"/>
    <w:rsid w:val="00A830E5"/>
    <w:rsid w:val="00A83DF5"/>
    <w:rsid w:val="00A84BF3"/>
    <w:rsid w:val="00A87135"/>
    <w:rsid w:val="00A9029B"/>
    <w:rsid w:val="00A928BD"/>
    <w:rsid w:val="00A93280"/>
    <w:rsid w:val="00A93C73"/>
    <w:rsid w:val="00A942C5"/>
    <w:rsid w:val="00A951EA"/>
    <w:rsid w:val="00A9555C"/>
    <w:rsid w:val="00A961A6"/>
    <w:rsid w:val="00A973E1"/>
    <w:rsid w:val="00A97F71"/>
    <w:rsid w:val="00AA1C65"/>
    <w:rsid w:val="00AA2548"/>
    <w:rsid w:val="00AA286A"/>
    <w:rsid w:val="00AA3B6E"/>
    <w:rsid w:val="00AA58C4"/>
    <w:rsid w:val="00AB11C8"/>
    <w:rsid w:val="00AB2248"/>
    <w:rsid w:val="00AC08A8"/>
    <w:rsid w:val="00AC2642"/>
    <w:rsid w:val="00AC4DB1"/>
    <w:rsid w:val="00AC4F55"/>
    <w:rsid w:val="00AC6176"/>
    <w:rsid w:val="00AC618C"/>
    <w:rsid w:val="00AD20F6"/>
    <w:rsid w:val="00AD5598"/>
    <w:rsid w:val="00AD56C8"/>
    <w:rsid w:val="00AD58F2"/>
    <w:rsid w:val="00AE393A"/>
    <w:rsid w:val="00AE5712"/>
    <w:rsid w:val="00AF1564"/>
    <w:rsid w:val="00AF2A72"/>
    <w:rsid w:val="00AF5EA3"/>
    <w:rsid w:val="00AF6573"/>
    <w:rsid w:val="00AF65FE"/>
    <w:rsid w:val="00AF7690"/>
    <w:rsid w:val="00B0512A"/>
    <w:rsid w:val="00B0529F"/>
    <w:rsid w:val="00B05D52"/>
    <w:rsid w:val="00B0748C"/>
    <w:rsid w:val="00B1418B"/>
    <w:rsid w:val="00B151A0"/>
    <w:rsid w:val="00B1520C"/>
    <w:rsid w:val="00B1560E"/>
    <w:rsid w:val="00B163A6"/>
    <w:rsid w:val="00B20F84"/>
    <w:rsid w:val="00B21195"/>
    <w:rsid w:val="00B22B3D"/>
    <w:rsid w:val="00B22B57"/>
    <w:rsid w:val="00B24B22"/>
    <w:rsid w:val="00B25310"/>
    <w:rsid w:val="00B32F8F"/>
    <w:rsid w:val="00B41E1E"/>
    <w:rsid w:val="00B42C1C"/>
    <w:rsid w:val="00B4690F"/>
    <w:rsid w:val="00B47C42"/>
    <w:rsid w:val="00B510B1"/>
    <w:rsid w:val="00B54B02"/>
    <w:rsid w:val="00B54DE9"/>
    <w:rsid w:val="00B553EC"/>
    <w:rsid w:val="00B55870"/>
    <w:rsid w:val="00B56F64"/>
    <w:rsid w:val="00B60059"/>
    <w:rsid w:val="00B7033D"/>
    <w:rsid w:val="00B74DED"/>
    <w:rsid w:val="00B77732"/>
    <w:rsid w:val="00B80D6D"/>
    <w:rsid w:val="00B9154F"/>
    <w:rsid w:val="00B93DD0"/>
    <w:rsid w:val="00B9603C"/>
    <w:rsid w:val="00B9611A"/>
    <w:rsid w:val="00B97732"/>
    <w:rsid w:val="00BA0849"/>
    <w:rsid w:val="00BA24FF"/>
    <w:rsid w:val="00BA4189"/>
    <w:rsid w:val="00BA4F2D"/>
    <w:rsid w:val="00BA56D7"/>
    <w:rsid w:val="00BA65A8"/>
    <w:rsid w:val="00BA6A97"/>
    <w:rsid w:val="00BA6D19"/>
    <w:rsid w:val="00BA7461"/>
    <w:rsid w:val="00BA7BF8"/>
    <w:rsid w:val="00BA7DA9"/>
    <w:rsid w:val="00BC4215"/>
    <w:rsid w:val="00BC4CC9"/>
    <w:rsid w:val="00BD0396"/>
    <w:rsid w:val="00BD075B"/>
    <w:rsid w:val="00BD1A6F"/>
    <w:rsid w:val="00BD5B71"/>
    <w:rsid w:val="00BD5E15"/>
    <w:rsid w:val="00BD7D7F"/>
    <w:rsid w:val="00BE6D3C"/>
    <w:rsid w:val="00BE7852"/>
    <w:rsid w:val="00BF21A7"/>
    <w:rsid w:val="00BF2BCE"/>
    <w:rsid w:val="00BF6D87"/>
    <w:rsid w:val="00BF7CEE"/>
    <w:rsid w:val="00C03880"/>
    <w:rsid w:val="00C03B25"/>
    <w:rsid w:val="00C135CF"/>
    <w:rsid w:val="00C16673"/>
    <w:rsid w:val="00C23654"/>
    <w:rsid w:val="00C2683F"/>
    <w:rsid w:val="00C3184D"/>
    <w:rsid w:val="00C37525"/>
    <w:rsid w:val="00C43084"/>
    <w:rsid w:val="00C45CAA"/>
    <w:rsid w:val="00C4714E"/>
    <w:rsid w:val="00C500E2"/>
    <w:rsid w:val="00C50941"/>
    <w:rsid w:val="00C51007"/>
    <w:rsid w:val="00C5504F"/>
    <w:rsid w:val="00C55991"/>
    <w:rsid w:val="00C60A1A"/>
    <w:rsid w:val="00C62CFC"/>
    <w:rsid w:val="00C63376"/>
    <w:rsid w:val="00C65E93"/>
    <w:rsid w:val="00C66CB4"/>
    <w:rsid w:val="00C7125E"/>
    <w:rsid w:val="00C74F97"/>
    <w:rsid w:val="00C76A08"/>
    <w:rsid w:val="00C803D7"/>
    <w:rsid w:val="00C8276E"/>
    <w:rsid w:val="00C83AD1"/>
    <w:rsid w:val="00C842AC"/>
    <w:rsid w:val="00C858C6"/>
    <w:rsid w:val="00C85B7B"/>
    <w:rsid w:val="00C92AD5"/>
    <w:rsid w:val="00C93152"/>
    <w:rsid w:val="00C93E0A"/>
    <w:rsid w:val="00C93FC2"/>
    <w:rsid w:val="00C93FD9"/>
    <w:rsid w:val="00C96688"/>
    <w:rsid w:val="00CA0723"/>
    <w:rsid w:val="00CA1508"/>
    <w:rsid w:val="00CA35CE"/>
    <w:rsid w:val="00CA4542"/>
    <w:rsid w:val="00CA5B4D"/>
    <w:rsid w:val="00CA6B29"/>
    <w:rsid w:val="00CB1690"/>
    <w:rsid w:val="00CB6D4C"/>
    <w:rsid w:val="00CB6D76"/>
    <w:rsid w:val="00CB7D49"/>
    <w:rsid w:val="00CC27E7"/>
    <w:rsid w:val="00CC2B33"/>
    <w:rsid w:val="00CC4365"/>
    <w:rsid w:val="00CC4C99"/>
    <w:rsid w:val="00CD11B0"/>
    <w:rsid w:val="00CD275A"/>
    <w:rsid w:val="00CD2965"/>
    <w:rsid w:val="00CD3840"/>
    <w:rsid w:val="00CD5E0E"/>
    <w:rsid w:val="00CD615C"/>
    <w:rsid w:val="00CD7E84"/>
    <w:rsid w:val="00CE0744"/>
    <w:rsid w:val="00CE322B"/>
    <w:rsid w:val="00CE71C2"/>
    <w:rsid w:val="00CF2242"/>
    <w:rsid w:val="00CF2E7E"/>
    <w:rsid w:val="00CF42D5"/>
    <w:rsid w:val="00CF4EDA"/>
    <w:rsid w:val="00CF544D"/>
    <w:rsid w:val="00CF562A"/>
    <w:rsid w:val="00CF5929"/>
    <w:rsid w:val="00CF7729"/>
    <w:rsid w:val="00D00281"/>
    <w:rsid w:val="00D01E11"/>
    <w:rsid w:val="00D021CB"/>
    <w:rsid w:val="00D02654"/>
    <w:rsid w:val="00D043B7"/>
    <w:rsid w:val="00D06C71"/>
    <w:rsid w:val="00D10635"/>
    <w:rsid w:val="00D10C4C"/>
    <w:rsid w:val="00D10F1A"/>
    <w:rsid w:val="00D116F8"/>
    <w:rsid w:val="00D15280"/>
    <w:rsid w:val="00D15FBF"/>
    <w:rsid w:val="00D17596"/>
    <w:rsid w:val="00D20BE1"/>
    <w:rsid w:val="00D21414"/>
    <w:rsid w:val="00D22640"/>
    <w:rsid w:val="00D26D3A"/>
    <w:rsid w:val="00D30910"/>
    <w:rsid w:val="00D42FED"/>
    <w:rsid w:val="00D441B2"/>
    <w:rsid w:val="00D45C91"/>
    <w:rsid w:val="00D45EE3"/>
    <w:rsid w:val="00D50618"/>
    <w:rsid w:val="00D509E9"/>
    <w:rsid w:val="00D53733"/>
    <w:rsid w:val="00D53B1C"/>
    <w:rsid w:val="00D61714"/>
    <w:rsid w:val="00D620BE"/>
    <w:rsid w:val="00D622B9"/>
    <w:rsid w:val="00D64CA2"/>
    <w:rsid w:val="00D652C8"/>
    <w:rsid w:val="00D656FF"/>
    <w:rsid w:val="00D7311A"/>
    <w:rsid w:val="00D73238"/>
    <w:rsid w:val="00D74FCA"/>
    <w:rsid w:val="00D77929"/>
    <w:rsid w:val="00D82448"/>
    <w:rsid w:val="00D83615"/>
    <w:rsid w:val="00D83AAD"/>
    <w:rsid w:val="00D84735"/>
    <w:rsid w:val="00D858D9"/>
    <w:rsid w:val="00D85B39"/>
    <w:rsid w:val="00D93FD1"/>
    <w:rsid w:val="00D97037"/>
    <w:rsid w:val="00DA07B9"/>
    <w:rsid w:val="00DA1B12"/>
    <w:rsid w:val="00DA2568"/>
    <w:rsid w:val="00DA31CD"/>
    <w:rsid w:val="00DA3A8B"/>
    <w:rsid w:val="00DA4F90"/>
    <w:rsid w:val="00DA54C9"/>
    <w:rsid w:val="00DA6739"/>
    <w:rsid w:val="00DA678D"/>
    <w:rsid w:val="00DA6CAE"/>
    <w:rsid w:val="00DB1A9E"/>
    <w:rsid w:val="00DB31D6"/>
    <w:rsid w:val="00DB3296"/>
    <w:rsid w:val="00DB4005"/>
    <w:rsid w:val="00DB44AD"/>
    <w:rsid w:val="00DB44E2"/>
    <w:rsid w:val="00DB61F1"/>
    <w:rsid w:val="00DC325B"/>
    <w:rsid w:val="00DC34EB"/>
    <w:rsid w:val="00DC4E2E"/>
    <w:rsid w:val="00DC6E95"/>
    <w:rsid w:val="00DC78C0"/>
    <w:rsid w:val="00DD5D90"/>
    <w:rsid w:val="00DE2C10"/>
    <w:rsid w:val="00DF14C9"/>
    <w:rsid w:val="00DF1E5B"/>
    <w:rsid w:val="00DF2275"/>
    <w:rsid w:val="00DF3F5E"/>
    <w:rsid w:val="00DF5461"/>
    <w:rsid w:val="00DF5653"/>
    <w:rsid w:val="00E00F4F"/>
    <w:rsid w:val="00E0596E"/>
    <w:rsid w:val="00E06CFE"/>
    <w:rsid w:val="00E06F66"/>
    <w:rsid w:val="00E10762"/>
    <w:rsid w:val="00E11194"/>
    <w:rsid w:val="00E2111A"/>
    <w:rsid w:val="00E21678"/>
    <w:rsid w:val="00E24D77"/>
    <w:rsid w:val="00E270CE"/>
    <w:rsid w:val="00E27553"/>
    <w:rsid w:val="00E27D1A"/>
    <w:rsid w:val="00E344AA"/>
    <w:rsid w:val="00E350F4"/>
    <w:rsid w:val="00E356E5"/>
    <w:rsid w:val="00E36F81"/>
    <w:rsid w:val="00E378A8"/>
    <w:rsid w:val="00E40B9B"/>
    <w:rsid w:val="00E45765"/>
    <w:rsid w:val="00E5098C"/>
    <w:rsid w:val="00E54ECD"/>
    <w:rsid w:val="00E574EF"/>
    <w:rsid w:val="00E57CD8"/>
    <w:rsid w:val="00E57E07"/>
    <w:rsid w:val="00E60213"/>
    <w:rsid w:val="00E60AB4"/>
    <w:rsid w:val="00E661B2"/>
    <w:rsid w:val="00E71991"/>
    <w:rsid w:val="00E74D29"/>
    <w:rsid w:val="00E806FF"/>
    <w:rsid w:val="00E83C74"/>
    <w:rsid w:val="00E83CEE"/>
    <w:rsid w:val="00E91DA2"/>
    <w:rsid w:val="00E91F18"/>
    <w:rsid w:val="00E9226D"/>
    <w:rsid w:val="00E96424"/>
    <w:rsid w:val="00E977C6"/>
    <w:rsid w:val="00EA169F"/>
    <w:rsid w:val="00EA2A91"/>
    <w:rsid w:val="00EA416C"/>
    <w:rsid w:val="00EA5941"/>
    <w:rsid w:val="00EB0865"/>
    <w:rsid w:val="00EB60CE"/>
    <w:rsid w:val="00EB7D53"/>
    <w:rsid w:val="00EC035D"/>
    <w:rsid w:val="00EC22D6"/>
    <w:rsid w:val="00EC37F0"/>
    <w:rsid w:val="00EC596B"/>
    <w:rsid w:val="00EC6074"/>
    <w:rsid w:val="00ED0DA4"/>
    <w:rsid w:val="00ED2C68"/>
    <w:rsid w:val="00ED3D34"/>
    <w:rsid w:val="00ED5EEB"/>
    <w:rsid w:val="00EE13C5"/>
    <w:rsid w:val="00EE187E"/>
    <w:rsid w:val="00EE3146"/>
    <w:rsid w:val="00EF50BB"/>
    <w:rsid w:val="00EF5270"/>
    <w:rsid w:val="00EF71E4"/>
    <w:rsid w:val="00EF7E69"/>
    <w:rsid w:val="00F00192"/>
    <w:rsid w:val="00F00673"/>
    <w:rsid w:val="00F01DF6"/>
    <w:rsid w:val="00F027B8"/>
    <w:rsid w:val="00F0340D"/>
    <w:rsid w:val="00F035F2"/>
    <w:rsid w:val="00F04FFE"/>
    <w:rsid w:val="00F059A6"/>
    <w:rsid w:val="00F072A7"/>
    <w:rsid w:val="00F14A04"/>
    <w:rsid w:val="00F23756"/>
    <w:rsid w:val="00F2464C"/>
    <w:rsid w:val="00F2523A"/>
    <w:rsid w:val="00F25FFA"/>
    <w:rsid w:val="00F310D2"/>
    <w:rsid w:val="00F31E11"/>
    <w:rsid w:val="00F36F3D"/>
    <w:rsid w:val="00F37C48"/>
    <w:rsid w:val="00F424D7"/>
    <w:rsid w:val="00F477BD"/>
    <w:rsid w:val="00F50333"/>
    <w:rsid w:val="00F53491"/>
    <w:rsid w:val="00F54656"/>
    <w:rsid w:val="00F55386"/>
    <w:rsid w:val="00F5623F"/>
    <w:rsid w:val="00F56411"/>
    <w:rsid w:val="00F60181"/>
    <w:rsid w:val="00F657D7"/>
    <w:rsid w:val="00F65A1C"/>
    <w:rsid w:val="00F65C94"/>
    <w:rsid w:val="00F66F50"/>
    <w:rsid w:val="00F7058B"/>
    <w:rsid w:val="00F70DD6"/>
    <w:rsid w:val="00F751B8"/>
    <w:rsid w:val="00F7628B"/>
    <w:rsid w:val="00F76B32"/>
    <w:rsid w:val="00F77432"/>
    <w:rsid w:val="00F81162"/>
    <w:rsid w:val="00F82FF8"/>
    <w:rsid w:val="00F8330D"/>
    <w:rsid w:val="00F84305"/>
    <w:rsid w:val="00F8485C"/>
    <w:rsid w:val="00F85B3D"/>
    <w:rsid w:val="00F86E9F"/>
    <w:rsid w:val="00F87149"/>
    <w:rsid w:val="00F87FFE"/>
    <w:rsid w:val="00F9138D"/>
    <w:rsid w:val="00F954C9"/>
    <w:rsid w:val="00FA10C0"/>
    <w:rsid w:val="00FA4554"/>
    <w:rsid w:val="00FA4CF0"/>
    <w:rsid w:val="00FA61AA"/>
    <w:rsid w:val="00FA69A4"/>
    <w:rsid w:val="00FB1279"/>
    <w:rsid w:val="00FB1495"/>
    <w:rsid w:val="00FB5523"/>
    <w:rsid w:val="00FC20F8"/>
    <w:rsid w:val="00FC5126"/>
    <w:rsid w:val="00FC601C"/>
    <w:rsid w:val="00FD1694"/>
    <w:rsid w:val="00FD2134"/>
    <w:rsid w:val="00FD75A0"/>
    <w:rsid w:val="00FD7636"/>
    <w:rsid w:val="00FE3229"/>
    <w:rsid w:val="00FE4485"/>
    <w:rsid w:val="00FE74C3"/>
    <w:rsid w:val="00FF1227"/>
    <w:rsid w:val="00FF215C"/>
    <w:rsid w:val="00FF42E0"/>
    <w:rsid w:val="00FF49E8"/>
    <w:rsid w:val="00FF672F"/>
    <w:rsid w:val="00FF70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1364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Calibri" w:hAnsi="Arial"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qFormat="1"/>
    <w:lsdException w:name="List Number 3" w:qFormat="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22B9"/>
    <w:pPr>
      <w:autoSpaceDE w:val="0"/>
      <w:autoSpaceDN w:val="0"/>
      <w:adjustRightInd w:val="0"/>
      <w:spacing w:after="200" w:line="276" w:lineRule="auto"/>
    </w:pPr>
    <w:rPr>
      <w:rFonts w:eastAsia="Times New Roman" w:cs="Arial"/>
      <w:lang w:eastAsia="en-US"/>
    </w:rPr>
  </w:style>
  <w:style w:type="paragraph" w:styleId="Heading1">
    <w:name w:val="heading 1"/>
    <w:basedOn w:val="Header"/>
    <w:next w:val="Normal"/>
    <w:link w:val="Heading1Char"/>
    <w:uiPriority w:val="9"/>
    <w:qFormat/>
    <w:rsid w:val="00343E78"/>
    <w:pPr>
      <w:keepNext/>
      <w:jc w:val="center"/>
      <w:outlineLvl w:val="0"/>
    </w:pPr>
    <w:rPr>
      <w:b/>
      <w:sz w:val="24"/>
    </w:rPr>
  </w:style>
  <w:style w:type="paragraph" w:styleId="Heading2">
    <w:name w:val="heading 2"/>
    <w:basedOn w:val="Header"/>
    <w:next w:val="Normal"/>
    <w:link w:val="Heading2Char"/>
    <w:uiPriority w:val="9"/>
    <w:qFormat/>
    <w:rsid w:val="00343E78"/>
    <w:pPr>
      <w:keepNext/>
      <w:keepLines/>
      <w:tabs>
        <w:tab w:val="left" w:pos="2835"/>
      </w:tabs>
      <w:jc w:val="center"/>
      <w:outlineLvl w:val="1"/>
    </w:pPr>
    <w:rPr>
      <w:b/>
      <w:lang w:eastAsia="en-AU"/>
    </w:rPr>
  </w:style>
  <w:style w:type="paragraph" w:styleId="Heading3">
    <w:name w:val="heading 3"/>
    <w:basedOn w:val="tablelabel"/>
    <w:next w:val="Normal"/>
    <w:link w:val="Heading3Char"/>
    <w:uiPriority w:val="9"/>
    <w:qFormat/>
    <w:rsid w:val="00343E78"/>
    <w:pPr>
      <w:keepNext/>
      <w:spacing w:before="200"/>
      <w:outlineLvl w:val="2"/>
    </w:pPr>
    <w:rPr>
      <w:sz w:val="20"/>
    </w:rPr>
  </w:style>
  <w:style w:type="paragraph" w:styleId="Heading4">
    <w:name w:val="heading 4"/>
    <w:basedOn w:val="PlainText"/>
    <w:next w:val="Normal"/>
    <w:link w:val="Heading4Char"/>
    <w:uiPriority w:val="9"/>
    <w:qFormat/>
    <w:rsid w:val="00343E78"/>
    <w:pPr>
      <w:keepNext/>
      <w:outlineLvl w:val="3"/>
    </w:pPr>
    <w:rPr>
      <w:rFonts w:ascii="Arial" w:eastAsia="Times New Roman" w:hAnsi="Arial" w:cs="Arial"/>
      <w:sz w:val="20"/>
      <w:szCs w:val="20"/>
      <w:u w:val="single"/>
    </w:rPr>
  </w:style>
  <w:style w:type="paragraph" w:styleId="Heading5">
    <w:name w:val="heading 5"/>
    <w:basedOn w:val="PlainText"/>
    <w:next w:val="Normal"/>
    <w:link w:val="Heading5Char"/>
    <w:uiPriority w:val="9"/>
    <w:unhideWhenUsed/>
    <w:qFormat/>
    <w:rsid w:val="00343E78"/>
    <w:pPr>
      <w:keepNext/>
      <w:outlineLvl w:val="4"/>
    </w:pPr>
    <w:rPr>
      <w:rFonts w:ascii="Arial" w:eastAsia="Times New Roman" w:hAnsi="Arial" w:cs="Arial"/>
      <w:i/>
      <w:sz w:val="20"/>
      <w:szCs w:val="20"/>
    </w:rPr>
  </w:style>
  <w:style w:type="paragraph" w:styleId="Heading6">
    <w:name w:val="heading 6"/>
    <w:basedOn w:val="tablelabel"/>
    <w:next w:val="Normal"/>
    <w:link w:val="Heading6Char"/>
    <w:uiPriority w:val="9"/>
    <w:unhideWhenUsed/>
    <w:qFormat/>
    <w:rsid w:val="00D622B9"/>
    <w:pPr>
      <w:spacing w:after="0"/>
      <w:outlineLvl w:val="5"/>
    </w:pPr>
    <w:rPr>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qFormat/>
    <w:rsid w:val="00A60185"/>
    <w:pPr>
      <w:tabs>
        <w:tab w:val="center" w:pos="4513"/>
        <w:tab w:val="right" w:pos="9026"/>
      </w:tabs>
    </w:pPr>
  </w:style>
  <w:style w:type="character" w:customStyle="1" w:styleId="HeaderChar">
    <w:name w:val="Header Char"/>
    <w:basedOn w:val="DefaultParagraphFont"/>
    <w:link w:val="Header"/>
    <w:uiPriority w:val="99"/>
    <w:rsid w:val="00A60185"/>
  </w:style>
  <w:style w:type="paragraph" w:styleId="Footer">
    <w:name w:val="footer"/>
    <w:basedOn w:val="Normal"/>
    <w:link w:val="FooterChar"/>
    <w:uiPriority w:val="99"/>
    <w:unhideWhenUsed/>
    <w:qFormat/>
    <w:rsid w:val="00637239"/>
    <w:pPr>
      <w:pBdr>
        <w:top w:val="single" w:sz="4" w:space="1" w:color="auto"/>
      </w:pBdr>
      <w:tabs>
        <w:tab w:val="center" w:pos="4513"/>
        <w:tab w:val="right" w:pos="9026"/>
      </w:tabs>
      <w:spacing w:after="0"/>
    </w:pPr>
    <w:rPr>
      <w:sz w:val="12"/>
    </w:rPr>
  </w:style>
  <w:style w:type="character" w:customStyle="1" w:styleId="FooterChar">
    <w:name w:val="Footer Char"/>
    <w:basedOn w:val="DefaultParagraphFont"/>
    <w:link w:val="Footer"/>
    <w:uiPriority w:val="99"/>
    <w:rsid w:val="00637239"/>
    <w:rPr>
      <w:rFonts w:eastAsia="Times New Roman" w:cs="Arial"/>
      <w:sz w:val="12"/>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1"/>
      </w:numPr>
    </w:pPr>
  </w:style>
  <w:style w:type="paragraph" w:customStyle="1" w:styleId="1NumberedPointsStyle">
    <w:name w:val="1. Numbered Points Style"/>
    <w:basedOn w:val="ListParagraph"/>
    <w:rsid w:val="00BD1A6F"/>
    <w:pPr>
      <w:numPr>
        <w:numId w:val="0"/>
      </w:numPr>
    </w:pPr>
  </w:style>
  <w:style w:type="numbering" w:customStyle="1" w:styleId="BulletList">
    <w:name w:val="Bullet List"/>
    <w:uiPriority w:val="99"/>
    <w:rsid w:val="00091608"/>
    <w:pPr>
      <w:numPr>
        <w:numId w:val="2"/>
      </w:numPr>
    </w:pPr>
  </w:style>
  <w:style w:type="paragraph" w:customStyle="1" w:styleId="1BulletStyleList">
    <w:name w:val="1. Bullet Style List"/>
    <w:basedOn w:val="Normal"/>
    <w:rsid w:val="00CE71C2"/>
    <w:rPr>
      <w:lang w:eastAsia="en-AU"/>
    </w:rPr>
  </w:style>
  <w:style w:type="character" w:customStyle="1" w:styleId="Heading1Char">
    <w:name w:val="Heading 1 Char"/>
    <w:basedOn w:val="DefaultParagraphFont"/>
    <w:link w:val="Heading1"/>
    <w:uiPriority w:val="9"/>
    <w:rsid w:val="00343E78"/>
    <w:rPr>
      <w:rFonts w:eastAsia="Times New Roman" w:cs="Arial"/>
      <w:b/>
      <w:sz w:val="24"/>
      <w:lang w:eastAsia="en-US"/>
    </w:rPr>
  </w:style>
  <w:style w:type="character" w:customStyle="1" w:styleId="Heading2Char">
    <w:name w:val="Heading 2 Char"/>
    <w:basedOn w:val="DefaultParagraphFont"/>
    <w:link w:val="Heading2"/>
    <w:uiPriority w:val="9"/>
    <w:rsid w:val="00343E78"/>
    <w:rPr>
      <w:rFonts w:eastAsia="Times New Roman" w:cs="Arial"/>
      <w:b/>
    </w:rPr>
  </w:style>
  <w:style w:type="character" w:customStyle="1" w:styleId="Heading3Char">
    <w:name w:val="Heading 3 Char"/>
    <w:basedOn w:val="DefaultParagraphFont"/>
    <w:link w:val="Heading3"/>
    <w:uiPriority w:val="9"/>
    <w:rsid w:val="00343E78"/>
    <w:rPr>
      <w:rFonts w:eastAsia="Times New Roman" w:cs="Arial"/>
      <w:b/>
      <w:lang w:eastAsia="en-US"/>
    </w:rPr>
  </w:style>
  <w:style w:type="character" w:customStyle="1" w:styleId="Heading4Char">
    <w:name w:val="Heading 4 Char"/>
    <w:basedOn w:val="DefaultParagraphFont"/>
    <w:link w:val="Heading4"/>
    <w:uiPriority w:val="9"/>
    <w:rsid w:val="00343E78"/>
    <w:rPr>
      <w:rFonts w:eastAsia="Times New Roman" w:cs="Arial"/>
      <w:u w:val="single"/>
      <w:lang w:eastAsia="en-US"/>
    </w:rPr>
  </w:style>
  <w:style w:type="paragraph" w:styleId="ListBullet">
    <w:name w:val="List Bullet"/>
    <w:basedOn w:val="Normal"/>
    <w:uiPriority w:val="99"/>
    <w:unhideWhenUsed/>
    <w:qFormat/>
    <w:rsid w:val="00D441B2"/>
    <w:pPr>
      <w:numPr>
        <w:numId w:val="30"/>
      </w:numPr>
    </w:pPr>
    <w:rPr>
      <w:lang w:val="en-US"/>
    </w:rPr>
  </w:style>
  <w:style w:type="paragraph" w:styleId="ListBullet2">
    <w:name w:val="List Bullet 2"/>
    <w:basedOn w:val="Normal"/>
    <w:uiPriority w:val="99"/>
    <w:unhideWhenUsed/>
    <w:rsid w:val="00091608"/>
  </w:style>
  <w:style w:type="paragraph" w:styleId="ListBullet3">
    <w:name w:val="List Bullet 3"/>
    <w:basedOn w:val="Normal"/>
    <w:uiPriority w:val="99"/>
    <w:unhideWhenUsed/>
    <w:rsid w:val="00091608"/>
  </w:style>
  <w:style w:type="paragraph" w:styleId="ListBullet4">
    <w:name w:val="List Bullet 4"/>
    <w:basedOn w:val="Normal"/>
    <w:uiPriority w:val="99"/>
    <w:unhideWhenUsed/>
    <w:rsid w:val="00091608"/>
  </w:style>
  <w:style w:type="paragraph" w:styleId="ListBullet5">
    <w:name w:val="List Bullet 5"/>
    <w:basedOn w:val="Normal"/>
    <w:uiPriority w:val="99"/>
    <w:unhideWhenUsed/>
    <w:rsid w:val="00091608"/>
  </w:style>
  <w:style w:type="numbering" w:customStyle="1" w:styleId="Attach">
    <w:name w:val="Attach"/>
    <w:basedOn w:val="NoList"/>
    <w:uiPriority w:val="99"/>
    <w:rsid w:val="00607FC9"/>
    <w:pPr>
      <w:numPr>
        <w:numId w:val="3"/>
      </w:numPr>
    </w:pPr>
  </w:style>
  <w:style w:type="paragraph" w:customStyle="1" w:styleId="Classification">
    <w:name w:val="Classification"/>
    <w:basedOn w:val="Normal"/>
    <w:uiPriority w:val="10"/>
    <w:rsid w:val="00646122"/>
    <w:pPr>
      <w:tabs>
        <w:tab w:val="center" w:pos="4536"/>
        <w:tab w:val="center" w:pos="4819"/>
        <w:tab w:val="right" w:pos="9356"/>
      </w:tabs>
      <w:spacing w:after="240"/>
      <w:jc w:val="center"/>
    </w:pPr>
    <w:rPr>
      <w:color w:val="FF0000"/>
      <w:sz w:val="28"/>
      <w:szCs w:val="28"/>
      <w:lang w:eastAsia="en-AU"/>
    </w:rPr>
  </w:style>
  <w:style w:type="paragraph" w:styleId="ListParagraph">
    <w:name w:val="List Paragraph"/>
    <w:basedOn w:val="Normal"/>
    <w:uiPriority w:val="34"/>
    <w:qFormat/>
    <w:rsid w:val="003556BD"/>
    <w:pPr>
      <w:numPr>
        <w:numId w:val="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uiPriority w:val="99"/>
    <w:qFormat/>
    <w:rsid w:val="00186465"/>
    <w:pPr>
      <w:numPr>
        <w:numId w:val="5"/>
      </w:numPr>
    </w:pPr>
  </w:style>
  <w:style w:type="paragraph" w:styleId="ListNumber2">
    <w:name w:val="List Number 2"/>
    <w:basedOn w:val="Normal"/>
    <w:uiPriority w:val="99"/>
    <w:qFormat/>
    <w:rsid w:val="00186465"/>
    <w:pPr>
      <w:numPr>
        <w:ilvl w:val="1"/>
        <w:numId w:val="5"/>
      </w:numPr>
      <w:ind w:left="709" w:hanging="283"/>
    </w:pPr>
  </w:style>
  <w:style w:type="paragraph" w:styleId="ListNumber3">
    <w:name w:val="List Number 3"/>
    <w:basedOn w:val="Normal"/>
    <w:uiPriority w:val="99"/>
    <w:qFormat/>
    <w:rsid w:val="009E79B6"/>
    <w:pPr>
      <w:numPr>
        <w:ilvl w:val="2"/>
        <w:numId w:val="5"/>
      </w:numPr>
      <w:ind w:left="993" w:hanging="284"/>
    </w:pPr>
  </w:style>
  <w:style w:type="paragraph" w:styleId="ListNumber4">
    <w:name w:val="List Number 4"/>
    <w:basedOn w:val="Normal"/>
    <w:uiPriority w:val="99"/>
    <w:rsid w:val="00005CAA"/>
    <w:pPr>
      <w:numPr>
        <w:ilvl w:val="3"/>
        <w:numId w:val="5"/>
      </w:numPr>
    </w:pPr>
  </w:style>
  <w:style w:type="paragraph" w:styleId="ListNumber5">
    <w:name w:val="List Number 5"/>
    <w:basedOn w:val="Normal"/>
    <w:uiPriority w:val="99"/>
    <w:rsid w:val="00005CAA"/>
    <w:pPr>
      <w:numPr>
        <w:ilvl w:val="4"/>
        <w:numId w:val="5"/>
      </w:numPr>
    </w:pPr>
  </w:style>
  <w:style w:type="paragraph" w:customStyle="1" w:styleId="Footerclassification">
    <w:name w:val="Footer classification"/>
    <w:basedOn w:val="Classification"/>
    <w:rsid w:val="00D021CB"/>
    <w:pPr>
      <w:spacing w:before="240" w:after="0"/>
    </w:pPr>
  </w:style>
  <w:style w:type="table" w:styleId="TableGrid">
    <w:name w:val="Table Grid"/>
    <w:basedOn w:val="TableNormal"/>
    <w:uiPriority w:val="59"/>
    <w:rsid w:val="00100BEF"/>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Autospacing="0" w:afterLines="0" w:afterAutospacing="0"/>
      </w:pPr>
      <w:rPr>
        <w:rFonts w:ascii="Arial" w:hAnsi="Arial"/>
        <w:sz w:val="20"/>
      </w:rPr>
    </w:tblStylePr>
    <w:tblStylePr w:type="lastRow">
      <w:pPr>
        <w:wordWrap/>
        <w:spacing w:beforeLines="0" w:beforeAutospacing="0" w:afterLines="0" w:afterAutospacing="0"/>
      </w:pPr>
      <w:rPr>
        <w:rFonts w:ascii="Arial" w:hAnsi="Arial"/>
        <w:sz w:val="20"/>
      </w:rPr>
    </w:tblStylePr>
    <w:tblStylePr w:type="band1Horz">
      <w:pPr>
        <w:wordWrap/>
        <w:spacing w:beforeLines="0" w:beforeAutospacing="0" w:afterLines="0" w:afterAutospacing="0" w:line="240" w:lineRule="auto"/>
        <w:contextualSpacing w:val="0"/>
        <w:mirrorIndents w:val="0"/>
      </w:pPr>
      <w:rPr>
        <w:rFonts w:ascii="Arial" w:hAnsi="Arial"/>
        <w:sz w:val="20"/>
      </w:rPr>
    </w:tblStylePr>
    <w:tblStylePr w:type="band2Horz">
      <w:pPr>
        <w:wordWrap/>
        <w:spacing w:beforeLines="0" w:beforeAutospacing="0" w:afterLines="0" w:afterAutospacing="0"/>
        <w:contextualSpacing w:val="0"/>
        <w:mirrorIndents w:val="0"/>
      </w:pPr>
      <w:rPr>
        <w:rFonts w:ascii="Arial" w:hAnsi="Arial"/>
        <w:sz w:val="20"/>
      </w:rPr>
    </w:tblStylePr>
  </w:style>
  <w:style w:type="paragraph" w:customStyle="1" w:styleId="Tabletext">
    <w:name w:val="Table text"/>
    <w:basedOn w:val="Normal"/>
    <w:uiPriority w:val="9"/>
    <w:qFormat/>
    <w:rsid w:val="00D622B9"/>
    <w:pPr>
      <w:spacing w:after="0"/>
    </w:pPr>
  </w:style>
  <w:style w:type="paragraph" w:customStyle="1" w:styleId="tablelabel">
    <w:name w:val="table label"/>
    <w:basedOn w:val="Normal"/>
    <w:rsid w:val="001765DA"/>
    <w:rPr>
      <w:b/>
      <w:sz w:val="16"/>
    </w:rPr>
  </w:style>
  <w:style w:type="paragraph" w:customStyle="1" w:styleId="Default">
    <w:name w:val="Default"/>
    <w:rsid w:val="00737CBA"/>
    <w:pPr>
      <w:autoSpaceDE w:val="0"/>
      <w:autoSpaceDN w:val="0"/>
      <w:adjustRightInd w:val="0"/>
    </w:pPr>
    <w:rPr>
      <w:rFonts w:ascii="Calibri" w:hAnsi="Calibri" w:cs="Calibri"/>
      <w:color w:val="000000"/>
      <w:sz w:val="24"/>
      <w:szCs w:val="24"/>
    </w:rPr>
  </w:style>
  <w:style w:type="character" w:styleId="Hyperlink">
    <w:name w:val="Hyperlink"/>
    <w:basedOn w:val="DefaultParagraphFont"/>
    <w:uiPriority w:val="99"/>
    <w:unhideWhenUsed/>
    <w:rsid w:val="002A5EC3"/>
    <w:rPr>
      <w:color w:val="0000FF" w:themeColor="hyperlink"/>
      <w:u w:val="single"/>
    </w:rPr>
  </w:style>
  <w:style w:type="paragraph" w:styleId="Revision">
    <w:name w:val="Revision"/>
    <w:hidden/>
    <w:uiPriority w:val="99"/>
    <w:semiHidden/>
    <w:rsid w:val="008B1627"/>
    <w:rPr>
      <w:rFonts w:ascii="Times New Roman" w:eastAsia="Times New Roman" w:hAnsi="Times New Roman"/>
      <w:sz w:val="24"/>
      <w:szCs w:val="24"/>
      <w:lang w:eastAsia="en-US"/>
    </w:rPr>
  </w:style>
  <w:style w:type="paragraph" w:styleId="PlainText">
    <w:name w:val="Plain Text"/>
    <w:basedOn w:val="Normal"/>
    <w:link w:val="PlainTextChar"/>
    <w:uiPriority w:val="99"/>
    <w:unhideWhenUsed/>
    <w:rsid w:val="00D00281"/>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rsid w:val="00D00281"/>
    <w:rPr>
      <w:rFonts w:ascii="Consolas" w:eastAsiaTheme="minorHAnsi" w:hAnsi="Consolas" w:cstheme="minorBidi"/>
      <w:sz w:val="21"/>
      <w:szCs w:val="21"/>
      <w:lang w:eastAsia="en-US"/>
    </w:rPr>
  </w:style>
  <w:style w:type="character" w:customStyle="1" w:styleId="Heading5Char">
    <w:name w:val="Heading 5 Char"/>
    <w:basedOn w:val="DefaultParagraphFont"/>
    <w:link w:val="Heading5"/>
    <w:uiPriority w:val="9"/>
    <w:rsid w:val="00343E78"/>
    <w:rPr>
      <w:rFonts w:eastAsia="Times New Roman" w:cs="Arial"/>
      <w:i/>
      <w:lang w:eastAsia="en-US"/>
    </w:rPr>
  </w:style>
  <w:style w:type="character" w:styleId="CommentReference">
    <w:name w:val="annotation reference"/>
    <w:basedOn w:val="DefaultParagraphFont"/>
    <w:uiPriority w:val="99"/>
    <w:semiHidden/>
    <w:unhideWhenUsed/>
    <w:rsid w:val="003E2135"/>
    <w:rPr>
      <w:sz w:val="16"/>
      <w:szCs w:val="16"/>
    </w:rPr>
  </w:style>
  <w:style w:type="paragraph" w:styleId="CommentText">
    <w:name w:val="annotation text"/>
    <w:basedOn w:val="Normal"/>
    <w:link w:val="CommentTextChar"/>
    <w:uiPriority w:val="99"/>
    <w:semiHidden/>
    <w:unhideWhenUsed/>
    <w:rsid w:val="003E2135"/>
  </w:style>
  <w:style w:type="character" w:customStyle="1" w:styleId="CommentTextChar">
    <w:name w:val="Comment Text Char"/>
    <w:basedOn w:val="DefaultParagraphFont"/>
    <w:link w:val="CommentText"/>
    <w:uiPriority w:val="99"/>
    <w:semiHidden/>
    <w:rsid w:val="003E2135"/>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E2135"/>
    <w:rPr>
      <w:b/>
      <w:bCs/>
    </w:rPr>
  </w:style>
  <w:style w:type="character" w:customStyle="1" w:styleId="CommentSubjectChar">
    <w:name w:val="Comment Subject Char"/>
    <w:basedOn w:val="CommentTextChar"/>
    <w:link w:val="CommentSubject"/>
    <w:uiPriority w:val="99"/>
    <w:semiHidden/>
    <w:rsid w:val="003E2135"/>
    <w:rPr>
      <w:rFonts w:ascii="Times New Roman" w:eastAsia="Times New Roman" w:hAnsi="Times New Roman"/>
      <w:b/>
      <w:bCs/>
      <w:lang w:eastAsia="en-US"/>
    </w:rPr>
  </w:style>
  <w:style w:type="paragraph" w:customStyle="1" w:styleId="Question">
    <w:name w:val="Question"/>
    <w:basedOn w:val="Normal"/>
    <w:link w:val="QuestionChar"/>
    <w:qFormat/>
    <w:rsid w:val="00186465"/>
    <w:pPr>
      <w:pBdr>
        <w:top w:val="single" w:sz="4" w:space="1" w:color="auto"/>
        <w:left w:val="single" w:sz="4" w:space="4" w:color="auto"/>
        <w:bottom w:val="single" w:sz="4" w:space="1" w:color="auto"/>
        <w:right w:val="single" w:sz="4" w:space="4" w:color="auto"/>
      </w:pBdr>
    </w:pPr>
  </w:style>
  <w:style w:type="character" w:customStyle="1" w:styleId="Heading6Char">
    <w:name w:val="Heading 6 Char"/>
    <w:basedOn w:val="DefaultParagraphFont"/>
    <w:link w:val="Heading6"/>
    <w:uiPriority w:val="9"/>
    <w:rsid w:val="00D622B9"/>
    <w:rPr>
      <w:rFonts w:eastAsia="Times New Roman" w:cs="Arial"/>
      <w:b/>
      <w:lang w:eastAsia="en-US"/>
    </w:rPr>
  </w:style>
  <w:style w:type="character" w:customStyle="1" w:styleId="QuestionChar">
    <w:name w:val="Question Char"/>
    <w:basedOn w:val="DefaultParagraphFont"/>
    <w:link w:val="Question"/>
    <w:rsid w:val="00186465"/>
    <w:rPr>
      <w:rFonts w:eastAsia="Times New Roman" w:cs="Arial"/>
      <w:lang w:eastAsia="en-US"/>
    </w:rPr>
  </w:style>
  <w:style w:type="character" w:styleId="LineNumber">
    <w:name w:val="line number"/>
    <w:basedOn w:val="DefaultParagraphFont"/>
    <w:uiPriority w:val="99"/>
    <w:semiHidden/>
    <w:unhideWhenUsed/>
    <w:rsid w:val="00277A51"/>
  </w:style>
  <w:style w:type="paragraph" w:customStyle="1" w:styleId="NEWNormalTNR12">
    <w:name w:val="NEW Normal TNR 12"/>
    <w:link w:val="NEWNormalTNR12Char"/>
    <w:qFormat/>
    <w:rsid w:val="00CD7E84"/>
    <w:pPr>
      <w:tabs>
        <w:tab w:val="left" w:pos="5670"/>
        <w:tab w:val="right" w:pos="9070"/>
      </w:tabs>
      <w:spacing w:before="240" w:after="240"/>
    </w:pPr>
    <w:rPr>
      <w:rFonts w:ascii="Times New Roman" w:eastAsiaTheme="minorHAnsi" w:hAnsi="Times New Roman"/>
      <w:sz w:val="24"/>
      <w:szCs w:val="22"/>
      <w:lang w:eastAsia="en-US"/>
    </w:rPr>
  </w:style>
  <w:style w:type="character" w:customStyle="1" w:styleId="NEWNormalTNR12Char">
    <w:name w:val="NEW Normal TNR 12 Char"/>
    <w:basedOn w:val="DefaultParagraphFont"/>
    <w:link w:val="NEWNormalTNR12"/>
    <w:rsid w:val="00CD7E84"/>
    <w:rPr>
      <w:rFonts w:ascii="Times New Roman" w:eastAsiaTheme="minorHAnsi" w:hAnsi="Times New Roman"/>
      <w:sz w:val="24"/>
      <w:szCs w:val="22"/>
      <w:lang w:eastAsia="en-US"/>
    </w:rPr>
  </w:style>
  <w:style w:type="character" w:styleId="FollowedHyperlink">
    <w:name w:val="FollowedHyperlink"/>
    <w:basedOn w:val="DefaultParagraphFont"/>
    <w:uiPriority w:val="99"/>
    <w:semiHidden/>
    <w:unhideWhenUsed/>
    <w:rsid w:val="001E2E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8284211">
      <w:bodyDiv w:val="1"/>
      <w:marLeft w:val="0"/>
      <w:marRight w:val="0"/>
      <w:marTop w:val="0"/>
      <w:marBottom w:val="0"/>
      <w:divBdr>
        <w:top w:val="none" w:sz="0" w:space="0" w:color="auto"/>
        <w:left w:val="none" w:sz="0" w:space="0" w:color="auto"/>
        <w:bottom w:val="none" w:sz="0" w:space="0" w:color="auto"/>
        <w:right w:val="none" w:sz="0" w:space="0" w:color="auto"/>
      </w:divBdr>
    </w:div>
    <w:div w:id="530730706">
      <w:bodyDiv w:val="1"/>
      <w:marLeft w:val="0"/>
      <w:marRight w:val="0"/>
      <w:marTop w:val="0"/>
      <w:marBottom w:val="0"/>
      <w:divBdr>
        <w:top w:val="none" w:sz="0" w:space="0" w:color="auto"/>
        <w:left w:val="none" w:sz="0" w:space="0" w:color="auto"/>
        <w:bottom w:val="none" w:sz="0" w:space="0" w:color="auto"/>
        <w:right w:val="none" w:sz="0" w:space="0" w:color="auto"/>
      </w:divBdr>
    </w:div>
    <w:div w:id="572618434">
      <w:bodyDiv w:val="1"/>
      <w:marLeft w:val="0"/>
      <w:marRight w:val="0"/>
      <w:marTop w:val="0"/>
      <w:marBottom w:val="0"/>
      <w:divBdr>
        <w:top w:val="none" w:sz="0" w:space="0" w:color="auto"/>
        <w:left w:val="none" w:sz="0" w:space="0" w:color="auto"/>
        <w:bottom w:val="none" w:sz="0" w:space="0" w:color="auto"/>
        <w:right w:val="none" w:sz="0" w:space="0" w:color="auto"/>
      </w:divBdr>
    </w:div>
    <w:div w:id="986327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mtowencomplex.com.au/en/environment/Pages/plans-programs.aspx" TargetMode="External"/><Relationship Id="rId26" Type="http://schemas.openxmlformats.org/officeDocument/2006/relationships/hyperlink" Target="https://ewater.org.au/publications/guidelines-for-water-management-modelling/" TargetMode="External"/><Relationship Id="rId3" Type="http://schemas.openxmlformats.org/officeDocument/2006/relationships/styles" Target="styles.xml"/><Relationship Id="rId21" Type="http://schemas.openxmlformats.org/officeDocument/2006/relationships/hyperlink" Target="http://iesc.environment.gov.au/publications/information-guidelines-explanatory-note-uncertainty-analysis" TargetMode="Externa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mtowencomplex.com.au/en/environment/Pages/plans-programs.aspx" TargetMode="External"/><Relationship Id="rId25" Type="http://schemas.openxmlformats.org/officeDocument/2006/relationships/hyperlink" Target="https://ewater.org.au/uploads/files/Rassam_Werner-2008-Groundwater_Review.pdf" TargetMode="External"/><Relationship Id="rId2" Type="http://schemas.openxmlformats.org/officeDocument/2006/relationships/numbering" Target="numbering.xml"/><Relationship Id="rId16" Type="http://schemas.openxmlformats.org/officeDocument/2006/relationships/hyperlink" Target="http://www.mtowencomplex.com.au/en/environment/Pages/plans-programs.aspx" TargetMode="External"/><Relationship Id="rId20" Type="http://schemas.openxmlformats.org/officeDocument/2006/relationships/hyperlink" Target="http://iesc.environment.gov.au/publications/information-guidelines-independent-expert-scientific-committee-advice-coal-seam-gas"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mpgp.nsw.gov.au/docs/Guideline%20for%20Gateway%20Applicants.pdf" TargetMode="External"/><Relationship Id="rId37" Type="http://schemas.microsoft.com/office/2016/09/relationships/commentsIds" Target="commentsIds.xml"/><Relationship Id="rId5" Type="http://schemas.openxmlformats.org/officeDocument/2006/relationships/webSettings" Target="webSettings.xml"/><Relationship Id="rId15" Type="http://schemas.openxmlformats.org/officeDocument/2006/relationships/hyperlink" Target="http://epbcnotices.environment.gov.au/referralslist/" TargetMode="External"/><Relationship Id="rId23" Type="http://schemas.openxmlformats.org/officeDocument/2006/relationships/hyperlink" Target="https://www.sciencedirect.com/science/article/pii/S0034425715301929" TargetMode="External"/><Relationship Id="rId28" Type="http://schemas.openxmlformats.org/officeDocument/2006/relationships/hyperlink" Target="http://epbcnotices.environment.gov.au/referralslist/" TargetMode="External"/><Relationship Id="rId10" Type="http://schemas.openxmlformats.org/officeDocument/2006/relationships/footer" Target="footer1.xml"/><Relationship Id="rId19" Type="http://schemas.openxmlformats.org/officeDocument/2006/relationships/hyperlink" Target="http://iesc.environment.gov.au/publications/information-guidelines-explanatory-note-deriving-site-specific-guidelines-values"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www.dnrme.qld.gov.au/?a=109113:policy_registry/watercourse-diversions-water-act.pdf&amp;ver=2.00" TargetMode="External"/><Relationship Id="rId22" Type="http://schemas.openxmlformats.org/officeDocument/2006/relationships/hyperlink" Target="http://minerals.org.au/water-accounting-framework-australian-minerals-industry" TargetMode="External"/><Relationship Id="rId27" Type="http://schemas.openxmlformats.org/officeDocument/2006/relationships/hyperlink" Target="http://epbcnotices.environment.gov.au/referralslist/" TargetMode="External"/><Relationship Id="rId30"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CA5D4B-5B4B-4730-BBB1-686AB0CF0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627D0F03.dotm</Template>
  <TotalTime>0</TotalTime>
  <Pages>12</Pages>
  <Words>6264</Words>
  <Characters>35709</Characters>
  <Application>Microsoft Office Word</Application>
  <DocSecurity>0</DocSecurity>
  <Lines>297</Lines>
  <Paragraphs>83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41890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IESC 2019-104: Glendell Continued Operations Project (GA-10005) – Expansion</dc:title>
  <dc:creator/>
  <cp:lastModifiedBy/>
  <cp:revision>1</cp:revision>
  <dcterms:created xsi:type="dcterms:W3CDTF">2019-07-08T00:19:00Z</dcterms:created>
  <dcterms:modified xsi:type="dcterms:W3CDTF">2019-07-08T00:19:00Z</dcterms:modified>
</cp:coreProperties>
</file>