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F5B5B" w14:textId="101558AE" w:rsidR="00714B40" w:rsidRPr="00BF21A7" w:rsidRDefault="00714B40" w:rsidP="00714B40">
      <w:pPr>
        <w:pStyle w:val="Header"/>
        <w:suppressLineNumbers/>
        <w:ind w:hanging="1418"/>
        <w:sectPr w:rsidR="00714B40" w:rsidRPr="00BF21A7" w:rsidSect="00264083">
          <w:headerReference w:type="even" r:id="rId7"/>
          <w:footerReference w:type="default" r:id="rId8"/>
          <w:headerReference w:type="first" r:id="rId9"/>
          <w:footerReference w:type="first" r:id="rId10"/>
          <w:pgSz w:w="11906" w:h="16838"/>
          <w:pgMar w:top="142" w:right="1440" w:bottom="1440" w:left="1440" w:header="425" w:footer="425" w:gutter="0"/>
          <w:lnNumType w:countBy="1" w:restart="continuous"/>
          <w:pgNumType w:start="1"/>
          <w:cols w:space="708"/>
          <w:titlePg/>
          <w:docGrid w:linePitch="360"/>
        </w:sectPr>
      </w:pPr>
    </w:p>
    <w:p w14:paraId="788F5085" w14:textId="1DBEEC00" w:rsidR="001765DA" w:rsidRPr="00850E91" w:rsidRDefault="00F027B8" w:rsidP="009E7F55">
      <w:pPr>
        <w:pStyle w:val="Heading1"/>
        <w:suppressLineNumbers/>
      </w:pPr>
      <w:r w:rsidRPr="00850E91">
        <w:t>Advi</w:t>
      </w:r>
      <w:r w:rsidR="001765DA" w:rsidRPr="00850E91">
        <w:t xml:space="preserve">ce to decision maker on </w:t>
      </w:r>
      <w:r w:rsidR="00E21678" w:rsidRPr="00850E91">
        <w:t>coal seam gas</w:t>
      </w:r>
      <w:r w:rsidR="001765DA" w:rsidRPr="00850E91">
        <w:t xml:space="preserve"> project</w:t>
      </w:r>
    </w:p>
    <w:p w14:paraId="2D10FD52" w14:textId="21EAF690" w:rsidR="004861E6" w:rsidRPr="00850E91" w:rsidRDefault="00D10C4C" w:rsidP="009E7F55">
      <w:pPr>
        <w:pStyle w:val="Heading2"/>
        <w:suppressLineNumbers/>
      </w:pPr>
      <w:r w:rsidRPr="00850E91">
        <w:t xml:space="preserve">IESC </w:t>
      </w:r>
      <w:r w:rsidR="00C43084" w:rsidRPr="00850E91">
        <w:t>20</w:t>
      </w:r>
      <w:r w:rsidR="006869CB" w:rsidRPr="00850E91">
        <w:t>21</w:t>
      </w:r>
      <w:r w:rsidR="00DB28BC" w:rsidRPr="00850E91">
        <w:t>-1</w:t>
      </w:r>
      <w:r w:rsidR="006869CB" w:rsidRPr="00850E91">
        <w:t>29</w:t>
      </w:r>
      <w:r w:rsidR="00492C11">
        <w:t>:</w:t>
      </w:r>
      <w:r w:rsidR="002974BC" w:rsidRPr="00850E91">
        <w:t xml:space="preserve"> </w:t>
      </w:r>
      <w:r w:rsidR="006869CB" w:rsidRPr="00850E91">
        <w:t>Gas Supply Security Project</w:t>
      </w:r>
      <w:r w:rsidR="00C803D7" w:rsidRPr="00850E91">
        <w:t xml:space="preserve"> </w:t>
      </w:r>
      <w:r w:rsidR="00D83AAD" w:rsidRPr="00850E91">
        <w:t>(</w:t>
      </w:r>
      <w:r w:rsidR="00DB28BC" w:rsidRPr="00850E91">
        <w:t>E</w:t>
      </w:r>
      <w:r w:rsidR="00D83AAD" w:rsidRPr="00850E91">
        <w:t>PBC</w:t>
      </w:r>
      <w:r w:rsidR="007B047A" w:rsidRPr="00850E91">
        <w:t xml:space="preserve"> </w:t>
      </w:r>
      <w:r w:rsidR="00DB28BC" w:rsidRPr="00850E91">
        <w:t>20</w:t>
      </w:r>
      <w:r w:rsidR="006869CB" w:rsidRPr="00850E91">
        <w:t>20</w:t>
      </w:r>
      <w:r w:rsidR="00DB28BC" w:rsidRPr="00850E91">
        <w:t>/8</w:t>
      </w:r>
      <w:r w:rsidR="006869CB" w:rsidRPr="00850E91">
        <w:t>856</w:t>
      </w:r>
      <w:r w:rsidR="00D83AAD" w:rsidRPr="00850E91">
        <w:t xml:space="preserve">) </w:t>
      </w:r>
      <w:r w:rsidR="00C803D7" w:rsidRPr="00850E91">
        <w:t>–</w:t>
      </w:r>
      <w:r w:rsidR="00DB28BC" w:rsidRPr="00850E91">
        <w:t xml:space="preserve"> </w:t>
      </w:r>
      <w:r w:rsidR="00C803D7" w:rsidRPr="00850E91">
        <w:t>Expansion</w:t>
      </w:r>
    </w:p>
    <w:tbl>
      <w:tblPr>
        <w:tblW w:w="9640" w:type="dxa"/>
        <w:tblInd w:w="-284" w:type="dxa"/>
        <w:tblBorders>
          <w:insideH w:val="single" w:sz="4" w:space="0" w:color="auto"/>
        </w:tblBorders>
        <w:tblCellMar>
          <w:top w:w="113" w:type="dxa"/>
          <w:bottom w:w="113" w:type="dxa"/>
        </w:tblCellMar>
        <w:tblLook w:val="01E0" w:firstRow="1" w:lastRow="1" w:firstColumn="1" w:lastColumn="1" w:noHBand="0" w:noVBand="0"/>
      </w:tblPr>
      <w:tblGrid>
        <w:gridCol w:w="1810"/>
        <w:gridCol w:w="7830"/>
      </w:tblGrid>
      <w:tr w:rsidR="001765DA" w:rsidRPr="00850E91" w14:paraId="09C5E40B" w14:textId="77777777" w:rsidTr="00784E40">
        <w:trPr>
          <w:trHeight w:val="563"/>
        </w:trPr>
        <w:tc>
          <w:tcPr>
            <w:tcW w:w="1810" w:type="dxa"/>
            <w:tcBorders>
              <w:top w:val="single" w:sz="4" w:space="0" w:color="auto"/>
              <w:bottom w:val="single" w:sz="4" w:space="0" w:color="auto"/>
            </w:tcBorders>
          </w:tcPr>
          <w:p w14:paraId="7FD30821" w14:textId="77777777" w:rsidR="001765DA" w:rsidRPr="00850E91" w:rsidRDefault="001765DA" w:rsidP="00277A51">
            <w:pPr>
              <w:pStyle w:val="Heading6"/>
              <w:suppressLineNumbers/>
            </w:pPr>
            <w:r w:rsidRPr="00850E91">
              <w:t>Requesting agency</w:t>
            </w:r>
          </w:p>
        </w:tc>
        <w:tc>
          <w:tcPr>
            <w:tcW w:w="7830" w:type="dxa"/>
            <w:tcBorders>
              <w:top w:val="single" w:sz="4" w:space="0" w:color="auto"/>
              <w:bottom w:val="single" w:sz="4" w:space="0" w:color="auto"/>
            </w:tcBorders>
          </w:tcPr>
          <w:p w14:paraId="31BBB971" w14:textId="1C1542EE" w:rsidR="003E2BDB" w:rsidRPr="00850E91" w:rsidRDefault="006869CB" w:rsidP="00277A51">
            <w:pPr>
              <w:pStyle w:val="Tabletext"/>
              <w:suppressLineNumbers/>
            </w:pPr>
            <w:r w:rsidRPr="00850E91">
              <w:t xml:space="preserve">The Australian Government Department of Agriculture, </w:t>
            </w:r>
            <w:proofErr w:type="gramStart"/>
            <w:r w:rsidRPr="00850E91">
              <w:t>Water</w:t>
            </w:r>
            <w:proofErr w:type="gramEnd"/>
            <w:r w:rsidRPr="00850E91">
              <w:t xml:space="preserve"> and the Environment </w:t>
            </w:r>
          </w:p>
        </w:tc>
      </w:tr>
      <w:tr w:rsidR="001765DA" w:rsidRPr="00850E91" w14:paraId="36793B1A" w14:textId="77777777" w:rsidTr="00784E40">
        <w:trPr>
          <w:trHeight w:val="19"/>
        </w:trPr>
        <w:tc>
          <w:tcPr>
            <w:tcW w:w="1810" w:type="dxa"/>
            <w:tcBorders>
              <w:top w:val="single" w:sz="4" w:space="0" w:color="auto"/>
              <w:bottom w:val="single" w:sz="4" w:space="0" w:color="auto"/>
            </w:tcBorders>
          </w:tcPr>
          <w:p w14:paraId="07CA321F" w14:textId="77777777" w:rsidR="001765DA" w:rsidRPr="00850E91" w:rsidRDefault="001765DA" w:rsidP="00277A51">
            <w:pPr>
              <w:pStyle w:val="Heading6"/>
              <w:suppressLineNumbers/>
            </w:pPr>
            <w:r w:rsidRPr="00850E91">
              <w:t>Date of request</w:t>
            </w:r>
          </w:p>
        </w:tc>
        <w:tc>
          <w:tcPr>
            <w:tcW w:w="7830" w:type="dxa"/>
            <w:tcBorders>
              <w:top w:val="single" w:sz="4" w:space="0" w:color="auto"/>
              <w:bottom w:val="single" w:sz="4" w:space="0" w:color="auto"/>
            </w:tcBorders>
          </w:tcPr>
          <w:p w14:paraId="72F1849C" w14:textId="26578695" w:rsidR="001765DA" w:rsidRPr="00850E91" w:rsidRDefault="006869CB" w:rsidP="00DB28BC">
            <w:pPr>
              <w:pStyle w:val="Tabletext"/>
              <w:suppressLineNumbers/>
            </w:pPr>
            <w:r w:rsidRPr="00850E91">
              <w:t>2</w:t>
            </w:r>
            <w:r w:rsidR="004122ED" w:rsidRPr="00850E91">
              <w:t>1</w:t>
            </w:r>
            <w:r w:rsidR="00DB28BC" w:rsidRPr="00850E91">
              <w:t xml:space="preserve"> December 20</w:t>
            </w:r>
            <w:r w:rsidRPr="00850E91">
              <w:t>21</w:t>
            </w:r>
          </w:p>
        </w:tc>
      </w:tr>
      <w:tr w:rsidR="00185039" w:rsidRPr="00850E91" w14:paraId="2535881E" w14:textId="77777777" w:rsidTr="00784E40">
        <w:trPr>
          <w:trHeight w:val="19"/>
        </w:trPr>
        <w:tc>
          <w:tcPr>
            <w:tcW w:w="1810" w:type="dxa"/>
            <w:tcBorders>
              <w:top w:val="single" w:sz="4" w:space="0" w:color="auto"/>
              <w:bottom w:val="single" w:sz="4" w:space="0" w:color="auto"/>
            </w:tcBorders>
          </w:tcPr>
          <w:p w14:paraId="63DD139C" w14:textId="77777777" w:rsidR="00185039" w:rsidRPr="00850E91" w:rsidRDefault="00185039" w:rsidP="00277A51">
            <w:pPr>
              <w:pStyle w:val="Heading6"/>
              <w:suppressLineNumbers/>
            </w:pPr>
            <w:r w:rsidRPr="00850E91">
              <w:t>Date request accepted</w:t>
            </w:r>
          </w:p>
        </w:tc>
        <w:tc>
          <w:tcPr>
            <w:tcW w:w="7830" w:type="dxa"/>
            <w:tcBorders>
              <w:top w:val="single" w:sz="4" w:space="0" w:color="auto"/>
              <w:bottom w:val="single" w:sz="4" w:space="0" w:color="auto"/>
            </w:tcBorders>
          </w:tcPr>
          <w:p w14:paraId="3346263C" w14:textId="61F46EC6" w:rsidR="00185039" w:rsidRPr="00850E91" w:rsidRDefault="006869CB" w:rsidP="00277A51">
            <w:pPr>
              <w:pStyle w:val="Tabletext"/>
              <w:suppressLineNumbers/>
            </w:pPr>
            <w:r w:rsidRPr="00850E91">
              <w:t>2</w:t>
            </w:r>
            <w:r w:rsidR="004122ED" w:rsidRPr="00850E91">
              <w:t>2</w:t>
            </w:r>
            <w:r w:rsidR="00DB28BC" w:rsidRPr="00850E91">
              <w:t xml:space="preserve"> December 20</w:t>
            </w:r>
            <w:r w:rsidRPr="00850E91">
              <w:t>21</w:t>
            </w:r>
          </w:p>
        </w:tc>
      </w:tr>
      <w:tr w:rsidR="00062A46" w:rsidRPr="00850E91" w14:paraId="5BD3ED13" w14:textId="77777777" w:rsidTr="00784E40">
        <w:trPr>
          <w:trHeight w:val="19"/>
        </w:trPr>
        <w:tc>
          <w:tcPr>
            <w:tcW w:w="1810" w:type="dxa"/>
            <w:tcBorders>
              <w:top w:val="single" w:sz="4" w:space="0" w:color="auto"/>
              <w:bottom w:val="single" w:sz="4" w:space="0" w:color="auto"/>
            </w:tcBorders>
          </w:tcPr>
          <w:p w14:paraId="11B3A2D8" w14:textId="77777777" w:rsidR="00062A46" w:rsidRPr="00850E91" w:rsidRDefault="00062A46" w:rsidP="00277A51">
            <w:pPr>
              <w:pStyle w:val="Heading6"/>
              <w:suppressLineNumbers/>
            </w:pPr>
            <w:r w:rsidRPr="00850E91">
              <w:t xml:space="preserve">Advice stage </w:t>
            </w:r>
          </w:p>
        </w:tc>
        <w:tc>
          <w:tcPr>
            <w:tcW w:w="7830" w:type="dxa"/>
            <w:tcBorders>
              <w:top w:val="single" w:sz="4" w:space="0" w:color="auto"/>
              <w:bottom w:val="single" w:sz="4" w:space="0" w:color="auto"/>
            </w:tcBorders>
          </w:tcPr>
          <w:p w14:paraId="6863E84E" w14:textId="48AEAC31" w:rsidR="00062A46" w:rsidRPr="00850E91" w:rsidRDefault="00DB28BC" w:rsidP="00277A51">
            <w:pPr>
              <w:pStyle w:val="Tabletext"/>
              <w:suppressLineNumbers/>
              <w:rPr>
                <w:lang w:eastAsia="en-AU"/>
              </w:rPr>
            </w:pPr>
            <w:r w:rsidRPr="00850E91">
              <w:t>Assessment</w:t>
            </w:r>
          </w:p>
        </w:tc>
      </w:tr>
    </w:tbl>
    <w:p w14:paraId="3F18E609" w14:textId="51C82449" w:rsidR="00C60A1A" w:rsidRPr="00850E91" w:rsidRDefault="00C60A1A" w:rsidP="00C60A1A">
      <w:pPr>
        <w:pStyle w:val="Heading3"/>
        <w:spacing w:before="0" w:after="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000" w:firstRow="0" w:lastRow="0" w:firstColumn="0" w:lastColumn="0" w:noHBand="0" w:noVBand="0"/>
      </w:tblPr>
      <w:tblGrid>
        <w:gridCol w:w="9640"/>
      </w:tblGrid>
      <w:tr w:rsidR="00C60A1A" w:rsidRPr="00850E91" w14:paraId="20C5ECEF" w14:textId="77777777" w:rsidTr="00784E40">
        <w:trPr>
          <w:trHeight w:val="2955"/>
        </w:trPr>
        <w:tc>
          <w:tcPr>
            <w:tcW w:w="9640" w:type="dxa"/>
            <w:shd w:val="clear" w:color="auto" w:fill="E7E6E6"/>
          </w:tcPr>
          <w:p w14:paraId="04390E56" w14:textId="77777777" w:rsidR="00C60A1A" w:rsidRPr="00850E91" w:rsidRDefault="00C60A1A" w:rsidP="007B236A">
            <w:pPr>
              <w:pStyle w:val="NEWNormalTNR12"/>
              <w:spacing w:before="120" w:after="120" w:line="276" w:lineRule="auto"/>
              <w:ind w:left="34"/>
              <w:rPr>
                <w:rFonts w:ascii="Arial" w:hAnsi="Arial" w:cs="Arial"/>
                <w:sz w:val="20"/>
                <w:szCs w:val="20"/>
              </w:rPr>
            </w:pPr>
            <w:r w:rsidRPr="00850E91">
              <w:rPr>
                <w:rFonts w:ascii="Arial" w:hAnsi="Arial" w:cs="Arial"/>
                <w:sz w:val="20"/>
                <w:szCs w:val="20"/>
              </w:rPr>
              <w:t>The Independent Expert Scientific Committee on Coal Seam Gas and Large Coal Mining Development (the IESC) provides independent, expert, scientific advice to the Australian and state government regulators on the potential impacts of coal seam gas and large coal mining proposals on water resources. The advice is designed to ensure that decisions by regulators on coal seam gas or large coal mining developments are informed by the best available science.</w:t>
            </w:r>
          </w:p>
          <w:p w14:paraId="1BE7A587" w14:textId="102C91DE" w:rsidR="00C60A1A" w:rsidRPr="00850E91" w:rsidRDefault="00C60A1A" w:rsidP="00DB28BC">
            <w:pPr>
              <w:pStyle w:val="NEWNormalTNR12"/>
              <w:spacing w:before="120" w:after="120" w:line="276" w:lineRule="auto"/>
              <w:ind w:left="34"/>
              <w:rPr>
                <w:rFonts w:asciiTheme="minorHAnsi" w:hAnsiTheme="minorHAnsi"/>
                <w:sz w:val="20"/>
                <w:szCs w:val="20"/>
              </w:rPr>
            </w:pPr>
            <w:r w:rsidRPr="00850E91">
              <w:rPr>
                <w:rFonts w:ascii="Arial" w:hAnsi="Arial" w:cs="Arial"/>
                <w:sz w:val="20"/>
                <w:szCs w:val="20"/>
              </w:rPr>
              <w:t xml:space="preserve">The IESC was requested by the Australian Government Department of </w:t>
            </w:r>
            <w:r w:rsidR="00680ADD" w:rsidRPr="00850E91">
              <w:rPr>
                <w:rFonts w:ascii="Arial" w:hAnsi="Arial" w:cs="Arial"/>
                <w:sz w:val="20"/>
                <w:szCs w:val="20"/>
              </w:rPr>
              <w:t xml:space="preserve">Agriculture, </w:t>
            </w:r>
            <w:proofErr w:type="gramStart"/>
            <w:r w:rsidR="00680ADD" w:rsidRPr="00850E91">
              <w:rPr>
                <w:rFonts w:ascii="Arial" w:hAnsi="Arial" w:cs="Arial"/>
                <w:sz w:val="20"/>
                <w:szCs w:val="20"/>
              </w:rPr>
              <w:t>Water</w:t>
            </w:r>
            <w:proofErr w:type="gramEnd"/>
            <w:r w:rsidR="00680ADD" w:rsidRPr="00850E91">
              <w:rPr>
                <w:rFonts w:ascii="Arial" w:hAnsi="Arial" w:cs="Arial"/>
                <w:sz w:val="20"/>
                <w:szCs w:val="20"/>
              </w:rPr>
              <w:t xml:space="preserve"> and the Environment</w:t>
            </w:r>
            <w:r w:rsidRPr="00850E91">
              <w:rPr>
                <w:rFonts w:ascii="Arial" w:hAnsi="Arial" w:cs="Arial"/>
                <w:sz w:val="20"/>
                <w:szCs w:val="20"/>
              </w:rPr>
              <w:t xml:space="preserve"> to provide advice on </w:t>
            </w:r>
            <w:r w:rsidR="004122ED" w:rsidRPr="00850E91">
              <w:rPr>
                <w:rFonts w:ascii="Arial" w:hAnsi="Arial" w:cs="Arial"/>
                <w:sz w:val="20"/>
                <w:szCs w:val="20"/>
              </w:rPr>
              <w:t xml:space="preserve">the </w:t>
            </w:r>
            <w:r w:rsidR="00680ADD" w:rsidRPr="00850E91">
              <w:rPr>
                <w:rFonts w:ascii="Arial" w:hAnsi="Arial" w:cs="Arial"/>
                <w:sz w:val="20"/>
                <w:szCs w:val="20"/>
              </w:rPr>
              <w:t xml:space="preserve">Origin Energy Upstream Operator Pty Ltd </w:t>
            </w:r>
            <w:r w:rsidR="008F7F30" w:rsidRPr="00850E91">
              <w:rPr>
                <w:rFonts w:ascii="Arial" w:hAnsi="Arial" w:cs="Arial"/>
                <w:sz w:val="20"/>
                <w:szCs w:val="20"/>
              </w:rPr>
              <w:t xml:space="preserve">(operating </w:t>
            </w:r>
            <w:r w:rsidR="004122ED" w:rsidRPr="00850E91">
              <w:rPr>
                <w:rFonts w:ascii="Arial" w:hAnsi="Arial" w:cs="Arial"/>
                <w:sz w:val="20"/>
                <w:szCs w:val="20"/>
              </w:rPr>
              <w:t>as</w:t>
            </w:r>
            <w:r w:rsidR="008F7F30" w:rsidRPr="00850E91">
              <w:rPr>
                <w:rFonts w:ascii="Arial" w:hAnsi="Arial" w:cs="Arial"/>
                <w:sz w:val="20"/>
                <w:szCs w:val="20"/>
              </w:rPr>
              <w:t xml:space="preserve"> Australia Pacific LNG Pty Ltd) </w:t>
            </w:r>
            <w:r w:rsidR="00680ADD" w:rsidRPr="00850E91">
              <w:rPr>
                <w:rFonts w:ascii="Arial" w:hAnsi="Arial" w:cs="Arial"/>
                <w:sz w:val="20"/>
                <w:szCs w:val="20"/>
              </w:rPr>
              <w:t>Gas Supply Security</w:t>
            </w:r>
            <w:r w:rsidR="00DB28BC" w:rsidRPr="00850E91">
              <w:rPr>
                <w:rFonts w:ascii="Arial" w:hAnsi="Arial" w:cs="Arial"/>
                <w:sz w:val="20"/>
                <w:szCs w:val="20"/>
              </w:rPr>
              <w:t xml:space="preserve"> Project</w:t>
            </w:r>
            <w:r w:rsidRPr="00850E91">
              <w:rPr>
                <w:rFonts w:ascii="Arial" w:hAnsi="Arial" w:cs="Arial"/>
                <w:sz w:val="20"/>
                <w:szCs w:val="20"/>
              </w:rPr>
              <w:t xml:space="preserve"> in </w:t>
            </w:r>
            <w:r w:rsidR="00DB28BC" w:rsidRPr="00850E91">
              <w:rPr>
                <w:rFonts w:ascii="Arial" w:hAnsi="Arial" w:cs="Arial"/>
                <w:sz w:val="20"/>
                <w:szCs w:val="20"/>
              </w:rPr>
              <w:t>Queensland</w:t>
            </w:r>
            <w:r w:rsidRPr="00850E91">
              <w:rPr>
                <w:rFonts w:ascii="Arial" w:hAnsi="Arial" w:cs="Arial"/>
                <w:sz w:val="20"/>
                <w:szCs w:val="20"/>
              </w:rPr>
              <w:t>. This document provides the IESC’s advice in response to the requesting agency’s questions. These questions are directed at matters specific to the project to be considered during the requesting agency’s assessment process. This advice draws upon the available assessment docume</w:t>
            </w:r>
            <w:r w:rsidR="00F424D7" w:rsidRPr="00850E91">
              <w:rPr>
                <w:rFonts w:ascii="Arial" w:hAnsi="Arial" w:cs="Arial"/>
                <w:sz w:val="20"/>
                <w:szCs w:val="20"/>
              </w:rPr>
              <w:t xml:space="preserve">ntation, </w:t>
            </w:r>
            <w:proofErr w:type="gramStart"/>
            <w:r w:rsidR="00F424D7" w:rsidRPr="00850E91">
              <w:rPr>
                <w:rFonts w:ascii="Arial" w:hAnsi="Arial" w:cs="Arial"/>
                <w:sz w:val="20"/>
                <w:szCs w:val="20"/>
              </w:rPr>
              <w:t>data</w:t>
            </w:r>
            <w:proofErr w:type="gramEnd"/>
            <w:r w:rsidR="00F424D7" w:rsidRPr="00850E91">
              <w:rPr>
                <w:rFonts w:ascii="Arial" w:hAnsi="Arial" w:cs="Arial"/>
                <w:sz w:val="20"/>
                <w:szCs w:val="20"/>
              </w:rPr>
              <w:t xml:space="preserve"> and methodologies, </w:t>
            </w:r>
            <w:r w:rsidRPr="00850E91">
              <w:rPr>
                <w:rFonts w:ascii="Arial" w:hAnsi="Arial" w:cs="Arial"/>
                <w:sz w:val="20"/>
                <w:szCs w:val="20"/>
              </w:rPr>
              <w:t>together with the expert deliberations of the IESC</w:t>
            </w:r>
            <w:r w:rsidR="001E2E34" w:rsidRPr="00850E91">
              <w:rPr>
                <w:rFonts w:ascii="Arial" w:hAnsi="Arial" w:cs="Arial"/>
                <w:sz w:val="20"/>
                <w:szCs w:val="20"/>
              </w:rPr>
              <w:t>,</w:t>
            </w:r>
            <w:r w:rsidRPr="00850E91">
              <w:rPr>
                <w:rFonts w:ascii="Arial" w:hAnsi="Arial" w:cs="Arial"/>
                <w:sz w:val="20"/>
                <w:szCs w:val="20"/>
              </w:rPr>
              <w:t xml:space="preserve"> and is assessed against the IESC Information Guidelines (</w:t>
            </w:r>
            <w:r w:rsidR="001E2E34" w:rsidRPr="00850E91">
              <w:rPr>
                <w:rFonts w:ascii="Arial" w:hAnsi="Arial" w:cs="Arial"/>
                <w:sz w:val="20"/>
                <w:szCs w:val="20"/>
              </w:rPr>
              <w:t>IESC, 2018</w:t>
            </w:r>
            <w:r w:rsidRPr="00850E91">
              <w:rPr>
                <w:rFonts w:ascii="Arial" w:hAnsi="Arial" w:cs="Arial"/>
                <w:sz w:val="20"/>
                <w:szCs w:val="20"/>
              </w:rPr>
              <w:t>).</w:t>
            </w:r>
          </w:p>
        </w:tc>
      </w:tr>
    </w:tbl>
    <w:p w14:paraId="7FEA122C" w14:textId="77777777" w:rsidR="00C60A1A" w:rsidRPr="00850E91" w:rsidRDefault="00C60A1A" w:rsidP="00C60A1A"/>
    <w:p w14:paraId="6C3ACB97" w14:textId="77777777" w:rsidR="00787D99" w:rsidRPr="00850E91" w:rsidRDefault="00787D99" w:rsidP="00D622B9">
      <w:pPr>
        <w:pStyle w:val="Heading3"/>
        <w:rPr>
          <w:color w:val="365F91" w:themeColor="accent1" w:themeShade="BF"/>
        </w:rPr>
      </w:pPr>
      <w:r w:rsidRPr="00850E91">
        <w:t>Summary</w:t>
      </w:r>
      <w:r w:rsidRPr="00850E91">
        <w:rPr>
          <w:color w:val="365F91" w:themeColor="accent1" w:themeShade="BF"/>
        </w:rPr>
        <w:t xml:space="preserve"> </w:t>
      </w:r>
    </w:p>
    <w:p w14:paraId="5A0748F8" w14:textId="72BD619F" w:rsidR="00CD1A24" w:rsidRPr="00850E91" w:rsidRDefault="50DD1C8C" w:rsidP="00B169A8">
      <w:r w:rsidRPr="00850E91">
        <w:t>The Gas Supply Security Project (the project) is a proposed extension of the existing Australian Pacific LNG (i.e.</w:t>
      </w:r>
      <w:r w:rsidR="53C77618" w:rsidRPr="00850E91">
        <w:t>,</w:t>
      </w:r>
      <w:r w:rsidRPr="00850E91">
        <w:t xml:space="preserve"> Origin Energy) coal seam gas (CSG) development</w:t>
      </w:r>
      <w:r w:rsidR="00DE0514" w:rsidRPr="00850E91">
        <w:t>s</w:t>
      </w:r>
      <w:r w:rsidRPr="00850E91">
        <w:t xml:space="preserve"> (EPBC 2009/4794). </w:t>
      </w:r>
      <w:r w:rsidR="43EC20F1" w:rsidRPr="00850E91">
        <w:t xml:space="preserve">The project area is located within the Surat and Bowen basins </w:t>
      </w:r>
      <w:r w:rsidR="0C4668B2" w:rsidRPr="00850E91">
        <w:t>in central and south</w:t>
      </w:r>
      <w:r w:rsidR="31F29B81" w:rsidRPr="00850E91">
        <w:t>ern</w:t>
      </w:r>
      <w:r w:rsidR="0C4668B2" w:rsidRPr="00850E91">
        <w:t xml:space="preserve"> Queensland </w:t>
      </w:r>
      <w:r w:rsidR="43EC20F1" w:rsidRPr="00850E91">
        <w:t>and covers approximately 476,492 ha adjacent to the existing development</w:t>
      </w:r>
      <w:r w:rsidR="00DE0514" w:rsidRPr="00850E91">
        <w:t>s</w:t>
      </w:r>
      <w:r w:rsidR="43EC20F1" w:rsidRPr="00850E91">
        <w:t xml:space="preserve">. There are five development areas, </w:t>
      </w:r>
      <w:r w:rsidR="0C4668B2" w:rsidRPr="00850E91">
        <w:t>referred to as</w:t>
      </w:r>
      <w:r w:rsidR="43EC20F1" w:rsidRPr="00850E91">
        <w:t xml:space="preserve"> Mahalo, Denison, Spring Gully, </w:t>
      </w:r>
      <w:proofErr w:type="gramStart"/>
      <w:r w:rsidR="43EC20F1" w:rsidRPr="00850E91">
        <w:t>Peat</w:t>
      </w:r>
      <w:proofErr w:type="gramEnd"/>
      <w:r w:rsidR="43EC20F1" w:rsidRPr="00850E91">
        <w:t xml:space="preserve"> and Ironbark (Origin Energy 2021, pp. 25</w:t>
      </w:r>
      <w:r w:rsidR="624413C7" w:rsidRPr="00850E91">
        <w:t>-</w:t>
      </w:r>
      <w:r w:rsidR="43EC20F1" w:rsidRPr="00850E91">
        <w:t>26).</w:t>
      </w:r>
    </w:p>
    <w:p w14:paraId="50F63521" w14:textId="398D8B7C" w:rsidR="00B169A8" w:rsidRPr="00850E91" w:rsidRDefault="00B169A8" w:rsidP="0DB46BDA">
      <w:r w:rsidRPr="00850E91">
        <w:t xml:space="preserve">The project will involve the construction, operation, decommissioning and rehabilitation of up to 7,700 CSG wells and associated infrastructure, including 6,800 km of gas and water pipelines, 16 combined gas processing and water management facilities and supporting infrastructure (accommodation, access tracks, maintenance facilities, laydown areas and utilities) (Origin Energy 2021, p. 38). Gas production will </w:t>
      </w:r>
      <w:r w:rsidRPr="00850E91">
        <w:lastRenderedPageBreak/>
        <w:t xml:space="preserve">target the Walloon Coal Measures, Bandanna Formation (including the Baralaba Coal Measures), and </w:t>
      </w:r>
      <w:proofErr w:type="spellStart"/>
      <w:r w:rsidRPr="00850E91">
        <w:t>Reids</w:t>
      </w:r>
      <w:proofErr w:type="spellEnd"/>
      <w:r w:rsidRPr="00850E91">
        <w:t xml:space="preserve"> Dome Beds (Origin Energy 2021, App. F, p. </w:t>
      </w:r>
      <w:proofErr w:type="spellStart"/>
      <w:r w:rsidRPr="00850E91">
        <w:t>i</w:t>
      </w:r>
      <w:proofErr w:type="spellEnd"/>
      <w:r w:rsidRPr="00850E91">
        <w:t>). Locations for</w:t>
      </w:r>
      <w:r w:rsidR="00EB525B" w:rsidRPr="00850E91">
        <w:t xml:space="preserve"> site infrastructure, including</w:t>
      </w:r>
      <w:r w:rsidR="00B67681" w:rsidRPr="00850E91">
        <w:t xml:space="preserve"> </w:t>
      </w:r>
      <w:r w:rsidR="00EB525B" w:rsidRPr="00850E91">
        <w:t>for</w:t>
      </w:r>
      <w:r w:rsidRPr="00850E91">
        <w:t xml:space="preserve"> CSG wells</w:t>
      </w:r>
      <w:r w:rsidR="00EB525B" w:rsidRPr="00850E91">
        <w:t xml:space="preserve">, </w:t>
      </w:r>
      <w:r w:rsidR="007061CF" w:rsidRPr="00850E91">
        <w:t xml:space="preserve">gas </w:t>
      </w:r>
      <w:r w:rsidR="00EB525B" w:rsidRPr="00850E91">
        <w:t>pipelines, water infrastructure (</w:t>
      </w:r>
      <w:r w:rsidR="007061CF" w:rsidRPr="00850E91">
        <w:t>e.g.</w:t>
      </w:r>
      <w:r w:rsidR="0433FDAF" w:rsidRPr="00850E91">
        <w:t>,</w:t>
      </w:r>
      <w:r w:rsidR="007061CF" w:rsidRPr="00850E91">
        <w:t xml:space="preserve"> </w:t>
      </w:r>
      <w:r w:rsidR="00EB525B" w:rsidRPr="00850E91">
        <w:t>storages) and access tracks</w:t>
      </w:r>
      <w:r w:rsidRPr="00850E91">
        <w:t xml:space="preserve"> </w:t>
      </w:r>
      <w:r w:rsidR="34318ED2" w:rsidRPr="00850E91">
        <w:t>a</w:t>
      </w:r>
      <w:r w:rsidR="09ED454B" w:rsidRPr="00850E91">
        <w:t>re</w:t>
      </w:r>
      <w:r w:rsidRPr="00850E91">
        <w:t xml:space="preserve"> not provided</w:t>
      </w:r>
      <w:r w:rsidR="59434303" w:rsidRPr="00850E91">
        <w:t xml:space="preserve"> </w:t>
      </w:r>
      <w:r w:rsidR="59434303" w:rsidRPr="00850E91">
        <w:rPr>
          <w:rFonts w:eastAsia="Arial"/>
        </w:rPr>
        <w:t>in the documentation supplied to the IESC, hindering the Committee’s assessment of potential site-specific impacts of the project on water resources</w:t>
      </w:r>
      <w:r w:rsidRPr="00850E91">
        <w:t>.</w:t>
      </w:r>
    </w:p>
    <w:p w14:paraId="0F729F89" w14:textId="0B0C0B01" w:rsidR="009774DB" w:rsidRPr="00850E91" w:rsidRDefault="00CD1A24" w:rsidP="78848B37">
      <w:pPr>
        <w:rPr>
          <w:rFonts w:eastAsia="Arial"/>
        </w:rPr>
      </w:pPr>
      <w:r w:rsidRPr="00850E91">
        <w:t xml:space="preserve">Construction for the project is expected to begin in 2024 with operations to begin in 2025 and continue until approximately 2061 (Origin Energy 2021, pp. 2, 39), although the proponent also gives an end date of 2075 (Origin Energy 2021, App. F, p. 23). The draft public environment report (PER) for the project presents a ‘maximum development scenario’ assuming that there will be commercial quantities of recoverable gas across the whole project area. The proponent </w:t>
      </w:r>
      <w:r w:rsidR="1DB247A2" w:rsidRPr="00850E91">
        <w:rPr>
          <w:rFonts w:eastAsia="Arial"/>
        </w:rPr>
        <w:t>claims that</w:t>
      </w:r>
      <w:r w:rsidRPr="00850E91">
        <w:t xml:space="preserve"> the final size of the project will be smaller (Origin Energy 2021, p. 2). </w:t>
      </w:r>
      <w:r w:rsidR="073B06C5" w:rsidRPr="00850E91">
        <w:rPr>
          <w:rFonts w:eastAsia="Arial"/>
        </w:rPr>
        <w:t>Regardless, the IESC notes the size of the project and its potential to significantly contribute to regional environmental impacts via the addition of 7,700 wells to the</w:t>
      </w:r>
      <w:r w:rsidR="006E6ADE" w:rsidRPr="00850E91">
        <w:rPr>
          <w:rFonts w:eastAsia="Arial"/>
        </w:rPr>
        <w:t xml:space="preserve"> </w:t>
      </w:r>
      <w:r w:rsidR="00DF5761">
        <w:rPr>
          <w:rFonts w:eastAsia="Arial"/>
        </w:rPr>
        <w:t>8,600</w:t>
      </w:r>
      <w:r w:rsidR="073B06C5" w:rsidRPr="00850E91">
        <w:rPr>
          <w:rFonts w:eastAsia="Arial"/>
        </w:rPr>
        <w:t xml:space="preserve"> </w:t>
      </w:r>
      <w:r w:rsidR="00BC0E22">
        <w:rPr>
          <w:rFonts w:eastAsia="Arial"/>
        </w:rPr>
        <w:t>(OGIA 2021</w:t>
      </w:r>
      <w:r w:rsidR="00711DBA">
        <w:rPr>
          <w:rFonts w:eastAsia="Arial"/>
        </w:rPr>
        <w:t>, pp. iii, 15</w:t>
      </w:r>
      <w:r w:rsidR="00BC0E22">
        <w:rPr>
          <w:rFonts w:eastAsia="Arial"/>
        </w:rPr>
        <w:t xml:space="preserve">) </w:t>
      </w:r>
      <w:r w:rsidR="073B06C5" w:rsidRPr="00850E91">
        <w:rPr>
          <w:rFonts w:eastAsia="Arial"/>
        </w:rPr>
        <w:t>wells currently located across the Surat Cumulative Management Area (CMA).</w:t>
      </w:r>
    </w:p>
    <w:p w14:paraId="53FE371C" w14:textId="43EBB9FF" w:rsidR="0059151B" w:rsidRPr="00850E91" w:rsidRDefault="4AFAB84A" w:rsidP="0059151B">
      <w:r w:rsidRPr="00850E91">
        <w:rPr>
          <w:rFonts w:eastAsia="Arial"/>
        </w:rPr>
        <w:t xml:space="preserve">The </w:t>
      </w:r>
      <w:r w:rsidRPr="00850E91">
        <w:rPr>
          <w:rFonts w:eastAsia="Arial"/>
          <w:i/>
          <w:iCs/>
        </w:rPr>
        <w:t>Environment Protection and Biodiversity Conservation Amendment Act 2013</w:t>
      </w:r>
      <w:r w:rsidRPr="00850E91">
        <w:rPr>
          <w:rFonts w:eastAsia="Arial"/>
        </w:rPr>
        <w:t xml:space="preserve"> identifies all water resources (as defined by the </w:t>
      </w:r>
      <w:r w:rsidRPr="00850E91">
        <w:rPr>
          <w:rFonts w:eastAsia="Arial"/>
          <w:i/>
          <w:iCs/>
        </w:rPr>
        <w:t>Water Act 2007</w:t>
      </w:r>
      <w:r w:rsidRPr="00850E91">
        <w:rPr>
          <w:rFonts w:eastAsia="Arial"/>
        </w:rPr>
        <w:t>, e.g., wetlands, rivers, groundwaters), as a Matter of National Environmental Significance (MNES) in relation to CSG and large coal mining developments. Under this ‘water trigger’ legislation, environmental impact assessments must assess the risks of all potential impacts to all water resources. Although the current assessment addresses the project’s risks to several EPBC Act-listed springs, it does not comprehensively assess the risk of potential impacts to other water resources such as ephemeral streams and groundwater-dependent vegetation at either local (development areas) or regional (Surat CMA) scales. Further, because of the substantial spatial and temporal extent of the project (7,700 wells over 4765 km</w:t>
      </w:r>
      <w:r w:rsidRPr="00850E91">
        <w:rPr>
          <w:rFonts w:eastAsia="Arial"/>
          <w:vertAlign w:val="superscript"/>
        </w:rPr>
        <w:t>2</w:t>
      </w:r>
      <w:r w:rsidRPr="00850E91">
        <w:rPr>
          <w:rFonts w:eastAsia="Arial"/>
        </w:rPr>
        <w:t xml:space="preserve"> for up to 50 years), there is a high risk of cumulative impacts exceeding threshold ecohydrological requirements (‘tipping points’) of one or more of these water resources protected under the </w:t>
      </w:r>
      <w:r w:rsidR="00604486" w:rsidRPr="00850E91">
        <w:rPr>
          <w:rFonts w:eastAsia="Arial"/>
        </w:rPr>
        <w:t>‘</w:t>
      </w:r>
      <w:r w:rsidRPr="00850E91">
        <w:rPr>
          <w:rFonts w:eastAsia="Arial"/>
        </w:rPr>
        <w:t>water trigger</w:t>
      </w:r>
      <w:r w:rsidR="00604486" w:rsidRPr="00850E91">
        <w:rPr>
          <w:rFonts w:eastAsia="Arial"/>
        </w:rPr>
        <w:t>’</w:t>
      </w:r>
      <w:r w:rsidRPr="00850E91">
        <w:rPr>
          <w:rFonts w:eastAsia="Arial"/>
        </w:rPr>
        <w:t xml:space="preserve">, potentially causing irreversible environmental harm. </w:t>
      </w:r>
    </w:p>
    <w:p w14:paraId="07C4D0EA" w14:textId="77777777" w:rsidR="00BF21A7" w:rsidRPr="00850E91" w:rsidRDefault="00BF21A7" w:rsidP="00BF21A7">
      <w:pPr>
        <w:keepNext/>
      </w:pPr>
      <w:r w:rsidRPr="00850E91">
        <w:rPr>
          <w:u w:val="single"/>
        </w:rPr>
        <w:t>Key potential impacts</w:t>
      </w:r>
      <w:r w:rsidRPr="00850E91">
        <w:t xml:space="preserve"> from this project are:</w:t>
      </w:r>
    </w:p>
    <w:p w14:paraId="5E4D97EF" w14:textId="454B38BD" w:rsidR="00723E5C" w:rsidRPr="00850E91" w:rsidRDefault="03390718" w:rsidP="004A4373">
      <w:pPr>
        <w:pStyle w:val="ListBullet"/>
        <w:numPr>
          <w:ilvl w:val="0"/>
          <w:numId w:val="10"/>
        </w:numPr>
        <w:rPr>
          <w:rFonts w:eastAsia="Arial"/>
        </w:rPr>
      </w:pPr>
      <w:r w:rsidRPr="00850E91">
        <w:t>extraction of 72.4 GL of groundwater over the life of the project</w:t>
      </w:r>
      <w:r w:rsidR="0337A051" w:rsidRPr="00850E91">
        <w:t xml:space="preserve">, contributing </w:t>
      </w:r>
      <w:r w:rsidR="2C970BD1" w:rsidRPr="00850E91">
        <w:t xml:space="preserve">to </w:t>
      </w:r>
      <w:r w:rsidR="00625F01" w:rsidRPr="00850E91">
        <w:t xml:space="preserve">project-specific and </w:t>
      </w:r>
      <w:r w:rsidR="2C970BD1" w:rsidRPr="00850E91">
        <w:t xml:space="preserve">cumulative drawdown impacts </w:t>
      </w:r>
      <w:r w:rsidR="7AC13BBD" w:rsidRPr="00850E91">
        <w:t>on</w:t>
      </w:r>
      <w:r w:rsidR="2C970BD1" w:rsidRPr="00850E91">
        <w:t xml:space="preserve"> </w:t>
      </w:r>
      <w:r w:rsidR="402E0B45" w:rsidRPr="00850E91">
        <w:t>eight known springs</w:t>
      </w:r>
      <w:r w:rsidR="5F1EA39F" w:rsidRPr="00850E91">
        <w:t xml:space="preserve"> (including </w:t>
      </w:r>
      <w:r w:rsidR="2C970BD1" w:rsidRPr="00850E91">
        <w:t>three EPBC Act-listed springs</w:t>
      </w:r>
      <w:r w:rsidR="5F1EA39F" w:rsidRPr="00850E91">
        <w:t>)</w:t>
      </w:r>
      <w:r w:rsidR="2C970BD1" w:rsidRPr="00850E91">
        <w:t>, 21 watercourse springs</w:t>
      </w:r>
      <w:r w:rsidR="112AAFB4" w:rsidRPr="00850E91">
        <w:t xml:space="preserve">, terrestrial </w:t>
      </w:r>
      <w:r w:rsidR="4A769FE1" w:rsidRPr="00850E91">
        <w:t>groundwater</w:t>
      </w:r>
      <w:r w:rsidR="1FEE68CB" w:rsidRPr="00850E91">
        <w:t>-</w:t>
      </w:r>
      <w:r w:rsidR="4A769FE1" w:rsidRPr="00850E91">
        <w:t>dependent ecosystems (</w:t>
      </w:r>
      <w:r w:rsidR="112AAFB4" w:rsidRPr="00850E91">
        <w:t>GDEs</w:t>
      </w:r>
      <w:r w:rsidR="4A769FE1" w:rsidRPr="00850E91">
        <w:t>)</w:t>
      </w:r>
      <w:r w:rsidR="112AAFB4" w:rsidRPr="00850E91">
        <w:t>, 13 private bores, and possibly subterranean GDEs</w:t>
      </w:r>
      <w:r w:rsidR="5F3E1EBC" w:rsidRPr="00850E91">
        <w:t xml:space="preserve"> (</w:t>
      </w:r>
      <w:r w:rsidR="5F3E1EBC" w:rsidRPr="00850E91">
        <w:rPr>
          <w:rFonts w:eastAsia="Arial"/>
        </w:rPr>
        <w:t>including stygofauna</w:t>
      </w:r>
      <w:proofErr w:type="gramStart"/>
      <w:r w:rsidR="5F3E1EBC" w:rsidRPr="00850E91">
        <w:rPr>
          <w:rFonts w:eastAsia="Arial"/>
        </w:rPr>
        <w:t>)</w:t>
      </w:r>
      <w:r w:rsidR="112AAFB4" w:rsidRPr="00850E91">
        <w:t>;</w:t>
      </w:r>
      <w:proofErr w:type="gramEnd"/>
    </w:p>
    <w:p w14:paraId="4B2D16ED" w14:textId="3086A72E" w:rsidR="001E2A49" w:rsidRPr="00850E91" w:rsidRDefault="076669A3" w:rsidP="78848B37">
      <w:pPr>
        <w:pStyle w:val="ListBullet"/>
        <w:numPr>
          <w:ilvl w:val="0"/>
          <w:numId w:val="10"/>
        </w:numPr>
        <w:rPr>
          <w:rFonts w:eastAsia="Arial"/>
        </w:rPr>
      </w:pPr>
      <w:r w:rsidRPr="00850E91">
        <w:t>local</w:t>
      </w:r>
      <w:r w:rsidR="467B486C" w:rsidRPr="00850E91">
        <w:t xml:space="preserve"> </w:t>
      </w:r>
      <w:r w:rsidR="467B486C" w:rsidRPr="007847D5">
        <w:t>(development area-specific</w:t>
      </w:r>
      <w:r w:rsidR="753821E5" w:rsidRPr="007847D5">
        <w:t>)</w:t>
      </w:r>
      <w:r w:rsidRPr="007847D5">
        <w:t>-</w:t>
      </w:r>
      <w:r w:rsidR="467B486C" w:rsidRPr="00850E91">
        <w:t xml:space="preserve"> </w:t>
      </w:r>
      <w:r w:rsidRPr="00850E91">
        <w:t>and regional-scale</w:t>
      </w:r>
      <w:r w:rsidR="303A89AA" w:rsidRPr="00850E91">
        <w:t xml:space="preserve"> </w:t>
      </w:r>
      <w:r w:rsidR="03390718" w:rsidRPr="00850E91">
        <w:t xml:space="preserve">reductions in water availability to </w:t>
      </w:r>
      <w:r w:rsidR="155C3BC5" w:rsidRPr="00850E91">
        <w:rPr>
          <w:rFonts w:eastAsia="Arial"/>
        </w:rPr>
        <w:t xml:space="preserve">other water resources (e.g., ephemeral streams, riparian and floodplain ecosystems) as a result of groundwater drawdown, altered alluvial recharge and changes to surface runoff caused by infrastructure such as access </w:t>
      </w:r>
      <w:proofErr w:type="gramStart"/>
      <w:r w:rsidR="155C3BC5" w:rsidRPr="00850E91">
        <w:rPr>
          <w:rFonts w:eastAsia="Arial"/>
        </w:rPr>
        <w:t>tracks</w:t>
      </w:r>
      <w:r w:rsidR="03390718" w:rsidRPr="00850E91">
        <w:t>;</w:t>
      </w:r>
      <w:proofErr w:type="gramEnd"/>
      <w:r w:rsidR="03390718" w:rsidRPr="00850E91">
        <w:t xml:space="preserve"> </w:t>
      </w:r>
    </w:p>
    <w:p w14:paraId="7D047B09" w14:textId="0970728B" w:rsidR="0067705E" w:rsidRPr="00850E91" w:rsidRDefault="03390718" w:rsidP="000227BD">
      <w:pPr>
        <w:pStyle w:val="ListBullet"/>
        <w:numPr>
          <w:ilvl w:val="0"/>
          <w:numId w:val="10"/>
        </w:numPr>
      </w:pPr>
      <w:r w:rsidRPr="00850E91">
        <w:t xml:space="preserve">changes to surface water quality due to the </w:t>
      </w:r>
      <w:r w:rsidR="3BFB8807" w:rsidRPr="00850E91">
        <w:t xml:space="preserve">intentional and unintentional </w:t>
      </w:r>
      <w:r w:rsidRPr="00850E91">
        <w:t>release</w:t>
      </w:r>
      <w:r w:rsidR="5DA3A785" w:rsidRPr="00850E91">
        <w:t>s</w:t>
      </w:r>
      <w:r w:rsidRPr="00850E91">
        <w:t xml:space="preserve"> of </w:t>
      </w:r>
      <w:r w:rsidR="3BEE5F97" w:rsidRPr="00850E91">
        <w:t xml:space="preserve">treated </w:t>
      </w:r>
      <w:r w:rsidRPr="00850E91">
        <w:t>produced water and use of waste drilling fluids on-site</w:t>
      </w:r>
      <w:r w:rsidR="039453DE" w:rsidRPr="00850E91">
        <w:t xml:space="preserve">, noting </w:t>
      </w:r>
      <w:r w:rsidR="151F0D71" w:rsidRPr="00850E91">
        <w:t>that the proponent has provided</w:t>
      </w:r>
      <w:r w:rsidR="3E7C4D00" w:rsidRPr="00850E91">
        <w:t xml:space="preserve"> littl</w:t>
      </w:r>
      <w:r w:rsidR="5775EAC1" w:rsidRPr="00850E91">
        <w:t>e</w:t>
      </w:r>
      <w:r w:rsidR="039453DE" w:rsidRPr="00850E91">
        <w:t xml:space="preserve"> information on these </w:t>
      </w:r>
      <w:r w:rsidR="62B3BAB0" w:rsidRPr="00850E91">
        <w:t>aspects</w:t>
      </w:r>
      <w:r w:rsidR="06626C7C" w:rsidRPr="00850E91">
        <w:t>; and</w:t>
      </w:r>
    </w:p>
    <w:p w14:paraId="4589B2A1" w14:textId="7ECCE5F9" w:rsidR="00D30842" w:rsidRPr="00850E91" w:rsidRDefault="4CD2A119" w:rsidP="000227BD">
      <w:pPr>
        <w:pStyle w:val="ListBullet"/>
        <w:numPr>
          <w:ilvl w:val="0"/>
          <w:numId w:val="10"/>
        </w:numPr>
      </w:pPr>
      <w:r w:rsidRPr="00850E91">
        <w:t xml:space="preserve">legacy issues of substantial volumes </w:t>
      </w:r>
      <w:r w:rsidR="38293129" w:rsidRPr="00850E91">
        <w:t xml:space="preserve">(up to 9,500 ML) </w:t>
      </w:r>
      <w:r w:rsidRPr="00850E91">
        <w:t xml:space="preserve">of brine and other contaminated by-products of </w:t>
      </w:r>
      <w:r w:rsidR="0E81F116" w:rsidRPr="00850E91">
        <w:t>produced water</w:t>
      </w:r>
      <w:r w:rsidR="31B63E90" w:rsidRPr="00850E91">
        <w:t>.</w:t>
      </w:r>
    </w:p>
    <w:p w14:paraId="14BC7E22" w14:textId="77777777" w:rsidR="00C00D6D" w:rsidRPr="00850E91" w:rsidRDefault="63FB219A" w:rsidP="00C00D6D">
      <w:pPr>
        <w:pStyle w:val="ListBullet"/>
        <w:numPr>
          <w:ilvl w:val="0"/>
          <w:numId w:val="0"/>
        </w:numPr>
        <w:rPr>
          <w:lang w:val="en-AU"/>
        </w:rPr>
      </w:pPr>
      <w:r w:rsidRPr="00850E91">
        <w:rPr>
          <w:lang w:val="en-AU"/>
        </w:rPr>
        <w:t>The IESC has identified key areas in which additional work is required to understand and address the key potential impacts, as detailed in this advice. These are summarised below. The proponent should:</w:t>
      </w:r>
    </w:p>
    <w:p w14:paraId="1E3FA084" w14:textId="5C685729" w:rsidR="00C00D6D" w:rsidRPr="00850E91" w:rsidRDefault="63FB219A" w:rsidP="78848B37">
      <w:pPr>
        <w:pStyle w:val="ListParagraph"/>
        <w:numPr>
          <w:ilvl w:val="0"/>
          <w:numId w:val="10"/>
        </w:numPr>
        <w:jc w:val="both"/>
        <w:rPr>
          <w:rFonts w:eastAsia="Arial"/>
        </w:rPr>
      </w:pPr>
      <w:r w:rsidRPr="00850E91">
        <w:t xml:space="preserve">provide </w:t>
      </w:r>
      <w:r w:rsidR="5DC968DB" w:rsidRPr="00850E91">
        <w:rPr>
          <w:rFonts w:eastAsia="Arial"/>
        </w:rPr>
        <w:t xml:space="preserve">sufficient </w:t>
      </w:r>
      <w:r w:rsidRPr="00850E91">
        <w:t>detail on project infrastructure</w:t>
      </w:r>
      <w:r w:rsidR="4C861726" w:rsidRPr="00850E91">
        <w:t xml:space="preserve"> (</w:t>
      </w:r>
      <w:r w:rsidRPr="00850E91">
        <w:t>e.g.</w:t>
      </w:r>
      <w:r w:rsidR="0ACC3CE4" w:rsidRPr="00850E91">
        <w:t>,</w:t>
      </w:r>
      <w:r w:rsidRPr="00850E91">
        <w:t xml:space="preserve"> locations of CSG wells</w:t>
      </w:r>
      <w:r w:rsidR="781D6D04" w:rsidRPr="00850E91">
        <w:t>, pipelines, water management infrastructure, access tracks</w:t>
      </w:r>
      <w:proofErr w:type="gramStart"/>
      <w:r w:rsidR="69D336B6" w:rsidRPr="00850E91">
        <w:t>)</w:t>
      </w:r>
      <w:r w:rsidRPr="00850E91">
        <w:t>;</w:t>
      </w:r>
      <w:proofErr w:type="gramEnd"/>
    </w:p>
    <w:p w14:paraId="09FDAA58" w14:textId="6963CFCA" w:rsidR="00C00D6D" w:rsidRPr="00850E91" w:rsidRDefault="63FB219A" w:rsidP="78848B37">
      <w:pPr>
        <w:pStyle w:val="ListParagraph"/>
        <w:numPr>
          <w:ilvl w:val="0"/>
          <w:numId w:val="10"/>
        </w:numPr>
        <w:jc w:val="both"/>
        <w:rPr>
          <w:rFonts w:eastAsia="Arial"/>
        </w:rPr>
      </w:pPr>
      <w:r w:rsidRPr="00850E91">
        <w:lastRenderedPageBreak/>
        <w:t>ground-truth potential terrestrial and aquatic GDEs</w:t>
      </w:r>
      <w:r w:rsidR="4028EA92" w:rsidRPr="00850E91">
        <w:rPr>
          <w:rFonts w:eastAsia="Arial"/>
        </w:rPr>
        <w:t xml:space="preserve"> within the development footprint</w:t>
      </w:r>
      <w:r w:rsidR="278F9673" w:rsidRPr="00850E91">
        <w:rPr>
          <w:rFonts w:eastAsia="Arial"/>
        </w:rPr>
        <w:t>s</w:t>
      </w:r>
      <w:r w:rsidRPr="00850E91">
        <w:t xml:space="preserve"> and further consider impacts to these GDEs</w:t>
      </w:r>
      <w:r w:rsidR="20E74FA1" w:rsidRPr="00850E91">
        <w:rPr>
          <w:rFonts w:eastAsia="Arial"/>
        </w:rPr>
        <w:t xml:space="preserve"> within and near each development area where drawdown and altered alluvial recharge may </w:t>
      </w:r>
      <w:proofErr w:type="gramStart"/>
      <w:r w:rsidR="20E74FA1" w:rsidRPr="00850E91">
        <w:rPr>
          <w:rFonts w:eastAsia="Arial"/>
        </w:rPr>
        <w:t>occur</w:t>
      </w:r>
      <w:r w:rsidRPr="00850E91">
        <w:t>;</w:t>
      </w:r>
      <w:proofErr w:type="gramEnd"/>
    </w:p>
    <w:p w14:paraId="3F821C7C" w14:textId="7B667950" w:rsidR="00C00D6D" w:rsidRPr="00850E91" w:rsidRDefault="00C00D6D" w:rsidP="00C00D6D">
      <w:pPr>
        <w:pStyle w:val="ListParagraph"/>
        <w:numPr>
          <w:ilvl w:val="0"/>
          <w:numId w:val="10"/>
        </w:numPr>
        <w:jc w:val="both"/>
      </w:pPr>
      <w:r w:rsidRPr="00850E91">
        <w:t xml:space="preserve">provide information on </w:t>
      </w:r>
      <w:r w:rsidR="001A7170" w:rsidRPr="00850E91">
        <w:t>produced</w:t>
      </w:r>
      <w:r w:rsidRPr="00850E91">
        <w:t xml:space="preserve"> water treatment</w:t>
      </w:r>
      <w:r w:rsidR="00FE3737" w:rsidRPr="00850E91">
        <w:t xml:space="preserve"> and</w:t>
      </w:r>
      <w:r w:rsidRPr="00850E91">
        <w:t xml:space="preserve"> disposal</w:t>
      </w:r>
      <w:r w:rsidR="5CBF5F7C" w:rsidRPr="00850E91">
        <w:t xml:space="preserve"> of liquid and solid (e.g.</w:t>
      </w:r>
      <w:r w:rsidR="00AB29FF" w:rsidRPr="00850E91">
        <w:t>,</w:t>
      </w:r>
      <w:r w:rsidR="5CBF5F7C" w:rsidRPr="00850E91">
        <w:t xml:space="preserve"> brine) wastes</w:t>
      </w:r>
      <w:r w:rsidR="00FE3737" w:rsidRPr="00850E91">
        <w:t>, all of which occurs offsite</w:t>
      </w:r>
      <w:r w:rsidRPr="00850E91">
        <w:t xml:space="preserve">, and </w:t>
      </w:r>
      <w:r w:rsidR="00633DCB" w:rsidRPr="00850E91">
        <w:t xml:space="preserve">potential </w:t>
      </w:r>
      <w:r w:rsidRPr="00850E91">
        <w:t>impacts</w:t>
      </w:r>
      <w:r w:rsidR="00633DCB" w:rsidRPr="00850E91">
        <w:t xml:space="preserve"> to surface water</w:t>
      </w:r>
      <w:r w:rsidR="3DB7E9E3" w:rsidRPr="00850E91">
        <w:t xml:space="preserve"> flow regime, water quality and </w:t>
      </w:r>
      <w:proofErr w:type="gramStart"/>
      <w:r w:rsidR="3DB7E9E3" w:rsidRPr="00850E91">
        <w:t>ecosystems</w:t>
      </w:r>
      <w:r w:rsidRPr="00850E91">
        <w:t>;</w:t>
      </w:r>
      <w:proofErr w:type="gramEnd"/>
    </w:p>
    <w:p w14:paraId="24E32763" w14:textId="270BFF1E" w:rsidR="048F75AC" w:rsidRPr="00850E91" w:rsidRDefault="390DA1CA" w:rsidP="78848B37">
      <w:pPr>
        <w:pStyle w:val="ListParagraph"/>
        <w:numPr>
          <w:ilvl w:val="0"/>
          <w:numId w:val="10"/>
        </w:numPr>
        <w:jc w:val="both"/>
        <w:rPr>
          <w:rFonts w:eastAsia="Arial"/>
        </w:rPr>
      </w:pPr>
      <w:r w:rsidRPr="00850E91">
        <w:t>e</w:t>
      </w:r>
      <w:r w:rsidRPr="00850E91">
        <w:rPr>
          <w:rFonts w:eastAsia="Arial"/>
        </w:rPr>
        <w:t>valuate the risk of project-specific and total cumulative subsidence across each development area</w:t>
      </w:r>
      <w:r w:rsidR="2BDD88A5" w:rsidRPr="00850E91">
        <w:rPr>
          <w:rFonts w:eastAsia="Arial"/>
        </w:rPr>
        <w:t xml:space="preserve"> and associated change of slope at the ground surface that may impact on surface water flow regimes</w:t>
      </w:r>
      <w:r w:rsidRPr="00850E91">
        <w:rPr>
          <w:rFonts w:eastAsia="Arial"/>
        </w:rPr>
        <w:t xml:space="preserve">. If subsidence is likely to exceed background </w:t>
      </w:r>
      <w:r w:rsidR="0554C75A" w:rsidRPr="00850E91">
        <w:rPr>
          <w:rFonts w:eastAsia="Arial"/>
        </w:rPr>
        <w:t>trends</w:t>
      </w:r>
      <w:r w:rsidRPr="00850E91">
        <w:rPr>
          <w:rFonts w:eastAsia="Arial"/>
        </w:rPr>
        <w:t xml:space="preserve">, </w:t>
      </w:r>
      <w:r w:rsidR="6067077A" w:rsidRPr="00850E91">
        <w:rPr>
          <w:rFonts w:eastAsia="Arial"/>
        </w:rPr>
        <w:t xml:space="preserve">then it is recommended </w:t>
      </w:r>
      <w:r w:rsidR="64A739F2" w:rsidRPr="00850E91">
        <w:rPr>
          <w:rFonts w:eastAsia="Arial"/>
        </w:rPr>
        <w:t>that</w:t>
      </w:r>
      <w:r w:rsidRPr="00850E91">
        <w:rPr>
          <w:rFonts w:eastAsia="Arial"/>
        </w:rPr>
        <w:t xml:space="preserve"> appropriate remote-sensing </w:t>
      </w:r>
      <w:r w:rsidR="2C1CF06A" w:rsidRPr="00850E91">
        <w:rPr>
          <w:rFonts w:eastAsia="Arial"/>
        </w:rPr>
        <w:t xml:space="preserve">or airborne </w:t>
      </w:r>
      <w:r w:rsidRPr="00850E91">
        <w:rPr>
          <w:rFonts w:eastAsia="Arial"/>
        </w:rPr>
        <w:t>monitoring</w:t>
      </w:r>
      <w:r w:rsidR="22E9E872" w:rsidRPr="00850E91">
        <w:rPr>
          <w:rFonts w:eastAsia="Arial"/>
        </w:rPr>
        <w:t xml:space="preserve"> be designed and implemented</w:t>
      </w:r>
      <w:r w:rsidRPr="00850E91">
        <w:rPr>
          <w:rFonts w:eastAsia="Arial"/>
        </w:rPr>
        <w:t xml:space="preserve"> across development areas at </w:t>
      </w:r>
      <w:proofErr w:type="gramStart"/>
      <w:r w:rsidRPr="00850E91">
        <w:rPr>
          <w:rFonts w:eastAsia="Arial"/>
        </w:rPr>
        <w:t>risk</w:t>
      </w:r>
      <w:r w:rsidR="00D775FA" w:rsidRPr="00850E91">
        <w:rPr>
          <w:rFonts w:eastAsia="Arial"/>
        </w:rPr>
        <w:t>;</w:t>
      </w:r>
      <w:proofErr w:type="gramEnd"/>
    </w:p>
    <w:p w14:paraId="6DB0DFEE" w14:textId="02CB6E78" w:rsidR="00C00D6D" w:rsidRPr="00850E91" w:rsidRDefault="63FB219A" w:rsidP="78848B37">
      <w:pPr>
        <w:pStyle w:val="ListParagraph"/>
        <w:numPr>
          <w:ilvl w:val="0"/>
          <w:numId w:val="10"/>
        </w:numPr>
        <w:jc w:val="both"/>
        <w:rPr>
          <w:rFonts w:eastAsia="Arial"/>
        </w:rPr>
      </w:pPr>
      <w:r w:rsidRPr="00850E91">
        <w:t xml:space="preserve">provide </w:t>
      </w:r>
      <w:r w:rsidR="62A96974" w:rsidRPr="00850E91">
        <w:t>d</w:t>
      </w:r>
      <w:r w:rsidR="62A96974" w:rsidRPr="00850E91">
        <w:rPr>
          <w:rFonts w:eastAsia="Arial"/>
        </w:rPr>
        <w:t>evelopment area- and project-specific ecohydrological conceptual models</w:t>
      </w:r>
      <w:r w:rsidRPr="00850E91">
        <w:t xml:space="preserve"> of how the project </w:t>
      </w:r>
      <w:r w:rsidR="738A53CA" w:rsidRPr="00850E91">
        <w:t>may</w:t>
      </w:r>
      <w:r w:rsidRPr="00850E91">
        <w:t xml:space="preserve"> impact the quality and functioning of water-dependent assets, </w:t>
      </w:r>
      <w:proofErr w:type="gramStart"/>
      <w:r w:rsidRPr="00850E91">
        <w:t>taking into account</w:t>
      </w:r>
      <w:proofErr w:type="gramEnd"/>
      <w:r w:rsidRPr="00850E91">
        <w:t xml:space="preserve"> the project’s contribution to</w:t>
      </w:r>
      <w:r w:rsidR="59F2DFD1" w:rsidRPr="00850E91">
        <w:rPr>
          <w:rFonts w:eastAsia="Arial"/>
        </w:rPr>
        <w:t xml:space="preserve"> potential</w:t>
      </w:r>
      <w:r w:rsidRPr="00850E91">
        <w:t xml:space="preserve"> cumulative impacts at broad spatial and temporal scale</w:t>
      </w:r>
      <w:r w:rsidR="252C4A6C" w:rsidRPr="00850E91">
        <w:t>s</w:t>
      </w:r>
      <w:r w:rsidRPr="00850E91">
        <w:t>;</w:t>
      </w:r>
      <w:r w:rsidR="000A0B73" w:rsidRPr="00850E91">
        <w:t xml:space="preserve"> and</w:t>
      </w:r>
    </w:p>
    <w:p w14:paraId="09422841" w14:textId="156FBEEF" w:rsidR="00BF21A7" w:rsidRPr="00850E91" w:rsidRDefault="63FB219A" w:rsidP="78848B37">
      <w:pPr>
        <w:pStyle w:val="ListParagraph"/>
        <w:numPr>
          <w:ilvl w:val="0"/>
          <w:numId w:val="10"/>
        </w:numPr>
        <w:jc w:val="both"/>
        <w:rPr>
          <w:rFonts w:eastAsia="Arial"/>
        </w:rPr>
      </w:pPr>
      <w:r w:rsidRPr="00850E91">
        <w:t xml:space="preserve">review and update the project-specific management plans following </w:t>
      </w:r>
      <w:r w:rsidR="00E02C47" w:rsidRPr="00850E91">
        <w:t>collection of</w:t>
      </w:r>
      <w:r w:rsidR="001F6BEF" w:rsidRPr="00850E91">
        <w:t xml:space="preserve"> appropriate baseline and subsequent monitoring data that informs </w:t>
      </w:r>
      <w:r w:rsidRPr="00850E91">
        <w:t>further assessment of project impacts.</w:t>
      </w:r>
      <w:r w:rsidR="2F967332" w:rsidRPr="00850E91">
        <w:rPr>
          <w:rFonts w:eastAsia="Arial"/>
        </w:rPr>
        <w:t xml:space="preserve"> These management plans </w:t>
      </w:r>
      <w:r w:rsidR="2CFB89CD" w:rsidRPr="00850E91">
        <w:rPr>
          <w:rFonts w:eastAsia="Arial"/>
        </w:rPr>
        <w:t>will</w:t>
      </w:r>
      <w:r w:rsidR="4DC8DEF1" w:rsidRPr="00850E91">
        <w:rPr>
          <w:rFonts w:eastAsia="Arial"/>
        </w:rPr>
        <w:t xml:space="preserve"> </w:t>
      </w:r>
      <w:r w:rsidR="2F967332" w:rsidRPr="00850E91">
        <w:rPr>
          <w:rFonts w:eastAsia="Arial"/>
        </w:rPr>
        <w:t xml:space="preserve">need to be specific to each of the five development areas and their </w:t>
      </w:r>
      <w:r w:rsidR="06F6BA11" w:rsidRPr="00850E91">
        <w:rPr>
          <w:rFonts w:eastAsia="Arial"/>
        </w:rPr>
        <w:t>infrastructure footprints</w:t>
      </w:r>
      <w:r w:rsidR="2F967332" w:rsidRPr="00850E91">
        <w:rPr>
          <w:rFonts w:eastAsia="Arial"/>
        </w:rPr>
        <w:t xml:space="preserve">, acknowledging the </w:t>
      </w:r>
      <w:r w:rsidR="5CBD6D75" w:rsidRPr="00850E91">
        <w:rPr>
          <w:rFonts w:eastAsia="Arial"/>
        </w:rPr>
        <w:t>hydrogeological</w:t>
      </w:r>
      <w:r w:rsidR="2F967332" w:rsidRPr="00850E91">
        <w:rPr>
          <w:rFonts w:eastAsia="Arial"/>
        </w:rPr>
        <w:t xml:space="preserve"> and ecological differences among them and identifying where site-specific strategies will be </w:t>
      </w:r>
      <w:r w:rsidR="5D1F0E76" w:rsidRPr="00850E91">
        <w:rPr>
          <w:rFonts w:eastAsia="Arial"/>
        </w:rPr>
        <w:t>requir</w:t>
      </w:r>
      <w:r w:rsidR="2F967332" w:rsidRPr="00850E91">
        <w:rPr>
          <w:rFonts w:eastAsia="Arial"/>
        </w:rPr>
        <w:t>ed.</w:t>
      </w:r>
      <w:r w:rsidR="2F967332" w:rsidRPr="00850E91">
        <w:t xml:space="preserve"> </w:t>
      </w:r>
      <w:r w:rsidR="69CE8C74" w:rsidRPr="00850E91">
        <w:t>These plans should also be integrated with the project-specific management plan</w:t>
      </w:r>
      <w:r w:rsidR="349B94EF" w:rsidRPr="00850E91">
        <w:t>s</w:t>
      </w:r>
      <w:r w:rsidR="65B4BE29" w:rsidRPr="00850E91">
        <w:t xml:space="preserve">, and the plans for </w:t>
      </w:r>
      <w:r w:rsidR="68880E1B" w:rsidRPr="00850E91">
        <w:t>offsite disposal</w:t>
      </w:r>
      <w:r w:rsidR="34E3AF84" w:rsidRPr="00850E91">
        <w:t xml:space="preserve"> of solid and liquid waste</w:t>
      </w:r>
      <w:r w:rsidR="06A73676" w:rsidRPr="00850E91">
        <w:t>,</w:t>
      </w:r>
      <w:r w:rsidR="349B94EF" w:rsidRPr="00850E91">
        <w:t xml:space="preserve"> to capture the regional context and cumulative impacts.</w:t>
      </w:r>
    </w:p>
    <w:p w14:paraId="16832C26" w14:textId="24D44EF2" w:rsidR="00291857" w:rsidRPr="00850E91" w:rsidRDefault="00291857" w:rsidP="00291857">
      <w:pPr>
        <w:rPr>
          <w:b/>
        </w:rPr>
      </w:pPr>
      <w:r w:rsidRPr="00850E91">
        <w:rPr>
          <w:b/>
        </w:rPr>
        <w:t>Context</w:t>
      </w:r>
    </w:p>
    <w:p w14:paraId="2869341E" w14:textId="1FA3DF1F" w:rsidR="00556EB2" w:rsidRPr="00850E91" w:rsidRDefault="07861DC5" w:rsidP="78848B37">
      <w:pPr>
        <w:rPr>
          <w:rFonts w:eastAsia="Arial"/>
        </w:rPr>
      </w:pPr>
      <w:r w:rsidRPr="00850E91">
        <w:rPr>
          <w:rFonts w:eastAsia="Arial"/>
        </w:rPr>
        <w:t xml:space="preserve">The Surat CMA contains existing and proposed large-scale CSG developments. Modelling of cumulative groundwater impacts within the Surat CMA is undertaken by the Office of Groundwater Impact Assessment (OGIA) who publish their findings in </w:t>
      </w:r>
      <w:r w:rsidR="007847D5">
        <w:rPr>
          <w:rFonts w:eastAsia="Arial"/>
        </w:rPr>
        <w:t xml:space="preserve">the </w:t>
      </w:r>
      <w:r w:rsidRPr="00850E91">
        <w:rPr>
          <w:rFonts w:eastAsia="Arial"/>
        </w:rPr>
        <w:t xml:space="preserve">Underground Water Impact Reports (UWIR). </w:t>
      </w:r>
      <w:r w:rsidR="69A4A964" w:rsidRPr="00850E91">
        <w:t xml:space="preserve">Impacts to water-dependent assets under the UWIR are managed by the </w:t>
      </w:r>
      <w:r w:rsidR="001119D5">
        <w:t>responsible tenure holder (</w:t>
      </w:r>
      <w:r w:rsidR="69A4A964" w:rsidRPr="00850E91">
        <w:t>RTH</w:t>
      </w:r>
      <w:r w:rsidR="001119D5">
        <w:t>)</w:t>
      </w:r>
      <w:r w:rsidR="69A4A964" w:rsidRPr="00850E91">
        <w:t xml:space="preserve"> assigned to the asset. </w:t>
      </w:r>
      <w:r w:rsidR="59D18904" w:rsidRPr="00850E91">
        <w:t xml:space="preserve">Noting that the Surat CMA currently has approximately </w:t>
      </w:r>
      <w:r w:rsidR="00DF5761">
        <w:t>8,600</w:t>
      </w:r>
      <w:r w:rsidR="59D18904" w:rsidRPr="00850E91">
        <w:t xml:space="preserve"> CSG wells (OGIA 2021</w:t>
      </w:r>
      <w:r w:rsidR="69A4A964" w:rsidRPr="00850E91">
        <w:t>, p</w:t>
      </w:r>
      <w:r w:rsidR="00711DBA">
        <w:t>p</w:t>
      </w:r>
      <w:r w:rsidR="69A4A964" w:rsidRPr="00850E91">
        <w:t>.</w:t>
      </w:r>
      <w:r w:rsidR="00711DBA">
        <w:t xml:space="preserve"> iii,</w:t>
      </w:r>
      <w:r w:rsidR="69A4A964" w:rsidRPr="00850E91">
        <w:t xml:space="preserve"> 15</w:t>
      </w:r>
      <w:r w:rsidR="59D18904" w:rsidRPr="00850E91">
        <w:t xml:space="preserve">), the project </w:t>
      </w:r>
      <w:r w:rsidR="5B1C9E70" w:rsidRPr="00850E91">
        <w:t>(</w:t>
      </w:r>
      <w:r w:rsidR="13BE9B74" w:rsidRPr="00850E91">
        <w:t xml:space="preserve">up to 7,700 wells) </w:t>
      </w:r>
      <w:r w:rsidR="4272CDF2" w:rsidRPr="00850E91">
        <w:t>represents a s</w:t>
      </w:r>
      <w:r w:rsidR="4C04B99B" w:rsidRPr="00850E91">
        <w:t>ubstantial increase</w:t>
      </w:r>
      <w:r w:rsidR="5282B959" w:rsidRPr="00850E91">
        <w:t xml:space="preserve"> </w:t>
      </w:r>
      <w:r w:rsidR="5DF85F03" w:rsidRPr="00850E91">
        <w:t xml:space="preserve">in </w:t>
      </w:r>
      <w:r w:rsidR="4272CDF2" w:rsidRPr="00850E91">
        <w:t>gas production in the area.</w:t>
      </w:r>
      <w:r w:rsidR="59D18904" w:rsidRPr="00850E91">
        <w:t xml:space="preserve"> </w:t>
      </w:r>
      <w:r w:rsidR="72521E7B" w:rsidRPr="00850E91">
        <w:rPr>
          <w:rFonts w:eastAsia="Arial"/>
        </w:rPr>
        <w:t>The proposed project extends over 4765 km</w:t>
      </w:r>
      <w:r w:rsidR="72521E7B" w:rsidRPr="00850E91">
        <w:rPr>
          <w:rFonts w:eastAsia="Arial"/>
          <w:vertAlign w:val="superscript"/>
        </w:rPr>
        <w:t>2</w:t>
      </w:r>
      <w:r w:rsidR="72521E7B" w:rsidRPr="00850E91">
        <w:rPr>
          <w:rFonts w:eastAsia="Arial"/>
        </w:rPr>
        <w:t xml:space="preserve"> and plans to extract CSG for up to 50 years.</w:t>
      </w:r>
    </w:p>
    <w:p w14:paraId="42DBF569" w14:textId="77A7A815" w:rsidR="00A37A72" w:rsidRPr="00850E91" w:rsidRDefault="573CAA34" w:rsidP="78848B37">
      <w:r w:rsidRPr="00850E91">
        <w:t xml:space="preserve">The project </w:t>
      </w:r>
      <w:proofErr w:type="gramStart"/>
      <w:r w:rsidRPr="00850E91">
        <w:t>is located in</w:t>
      </w:r>
      <w:proofErr w:type="gramEnd"/>
      <w:r w:rsidRPr="00850E91">
        <w:t xml:space="preserve"> the Great Artesian Basin, in the Condamine-Balonne surface water </w:t>
      </w:r>
      <w:r w:rsidR="2F37CE4A" w:rsidRPr="00850E91">
        <w:t>b</w:t>
      </w:r>
      <w:r w:rsidRPr="00850E91">
        <w:t xml:space="preserve">asin and in the Brigalow Belt Bioregion. </w:t>
      </w:r>
      <w:r w:rsidR="3E90364B" w:rsidRPr="00850E91">
        <w:t xml:space="preserve">Water-dependent assets in </w:t>
      </w:r>
      <w:r w:rsidRPr="00850E91">
        <w:t xml:space="preserve">and around </w:t>
      </w:r>
      <w:r w:rsidR="3E90364B" w:rsidRPr="00850E91">
        <w:t xml:space="preserve">the </w:t>
      </w:r>
      <w:r w:rsidRPr="00850E91">
        <w:t xml:space="preserve">project </w:t>
      </w:r>
      <w:r w:rsidR="3E90364B" w:rsidRPr="00850E91">
        <w:t xml:space="preserve">area include </w:t>
      </w:r>
      <w:r w:rsidR="047E1AEE" w:rsidRPr="00850E91">
        <w:rPr>
          <w:rFonts w:eastAsia="Arial"/>
        </w:rPr>
        <w:t xml:space="preserve">springs (including three that are </w:t>
      </w:r>
      <w:r w:rsidR="3E90364B" w:rsidRPr="00850E91">
        <w:t>EPBC Act-listed</w:t>
      </w:r>
      <w:r w:rsidR="46834704" w:rsidRPr="00850E91">
        <w:t>)</w:t>
      </w:r>
      <w:r w:rsidR="3E90364B" w:rsidRPr="00850E91">
        <w:t xml:space="preserve">, </w:t>
      </w:r>
      <w:r w:rsidR="28751EB9" w:rsidRPr="00850E91">
        <w:t xml:space="preserve">watercourses (creeks and rivers), </w:t>
      </w:r>
      <w:r w:rsidR="3E90364B" w:rsidRPr="00850E91">
        <w:t xml:space="preserve">watercourse springs </w:t>
      </w:r>
      <w:r w:rsidR="2E86F150" w:rsidRPr="00850E91">
        <w:t xml:space="preserve">(baseflow-fed reaches of watercourses), </w:t>
      </w:r>
      <w:r w:rsidR="393EB241" w:rsidRPr="00850E91">
        <w:t>wetlands</w:t>
      </w:r>
      <w:r w:rsidR="5EA4A749" w:rsidRPr="00850E91">
        <w:t xml:space="preserve"> and</w:t>
      </w:r>
      <w:r w:rsidR="393EB241" w:rsidRPr="00850E91">
        <w:t xml:space="preserve"> potential </w:t>
      </w:r>
      <w:r w:rsidR="2DB955CE" w:rsidRPr="00850E91">
        <w:rPr>
          <w:rFonts w:eastAsia="Arial"/>
        </w:rPr>
        <w:t xml:space="preserve">subterranean and </w:t>
      </w:r>
      <w:r w:rsidR="393EB241" w:rsidRPr="00850E91">
        <w:t>terrestrial GDEs</w:t>
      </w:r>
      <w:r w:rsidR="5EA4A749" w:rsidRPr="00850E91">
        <w:t>.</w:t>
      </w:r>
    </w:p>
    <w:p w14:paraId="7FE554BB" w14:textId="2D70F0D7" w:rsidR="00556EB2" w:rsidRPr="00850E91" w:rsidRDefault="59D18904" w:rsidP="78848B37">
      <w:r w:rsidRPr="00850E91">
        <w:t>The main impacts of the proposal relate to groundwater drawdown and potential changes to surface water quality due to release of produced water</w:t>
      </w:r>
      <w:r w:rsidR="00E4155A" w:rsidRPr="00850E91">
        <w:t xml:space="preserve"> offsite</w:t>
      </w:r>
      <w:r w:rsidRPr="00850E91">
        <w:t xml:space="preserve">, noting </w:t>
      </w:r>
      <w:r w:rsidR="69EC3B3E" w:rsidRPr="00850E91">
        <w:t>th</w:t>
      </w:r>
      <w:r w:rsidR="2FC942FD" w:rsidRPr="00850E91">
        <w:t>at</w:t>
      </w:r>
      <w:r w:rsidR="69EC3B3E" w:rsidRPr="00850E91">
        <w:t xml:space="preserve"> </w:t>
      </w:r>
      <w:r w:rsidRPr="00850E91">
        <w:t xml:space="preserve">limited information on releases is provided. The proposal is predicted to extract a total of 72.4 GL of water, with a peak water production rate of approximately 6 GL/year in three </w:t>
      </w:r>
      <w:r w:rsidR="22DBE575" w:rsidRPr="00850E91">
        <w:t xml:space="preserve">of the </w:t>
      </w:r>
      <w:r w:rsidRPr="00850E91">
        <w:t>years between 2034</w:t>
      </w:r>
      <w:r w:rsidR="342DA885" w:rsidRPr="00850E91">
        <w:t>-</w:t>
      </w:r>
      <w:r w:rsidRPr="00850E91">
        <w:t>2039 (Origin Energy 2021, App. F, pp. 23</w:t>
      </w:r>
      <w:r w:rsidR="1E55338D" w:rsidRPr="00850E91">
        <w:t>-</w:t>
      </w:r>
      <w:r w:rsidRPr="00850E91">
        <w:t xml:space="preserve">24). Cumulative drawdown is predicted to impact 13 bores, </w:t>
      </w:r>
      <w:r w:rsidR="492AB3CC" w:rsidRPr="00850E91">
        <w:rPr>
          <w:rFonts w:eastAsia="Arial"/>
        </w:rPr>
        <w:t xml:space="preserve">eight known springs (including </w:t>
      </w:r>
      <w:r w:rsidRPr="00850E91">
        <w:t xml:space="preserve">three EPBC Act-listed </w:t>
      </w:r>
      <w:r w:rsidR="2D166F0A" w:rsidRPr="00850E91">
        <w:t>one</w:t>
      </w:r>
      <w:r w:rsidRPr="00850E91">
        <w:t>s located within 50 km of the proposal</w:t>
      </w:r>
      <w:r w:rsidR="1BD57EC9" w:rsidRPr="00850E91">
        <w:t>)</w:t>
      </w:r>
      <w:r w:rsidRPr="00850E91">
        <w:t>,</w:t>
      </w:r>
      <w:r w:rsidR="47586228" w:rsidRPr="00850E91">
        <w:t xml:space="preserve"> </w:t>
      </w:r>
      <w:r w:rsidRPr="00850E91">
        <w:t xml:space="preserve">and 21 </w:t>
      </w:r>
      <w:r w:rsidR="734DB64F" w:rsidRPr="00850E91">
        <w:t xml:space="preserve">known </w:t>
      </w:r>
      <w:r w:rsidRPr="00850E91">
        <w:t>watercourse</w:t>
      </w:r>
      <w:r w:rsidR="2B118AB8" w:rsidRPr="00850E91">
        <w:t xml:space="preserve"> spring</w:t>
      </w:r>
      <w:r w:rsidRPr="00850E91">
        <w:t>s (Origin Energy 2021, App. F, pp. ii-iii, 135</w:t>
      </w:r>
      <w:r w:rsidR="7C497EE0" w:rsidRPr="00850E91">
        <w:t>-</w:t>
      </w:r>
      <w:r w:rsidRPr="00850E91">
        <w:t xml:space="preserve">136). </w:t>
      </w:r>
      <w:r w:rsidR="77589389" w:rsidRPr="00850E91">
        <w:t>E</w:t>
      </w:r>
      <w:r w:rsidRPr="00850E91">
        <w:t>xtensive clearing of vegetation is proposed</w:t>
      </w:r>
      <w:r w:rsidR="4CED9686" w:rsidRPr="00850E91">
        <w:rPr>
          <w:rFonts w:eastAsia="Arial"/>
        </w:rPr>
        <w:t xml:space="preserve">, including </w:t>
      </w:r>
      <w:r w:rsidR="008375D1" w:rsidRPr="00850E91">
        <w:rPr>
          <w:rFonts w:eastAsia="Arial"/>
        </w:rPr>
        <w:t xml:space="preserve">parts of </w:t>
      </w:r>
      <w:r w:rsidR="4CED9686" w:rsidRPr="00850E91">
        <w:rPr>
          <w:rFonts w:eastAsia="Arial"/>
        </w:rPr>
        <w:t>some Threatened Ecological Communities (TECs) and riparian zone vegetation (e.g., creek crossings)</w:t>
      </w:r>
      <w:r w:rsidRPr="00850E91">
        <w:t>.</w:t>
      </w:r>
    </w:p>
    <w:p w14:paraId="73E80561" w14:textId="75B23693" w:rsidR="068E167B" w:rsidRPr="00850E91" w:rsidRDefault="068E167B">
      <w:pPr>
        <w:rPr>
          <w:rFonts w:eastAsia="Arial"/>
        </w:rPr>
      </w:pPr>
      <w:r w:rsidRPr="00850E91">
        <w:rPr>
          <w:rFonts w:eastAsia="Arial"/>
        </w:rPr>
        <w:t xml:space="preserve">Under the ‘water trigger’, environmental impact assessments of CSG and large coal mining developments must comprehensively assess the risk of potential impacts to all water resources. The IESC considers that the current assessment does not fully address potential impacts to water resources such as ephemeral streams and groundwater-dependent vegetation at local (development areas) and regional </w:t>
      </w:r>
      <w:r w:rsidRPr="00850E91">
        <w:rPr>
          <w:rFonts w:eastAsia="Arial"/>
        </w:rPr>
        <w:lastRenderedPageBreak/>
        <w:t xml:space="preserve">(Surat CMA) scales. The project’s substantial spatial and temporal extent means that there is a high risk of cumulative impacts exceeding ‘tipping points’ of one or more of these water resources protected under the </w:t>
      </w:r>
      <w:r w:rsidR="00693B37" w:rsidRPr="00850E91">
        <w:rPr>
          <w:rFonts w:eastAsia="Arial"/>
        </w:rPr>
        <w:t>‘</w:t>
      </w:r>
      <w:r w:rsidRPr="00850E91">
        <w:rPr>
          <w:rFonts w:eastAsia="Arial"/>
        </w:rPr>
        <w:t>water trigger</w:t>
      </w:r>
      <w:r w:rsidR="00693B37" w:rsidRPr="00850E91">
        <w:rPr>
          <w:rFonts w:eastAsia="Arial"/>
        </w:rPr>
        <w:t>’</w:t>
      </w:r>
      <w:r w:rsidRPr="00850E91">
        <w:rPr>
          <w:rFonts w:eastAsia="Arial"/>
        </w:rPr>
        <w:t>, potentially causing irreversible environmental harm.</w:t>
      </w:r>
    </w:p>
    <w:p w14:paraId="3F8A6CF9" w14:textId="78482AB1" w:rsidR="007203C3" w:rsidRPr="00850E91" w:rsidRDefault="00766009" w:rsidP="00D622B9">
      <w:pPr>
        <w:pStyle w:val="Heading3"/>
        <w:rPr>
          <w:b w:val="0"/>
        </w:rPr>
      </w:pPr>
      <w:r w:rsidRPr="00850E91">
        <w:t>Response to questions</w:t>
      </w:r>
    </w:p>
    <w:p w14:paraId="640ED7A3" w14:textId="4EC38B12" w:rsidR="00DA22D3" w:rsidRPr="00850E91" w:rsidRDefault="007203C3" w:rsidP="00DA22D3">
      <w:pPr>
        <w:pStyle w:val="Question"/>
        <w:shd w:val="clear" w:color="auto" w:fill="E7E6E6"/>
      </w:pPr>
      <w:r w:rsidRPr="00850E91">
        <w:t xml:space="preserve">Question 1: </w:t>
      </w:r>
      <w:r w:rsidR="00DA22D3" w:rsidRPr="00850E91">
        <w:t xml:space="preserve">Does the IESC consider the key potential risks and impacts of the proposed action on water resources and water-related assets (as defined by the Commonwealth </w:t>
      </w:r>
      <w:r w:rsidR="00DA22D3" w:rsidRPr="00B7078D">
        <w:rPr>
          <w:i/>
          <w:iCs/>
        </w:rPr>
        <w:t>Water Act 2007</w:t>
      </w:r>
      <w:r w:rsidR="00DA22D3" w:rsidRPr="00850E91">
        <w:t xml:space="preserve">) have been adequately identified and assessed? </w:t>
      </w:r>
      <w:proofErr w:type="gramStart"/>
      <w:r w:rsidR="00DA22D3" w:rsidRPr="00850E91">
        <w:t>In particular, does</w:t>
      </w:r>
      <w:proofErr w:type="gramEnd"/>
      <w:r w:rsidR="00DA22D3" w:rsidRPr="00850E91">
        <w:t xml:space="preserve"> the IESC consider that the proponent has adequately considered impacts related to: </w:t>
      </w:r>
    </w:p>
    <w:p w14:paraId="28737E61" w14:textId="77777777" w:rsidR="00DA22D3" w:rsidRPr="00850E91" w:rsidRDefault="00DA22D3" w:rsidP="00DA22D3">
      <w:pPr>
        <w:pStyle w:val="Question"/>
        <w:shd w:val="clear" w:color="auto" w:fill="E7E6E6"/>
      </w:pPr>
      <w:r w:rsidRPr="00850E91">
        <w:t xml:space="preserve">a. the extent of </w:t>
      </w:r>
      <w:proofErr w:type="gramStart"/>
      <w:r w:rsidRPr="00850E91">
        <w:t>drawdown;</w:t>
      </w:r>
      <w:proofErr w:type="gramEnd"/>
      <w:r w:rsidRPr="00850E91">
        <w:t xml:space="preserve"> </w:t>
      </w:r>
    </w:p>
    <w:p w14:paraId="71C413DF" w14:textId="77777777" w:rsidR="00DA22D3" w:rsidRPr="00850E91" w:rsidRDefault="00DA22D3" w:rsidP="00DA22D3">
      <w:pPr>
        <w:pStyle w:val="Question"/>
        <w:shd w:val="clear" w:color="auto" w:fill="E7E6E6"/>
      </w:pPr>
      <w:r w:rsidRPr="00850E91">
        <w:t xml:space="preserve">b. </w:t>
      </w:r>
      <w:proofErr w:type="gramStart"/>
      <w:r w:rsidRPr="00850E91">
        <w:t>subsidence;</w:t>
      </w:r>
      <w:proofErr w:type="gramEnd"/>
      <w:r w:rsidRPr="00850E91">
        <w:t xml:space="preserve"> </w:t>
      </w:r>
    </w:p>
    <w:p w14:paraId="0A3B3A8A" w14:textId="7814EBAA" w:rsidR="00DA22D3" w:rsidRPr="00850E91" w:rsidRDefault="00DA22D3" w:rsidP="00DA22D3">
      <w:pPr>
        <w:pStyle w:val="Question"/>
        <w:shd w:val="clear" w:color="auto" w:fill="E7E6E6"/>
      </w:pPr>
      <w:r w:rsidRPr="00850E91">
        <w:t xml:space="preserve">c. groundwater-dependent ecosystems in the area, including, but not limited to, </w:t>
      </w:r>
      <w:r w:rsidR="007C68C3" w:rsidRPr="00850E91">
        <w:t xml:space="preserve">Great Artesian Basin </w:t>
      </w:r>
      <w:proofErr w:type="gramStart"/>
      <w:r w:rsidR="007C68C3" w:rsidRPr="00850E91">
        <w:t>Springs;</w:t>
      </w:r>
      <w:proofErr w:type="gramEnd"/>
      <w:r w:rsidR="007C68C3" w:rsidRPr="00850E91">
        <w:t xml:space="preserve"> </w:t>
      </w:r>
      <w:r w:rsidRPr="00850E91">
        <w:t xml:space="preserve"> </w:t>
      </w:r>
    </w:p>
    <w:p w14:paraId="1D418299" w14:textId="77777777" w:rsidR="00DA22D3" w:rsidRPr="00850E91" w:rsidRDefault="00DA22D3" w:rsidP="00DA22D3">
      <w:pPr>
        <w:pStyle w:val="Question"/>
        <w:shd w:val="clear" w:color="auto" w:fill="E7E6E6"/>
      </w:pPr>
      <w:r w:rsidRPr="00850E91">
        <w:t xml:space="preserve">d. surface water, </w:t>
      </w:r>
      <w:proofErr w:type="gramStart"/>
      <w:r w:rsidRPr="00850E91">
        <w:t>groundwater</w:t>
      </w:r>
      <w:proofErr w:type="gramEnd"/>
      <w:r w:rsidRPr="00850E91">
        <w:t xml:space="preserve"> and groundwater-surface water interactions due to drawdown; and </w:t>
      </w:r>
    </w:p>
    <w:p w14:paraId="6C31FC06" w14:textId="5C11262C" w:rsidR="00C62DD4" w:rsidRPr="00850E91" w:rsidRDefault="00DA22D3" w:rsidP="00C7774A">
      <w:pPr>
        <w:pStyle w:val="Question"/>
        <w:shd w:val="clear" w:color="auto" w:fill="E7E6E6"/>
      </w:pPr>
      <w:r w:rsidRPr="00850E91">
        <w:t xml:space="preserve">e. discharge and the disposal of water-treatment by-products. </w:t>
      </w:r>
    </w:p>
    <w:p w14:paraId="719EA45F" w14:textId="2F8830CE" w:rsidR="000C4CEE" w:rsidRPr="00850E91" w:rsidRDefault="488E6A37" w:rsidP="78848B37">
      <w:pPr>
        <w:pStyle w:val="ListParagraph"/>
        <w:numPr>
          <w:ilvl w:val="0"/>
          <w:numId w:val="18"/>
        </w:numPr>
        <w:spacing w:before="240"/>
        <w:rPr>
          <w:rFonts w:eastAsia="Arial"/>
        </w:rPr>
      </w:pPr>
      <w:r w:rsidRPr="00850E91">
        <w:t>The IESC considers that the key potential risks and impacts of the proposed action on water resources and water-related assets have not been adequately identified and assessed</w:t>
      </w:r>
      <w:r w:rsidR="5754619D" w:rsidRPr="00850E91">
        <w:t xml:space="preserve">. </w:t>
      </w:r>
      <w:r w:rsidR="6A541FDB" w:rsidRPr="00850E91">
        <w:t xml:space="preserve">The proponent has not provided an adequate </w:t>
      </w:r>
      <w:r w:rsidR="643E80E3" w:rsidRPr="00850E91">
        <w:rPr>
          <w:rFonts w:eastAsia="Arial"/>
        </w:rPr>
        <w:t xml:space="preserve">risk </w:t>
      </w:r>
      <w:r w:rsidR="6A541FDB" w:rsidRPr="00850E91">
        <w:t xml:space="preserve">assessment of the project under the </w:t>
      </w:r>
      <w:r w:rsidR="22DBE575" w:rsidRPr="00850E91">
        <w:t>‘</w:t>
      </w:r>
      <w:r w:rsidR="6A541FDB" w:rsidRPr="00850E91">
        <w:t>water trigger</w:t>
      </w:r>
      <w:r w:rsidR="22DBE575" w:rsidRPr="00850E91">
        <w:t>’</w:t>
      </w:r>
      <w:r w:rsidR="6A541FDB" w:rsidRPr="00850E91">
        <w:t xml:space="preserve"> a</w:t>
      </w:r>
      <w:r w:rsidR="70ECE2E1" w:rsidRPr="00850E91">
        <w:t>nd has</w:t>
      </w:r>
      <w:r w:rsidR="6A541FDB" w:rsidRPr="00850E91">
        <w:t xml:space="preserve"> not considered all potential project impacts to all water resources. As locations of site infrastructure </w:t>
      </w:r>
      <w:r w:rsidR="2BB5FDBE" w:rsidRPr="00850E91">
        <w:rPr>
          <w:rFonts w:eastAsia="Arial"/>
        </w:rPr>
        <w:t>(e.g.</w:t>
      </w:r>
      <w:r w:rsidR="3940121E" w:rsidRPr="00850E91">
        <w:rPr>
          <w:rFonts w:eastAsia="Arial"/>
        </w:rPr>
        <w:t>,</w:t>
      </w:r>
      <w:r w:rsidR="2BB5FDBE" w:rsidRPr="00850E91">
        <w:rPr>
          <w:rFonts w:eastAsia="Arial"/>
        </w:rPr>
        <w:t xml:space="preserve"> CSG well pads, access tracks, </w:t>
      </w:r>
      <w:r w:rsidR="5F4F88D3" w:rsidRPr="00850E91">
        <w:rPr>
          <w:rFonts w:eastAsia="Arial"/>
        </w:rPr>
        <w:t xml:space="preserve">water management infrastructure including </w:t>
      </w:r>
      <w:r w:rsidR="2BB5FDBE" w:rsidRPr="00850E91">
        <w:rPr>
          <w:rFonts w:eastAsia="Arial"/>
        </w:rPr>
        <w:t>storages)</w:t>
      </w:r>
      <w:r w:rsidR="2BB5FDBE" w:rsidRPr="00850E91">
        <w:t xml:space="preserve"> </w:t>
      </w:r>
      <w:r w:rsidR="6A541FDB" w:rsidRPr="00850E91">
        <w:t>were not provided</w:t>
      </w:r>
      <w:r w:rsidR="5C947F4A" w:rsidRPr="00850E91">
        <w:t>,</w:t>
      </w:r>
      <w:r w:rsidR="6A541FDB" w:rsidRPr="00850E91">
        <w:t xml:space="preserve"> and the proponent has assessed a maximum impact scenario that </w:t>
      </w:r>
      <w:r w:rsidR="5A09BB1B" w:rsidRPr="00850E91">
        <w:t xml:space="preserve">they state </w:t>
      </w:r>
      <w:r w:rsidR="6A541FDB" w:rsidRPr="00850E91">
        <w:t>may not reflect the final project</w:t>
      </w:r>
      <w:r w:rsidR="5A09BB1B" w:rsidRPr="00850E91">
        <w:t xml:space="preserve"> (</w:t>
      </w:r>
      <w:r w:rsidR="4AFC273A" w:rsidRPr="00850E91">
        <w:t>Origin Energy 2021, p. 2)</w:t>
      </w:r>
      <w:r w:rsidR="6A541FDB" w:rsidRPr="00850E91">
        <w:t xml:space="preserve">, the IESC considers that </w:t>
      </w:r>
      <w:r w:rsidR="30174CA7" w:rsidRPr="00850E91">
        <w:rPr>
          <w:rFonts w:eastAsia="Arial"/>
        </w:rPr>
        <w:t>the project’s potential impacts on water resources at local (development areas) and regional (Surat CMA) scales</w:t>
      </w:r>
      <w:r w:rsidR="6A541FDB" w:rsidRPr="00850E91">
        <w:t xml:space="preserve"> </w:t>
      </w:r>
      <w:r w:rsidR="3CECACC2" w:rsidRPr="00850E91">
        <w:rPr>
          <w:rFonts w:eastAsia="Arial"/>
        </w:rPr>
        <w:t>have not been</w:t>
      </w:r>
      <w:r w:rsidR="6A541FDB" w:rsidRPr="00850E91">
        <w:t xml:space="preserve"> adequately assessed.  </w:t>
      </w:r>
    </w:p>
    <w:p w14:paraId="46BC2627" w14:textId="589A5E77" w:rsidR="00BA1926" w:rsidRPr="00850E91" w:rsidRDefault="5754619D" w:rsidP="00850E91">
      <w:pPr>
        <w:pStyle w:val="ListNumber"/>
        <w:numPr>
          <w:ilvl w:val="0"/>
          <w:numId w:val="18"/>
        </w:numPr>
        <w:rPr>
          <w:u w:val="single"/>
        </w:rPr>
      </w:pPr>
      <w:r w:rsidRPr="00850E91">
        <w:t>Noting th</w:t>
      </w:r>
      <w:r w:rsidR="5C947F4A" w:rsidRPr="00850E91">
        <w:t xml:space="preserve">at additional work is required, detailed responses to Question 1 a. to e. </w:t>
      </w:r>
      <w:r w:rsidR="6A541FDB" w:rsidRPr="00850E91">
        <w:t xml:space="preserve">are </w:t>
      </w:r>
      <w:r w:rsidR="5C947F4A" w:rsidRPr="00850E91">
        <w:t xml:space="preserve">provided </w:t>
      </w:r>
      <w:r w:rsidR="1696FD44" w:rsidRPr="00850E91">
        <w:rPr>
          <w:rFonts w:eastAsia="Arial"/>
        </w:rPr>
        <w:t>in the response to</w:t>
      </w:r>
      <w:r w:rsidR="6A541FDB" w:rsidRPr="00850E91">
        <w:t xml:space="preserve"> </w:t>
      </w:r>
      <w:r w:rsidR="5C947F4A" w:rsidRPr="00850E91">
        <w:t>Question 2</w:t>
      </w:r>
      <w:r w:rsidR="6A541FDB" w:rsidRPr="00850E91">
        <w:t xml:space="preserve">. </w:t>
      </w:r>
    </w:p>
    <w:p w14:paraId="30BBC35A" w14:textId="2F096FD7" w:rsidR="00DA22D3" w:rsidRPr="00850E91" w:rsidRDefault="007203C3" w:rsidP="00C60A1A">
      <w:pPr>
        <w:pStyle w:val="Question"/>
        <w:shd w:val="clear" w:color="auto" w:fill="E7E6E6"/>
      </w:pPr>
      <w:r w:rsidRPr="00850E91">
        <w:t>Question 2:</w:t>
      </w:r>
      <w:r w:rsidR="0047786B" w:rsidRPr="00850E91">
        <w:t xml:space="preserve"> </w:t>
      </w:r>
      <w:r w:rsidR="00DA22D3" w:rsidRPr="00850E91">
        <w:t xml:space="preserve">If not, what additional work does the IESC consider is required to identify and assess the key risks and impacts? </w:t>
      </w:r>
    </w:p>
    <w:p w14:paraId="2093FCE6" w14:textId="66CE1DFE" w:rsidR="009C3844" w:rsidRPr="00850E91" w:rsidRDefault="009C3844" w:rsidP="009C3844">
      <w:pPr>
        <w:pStyle w:val="ListNumber"/>
        <w:rPr>
          <w:u w:val="single"/>
        </w:rPr>
      </w:pPr>
      <w:r w:rsidRPr="00850E91">
        <w:rPr>
          <w:u w:val="single"/>
        </w:rPr>
        <w:t>Extent of drawdown</w:t>
      </w:r>
    </w:p>
    <w:p w14:paraId="24740BF1" w14:textId="27324625" w:rsidR="00B536CB" w:rsidRPr="00850E91" w:rsidRDefault="3BDE6D9F" w:rsidP="78848B37">
      <w:pPr>
        <w:pStyle w:val="ListNumber"/>
        <w:numPr>
          <w:ilvl w:val="0"/>
          <w:numId w:val="18"/>
        </w:numPr>
        <w:rPr>
          <w:rFonts w:eastAsia="Arial"/>
        </w:rPr>
      </w:pPr>
      <w:r w:rsidRPr="00850E91">
        <w:t xml:space="preserve">The IESC considers that the </w:t>
      </w:r>
      <w:r w:rsidR="2918B6A1" w:rsidRPr="00850E91">
        <w:t xml:space="preserve">OGIA </w:t>
      </w:r>
      <w:r w:rsidR="44A22C8B" w:rsidRPr="00850E91">
        <w:rPr>
          <w:rFonts w:eastAsia="Arial"/>
        </w:rPr>
        <w:t xml:space="preserve">groundwater </w:t>
      </w:r>
      <w:r w:rsidRPr="00850E91">
        <w:t xml:space="preserve">model is </w:t>
      </w:r>
      <w:r w:rsidR="189CC4A0" w:rsidRPr="00850E91">
        <w:t xml:space="preserve">appropriate </w:t>
      </w:r>
      <w:r w:rsidR="7EA4511D" w:rsidRPr="00850E91">
        <w:t xml:space="preserve">for identifying regional-scale impacts </w:t>
      </w:r>
      <w:r w:rsidRPr="00850E91">
        <w:t xml:space="preserve">(IESC 2019). </w:t>
      </w:r>
      <w:r w:rsidR="30A8C15A" w:rsidRPr="00850E91">
        <w:rPr>
          <w:rFonts w:eastAsia="Arial"/>
        </w:rPr>
        <w:t xml:space="preserve"> Although data</w:t>
      </w:r>
      <w:r w:rsidR="1D02BE48" w:rsidRPr="00850E91">
        <w:t xml:space="preserve"> on the number</w:t>
      </w:r>
      <w:r w:rsidR="723B8C3B" w:rsidRPr="00850E91">
        <w:t>,</w:t>
      </w:r>
      <w:r w:rsidR="1D02BE48" w:rsidRPr="00850E91">
        <w:t xml:space="preserve"> placement </w:t>
      </w:r>
      <w:r w:rsidR="723B8C3B" w:rsidRPr="00850E91">
        <w:t xml:space="preserve">and type </w:t>
      </w:r>
      <w:r w:rsidR="1D02BE48" w:rsidRPr="00850E91">
        <w:t xml:space="preserve">of wells </w:t>
      </w:r>
      <w:r w:rsidR="23F49F24" w:rsidRPr="00850E91">
        <w:rPr>
          <w:rFonts w:eastAsia="Arial"/>
        </w:rPr>
        <w:t>were provided to OGIA for inclusion in the regional groundwater model</w:t>
      </w:r>
      <w:r w:rsidR="1856202F" w:rsidRPr="00850E91">
        <w:t xml:space="preserve"> (Origin Energy 2021, App. F, p. 44)</w:t>
      </w:r>
      <w:r w:rsidR="0BD17282" w:rsidRPr="00850E91">
        <w:rPr>
          <w:rFonts w:eastAsia="Arial"/>
        </w:rPr>
        <w:t>, this information was not made available to the IESC, hampering the Committee’s evaluation of</w:t>
      </w:r>
      <w:r w:rsidR="63CF7DDB" w:rsidRPr="00850E91">
        <w:t xml:space="preserve"> </w:t>
      </w:r>
      <w:r w:rsidR="723B8C3B" w:rsidRPr="00850E91">
        <w:t>the predicted drawdown extent</w:t>
      </w:r>
      <w:r w:rsidR="5537ABD3" w:rsidRPr="00850E91">
        <w:t>.</w:t>
      </w:r>
      <w:r w:rsidR="723B8C3B" w:rsidRPr="00850E91">
        <w:t xml:space="preserve"> </w:t>
      </w:r>
    </w:p>
    <w:p w14:paraId="630DA35A" w14:textId="38F86624" w:rsidR="00C06B4C" w:rsidRPr="00850E91" w:rsidRDefault="0C55A4A4" w:rsidP="78848B37">
      <w:pPr>
        <w:pStyle w:val="ListNumber"/>
        <w:numPr>
          <w:ilvl w:val="1"/>
          <w:numId w:val="18"/>
        </w:numPr>
        <w:rPr>
          <w:rFonts w:eastAsia="Arial"/>
        </w:rPr>
      </w:pPr>
      <w:r w:rsidRPr="00850E91">
        <w:t>N</w:t>
      </w:r>
      <w:r w:rsidR="16841DA0" w:rsidRPr="00850E91">
        <w:t>oting that the proponent claims that the final project</w:t>
      </w:r>
      <w:r w:rsidR="745BC85F" w:rsidRPr="00850E91">
        <w:rPr>
          <w:rFonts w:eastAsia="Arial"/>
        </w:rPr>
        <w:t>’s well</w:t>
      </w:r>
      <w:r w:rsidR="16841DA0" w:rsidRPr="00850E91">
        <w:t xml:space="preserve"> layout will </w:t>
      </w:r>
      <w:r w:rsidR="5B70B462" w:rsidRPr="00850E91">
        <w:t>differ from</w:t>
      </w:r>
      <w:r w:rsidR="621B6D5F" w:rsidRPr="00850E91">
        <w:rPr>
          <w:rFonts w:eastAsia="Arial"/>
        </w:rPr>
        <w:t xml:space="preserve"> that </w:t>
      </w:r>
      <w:r w:rsidR="00ED5D73" w:rsidRPr="00850E91">
        <w:rPr>
          <w:rFonts w:eastAsia="Arial"/>
        </w:rPr>
        <w:t>of</w:t>
      </w:r>
      <w:r w:rsidR="16841DA0" w:rsidRPr="00850E91">
        <w:t xml:space="preserve"> the ‘maximum development scenario’ presented (Origin Energy 2021, p. 2), </w:t>
      </w:r>
      <w:r w:rsidR="5C947F4A" w:rsidRPr="00850E91">
        <w:t>the IESC is concerned that</w:t>
      </w:r>
      <w:r w:rsidR="27FE5F1D" w:rsidRPr="00850E91">
        <w:t xml:space="preserve"> </w:t>
      </w:r>
      <w:r w:rsidR="16841DA0" w:rsidRPr="00850E91">
        <w:t xml:space="preserve">the current </w:t>
      </w:r>
      <w:r w:rsidR="51FF0705" w:rsidRPr="00850E91">
        <w:t>project scenario</w:t>
      </w:r>
      <w:r w:rsidR="29CB99DD" w:rsidRPr="00850E91">
        <w:t xml:space="preserve"> </w:t>
      </w:r>
      <w:r w:rsidR="3162FAB3" w:rsidRPr="00850E91">
        <w:t>simulated by</w:t>
      </w:r>
      <w:r w:rsidR="29CB99DD" w:rsidRPr="00850E91">
        <w:t xml:space="preserve"> the </w:t>
      </w:r>
      <w:r w:rsidR="16841DA0" w:rsidRPr="00850E91">
        <w:t xml:space="preserve">groundwater model is not appropriate for predicting </w:t>
      </w:r>
      <w:r w:rsidR="40E6AFDB" w:rsidRPr="00850E91">
        <w:rPr>
          <w:rFonts w:eastAsia="Arial"/>
        </w:rPr>
        <w:t>its regional</w:t>
      </w:r>
      <w:r w:rsidR="16841DA0" w:rsidRPr="00850E91">
        <w:t xml:space="preserve"> impacts</w:t>
      </w:r>
      <w:r w:rsidR="5C947F4A" w:rsidRPr="00850E91">
        <w:t>.</w:t>
      </w:r>
      <w:r w:rsidR="5F09B009" w:rsidRPr="00850E91">
        <w:t xml:space="preserve"> </w:t>
      </w:r>
      <w:r w:rsidR="6ED9B3E0" w:rsidRPr="00850E91">
        <w:t xml:space="preserve">Any updates to the </w:t>
      </w:r>
      <w:r w:rsidR="2C97B283" w:rsidRPr="00850E91">
        <w:t xml:space="preserve">project scenario </w:t>
      </w:r>
      <w:r w:rsidR="6ED9B3E0" w:rsidRPr="00850E91">
        <w:t>should be</w:t>
      </w:r>
      <w:r w:rsidR="00ED5D73" w:rsidRPr="00850E91">
        <w:t xml:space="preserve"> </w:t>
      </w:r>
      <w:r w:rsidR="6ED9B3E0" w:rsidRPr="00850E91">
        <w:t xml:space="preserve">included in the </w:t>
      </w:r>
      <w:r w:rsidR="4B69527F" w:rsidRPr="00850E91">
        <w:rPr>
          <w:rFonts w:eastAsia="Arial"/>
        </w:rPr>
        <w:t>proponent’s assessment</w:t>
      </w:r>
      <w:r w:rsidR="6ED9B3E0" w:rsidRPr="00850E91">
        <w:t xml:space="preserve"> of project impacts (Paragraph</w:t>
      </w:r>
      <w:r w:rsidR="00EC0BAC" w:rsidRPr="00850E91">
        <w:t>s</w:t>
      </w:r>
      <w:r w:rsidR="6ED9B3E0" w:rsidRPr="00850E91">
        <w:t xml:space="preserve"> 1</w:t>
      </w:r>
      <w:r w:rsidR="00711DBA">
        <w:t>5</w:t>
      </w:r>
      <w:r w:rsidR="00EC0BAC" w:rsidRPr="00850E91">
        <w:t xml:space="preserve"> and 1</w:t>
      </w:r>
      <w:r w:rsidR="00711DBA">
        <w:t>6</w:t>
      </w:r>
      <w:r w:rsidR="6ED9B3E0" w:rsidRPr="00850E91">
        <w:t xml:space="preserve">). </w:t>
      </w:r>
    </w:p>
    <w:p w14:paraId="6A26E49A" w14:textId="5E88A2F9" w:rsidR="0088392D" w:rsidRPr="00850E91" w:rsidRDefault="0996E53E" w:rsidP="78848B37">
      <w:pPr>
        <w:pStyle w:val="ListNumber"/>
        <w:numPr>
          <w:ilvl w:val="1"/>
          <w:numId w:val="18"/>
        </w:numPr>
        <w:rPr>
          <w:rFonts w:eastAsia="Arial"/>
        </w:rPr>
      </w:pPr>
      <w:r w:rsidRPr="00850E91">
        <w:t xml:space="preserve">The proponent has provided site-specific </w:t>
      </w:r>
      <w:r w:rsidRPr="00850E91">
        <w:rPr>
          <w:rFonts w:eastAsia="Arial"/>
        </w:rPr>
        <w:t xml:space="preserve">hydrogeological </w:t>
      </w:r>
      <w:r w:rsidRPr="00850E91">
        <w:t>conceptualisation</w:t>
      </w:r>
      <w:r w:rsidR="667E2606" w:rsidRPr="00850E91">
        <w:t>s</w:t>
      </w:r>
      <w:r w:rsidRPr="00850E91">
        <w:t xml:space="preserve"> (Origin Energy 2021, App. F, pp. 4, 77-87 and Apps. III-VII)</w:t>
      </w:r>
      <w:r w:rsidR="30A42C9A" w:rsidRPr="00850E91">
        <w:t xml:space="preserve"> and </w:t>
      </w:r>
      <w:r w:rsidR="1DC9FC1A" w:rsidRPr="00850E91">
        <w:rPr>
          <w:rFonts w:eastAsia="Arial"/>
        </w:rPr>
        <w:t>presented</w:t>
      </w:r>
      <w:r w:rsidR="30A42C9A" w:rsidRPr="00850E91">
        <w:t xml:space="preserve"> the results of an uncertainty analysis (Origin Energy 2021, App. F, App. XI) </w:t>
      </w:r>
      <w:proofErr w:type="gramStart"/>
      <w:r w:rsidR="30A42C9A" w:rsidRPr="00850E91">
        <w:t>in an attempt to</w:t>
      </w:r>
      <w:proofErr w:type="gramEnd"/>
      <w:r w:rsidR="30A42C9A" w:rsidRPr="00850E91">
        <w:t xml:space="preserve"> relate the regional-scale </w:t>
      </w:r>
      <w:r w:rsidR="2918B6A1" w:rsidRPr="00850E91">
        <w:lastRenderedPageBreak/>
        <w:t xml:space="preserve">OGIA </w:t>
      </w:r>
      <w:r w:rsidR="30A42C9A" w:rsidRPr="00850E91">
        <w:t xml:space="preserve">model to </w:t>
      </w:r>
      <w:r w:rsidR="0BD8A2E0" w:rsidRPr="00850E91">
        <w:rPr>
          <w:rFonts w:eastAsia="Arial"/>
        </w:rPr>
        <w:t>potential</w:t>
      </w:r>
      <w:r w:rsidR="30A42C9A" w:rsidRPr="00850E91">
        <w:t xml:space="preserve"> local-scale impacts. However, i</w:t>
      </w:r>
      <w:r w:rsidR="200F603D" w:rsidRPr="00850E91">
        <w:t>f the proposed local</w:t>
      </w:r>
      <w:r w:rsidR="06B1355B" w:rsidRPr="00850E91">
        <w:t>-scale</w:t>
      </w:r>
      <w:r w:rsidR="200F603D" w:rsidRPr="00850E91">
        <w:t xml:space="preserve"> ecohydrological conceptual models (ECMs) </w:t>
      </w:r>
      <w:r w:rsidR="7867D595" w:rsidRPr="00850E91">
        <w:rPr>
          <w:rFonts w:eastAsia="Arial"/>
        </w:rPr>
        <w:t>(Paragraph 1</w:t>
      </w:r>
      <w:r w:rsidR="00711DBA">
        <w:rPr>
          <w:rFonts w:eastAsia="Arial"/>
        </w:rPr>
        <w:t>5</w:t>
      </w:r>
      <w:r w:rsidR="7867D595" w:rsidRPr="00850E91">
        <w:rPr>
          <w:rFonts w:eastAsia="Arial"/>
        </w:rPr>
        <w:t xml:space="preserve">) </w:t>
      </w:r>
      <w:r w:rsidR="200F603D" w:rsidRPr="00850E91">
        <w:t>indicate</w:t>
      </w:r>
      <w:r w:rsidR="7AC73194" w:rsidRPr="00850E91">
        <w:t xml:space="preserve"> development area-specific impact pathways</w:t>
      </w:r>
      <w:r w:rsidR="79AD3B16" w:rsidRPr="00850E91">
        <w:t xml:space="preserve"> and risks</w:t>
      </w:r>
      <w:r w:rsidR="7AC73194" w:rsidRPr="00850E91">
        <w:t xml:space="preserve"> </w:t>
      </w:r>
      <w:r w:rsidR="2AE9E0C9" w:rsidRPr="00850E91">
        <w:rPr>
          <w:rFonts w:eastAsia="Arial"/>
        </w:rPr>
        <w:t>to water-dependent assets protected under the ‘water trigger’, then additional development area-specific data on hydraulic parameters</w:t>
      </w:r>
      <w:r w:rsidR="00086B1C" w:rsidRPr="00850E91">
        <w:rPr>
          <w:rFonts w:eastAsia="Arial"/>
        </w:rPr>
        <w:t xml:space="preserve"> (e.g.</w:t>
      </w:r>
      <w:r w:rsidR="00AB29FF" w:rsidRPr="00850E91">
        <w:rPr>
          <w:rFonts w:eastAsia="Arial"/>
        </w:rPr>
        <w:t>,</w:t>
      </w:r>
      <w:r w:rsidR="00086B1C" w:rsidRPr="00850E91">
        <w:rPr>
          <w:rFonts w:eastAsia="Arial"/>
        </w:rPr>
        <w:t xml:space="preserve"> vertical hydraulic conductivity)</w:t>
      </w:r>
      <w:r w:rsidR="2AE9E0C9" w:rsidRPr="00850E91">
        <w:rPr>
          <w:rFonts w:eastAsia="Arial"/>
        </w:rPr>
        <w:t xml:space="preserve"> with the final well layout</w:t>
      </w:r>
      <w:r w:rsidR="0138D1F4" w:rsidRPr="00850E91">
        <w:t xml:space="preserve"> are needed to </w:t>
      </w:r>
      <w:r w:rsidR="00E109FA" w:rsidRPr="00850E91">
        <w:t>develop</w:t>
      </w:r>
      <w:r w:rsidR="6F25AAC5" w:rsidRPr="00850E91">
        <w:t xml:space="preserve"> appropriate</w:t>
      </w:r>
      <w:r w:rsidR="3A99AA16" w:rsidRPr="00850E91">
        <w:t xml:space="preserve"> local-scale </w:t>
      </w:r>
      <w:r w:rsidR="6F25AAC5" w:rsidRPr="00850E91">
        <w:t>groundwater model</w:t>
      </w:r>
      <w:r w:rsidR="6F712A3C" w:rsidRPr="00850E91">
        <w:t>s</w:t>
      </w:r>
      <w:r w:rsidR="2E14DF68" w:rsidRPr="00850E91">
        <w:t xml:space="preserve"> to complement the </w:t>
      </w:r>
      <w:r w:rsidR="2918B6A1" w:rsidRPr="00850E91">
        <w:t>OGIA</w:t>
      </w:r>
      <w:r w:rsidR="2E14DF68" w:rsidRPr="00850E91">
        <w:t xml:space="preserve"> groundwater model</w:t>
      </w:r>
      <w:r w:rsidR="6F25AAC5" w:rsidRPr="00850E91">
        <w:t xml:space="preserve">. </w:t>
      </w:r>
    </w:p>
    <w:p w14:paraId="7F7053E5" w14:textId="77777777" w:rsidR="00C65392" w:rsidRPr="00850E91" w:rsidRDefault="00C65392" w:rsidP="00B24EF9">
      <w:pPr>
        <w:pStyle w:val="ListNumber"/>
        <w:spacing w:before="240"/>
        <w:rPr>
          <w:u w:val="single"/>
        </w:rPr>
      </w:pPr>
      <w:r w:rsidRPr="00850E91">
        <w:rPr>
          <w:u w:val="single"/>
        </w:rPr>
        <w:t>Subsidence</w:t>
      </w:r>
    </w:p>
    <w:p w14:paraId="4D10F31B" w14:textId="5CEEC3D0" w:rsidR="00C65392" w:rsidRPr="00850E91" w:rsidRDefault="04A2231D" w:rsidP="78848B37">
      <w:pPr>
        <w:pStyle w:val="ListNumber"/>
        <w:numPr>
          <w:ilvl w:val="0"/>
          <w:numId w:val="18"/>
        </w:numPr>
        <w:rPr>
          <w:rFonts w:eastAsia="Arial"/>
        </w:rPr>
      </w:pPr>
      <w:r w:rsidRPr="00850E91">
        <w:t xml:space="preserve">The proponent states that potential impacts from subsidence are considered to be negligible in terms of impacts to water </w:t>
      </w:r>
      <w:proofErr w:type="gramStart"/>
      <w:r w:rsidRPr="00850E91">
        <w:t>resources, and</w:t>
      </w:r>
      <w:proofErr w:type="gramEnd"/>
      <w:r w:rsidRPr="00850E91">
        <w:t xml:space="preserve"> </w:t>
      </w:r>
      <w:r w:rsidR="0085314B">
        <w:t>has</w:t>
      </w:r>
      <w:r w:rsidR="0085314B" w:rsidRPr="00850E91">
        <w:t xml:space="preserve"> </w:t>
      </w:r>
      <w:r w:rsidRPr="00850E91">
        <w:t xml:space="preserve">summarised </w:t>
      </w:r>
      <w:r w:rsidR="68AB3566" w:rsidRPr="00850E91">
        <w:t xml:space="preserve">some </w:t>
      </w:r>
      <w:r w:rsidRPr="00850E91">
        <w:t>subsidence monitoring results across the Surat</w:t>
      </w:r>
      <w:r w:rsidR="76789257" w:rsidRPr="00850E91">
        <w:t xml:space="preserve"> CMA</w:t>
      </w:r>
      <w:r w:rsidRPr="00850E91">
        <w:t xml:space="preserve">. </w:t>
      </w:r>
      <w:r w:rsidR="1FC0EE15" w:rsidRPr="00850E91">
        <w:t>However, a recent subsidence assessment across the south-east of the Surat Basin (</w:t>
      </w:r>
      <w:r w:rsidR="0085314B">
        <w:t>OGIA</w:t>
      </w:r>
      <w:r w:rsidR="0085314B" w:rsidRPr="00850E91">
        <w:t xml:space="preserve"> </w:t>
      </w:r>
      <w:r w:rsidR="1FC0EE15" w:rsidRPr="00850E91">
        <w:t xml:space="preserve">2021, </w:t>
      </w:r>
      <w:r w:rsidR="0085314B">
        <w:t>Chapter</w:t>
      </w:r>
      <w:r w:rsidR="0085314B" w:rsidRPr="00850E91">
        <w:t xml:space="preserve"> </w:t>
      </w:r>
      <w:r w:rsidR="1FC0EE15" w:rsidRPr="00850E91">
        <w:t xml:space="preserve">7 and Appendix F) </w:t>
      </w:r>
      <w:r w:rsidR="4C149878" w:rsidRPr="00850E91">
        <w:t xml:space="preserve">presented observations of up to 90 mm of total subsidence since 2015 within heavily developed </w:t>
      </w:r>
      <w:proofErr w:type="spellStart"/>
      <w:r w:rsidR="4C149878" w:rsidRPr="00850E91">
        <w:t>gasfields</w:t>
      </w:r>
      <w:proofErr w:type="spellEnd"/>
      <w:r w:rsidR="4C149878" w:rsidRPr="00850E91">
        <w:t xml:space="preserve"> (based on </w:t>
      </w:r>
      <w:proofErr w:type="spellStart"/>
      <w:r w:rsidR="4C149878" w:rsidRPr="00850E91">
        <w:t>InSAR</w:t>
      </w:r>
      <w:proofErr w:type="spellEnd"/>
      <w:r w:rsidR="4C149878" w:rsidRPr="00850E91">
        <w:t xml:space="preserve"> remote sensing data)</w:t>
      </w:r>
      <w:r w:rsidR="42F7CC77" w:rsidRPr="00850E91">
        <w:t xml:space="preserve">. </w:t>
      </w:r>
      <w:r w:rsidR="1094D930" w:rsidRPr="00850E91">
        <w:t>The rate of subsidence is likely higher early in development and gradually stabilis</w:t>
      </w:r>
      <w:r w:rsidR="00967EFD" w:rsidRPr="00850E91">
        <w:t>es</w:t>
      </w:r>
      <w:r w:rsidR="1094D930" w:rsidRPr="00850E91">
        <w:t xml:space="preserve"> over 3 to 7 years (</w:t>
      </w:r>
      <w:r w:rsidR="0085314B">
        <w:t>OGIA</w:t>
      </w:r>
      <w:r w:rsidR="1094D930" w:rsidRPr="00850E91">
        <w:t xml:space="preserve"> 2021, p. 124). </w:t>
      </w:r>
      <w:r w:rsidR="42F7CC77" w:rsidRPr="00850E91">
        <w:t>Th</w:t>
      </w:r>
      <w:r w:rsidR="0AB274EE" w:rsidRPr="00850E91">
        <w:t>e UWIR</w:t>
      </w:r>
      <w:r w:rsidR="42F7CC77" w:rsidRPr="00850E91">
        <w:t xml:space="preserve"> assessment also</w:t>
      </w:r>
      <w:r w:rsidR="4C149878" w:rsidRPr="00850E91">
        <w:t xml:space="preserve"> presented predictions for future subsidence based on </w:t>
      </w:r>
      <w:r w:rsidR="7324B9D9" w:rsidRPr="00850E91">
        <w:t xml:space="preserve">modelled </w:t>
      </w:r>
      <w:r w:rsidR="4C149878" w:rsidRPr="00850E91">
        <w:t>groundwater</w:t>
      </w:r>
      <w:r w:rsidR="6DCC02C2" w:rsidRPr="00850E91">
        <w:t xml:space="preserve"> drawdown</w:t>
      </w:r>
      <w:r w:rsidR="4C149878" w:rsidRPr="00850E91">
        <w:t xml:space="preserve"> </w:t>
      </w:r>
      <w:r w:rsidR="3D156835" w:rsidRPr="00850E91">
        <w:t xml:space="preserve">and </w:t>
      </w:r>
      <w:proofErr w:type="spellStart"/>
      <w:r w:rsidR="3D156835" w:rsidRPr="00850E91">
        <w:t>geomechanical</w:t>
      </w:r>
      <w:proofErr w:type="spellEnd"/>
      <w:r w:rsidR="3D156835" w:rsidRPr="00850E91">
        <w:t xml:space="preserve"> data input into</w:t>
      </w:r>
      <w:r w:rsidR="4C149878" w:rsidRPr="00850E91">
        <w:t xml:space="preserve"> </w:t>
      </w:r>
      <w:r w:rsidR="488AFF19" w:rsidRPr="00850E91">
        <w:t xml:space="preserve">a </w:t>
      </w:r>
      <w:r w:rsidR="4C149878" w:rsidRPr="00850E91">
        <w:t xml:space="preserve">3D </w:t>
      </w:r>
      <w:proofErr w:type="spellStart"/>
      <w:r w:rsidR="3C913613" w:rsidRPr="00850E91">
        <w:t>geomechanical</w:t>
      </w:r>
      <w:proofErr w:type="spellEnd"/>
      <w:r w:rsidR="3C913613" w:rsidRPr="00850E91">
        <w:t xml:space="preserve"> model.</w:t>
      </w:r>
      <w:r w:rsidR="45876255" w:rsidRPr="00850E91">
        <w:t xml:space="preserve"> </w:t>
      </w:r>
      <w:r w:rsidR="003D211E" w:rsidRPr="00850E91">
        <w:t>Risks</w:t>
      </w:r>
      <w:r w:rsidR="64F3A441" w:rsidRPr="00850E91">
        <w:t xml:space="preserve"> for aquatic ecosystems and aquifer integrity were noted, although o</w:t>
      </w:r>
      <w:r w:rsidR="14B741AD" w:rsidRPr="00850E91">
        <w:t>bserved and predicted changes</w:t>
      </w:r>
      <w:r w:rsidR="45876255" w:rsidRPr="00850E91">
        <w:t xml:space="preserve"> in surface slopes due to subsidence </w:t>
      </w:r>
      <w:r w:rsidR="3E0AA97D" w:rsidRPr="00850E91">
        <w:t>were</w:t>
      </w:r>
      <w:r w:rsidR="45876255" w:rsidRPr="00850E91">
        <w:t xml:space="preserve"> </w:t>
      </w:r>
      <w:r w:rsidR="12257C5D" w:rsidRPr="00850E91">
        <w:t>very small</w:t>
      </w:r>
      <w:r w:rsidR="45876255" w:rsidRPr="00850E91">
        <w:t xml:space="preserve"> (</w:t>
      </w:r>
      <w:r w:rsidR="498F501C" w:rsidRPr="00850E91">
        <w:t>10 to 40 mm over 1 km</w:t>
      </w:r>
      <w:proofErr w:type="gramStart"/>
      <w:r w:rsidR="45876255" w:rsidRPr="00850E91">
        <w:t xml:space="preserve">), </w:t>
      </w:r>
      <w:r w:rsidR="787FE5A7" w:rsidRPr="00850E91">
        <w:t>and</w:t>
      </w:r>
      <w:proofErr w:type="gramEnd"/>
      <w:r w:rsidR="787FE5A7" w:rsidRPr="00850E91">
        <w:t xml:space="preserve"> </w:t>
      </w:r>
      <w:r w:rsidR="0008733D">
        <w:t xml:space="preserve">are </w:t>
      </w:r>
      <w:r w:rsidR="787FE5A7" w:rsidRPr="00850E91">
        <w:t>unlikely to materially change surface flows to watercourses</w:t>
      </w:r>
      <w:r w:rsidR="085E97A4" w:rsidRPr="00850E91">
        <w:t xml:space="preserve"> at the regional scale</w:t>
      </w:r>
      <w:r w:rsidR="4F39BE61" w:rsidRPr="00850E91">
        <w:t xml:space="preserve">. </w:t>
      </w:r>
    </w:p>
    <w:p w14:paraId="6452E6BB" w14:textId="63F5C8FB" w:rsidR="00C65392" w:rsidRPr="00850E91" w:rsidRDefault="4F39BE61" w:rsidP="78848B37">
      <w:pPr>
        <w:pStyle w:val="ListNumber"/>
        <w:numPr>
          <w:ilvl w:val="0"/>
          <w:numId w:val="18"/>
        </w:numPr>
        <w:rPr>
          <w:rFonts w:eastAsia="Arial"/>
        </w:rPr>
      </w:pPr>
      <w:r w:rsidRPr="00850E91">
        <w:t>Evaluating the risk of project-specific and cumulative subsidence effects across each development area is require</w:t>
      </w:r>
      <w:r w:rsidR="73137A6D" w:rsidRPr="00850E91">
        <w:t>d</w:t>
      </w:r>
      <w:r w:rsidR="321AB7F2" w:rsidRPr="00850E91">
        <w:t xml:space="preserve"> to supplement the regional scale assessment of subsidence</w:t>
      </w:r>
      <w:r w:rsidR="73137A6D" w:rsidRPr="00850E91">
        <w:t>. If the risk of subsidence exceed</w:t>
      </w:r>
      <w:r w:rsidR="00967EFD" w:rsidRPr="00850E91">
        <w:t>s</w:t>
      </w:r>
      <w:r w:rsidR="73137A6D" w:rsidRPr="00850E91">
        <w:t xml:space="preserve"> background trends (e.g.</w:t>
      </w:r>
      <w:r w:rsidR="00967EFD" w:rsidRPr="00850E91">
        <w:t>,</w:t>
      </w:r>
      <w:r w:rsidR="73137A6D" w:rsidRPr="00850E91">
        <w:t xml:space="preserve"> natural ground movement of soils), </w:t>
      </w:r>
      <w:r w:rsidR="1FC0EE15" w:rsidRPr="00850E91">
        <w:rPr>
          <w:rFonts w:eastAsia="Arial"/>
        </w:rPr>
        <w:t>then it is recommended that appropriate remote-sensing or airborne monitoring be designed and implemented across development areas at risk</w:t>
      </w:r>
      <w:r w:rsidR="31B85F9F" w:rsidRPr="00850E91">
        <w:rPr>
          <w:rFonts w:eastAsia="Arial"/>
        </w:rPr>
        <w:t xml:space="preserve">. This may require </w:t>
      </w:r>
      <w:r w:rsidR="09519270" w:rsidRPr="00850E91">
        <w:rPr>
          <w:rFonts w:eastAsia="Arial"/>
        </w:rPr>
        <w:t xml:space="preserve">additional monitoring to the current </w:t>
      </w:r>
      <w:r w:rsidR="02F22C6A" w:rsidRPr="00850E91">
        <w:rPr>
          <w:rFonts w:eastAsia="Arial"/>
        </w:rPr>
        <w:t xml:space="preserve">subsidence </w:t>
      </w:r>
      <w:r w:rsidR="1756BF2B" w:rsidRPr="00850E91">
        <w:rPr>
          <w:rFonts w:eastAsia="Arial"/>
        </w:rPr>
        <w:t xml:space="preserve">evaluation programs </w:t>
      </w:r>
      <w:r w:rsidR="00B551EF">
        <w:rPr>
          <w:rFonts w:eastAsia="Arial"/>
        </w:rPr>
        <w:t xml:space="preserve">undertaken </w:t>
      </w:r>
      <w:r w:rsidR="1756BF2B" w:rsidRPr="00850E91">
        <w:rPr>
          <w:rFonts w:eastAsia="Arial"/>
        </w:rPr>
        <w:t xml:space="preserve">by </w:t>
      </w:r>
      <w:r w:rsidR="31B85F9F" w:rsidRPr="00850E91">
        <w:rPr>
          <w:rFonts w:eastAsia="Arial"/>
        </w:rPr>
        <w:t>OGIA</w:t>
      </w:r>
      <w:r w:rsidR="773EB735" w:rsidRPr="00850E91">
        <w:rPr>
          <w:rFonts w:eastAsia="Arial"/>
        </w:rPr>
        <w:t xml:space="preserve">, </w:t>
      </w:r>
      <w:r w:rsidR="31B85F9F" w:rsidRPr="00850E91">
        <w:rPr>
          <w:rFonts w:eastAsia="Arial"/>
        </w:rPr>
        <w:t>G</w:t>
      </w:r>
      <w:r w:rsidR="000E501F" w:rsidRPr="00850E91">
        <w:rPr>
          <w:rFonts w:eastAsia="Arial"/>
        </w:rPr>
        <w:t xml:space="preserve">eoscience </w:t>
      </w:r>
      <w:r w:rsidR="31B85F9F" w:rsidRPr="00850E91">
        <w:rPr>
          <w:rFonts w:eastAsia="Arial"/>
        </w:rPr>
        <w:t>A</w:t>
      </w:r>
      <w:r w:rsidR="000E501F" w:rsidRPr="00850E91">
        <w:rPr>
          <w:rFonts w:eastAsia="Arial"/>
        </w:rPr>
        <w:t>ustralia</w:t>
      </w:r>
      <w:r w:rsidR="31B85F9F" w:rsidRPr="00850E91">
        <w:rPr>
          <w:rFonts w:eastAsia="Arial"/>
        </w:rPr>
        <w:t xml:space="preserve"> </w:t>
      </w:r>
      <w:r w:rsidR="0F572FEA" w:rsidRPr="00850E91">
        <w:rPr>
          <w:rFonts w:eastAsia="Arial"/>
        </w:rPr>
        <w:t>and industry</w:t>
      </w:r>
      <w:r w:rsidR="679A0119" w:rsidRPr="00850E91">
        <w:rPr>
          <w:rFonts w:eastAsia="Arial"/>
        </w:rPr>
        <w:t xml:space="preserve">, </w:t>
      </w:r>
      <w:r w:rsidR="31B85F9F" w:rsidRPr="00850E91">
        <w:rPr>
          <w:rFonts w:eastAsia="Arial"/>
        </w:rPr>
        <w:t xml:space="preserve">with a combination of appropriate </w:t>
      </w:r>
      <w:r w:rsidR="4F430D99" w:rsidRPr="00850E91">
        <w:rPr>
          <w:rFonts w:eastAsia="Arial"/>
        </w:rPr>
        <w:t xml:space="preserve">monitoring </w:t>
      </w:r>
      <w:r w:rsidR="31B85F9F" w:rsidRPr="00850E91">
        <w:rPr>
          <w:rFonts w:eastAsia="Arial"/>
        </w:rPr>
        <w:t>methods</w:t>
      </w:r>
      <w:r w:rsidR="39F54759" w:rsidRPr="00850E91">
        <w:rPr>
          <w:rFonts w:eastAsia="Arial"/>
        </w:rPr>
        <w:t xml:space="preserve"> (</w:t>
      </w:r>
      <w:r w:rsidR="00B551EF">
        <w:rPr>
          <w:rFonts w:eastAsia="Arial"/>
        </w:rPr>
        <w:t>OGIA</w:t>
      </w:r>
      <w:r w:rsidR="00B551EF" w:rsidRPr="00850E91">
        <w:rPr>
          <w:rFonts w:eastAsia="Arial"/>
        </w:rPr>
        <w:t xml:space="preserve"> </w:t>
      </w:r>
      <w:r w:rsidR="330496CB" w:rsidRPr="00850E91">
        <w:rPr>
          <w:rFonts w:eastAsia="Arial"/>
        </w:rPr>
        <w:t>2021, Table 7.1 and Appendix F</w:t>
      </w:r>
      <w:r w:rsidR="098309F9" w:rsidRPr="00850E91">
        <w:rPr>
          <w:rFonts w:eastAsia="Arial"/>
        </w:rPr>
        <w:t>)</w:t>
      </w:r>
      <w:r w:rsidR="5AB16C04" w:rsidRPr="00850E91">
        <w:rPr>
          <w:rFonts w:eastAsia="Arial"/>
        </w:rPr>
        <w:t xml:space="preserve"> and numerical models</w:t>
      </w:r>
      <w:r w:rsidR="00B551EF">
        <w:rPr>
          <w:rFonts w:eastAsia="Arial"/>
        </w:rPr>
        <w:t xml:space="preserve"> using</w:t>
      </w:r>
      <w:r w:rsidR="5851A080" w:rsidRPr="00850E91">
        <w:rPr>
          <w:rFonts w:eastAsia="Arial"/>
        </w:rPr>
        <w:t xml:space="preserve"> a vertical and horizontal resolution that is commensurate with the risk of effects on surface water flows. </w:t>
      </w:r>
      <w:r w:rsidR="5AB16C04" w:rsidRPr="00850E91">
        <w:rPr>
          <w:rFonts w:eastAsia="Arial"/>
        </w:rPr>
        <w:t xml:space="preserve"> </w:t>
      </w:r>
    </w:p>
    <w:p w14:paraId="16EE9BFC" w14:textId="0955AC4C" w:rsidR="00753BE4" w:rsidRPr="00850E91" w:rsidRDefault="00753BE4">
      <w:pPr>
        <w:pStyle w:val="ListNumber"/>
        <w:rPr>
          <w:u w:val="single"/>
        </w:rPr>
      </w:pPr>
      <w:r w:rsidRPr="00850E91">
        <w:rPr>
          <w:u w:val="single"/>
        </w:rPr>
        <w:t>Groundwater</w:t>
      </w:r>
      <w:r w:rsidR="604174C5" w:rsidRPr="00850E91">
        <w:rPr>
          <w:u w:val="single"/>
        </w:rPr>
        <w:t>-</w:t>
      </w:r>
      <w:r w:rsidRPr="00850E91">
        <w:rPr>
          <w:u w:val="single"/>
        </w:rPr>
        <w:t xml:space="preserve">dependent ecosystems </w:t>
      </w:r>
      <w:r w:rsidR="00D50E50" w:rsidRPr="00850E91">
        <w:rPr>
          <w:u w:val="single"/>
        </w:rPr>
        <w:t>including</w:t>
      </w:r>
      <w:r w:rsidR="70BB234D" w:rsidRPr="00850E91">
        <w:rPr>
          <w:rFonts w:eastAsia="Arial"/>
          <w:u w:val="single"/>
        </w:rPr>
        <w:t xml:space="preserve"> Great Artesian Basin</w:t>
      </w:r>
      <w:r w:rsidR="00D50E50" w:rsidRPr="00850E91">
        <w:rPr>
          <w:u w:val="single"/>
        </w:rPr>
        <w:t xml:space="preserve"> springs</w:t>
      </w:r>
    </w:p>
    <w:p w14:paraId="34111E82" w14:textId="25AE7853" w:rsidR="00011954" w:rsidRPr="00850E91" w:rsidRDefault="0DE1BD79" w:rsidP="78848B37">
      <w:pPr>
        <w:pStyle w:val="ListNumber"/>
        <w:numPr>
          <w:ilvl w:val="0"/>
          <w:numId w:val="18"/>
        </w:numPr>
        <w:rPr>
          <w:rFonts w:eastAsia="Arial"/>
        </w:rPr>
      </w:pPr>
      <w:r w:rsidRPr="00850E91">
        <w:t xml:space="preserve">The proponent </w:t>
      </w:r>
      <w:r w:rsidR="2B11AB46" w:rsidRPr="00850E91">
        <w:t>has noted that the project will contribute to drawdown at</w:t>
      </w:r>
      <w:r w:rsidR="1BB5370E" w:rsidRPr="00850E91">
        <w:rPr>
          <w:rFonts w:eastAsia="Arial"/>
        </w:rPr>
        <w:t xml:space="preserve"> several</w:t>
      </w:r>
      <w:r w:rsidR="2B11AB46" w:rsidRPr="00850E91">
        <w:t xml:space="preserve"> </w:t>
      </w:r>
      <w:r w:rsidR="400BCC26" w:rsidRPr="00850E91">
        <w:t>EPBC</w:t>
      </w:r>
      <w:r w:rsidR="0FA8B13E" w:rsidRPr="00850E91">
        <w:t xml:space="preserve"> Act</w:t>
      </w:r>
      <w:r w:rsidR="400BCC26" w:rsidRPr="00850E91">
        <w:t xml:space="preserve">-listed </w:t>
      </w:r>
      <w:r w:rsidR="2B11AB46" w:rsidRPr="00850E91">
        <w:t xml:space="preserve">springs but has not provided an assessment of </w:t>
      </w:r>
      <w:r w:rsidR="6426A2BC" w:rsidRPr="00850E91">
        <w:t xml:space="preserve">the </w:t>
      </w:r>
      <w:r w:rsidR="759813EE" w:rsidRPr="00850E91">
        <w:t>likely</w:t>
      </w:r>
      <w:r w:rsidR="2B11AB46" w:rsidRPr="00850E91">
        <w:t xml:space="preserve"> </w:t>
      </w:r>
      <w:r w:rsidR="031BF90B" w:rsidRPr="00850E91">
        <w:t xml:space="preserve">ecological </w:t>
      </w:r>
      <w:r w:rsidR="2B11AB46" w:rsidRPr="00850E91">
        <w:t>impacts</w:t>
      </w:r>
      <w:r w:rsidR="6A217E8C" w:rsidRPr="00850E91">
        <w:rPr>
          <w:rFonts w:eastAsia="Arial"/>
        </w:rPr>
        <w:t xml:space="preserve"> of this drawdown</w:t>
      </w:r>
      <w:r w:rsidR="2FB6BE68" w:rsidRPr="00850E91">
        <w:t>.</w:t>
      </w:r>
      <w:r w:rsidR="2B11AB46" w:rsidRPr="00850E91">
        <w:t xml:space="preserve"> Noting the contribution of the project to cumulative impacts, this </w:t>
      </w:r>
      <w:r w:rsidR="3CC1C26A" w:rsidRPr="00850E91">
        <w:t xml:space="preserve">aspect </w:t>
      </w:r>
      <w:r w:rsidR="2B11AB46" w:rsidRPr="00850E91">
        <w:t xml:space="preserve">is discussed further in </w:t>
      </w:r>
      <w:r w:rsidRPr="00850E91">
        <w:t xml:space="preserve">Paragraph </w:t>
      </w:r>
      <w:r w:rsidR="1D02BE48" w:rsidRPr="00850E91">
        <w:t>1</w:t>
      </w:r>
      <w:r w:rsidR="00711DBA">
        <w:t>4</w:t>
      </w:r>
      <w:r w:rsidRPr="00850E91">
        <w:t>.</w:t>
      </w:r>
      <w:r w:rsidR="63F7504B" w:rsidRPr="00850E91">
        <w:t xml:space="preserve"> Under the ‘water trigger’, the proponent should assess the potential ecological impacts of the project on GDEs</w:t>
      </w:r>
      <w:r w:rsidR="0008733D">
        <w:t>,</w:t>
      </w:r>
      <w:r w:rsidR="63F7504B" w:rsidRPr="00850E91">
        <w:t xml:space="preserve"> </w:t>
      </w:r>
      <w:r w:rsidR="0008733D">
        <w:t>in addition to</w:t>
      </w:r>
      <w:r w:rsidR="63F7504B" w:rsidRPr="00850E91">
        <w:t xml:space="preserve"> EPBC Act-listed springs, including terrestrial GDEs (Paragraph </w:t>
      </w:r>
      <w:r w:rsidR="00AB29FF" w:rsidRPr="00850E91">
        <w:t>7</w:t>
      </w:r>
      <w:r w:rsidR="63F7504B" w:rsidRPr="00850E91">
        <w:t xml:space="preserve">), subterranean GDEs (Paragraph </w:t>
      </w:r>
      <w:r w:rsidR="00AB29FF" w:rsidRPr="00850E91">
        <w:t>8</w:t>
      </w:r>
      <w:r w:rsidR="63F7504B" w:rsidRPr="00850E91">
        <w:t xml:space="preserve">) and watercourse springs (Paragraph </w:t>
      </w:r>
      <w:r w:rsidR="00AB29FF" w:rsidRPr="00850E91">
        <w:t>9</w:t>
      </w:r>
      <w:r w:rsidR="63F7504B" w:rsidRPr="00850E91">
        <w:t>) at both local (development areas) and regional (Surat CMA) scales.</w:t>
      </w:r>
    </w:p>
    <w:p w14:paraId="78275C99" w14:textId="314AC765" w:rsidR="00434FD7" w:rsidRPr="00850E91" w:rsidRDefault="3478099A" w:rsidP="78848B37">
      <w:pPr>
        <w:pStyle w:val="ListNumber"/>
        <w:numPr>
          <w:ilvl w:val="0"/>
          <w:numId w:val="18"/>
        </w:numPr>
        <w:rPr>
          <w:rFonts w:eastAsia="Arial"/>
        </w:rPr>
      </w:pPr>
      <w:r w:rsidRPr="00850E91">
        <w:t xml:space="preserve">Ground-truthing has not been undertaken for potential terrestrial GDEs, noting that two of the EPBC Act-listed </w:t>
      </w:r>
      <w:r w:rsidR="7904A3A5" w:rsidRPr="00850E91">
        <w:t>TEC</w:t>
      </w:r>
      <w:r w:rsidRPr="00850E91">
        <w:t xml:space="preserve">s in the area may be groundwater-dependent and </w:t>
      </w:r>
      <w:r w:rsidR="1025E802" w:rsidRPr="00850E91">
        <w:rPr>
          <w:rFonts w:eastAsia="Arial"/>
        </w:rPr>
        <w:t>some</w:t>
      </w:r>
      <w:r w:rsidR="1025E802" w:rsidRPr="00850E91">
        <w:t xml:space="preserve"> </w:t>
      </w:r>
      <w:proofErr w:type="gramStart"/>
      <w:r w:rsidRPr="00850E91">
        <w:t>are located in</w:t>
      </w:r>
      <w:proofErr w:type="gramEnd"/>
      <w:r w:rsidRPr="00850E91">
        <w:t xml:space="preserve"> areas of</w:t>
      </w:r>
      <w:r w:rsidR="76AB6228" w:rsidRPr="00850E91">
        <w:rPr>
          <w:rFonts w:eastAsia="Arial"/>
        </w:rPr>
        <w:t xml:space="preserve"> predicted</w:t>
      </w:r>
      <w:r w:rsidRPr="00850E91">
        <w:t xml:space="preserve"> groundwater drawdown. </w:t>
      </w:r>
      <w:r w:rsidR="7D336D7A" w:rsidRPr="00850E91">
        <w:rPr>
          <w:rFonts w:eastAsia="Arial"/>
        </w:rPr>
        <w:t>The distribution of potential t</w:t>
      </w:r>
      <w:r w:rsidR="16403249" w:rsidRPr="00850E91">
        <w:t xml:space="preserve">errestrial GDEs </w:t>
      </w:r>
      <w:r w:rsidR="0B89B20F" w:rsidRPr="00850E91">
        <w:rPr>
          <w:rFonts w:eastAsia="Arial"/>
        </w:rPr>
        <w:t xml:space="preserve">and their likely groundwater-dependence </w:t>
      </w:r>
      <w:r w:rsidRPr="00850E91">
        <w:t xml:space="preserve">should be </w:t>
      </w:r>
      <w:r w:rsidR="378D4D3A" w:rsidRPr="00850E91">
        <w:t xml:space="preserve">characterised </w:t>
      </w:r>
      <w:r w:rsidRPr="00850E91">
        <w:t>using appropriate methods</w:t>
      </w:r>
      <w:r w:rsidR="0F46BB1C" w:rsidRPr="00850E91">
        <w:t xml:space="preserve"> (e</w:t>
      </w:r>
      <w:r w:rsidR="190FE1B5" w:rsidRPr="00850E91">
        <w:t>.g.,</w:t>
      </w:r>
      <w:r w:rsidRPr="00850E91">
        <w:t xml:space="preserve"> Doody et al. 2019</w:t>
      </w:r>
      <w:r w:rsidR="0F05DF62" w:rsidRPr="00850E91">
        <w:t>)</w:t>
      </w:r>
      <w:r w:rsidR="4E002483" w:rsidRPr="00850E91">
        <w:rPr>
          <w:rFonts w:eastAsia="Arial"/>
        </w:rPr>
        <w:t>, especially in areas where the OGIA model predicts drawdown in Layer 1 (alluvium, Cenozoic sediments and basalt)</w:t>
      </w:r>
      <w:r w:rsidR="0F05DF62" w:rsidRPr="00850E91">
        <w:t>. I</w:t>
      </w:r>
      <w:r w:rsidR="522C2BFE" w:rsidRPr="00850E91">
        <w:t xml:space="preserve">nformation from </w:t>
      </w:r>
      <w:r w:rsidR="7412824B" w:rsidRPr="00850E91">
        <w:t xml:space="preserve">field investigations </w:t>
      </w:r>
      <w:r w:rsidR="522C2BFE" w:rsidRPr="00850E91">
        <w:t xml:space="preserve">should be </w:t>
      </w:r>
      <w:r w:rsidR="5273FD9C" w:rsidRPr="00850E91">
        <w:rPr>
          <w:rFonts w:eastAsia="Arial"/>
        </w:rPr>
        <w:t>integrated with ECMs (Paragraph 1</w:t>
      </w:r>
      <w:r w:rsidR="00711DBA">
        <w:rPr>
          <w:rFonts w:eastAsia="Arial"/>
        </w:rPr>
        <w:t>5</w:t>
      </w:r>
      <w:r w:rsidR="5273FD9C" w:rsidRPr="00850E91">
        <w:rPr>
          <w:rFonts w:eastAsia="Arial"/>
        </w:rPr>
        <w:t>)</w:t>
      </w:r>
      <w:r w:rsidR="00F3378E" w:rsidRPr="00850E91">
        <w:rPr>
          <w:rFonts w:eastAsia="Arial"/>
        </w:rPr>
        <w:t xml:space="preserve"> </w:t>
      </w:r>
      <w:r w:rsidR="002E2E71" w:rsidRPr="00850E91">
        <w:rPr>
          <w:rFonts w:eastAsia="Arial"/>
        </w:rPr>
        <w:t>to assess</w:t>
      </w:r>
      <w:r w:rsidR="00F3378E" w:rsidRPr="00850E91">
        <w:rPr>
          <w:rFonts w:eastAsia="Arial"/>
        </w:rPr>
        <w:t xml:space="preserve"> the risks to terrestrial GDEs and riparian vegetation</w:t>
      </w:r>
      <w:r w:rsidR="0016545E" w:rsidRPr="00850E91">
        <w:rPr>
          <w:rFonts w:eastAsia="Arial"/>
        </w:rPr>
        <w:t xml:space="preserve"> at development</w:t>
      </w:r>
      <w:r w:rsidR="002E2E71" w:rsidRPr="00850E91">
        <w:rPr>
          <w:rFonts w:eastAsia="Arial"/>
        </w:rPr>
        <w:t xml:space="preserve"> </w:t>
      </w:r>
      <w:r w:rsidR="0016545E" w:rsidRPr="00850E91">
        <w:rPr>
          <w:rFonts w:eastAsia="Arial"/>
        </w:rPr>
        <w:t>area</w:t>
      </w:r>
      <w:r w:rsidR="002E2E71" w:rsidRPr="00850E91">
        <w:rPr>
          <w:rFonts w:eastAsia="Arial"/>
        </w:rPr>
        <w:t>-</w:t>
      </w:r>
      <w:r w:rsidR="0016545E" w:rsidRPr="00850E91">
        <w:rPr>
          <w:rFonts w:eastAsia="Arial"/>
        </w:rPr>
        <w:t xml:space="preserve"> and project</w:t>
      </w:r>
      <w:r w:rsidR="002E2E71" w:rsidRPr="00850E91">
        <w:rPr>
          <w:rFonts w:eastAsia="Arial"/>
        </w:rPr>
        <w:t>-</w:t>
      </w:r>
      <w:r w:rsidR="0016545E" w:rsidRPr="00850E91">
        <w:rPr>
          <w:rFonts w:eastAsia="Arial"/>
        </w:rPr>
        <w:t>specific scales</w:t>
      </w:r>
      <w:r w:rsidR="522C2BFE" w:rsidRPr="00850E91">
        <w:t xml:space="preserve"> </w:t>
      </w:r>
      <w:r w:rsidR="6612010D" w:rsidRPr="00850E91">
        <w:rPr>
          <w:rFonts w:eastAsia="Arial"/>
        </w:rPr>
        <w:t>and</w:t>
      </w:r>
      <w:r w:rsidR="008F6FB7" w:rsidRPr="00850E91">
        <w:rPr>
          <w:rFonts w:eastAsia="Arial"/>
        </w:rPr>
        <w:t xml:space="preserve"> to</w:t>
      </w:r>
      <w:r w:rsidR="6612010D" w:rsidRPr="00850E91">
        <w:rPr>
          <w:rFonts w:eastAsia="Arial"/>
        </w:rPr>
        <w:t xml:space="preserve"> </w:t>
      </w:r>
      <w:r w:rsidR="008F6FB7" w:rsidRPr="00850E91">
        <w:rPr>
          <w:rFonts w:eastAsia="Arial"/>
        </w:rPr>
        <w:t xml:space="preserve">guide </w:t>
      </w:r>
      <w:r w:rsidR="6612010D" w:rsidRPr="00850E91">
        <w:rPr>
          <w:rFonts w:eastAsia="Arial"/>
        </w:rPr>
        <w:t>monitoring and mitigation strategies</w:t>
      </w:r>
      <w:r w:rsidR="1D02BE48" w:rsidRPr="00850E91">
        <w:t>.</w:t>
      </w:r>
      <w:r w:rsidR="522C2BFE" w:rsidRPr="00850E91">
        <w:t xml:space="preserve"> </w:t>
      </w:r>
    </w:p>
    <w:p w14:paraId="7AE48B2A" w14:textId="6DB59453" w:rsidR="00434FD7" w:rsidRPr="00850E91" w:rsidRDefault="3478099A" w:rsidP="0DB46BDA">
      <w:pPr>
        <w:pStyle w:val="ListNumber"/>
        <w:numPr>
          <w:ilvl w:val="0"/>
          <w:numId w:val="18"/>
        </w:numPr>
        <w:rPr>
          <w:rFonts w:eastAsia="Arial"/>
        </w:rPr>
      </w:pPr>
      <w:r w:rsidRPr="00850E91">
        <w:t xml:space="preserve">Likewise, subterranean GDEs </w:t>
      </w:r>
      <w:r w:rsidR="6DF86D17" w:rsidRPr="00850E91">
        <w:t>(e.g.</w:t>
      </w:r>
      <w:r w:rsidR="35C640B6" w:rsidRPr="00850E91">
        <w:t>,</w:t>
      </w:r>
      <w:r w:rsidRPr="00850E91">
        <w:t xml:space="preserve"> stygofauna</w:t>
      </w:r>
      <w:r w:rsidR="57916CAB" w:rsidRPr="00850E91">
        <w:t>)</w:t>
      </w:r>
      <w:r w:rsidRPr="00850E91">
        <w:t xml:space="preserve"> should be </w:t>
      </w:r>
      <w:r w:rsidR="0DD53D2F" w:rsidRPr="00850E91">
        <w:rPr>
          <w:rFonts w:eastAsia="Arial"/>
        </w:rPr>
        <w:t>sampled</w:t>
      </w:r>
      <w:r w:rsidR="7427A5FC" w:rsidRPr="00850E91">
        <w:t xml:space="preserve"> </w:t>
      </w:r>
      <w:r w:rsidRPr="00850E91">
        <w:t>using appropriate methods</w:t>
      </w:r>
      <w:r w:rsidR="33599457" w:rsidRPr="00850E91">
        <w:t xml:space="preserve"> (</w:t>
      </w:r>
      <w:r w:rsidRPr="00850E91">
        <w:t>e.g.</w:t>
      </w:r>
      <w:r w:rsidR="523CDA24" w:rsidRPr="00850E91">
        <w:t>,</w:t>
      </w:r>
      <w:r w:rsidRPr="00850E91">
        <w:t xml:space="preserve"> those recommended by </w:t>
      </w:r>
      <w:r w:rsidR="0255CCB1" w:rsidRPr="00850E91">
        <w:t>Doody et al. 2019</w:t>
      </w:r>
      <w:r w:rsidR="5016E386" w:rsidRPr="00850E91">
        <w:t>)</w:t>
      </w:r>
      <w:r w:rsidRPr="00850E91">
        <w:t xml:space="preserve">. </w:t>
      </w:r>
      <w:r w:rsidR="7264B944" w:rsidRPr="00850E91">
        <w:t xml:space="preserve">The IESC notes that appropriate stygofauna habitat exists in the project area and </w:t>
      </w:r>
      <w:proofErr w:type="gramStart"/>
      <w:r w:rsidR="7264B944" w:rsidRPr="00850E91">
        <w:t>that stygofauna</w:t>
      </w:r>
      <w:proofErr w:type="gramEnd"/>
      <w:r w:rsidR="7264B944" w:rsidRPr="00850E91">
        <w:t xml:space="preserve"> are known </w:t>
      </w:r>
      <w:r w:rsidR="298055B2" w:rsidRPr="00850E91">
        <w:t>from</w:t>
      </w:r>
      <w:r w:rsidR="7264B944" w:rsidRPr="00850E91">
        <w:t xml:space="preserve"> the </w:t>
      </w:r>
      <w:r w:rsidR="0255CCB1" w:rsidRPr="00850E91">
        <w:t xml:space="preserve">shallow </w:t>
      </w:r>
      <w:r w:rsidR="7264B944" w:rsidRPr="00850E91">
        <w:t>coal seams of the Surat CMA</w:t>
      </w:r>
      <w:r w:rsidR="50DD1C8C" w:rsidRPr="00850E91">
        <w:t xml:space="preserve"> (Origin Energy 2021, App. F, App. III, p. 99, App. IV, p. 77, App. V, p. 118, App. VI, p. 85, App. </w:t>
      </w:r>
      <w:r w:rsidR="50DD1C8C" w:rsidRPr="00850E91">
        <w:lastRenderedPageBreak/>
        <w:t>VII, p. 84)</w:t>
      </w:r>
      <w:r w:rsidR="7264B944" w:rsidRPr="00850E91">
        <w:t xml:space="preserve">. </w:t>
      </w:r>
      <w:r w:rsidR="2C28AF7B" w:rsidRPr="00850E91">
        <w:t xml:space="preserve"> I</w:t>
      </w:r>
      <w:r w:rsidR="74539DDD" w:rsidRPr="00850E91">
        <w:t>f species are found at shallow depths</w:t>
      </w:r>
      <w:r w:rsidR="79EE33FF" w:rsidRPr="00850E91">
        <w:t>,</w:t>
      </w:r>
      <w:r w:rsidR="74539DDD" w:rsidRPr="00850E91">
        <w:t xml:space="preserve"> the </w:t>
      </w:r>
      <w:r w:rsidR="3B0C18AB" w:rsidRPr="00850E91">
        <w:t xml:space="preserve">impact assessment </w:t>
      </w:r>
      <w:r w:rsidR="1CF36732" w:rsidRPr="00850E91">
        <w:rPr>
          <w:rFonts w:eastAsia="Arial"/>
        </w:rPr>
        <w:t xml:space="preserve">for each development area and cumulatively </w:t>
      </w:r>
      <w:r w:rsidR="3B0C18AB" w:rsidRPr="00850E91">
        <w:t>should consider</w:t>
      </w:r>
      <w:r w:rsidR="4B10732C" w:rsidRPr="00850E91">
        <w:rPr>
          <w:rFonts w:eastAsia="Arial"/>
        </w:rPr>
        <w:t xml:space="preserve"> potential</w:t>
      </w:r>
      <w:r w:rsidR="3B0C18AB" w:rsidRPr="00850E91">
        <w:t xml:space="preserve"> impacts to habitat quality</w:t>
      </w:r>
      <w:r w:rsidR="1F259BB1" w:rsidRPr="00850E91">
        <w:t>, noting that some drawdown is predicted in model Layer 1</w:t>
      </w:r>
      <w:r w:rsidR="0621A07C" w:rsidRPr="00850E91">
        <w:t xml:space="preserve"> </w:t>
      </w:r>
      <w:r w:rsidR="1F259BB1" w:rsidRPr="00850E91">
        <w:t>(</w:t>
      </w:r>
      <w:r w:rsidR="0621A07C" w:rsidRPr="00850E91">
        <w:t>alluvium</w:t>
      </w:r>
      <w:r w:rsidR="1F259BB1" w:rsidRPr="00850E91">
        <w:t>, Cenozoic sediments and basalt)</w:t>
      </w:r>
      <w:r w:rsidR="08342E4E" w:rsidRPr="00850E91">
        <w:t>.</w:t>
      </w:r>
      <w:r w:rsidR="08342E4E" w:rsidRPr="00850E91">
        <w:rPr>
          <w:rFonts w:eastAsia="Arial"/>
        </w:rPr>
        <w:t xml:space="preserve"> Appropriate monitoring and mitigation strategies based on this information can be incorporated into relevant management plans, potentially for each development area</w:t>
      </w:r>
      <w:r w:rsidR="1F259BB1" w:rsidRPr="00850E91">
        <w:t xml:space="preserve">. </w:t>
      </w:r>
    </w:p>
    <w:p w14:paraId="5B387E87" w14:textId="00876CA5" w:rsidR="00BD76BD" w:rsidRPr="00850E91" w:rsidRDefault="00BD76BD" w:rsidP="00BD76BD">
      <w:pPr>
        <w:pStyle w:val="ListNumber"/>
        <w:rPr>
          <w:rFonts w:ascii="ArialMT" w:eastAsia="Calibri" w:hAnsi="ArialMT" w:cs="ArialMT"/>
          <w:u w:val="single"/>
          <w:lang w:eastAsia="en-AU"/>
        </w:rPr>
      </w:pPr>
      <w:r w:rsidRPr="00850E91">
        <w:rPr>
          <w:rFonts w:ascii="ArialMT" w:eastAsia="Calibri" w:hAnsi="ArialMT" w:cs="ArialMT"/>
          <w:u w:val="single"/>
          <w:lang w:eastAsia="en-AU"/>
        </w:rPr>
        <w:t xml:space="preserve">Surface water, </w:t>
      </w:r>
      <w:proofErr w:type="gramStart"/>
      <w:r w:rsidRPr="00850E91">
        <w:rPr>
          <w:rFonts w:ascii="ArialMT" w:eastAsia="Calibri" w:hAnsi="ArialMT" w:cs="ArialMT"/>
          <w:u w:val="single"/>
          <w:lang w:eastAsia="en-AU"/>
        </w:rPr>
        <w:t>groundwater</w:t>
      </w:r>
      <w:proofErr w:type="gramEnd"/>
      <w:r w:rsidRPr="00850E91">
        <w:rPr>
          <w:rFonts w:ascii="ArialMT" w:eastAsia="Calibri" w:hAnsi="ArialMT" w:cs="ArialMT"/>
          <w:u w:val="single"/>
          <w:lang w:eastAsia="en-AU"/>
        </w:rPr>
        <w:t xml:space="preserve"> and groundwater-surface water interactions due to drawdown</w:t>
      </w:r>
    </w:p>
    <w:p w14:paraId="03D96220" w14:textId="66B8DD94" w:rsidR="00011954" w:rsidRPr="00850E91" w:rsidRDefault="71F23D4A" w:rsidP="78848B37">
      <w:pPr>
        <w:pStyle w:val="ListNumber"/>
        <w:numPr>
          <w:ilvl w:val="0"/>
          <w:numId w:val="18"/>
        </w:numPr>
        <w:rPr>
          <w:rFonts w:eastAsia="Arial"/>
        </w:rPr>
      </w:pPr>
      <w:r w:rsidRPr="00850E91">
        <w:t>The proponent has not adequately considered the</w:t>
      </w:r>
      <w:r w:rsidR="17D4AD1F" w:rsidRPr="00850E91">
        <w:t xml:space="preserve"> ecological</w:t>
      </w:r>
      <w:r w:rsidRPr="00850E91">
        <w:t xml:space="preserve"> impacts of </w:t>
      </w:r>
      <w:r w:rsidR="17D4AD1F" w:rsidRPr="00850E91">
        <w:t xml:space="preserve">groundwater </w:t>
      </w:r>
      <w:r w:rsidRPr="00850E91">
        <w:t>drawdown to surface water, groundwater and groundwater-surface water interactions and surface water assets, mostly focus</w:t>
      </w:r>
      <w:r w:rsidR="02580B6A" w:rsidRPr="00850E91">
        <w:t>ing</w:t>
      </w:r>
      <w:r w:rsidRPr="00850E91">
        <w:t xml:space="preserve"> their limited assessment on </w:t>
      </w:r>
      <w:r w:rsidR="02580B6A" w:rsidRPr="00850E91">
        <w:t>impacts</w:t>
      </w:r>
      <w:r w:rsidRPr="00850E91">
        <w:t xml:space="preserve"> </w:t>
      </w:r>
      <w:r w:rsidR="02580B6A" w:rsidRPr="00850E91">
        <w:t xml:space="preserve">to EPBC Act-listed </w:t>
      </w:r>
      <w:r w:rsidRPr="00850E91">
        <w:t xml:space="preserve">springs. </w:t>
      </w:r>
      <w:r w:rsidR="5927D301" w:rsidRPr="00850E91">
        <w:t>As perennial sources of water, s</w:t>
      </w:r>
      <w:r w:rsidR="2AB05260" w:rsidRPr="00850E91">
        <w:t>prings and watercourse</w:t>
      </w:r>
      <w:r w:rsidR="00814285" w:rsidRPr="00850E91">
        <w:t>s</w:t>
      </w:r>
      <w:r w:rsidR="7CD5EDD7" w:rsidRPr="00850E91">
        <w:t xml:space="preserve"> </w:t>
      </w:r>
      <w:r w:rsidR="2AB05260" w:rsidRPr="00850E91">
        <w:t xml:space="preserve">act as both </w:t>
      </w:r>
      <w:r w:rsidR="054BAC06" w:rsidRPr="00850E91">
        <w:t xml:space="preserve">ecological </w:t>
      </w:r>
      <w:r w:rsidR="2AB05260" w:rsidRPr="00850E91">
        <w:t>refuges and biological hotspots in semi-arid and arid environment</w:t>
      </w:r>
      <w:r w:rsidR="786218B2" w:rsidRPr="00850E91">
        <w:t>s</w:t>
      </w:r>
      <w:r w:rsidR="00832036" w:rsidRPr="00850E91">
        <w:t>, t</w:t>
      </w:r>
      <w:r w:rsidR="5711499D" w:rsidRPr="00850E91">
        <w:t xml:space="preserve">hey </w:t>
      </w:r>
      <w:r w:rsidR="5FBA3159" w:rsidRPr="00850E91">
        <w:t>fulfil ecological roles that extend far beyond their immediate spatial area (Davis et al. 2017)</w:t>
      </w:r>
      <w:r w:rsidR="38044C92" w:rsidRPr="00850E91">
        <w:t xml:space="preserve">. Springs, </w:t>
      </w:r>
      <w:proofErr w:type="gramStart"/>
      <w:r w:rsidR="32CEE489" w:rsidRPr="00850E91">
        <w:t>w</w:t>
      </w:r>
      <w:r w:rsidR="38044C92" w:rsidRPr="00850E91">
        <w:t>atercourses</w:t>
      </w:r>
      <w:proofErr w:type="gramEnd"/>
      <w:r w:rsidR="38044C92" w:rsidRPr="00850E91">
        <w:t xml:space="preserve"> and wetlands </w:t>
      </w:r>
      <w:r w:rsidR="6224BB45" w:rsidRPr="00850E91">
        <w:t xml:space="preserve">not only support habitats for aquatic </w:t>
      </w:r>
      <w:r w:rsidR="3EE0DBFE" w:rsidRPr="00850E91">
        <w:t xml:space="preserve">species </w:t>
      </w:r>
      <w:r w:rsidR="6224BB45" w:rsidRPr="00850E91">
        <w:t xml:space="preserve">they provide </w:t>
      </w:r>
      <w:r w:rsidR="2CAE4CB8" w:rsidRPr="00850E91">
        <w:t xml:space="preserve">a mosaic of </w:t>
      </w:r>
      <w:r w:rsidR="1E6875B7" w:rsidRPr="00850E91">
        <w:t>surface water sites</w:t>
      </w:r>
      <w:r w:rsidR="47EF6EE5" w:rsidRPr="00850E91">
        <w:t xml:space="preserve">, and linear riparian corridors, </w:t>
      </w:r>
      <w:r w:rsidR="1E6875B7" w:rsidRPr="00850E91">
        <w:t>that enable terrestrial</w:t>
      </w:r>
      <w:r w:rsidR="0E6DDDB4" w:rsidRPr="00850E91">
        <w:t xml:space="preserve"> species to move </w:t>
      </w:r>
      <w:r w:rsidR="54BC9BAD" w:rsidRPr="00850E91">
        <w:t>within an</w:t>
      </w:r>
      <w:r w:rsidR="72B3F377" w:rsidRPr="00850E91">
        <w:t>d</w:t>
      </w:r>
      <w:r w:rsidR="54BC9BAD" w:rsidRPr="00850E91">
        <w:t xml:space="preserve"> </w:t>
      </w:r>
      <w:r w:rsidR="0E6DDDB4" w:rsidRPr="00850E91">
        <w:t>across a region</w:t>
      </w:r>
      <w:r w:rsidR="4C1CD170" w:rsidRPr="00850E91">
        <w:t>. Th</w:t>
      </w:r>
      <w:r w:rsidR="539F2902" w:rsidRPr="00850E91">
        <w:t>is</w:t>
      </w:r>
      <w:r w:rsidR="0E6DDDB4" w:rsidRPr="00850E91">
        <w:t xml:space="preserve"> connectivity </w:t>
      </w:r>
      <w:r w:rsidR="1B87D8C2" w:rsidRPr="00850E91">
        <w:t xml:space="preserve">is needed to </w:t>
      </w:r>
      <w:r w:rsidR="07188639" w:rsidRPr="00850E91">
        <w:t>ensure that EPBC</w:t>
      </w:r>
      <w:r w:rsidR="00A87684" w:rsidRPr="00850E91">
        <w:t xml:space="preserve"> Act-</w:t>
      </w:r>
      <w:r w:rsidR="07188639" w:rsidRPr="00850E91">
        <w:t xml:space="preserve">listed and other species persist within </w:t>
      </w:r>
      <w:r w:rsidR="1B27CBE9" w:rsidRPr="00850E91">
        <w:t xml:space="preserve">landscapes </w:t>
      </w:r>
      <w:r w:rsidR="07188639" w:rsidRPr="00850E91">
        <w:t xml:space="preserve">fragmented </w:t>
      </w:r>
      <w:r w:rsidR="2EF1C70F" w:rsidRPr="00850E91">
        <w:t xml:space="preserve">by resource extraction, agricultural and other </w:t>
      </w:r>
      <w:r w:rsidR="168DAF84" w:rsidRPr="00850E91">
        <w:t>i</w:t>
      </w:r>
      <w:r w:rsidR="2EF1C70F" w:rsidRPr="00850E91">
        <w:t>ndustries.</w:t>
      </w:r>
      <w:r w:rsidR="7B402827" w:rsidRPr="00850E91">
        <w:t xml:space="preserve"> </w:t>
      </w:r>
      <w:r w:rsidR="4D14D5E2" w:rsidRPr="00850E91">
        <w:t xml:space="preserve">Potential </w:t>
      </w:r>
      <w:r w:rsidRPr="00850E91">
        <w:t>impacts of drawdown to</w:t>
      </w:r>
      <w:r w:rsidR="02580B6A" w:rsidRPr="00850E91">
        <w:t xml:space="preserve"> all springs, watercourse springs, watercourses, </w:t>
      </w:r>
      <w:proofErr w:type="gramStart"/>
      <w:r w:rsidR="02580B6A" w:rsidRPr="00850E91">
        <w:t>wetlands</w:t>
      </w:r>
      <w:proofErr w:type="gramEnd"/>
      <w:r w:rsidR="02580B6A" w:rsidRPr="00850E91">
        <w:t xml:space="preserve"> and any other surface expressions of groundwater in the project area should be considered</w:t>
      </w:r>
      <w:r w:rsidR="0FC1C897" w:rsidRPr="00850E91">
        <w:t xml:space="preserve">, especially as the OGIA model </w:t>
      </w:r>
      <w:r w:rsidR="724A9403" w:rsidRPr="00850E91">
        <w:t>is not able to</w:t>
      </w:r>
      <w:r w:rsidR="5424A9E6" w:rsidRPr="00850E91">
        <w:t xml:space="preserve"> robustly predict</w:t>
      </w:r>
      <w:r w:rsidR="0FC1C897" w:rsidRPr="00850E91">
        <w:t xml:space="preserve"> local-scale connectivity between surface</w:t>
      </w:r>
      <w:r w:rsidR="3B33B5BA" w:rsidRPr="00850E91">
        <w:t xml:space="preserve"> water ecosystems and hydrogeological processes in Layer 1</w:t>
      </w:r>
      <w:r w:rsidR="7D7D0E55" w:rsidRPr="00850E91">
        <w:t xml:space="preserve"> at an appropriate scale for predicting </w:t>
      </w:r>
      <w:r w:rsidR="5424A9E6" w:rsidRPr="00850E91">
        <w:t xml:space="preserve">ecological </w:t>
      </w:r>
      <w:r w:rsidR="7D7D0E55" w:rsidRPr="00850E91">
        <w:t>impacts</w:t>
      </w:r>
      <w:r w:rsidR="02580B6A" w:rsidRPr="00850E91">
        <w:t>.</w:t>
      </w:r>
      <w:r w:rsidR="65A2340A" w:rsidRPr="00850E91">
        <w:t xml:space="preserve"> </w:t>
      </w:r>
    </w:p>
    <w:p w14:paraId="3B6250C0" w14:textId="77777777" w:rsidR="00753BE4" w:rsidRPr="00850E91" w:rsidRDefault="00753BE4" w:rsidP="00753BE4">
      <w:pPr>
        <w:pStyle w:val="ListNumber"/>
        <w:rPr>
          <w:u w:val="single"/>
        </w:rPr>
      </w:pPr>
      <w:r w:rsidRPr="00850E91">
        <w:rPr>
          <w:u w:val="single"/>
        </w:rPr>
        <w:t>Discharge and the disposal of water-treatment by-products</w:t>
      </w:r>
    </w:p>
    <w:p w14:paraId="66891F77" w14:textId="315AC5D8" w:rsidR="00753BE4" w:rsidRPr="00850E91" w:rsidRDefault="20555C56" w:rsidP="0DB46BDA">
      <w:pPr>
        <w:pStyle w:val="ListNumber"/>
        <w:numPr>
          <w:ilvl w:val="0"/>
          <w:numId w:val="18"/>
        </w:numPr>
        <w:rPr>
          <w:rFonts w:eastAsia="Arial"/>
        </w:rPr>
      </w:pPr>
      <w:r w:rsidRPr="00850E91">
        <w:t>The IESC notes that</w:t>
      </w:r>
      <w:r w:rsidR="43EC20F1" w:rsidRPr="00850E91">
        <w:t xml:space="preserve"> 72.4 GL of water is expected to be </w:t>
      </w:r>
      <w:r w:rsidR="3B583EE9" w:rsidRPr="00850E91">
        <w:t>produced (abstracted)</w:t>
      </w:r>
      <w:r w:rsidR="43EC20F1" w:rsidRPr="00850E91">
        <w:t xml:space="preserve"> over the life of the project</w:t>
      </w:r>
      <w:r w:rsidR="1DD85720" w:rsidRPr="00850E91">
        <w:t xml:space="preserve"> (Origin Energy 2021, App F, pp. 23-24)</w:t>
      </w:r>
      <w:r w:rsidR="43EC20F1" w:rsidRPr="00850E91">
        <w:t xml:space="preserve">, and that </w:t>
      </w:r>
      <w:r w:rsidRPr="00850E91">
        <w:t xml:space="preserve">produced water is expected to range from highly brackish to saline </w:t>
      </w:r>
      <w:r w:rsidR="1DD85720" w:rsidRPr="00850E91">
        <w:t xml:space="preserve">(Origin Energy 2021, App F, pp. </w:t>
      </w:r>
      <w:r w:rsidR="3B583EE9" w:rsidRPr="00850E91">
        <w:t>29, 34</w:t>
      </w:r>
      <w:r w:rsidRPr="00850E91">
        <w:t>)</w:t>
      </w:r>
      <w:r w:rsidR="43EC20F1" w:rsidRPr="00850E91">
        <w:t xml:space="preserve">. </w:t>
      </w:r>
      <w:r w:rsidR="35A33600" w:rsidRPr="00850E91">
        <w:t>P</w:t>
      </w:r>
      <w:r w:rsidRPr="00850E91">
        <w:t>roduced water will be managed through existing infrastructure</w:t>
      </w:r>
      <w:r w:rsidR="0036694B" w:rsidRPr="00850E91">
        <w:t xml:space="preserve"> offsite</w:t>
      </w:r>
      <w:r w:rsidRPr="00850E91">
        <w:t xml:space="preserve"> (Origin Energy 2021, App F, p. iii) and the proponent has existing permits to discharge water into the environment (</w:t>
      </w:r>
      <w:r w:rsidR="7264B944" w:rsidRPr="00850E91">
        <w:t>e.g.</w:t>
      </w:r>
      <w:r w:rsidR="21B04426" w:rsidRPr="00850E91">
        <w:t>,</w:t>
      </w:r>
      <w:r w:rsidR="7264B944" w:rsidRPr="00850E91">
        <w:t xml:space="preserve"> </w:t>
      </w:r>
      <w:r w:rsidRPr="00850E91">
        <w:t>Origin Energy 2021, App. F, App. V, p. 20</w:t>
      </w:r>
      <w:r w:rsidR="7264B944" w:rsidRPr="00850E91">
        <w:t>)</w:t>
      </w:r>
      <w:r w:rsidRPr="00850E91">
        <w:t xml:space="preserve">. </w:t>
      </w:r>
      <w:bookmarkStart w:id="0" w:name="_Hlk94017715"/>
      <w:r w:rsidR="3FD1D338" w:rsidRPr="00850E91">
        <w:t xml:space="preserve">Further information on treatment, disposal and potential impacts is not provided. </w:t>
      </w:r>
      <w:r w:rsidRPr="00850E91">
        <w:t xml:space="preserve">The proponent </w:t>
      </w:r>
      <w:r w:rsidR="7264B944" w:rsidRPr="00850E91">
        <w:t>must</w:t>
      </w:r>
      <w:r w:rsidRPr="00850E91">
        <w:t xml:space="preserve"> </w:t>
      </w:r>
      <w:r w:rsidR="00396356" w:rsidRPr="00850E91">
        <w:t xml:space="preserve">justify </w:t>
      </w:r>
      <w:r w:rsidRPr="00850E91">
        <w:t>produced water treatment methods</w:t>
      </w:r>
      <w:r w:rsidR="7264B944" w:rsidRPr="00850E91">
        <w:t>, provide locations of</w:t>
      </w:r>
      <w:r w:rsidRPr="00850E91">
        <w:t xml:space="preserve"> discharge </w:t>
      </w:r>
      <w:proofErr w:type="gramStart"/>
      <w:r w:rsidRPr="00850E91">
        <w:t>sites</w:t>
      </w:r>
      <w:proofErr w:type="gramEnd"/>
      <w:r w:rsidRPr="00850E91">
        <w:t xml:space="preserve"> and assess what impact releases might have on the </w:t>
      </w:r>
      <w:r w:rsidR="7264B944" w:rsidRPr="00850E91">
        <w:t xml:space="preserve">immediate and downstream </w:t>
      </w:r>
      <w:r w:rsidRPr="00850E91">
        <w:t>receiving environment</w:t>
      </w:r>
      <w:r w:rsidR="2B8A8C5F" w:rsidRPr="00850E91">
        <w:t>s</w:t>
      </w:r>
      <w:r w:rsidRPr="00850E91">
        <w:t xml:space="preserve">. </w:t>
      </w:r>
      <w:r w:rsidR="21E18139" w:rsidRPr="00850E91">
        <w:t>Additional detail</w:t>
      </w:r>
      <w:r w:rsidR="665FF968" w:rsidRPr="00850E91">
        <w:rPr>
          <w:rFonts w:eastAsia="Arial"/>
        </w:rPr>
        <w:t>s should be provided</w:t>
      </w:r>
      <w:r w:rsidR="21E18139" w:rsidRPr="00850E91">
        <w:t xml:space="preserve"> regarding </w:t>
      </w:r>
      <w:r w:rsidR="011E7543" w:rsidRPr="00850E91">
        <w:t xml:space="preserve">the water </w:t>
      </w:r>
      <w:r w:rsidR="21E18139" w:rsidRPr="00850E91">
        <w:t xml:space="preserve">quality of </w:t>
      </w:r>
      <w:r w:rsidR="011E7543" w:rsidRPr="00850E91">
        <w:t xml:space="preserve">the </w:t>
      </w:r>
      <w:r w:rsidR="21E18139" w:rsidRPr="00850E91">
        <w:t>released water</w:t>
      </w:r>
      <w:r w:rsidR="011E7543" w:rsidRPr="00850E91">
        <w:t xml:space="preserve"> and</w:t>
      </w:r>
      <w:r w:rsidR="21E18139" w:rsidRPr="00850E91">
        <w:t xml:space="preserve"> </w:t>
      </w:r>
      <w:r w:rsidR="011E7543" w:rsidRPr="00850E91">
        <w:t xml:space="preserve">of water in the </w:t>
      </w:r>
      <w:r w:rsidR="21E18139" w:rsidRPr="00850E91">
        <w:t>receiving environment (if applicable)</w:t>
      </w:r>
      <w:r w:rsidR="011E7543" w:rsidRPr="00850E91">
        <w:t xml:space="preserve"> and</w:t>
      </w:r>
      <w:r w:rsidR="21E18139" w:rsidRPr="00850E91">
        <w:t xml:space="preserve"> regime of release</w:t>
      </w:r>
      <w:r w:rsidR="26C7C981" w:rsidRPr="00850E91">
        <w:t xml:space="preserve">. </w:t>
      </w:r>
    </w:p>
    <w:bookmarkEnd w:id="0"/>
    <w:p w14:paraId="35BE30D5" w14:textId="42EDD297" w:rsidR="00A1046E" w:rsidRPr="00850E91" w:rsidRDefault="29020F1F" w:rsidP="78848B37">
      <w:pPr>
        <w:pStyle w:val="ListNumber2"/>
        <w:numPr>
          <w:ilvl w:val="0"/>
          <w:numId w:val="18"/>
        </w:numPr>
        <w:rPr>
          <w:rFonts w:eastAsia="Arial"/>
        </w:rPr>
      </w:pPr>
      <w:r w:rsidRPr="00850E91">
        <w:t xml:space="preserve">The proponent intends to </w:t>
      </w:r>
      <w:r w:rsidR="02580B6A" w:rsidRPr="00850E91">
        <w:t>dispose</w:t>
      </w:r>
      <w:r w:rsidRPr="00850E91">
        <w:t xml:space="preserve"> waste salts </w:t>
      </w:r>
      <w:r w:rsidR="7F834966" w:rsidRPr="00850E91">
        <w:t xml:space="preserve">and </w:t>
      </w:r>
      <w:r w:rsidRPr="00850E91">
        <w:t xml:space="preserve">brine in </w:t>
      </w:r>
      <w:r w:rsidR="740F7AF1" w:rsidRPr="00850E91">
        <w:t>a regulated waste</w:t>
      </w:r>
      <w:r w:rsidRPr="00850E91">
        <w:t xml:space="preserve"> facilit</w:t>
      </w:r>
      <w:r w:rsidR="740F7AF1" w:rsidRPr="00850E91">
        <w:t>y</w:t>
      </w:r>
      <w:r w:rsidRPr="00850E91">
        <w:t xml:space="preserve"> if beneficial reuse options are</w:t>
      </w:r>
      <w:r w:rsidR="7F834966" w:rsidRPr="00850E91">
        <w:t xml:space="preserve"> not possible</w:t>
      </w:r>
      <w:r w:rsidR="740F7AF1" w:rsidRPr="00850E91">
        <w:t xml:space="preserve"> (Origin Energy 2021, App. F, pp. 29-30)</w:t>
      </w:r>
      <w:r w:rsidRPr="00850E91">
        <w:t xml:space="preserve">. </w:t>
      </w:r>
      <w:r w:rsidR="7F834966" w:rsidRPr="00850E91">
        <w:t>The IESC notes</w:t>
      </w:r>
      <w:r w:rsidRPr="00850E91">
        <w:t xml:space="preserve"> that brine may include other contaminants</w:t>
      </w:r>
      <w:r w:rsidR="5A627D99" w:rsidRPr="00850E91">
        <w:t xml:space="preserve"> (</w:t>
      </w:r>
      <w:r w:rsidR="7F834966" w:rsidRPr="00850E91">
        <w:t>e.g.</w:t>
      </w:r>
      <w:r w:rsidR="741FC3C2" w:rsidRPr="00850E91">
        <w:t>,</w:t>
      </w:r>
      <w:r w:rsidR="7F834966" w:rsidRPr="00850E91">
        <w:t xml:space="preserve"> metals</w:t>
      </w:r>
      <w:r w:rsidR="5623BFF8" w:rsidRPr="00850E91">
        <w:t>)</w:t>
      </w:r>
      <w:r w:rsidRPr="00850E91">
        <w:t>, particularly if filtration plants</w:t>
      </w:r>
      <w:r w:rsidR="336E354C" w:rsidRPr="00850E91">
        <w:t>’</w:t>
      </w:r>
      <w:r w:rsidRPr="00850E91">
        <w:t xml:space="preserve"> solids are disposed of in brine </w:t>
      </w:r>
      <w:r w:rsidR="740F7AF1" w:rsidRPr="00850E91">
        <w:t>storage</w:t>
      </w:r>
      <w:r w:rsidR="0A7C96C9" w:rsidRPr="00850E91">
        <w:t>s</w:t>
      </w:r>
      <w:r w:rsidRPr="00850E91">
        <w:t xml:space="preserve">. </w:t>
      </w:r>
      <w:r w:rsidR="7E137497" w:rsidRPr="00850E91">
        <w:t>T</w:t>
      </w:r>
      <w:r w:rsidRPr="00850E91">
        <w:t xml:space="preserve">he IESC </w:t>
      </w:r>
      <w:r w:rsidR="740F7AF1" w:rsidRPr="00850E91">
        <w:t>is</w:t>
      </w:r>
      <w:r w:rsidRPr="00850E91">
        <w:t xml:space="preserve"> concerned about the legacy issues of brine management and disposal </w:t>
      </w:r>
      <w:r w:rsidR="740F7AF1" w:rsidRPr="00850E91">
        <w:t>as</w:t>
      </w:r>
      <w:r w:rsidRPr="00850E91">
        <w:t xml:space="preserve"> long-term storage constitutes a risk, particularly from leaks and seepages. Whether this occurs on</w:t>
      </w:r>
      <w:r w:rsidR="740F7AF1" w:rsidRPr="00850E91">
        <w:t xml:space="preserve"> </w:t>
      </w:r>
      <w:r w:rsidRPr="00850E91">
        <w:t xml:space="preserve">or offsite is immaterial to these risks and the proponent should provide sufficient information regarding </w:t>
      </w:r>
      <w:r w:rsidR="01DD11F9" w:rsidRPr="00850E91">
        <w:t xml:space="preserve">storage </w:t>
      </w:r>
      <w:r w:rsidRPr="00850E91">
        <w:t xml:space="preserve">facilities to </w:t>
      </w:r>
      <w:r w:rsidR="64225AC0" w:rsidRPr="00850E91">
        <w:rPr>
          <w:rFonts w:eastAsia="Arial"/>
        </w:rPr>
        <w:t>increase confidence</w:t>
      </w:r>
      <w:r w:rsidRPr="00850E91">
        <w:t xml:space="preserve"> that no impacts will occur. Appropriate monitoring </w:t>
      </w:r>
      <w:r w:rsidR="34F29EDA" w:rsidRPr="00850E91">
        <w:rPr>
          <w:rFonts w:eastAsia="Arial"/>
        </w:rPr>
        <w:t xml:space="preserve">of </w:t>
      </w:r>
      <w:r w:rsidR="5F34EA70" w:rsidRPr="00850E91">
        <w:t xml:space="preserve">seepage </w:t>
      </w:r>
      <w:r w:rsidR="006E763E" w:rsidRPr="00850E91">
        <w:t xml:space="preserve">(e.g., volume and water quality) </w:t>
      </w:r>
      <w:r w:rsidR="5F34EA70" w:rsidRPr="00850E91">
        <w:t>from pond storages</w:t>
      </w:r>
      <w:r w:rsidR="1709246A" w:rsidRPr="00850E91">
        <w:t xml:space="preserve"> </w:t>
      </w:r>
      <w:r w:rsidRPr="00850E91">
        <w:t xml:space="preserve">should accompany any long-term storage plans. </w:t>
      </w:r>
    </w:p>
    <w:p w14:paraId="0CB2296A" w14:textId="4641DAD2" w:rsidR="00554A98" w:rsidRPr="00850E91" w:rsidRDefault="04D8BE5B" w:rsidP="00554A98">
      <w:pPr>
        <w:pStyle w:val="ListParagraph"/>
        <w:numPr>
          <w:ilvl w:val="0"/>
          <w:numId w:val="18"/>
        </w:numPr>
      </w:pPr>
      <w:bookmarkStart w:id="1" w:name="_Hlk94871263"/>
      <w:r w:rsidRPr="00850E91">
        <w:t xml:space="preserve">The proponent has undertaken a comprehensive risk assessment of drilling, hydraulic </w:t>
      </w:r>
      <w:proofErr w:type="gramStart"/>
      <w:r w:rsidRPr="00850E91">
        <w:t>fracturing</w:t>
      </w:r>
      <w:proofErr w:type="gramEnd"/>
      <w:r w:rsidRPr="00850E91">
        <w:t xml:space="preserve"> and water treatment chemicals. </w:t>
      </w:r>
      <w:r w:rsidR="00B7078D" w:rsidRPr="00B7078D">
        <w:t>Although the ‘predicted no effects concentrations’ for several chemicals tested in water and soil are exceeded, the limited possible exposure pathways (apart from accidental release) suggest that the overall risk of these chemicals to biota is low</w:t>
      </w:r>
      <w:r w:rsidR="00B7078D">
        <w:t xml:space="preserve">. </w:t>
      </w:r>
      <w:r w:rsidR="6E2816C8" w:rsidRPr="00850E91">
        <w:t xml:space="preserve">However, </w:t>
      </w:r>
      <w:r w:rsidR="0E50585B" w:rsidRPr="00850E91">
        <w:t>t</w:t>
      </w:r>
      <w:r w:rsidR="6E2816C8" w:rsidRPr="00850E91">
        <w:t>he proponent should expand their risk assessment to include all relevant geogenic chemicals, including metals, metalloids and naturally</w:t>
      </w:r>
      <w:r w:rsidR="3EB067DD" w:rsidRPr="00850E91">
        <w:t xml:space="preserve"> </w:t>
      </w:r>
      <w:r w:rsidR="0E50585B" w:rsidRPr="00850E91">
        <w:t>occurring</w:t>
      </w:r>
      <w:r w:rsidR="6E2816C8" w:rsidRPr="00850E91">
        <w:t xml:space="preserve"> radioactive materials. </w:t>
      </w:r>
    </w:p>
    <w:bookmarkEnd w:id="1"/>
    <w:p w14:paraId="50E4F837" w14:textId="10D0B300" w:rsidR="00AE0CC5" w:rsidRPr="00850E91" w:rsidRDefault="520F5CEE" w:rsidP="00072504">
      <w:pPr>
        <w:pStyle w:val="ListNumber"/>
        <w:numPr>
          <w:ilvl w:val="0"/>
          <w:numId w:val="18"/>
        </w:numPr>
      </w:pPr>
      <w:r w:rsidRPr="00850E91">
        <w:t xml:space="preserve">Further, the proponent should consider the potential impacts of reuse of waste drilling fluids </w:t>
      </w:r>
      <w:r w:rsidR="583DEFD9" w:rsidRPr="00850E91">
        <w:t>on-</w:t>
      </w:r>
      <w:r w:rsidRPr="00850E91">
        <w:t>site</w:t>
      </w:r>
      <w:r w:rsidR="7B3A4572" w:rsidRPr="00850E91">
        <w:t xml:space="preserve"> (Origin Energy 2021, App. I, pp. 8-9)</w:t>
      </w:r>
      <w:r w:rsidRPr="00850E91">
        <w:t xml:space="preserve"> </w:t>
      </w:r>
      <w:r w:rsidR="7168DAD2" w:rsidRPr="00850E91">
        <w:t xml:space="preserve">to the receiving environment. </w:t>
      </w:r>
    </w:p>
    <w:p w14:paraId="360C0FC8" w14:textId="66F0AC39" w:rsidR="00294A1B" w:rsidRPr="00850E91" w:rsidRDefault="0047786B" w:rsidP="00B371CB">
      <w:pPr>
        <w:pStyle w:val="Question"/>
        <w:shd w:val="clear" w:color="auto" w:fill="E7E6E6"/>
        <w:rPr>
          <w:rFonts w:eastAsia="Calibri"/>
          <w:color w:val="000000"/>
          <w:lang w:eastAsia="en-AU"/>
        </w:rPr>
      </w:pPr>
      <w:r w:rsidRPr="00850E91">
        <w:lastRenderedPageBreak/>
        <w:t xml:space="preserve">Question 3: </w:t>
      </w:r>
      <w:r w:rsidR="007167D1" w:rsidRPr="00850E91">
        <w:rPr>
          <w:rFonts w:eastAsia="Calibri"/>
          <w:color w:val="000000"/>
          <w:lang w:eastAsia="en-AU"/>
        </w:rPr>
        <w:t xml:space="preserve">Does the IESC consider there is adequate consideration of the proposed action’s contribution to cumulative impacts associated with other coal seam gas production and mining activities in the area? If not, what additional work is required to adequately assess the proposed action’s contribution to cumulative impacts? </w:t>
      </w:r>
    </w:p>
    <w:p w14:paraId="5F67655B" w14:textId="18A9C075" w:rsidR="00B82614" w:rsidRPr="00850E91" w:rsidRDefault="2B11AB46" w:rsidP="78848B37">
      <w:pPr>
        <w:pStyle w:val="ListNumber"/>
        <w:numPr>
          <w:ilvl w:val="0"/>
          <w:numId w:val="18"/>
        </w:numPr>
        <w:rPr>
          <w:rFonts w:eastAsia="Arial"/>
        </w:rPr>
      </w:pPr>
      <w:r w:rsidRPr="00850E91">
        <w:t>The proponent considers that</w:t>
      </w:r>
      <w:r w:rsidR="7B2BBFE5" w:rsidRPr="00850E91">
        <w:t>,</w:t>
      </w:r>
      <w:r w:rsidRPr="00850E91">
        <w:t xml:space="preserve"> as their contribution to cumulative groundwater drawdown is relatively small, there will not be a significant impact</w:t>
      </w:r>
      <w:r w:rsidR="1BD763F0" w:rsidRPr="00850E91">
        <w:t xml:space="preserve"> to </w:t>
      </w:r>
      <w:r w:rsidR="58CC5AE6" w:rsidRPr="00850E91">
        <w:rPr>
          <w:rFonts w:eastAsia="Arial"/>
        </w:rPr>
        <w:t>surface-expression GDEs</w:t>
      </w:r>
      <w:r w:rsidR="40E75237" w:rsidRPr="00850E91">
        <w:rPr>
          <w:rFonts w:eastAsia="Arial"/>
        </w:rPr>
        <w:t xml:space="preserve"> (</w:t>
      </w:r>
      <w:r w:rsidR="40E75237" w:rsidRPr="00850E91">
        <w:t>Origin Energy 2021, p. 236)</w:t>
      </w:r>
      <w:r w:rsidRPr="00850E91">
        <w:t xml:space="preserve">. The IESC disagrees with </w:t>
      </w:r>
      <w:r w:rsidR="0B284572" w:rsidRPr="00850E91">
        <w:rPr>
          <w:rFonts w:eastAsia="Arial"/>
        </w:rPr>
        <w:t>this statement because there is not always a direct relationship between the magnitude of hydrogeological processes such as drawdown and the severity of ecological impacts on GDEs. This is especially true when some ‘tipping point’ for a threshold requirement (e.g., maximum depth of rooting zone for groundwater-dependent vegetation in an area) is exceeded by a small but critical amount of drawdown. B</w:t>
      </w:r>
      <w:r w:rsidR="57644877" w:rsidRPr="00850E91">
        <w:t xml:space="preserve">ecause of the project’s </w:t>
      </w:r>
      <w:r w:rsidR="001106EA" w:rsidRPr="00850E91">
        <w:t xml:space="preserve">large </w:t>
      </w:r>
      <w:r w:rsidR="57644877" w:rsidRPr="00850E91">
        <w:t xml:space="preserve">spatial </w:t>
      </w:r>
      <w:r w:rsidR="2C3D36C3" w:rsidRPr="00850E91">
        <w:t>(</w:t>
      </w:r>
      <w:r w:rsidR="574D515A" w:rsidRPr="00850E91">
        <w:rPr>
          <w:rFonts w:eastAsia="Arial"/>
        </w:rPr>
        <w:t>4765 km</w:t>
      </w:r>
      <w:r w:rsidR="574D515A" w:rsidRPr="00850E91">
        <w:rPr>
          <w:rFonts w:eastAsia="Arial"/>
          <w:vertAlign w:val="superscript"/>
        </w:rPr>
        <w:t>2</w:t>
      </w:r>
      <w:r w:rsidR="2C3D36C3" w:rsidRPr="00850E91">
        <w:t xml:space="preserve">) </w:t>
      </w:r>
      <w:r w:rsidR="57644877" w:rsidRPr="00850E91">
        <w:t>and temporal</w:t>
      </w:r>
      <w:r w:rsidR="6920EA4A" w:rsidRPr="00850E91">
        <w:t xml:space="preserve"> </w:t>
      </w:r>
      <w:r w:rsidR="57644877" w:rsidRPr="00850E91">
        <w:t>extent</w:t>
      </w:r>
      <w:r w:rsidR="6920EA4A" w:rsidRPr="00850E91">
        <w:t xml:space="preserve"> (up to 50 years)</w:t>
      </w:r>
      <w:r w:rsidR="2EF0E1DD" w:rsidRPr="00850E91">
        <w:t>,</w:t>
      </w:r>
      <w:r w:rsidRPr="00850E91">
        <w:t xml:space="preserve"> </w:t>
      </w:r>
      <w:r w:rsidR="61F05745" w:rsidRPr="00850E91">
        <w:rPr>
          <w:rFonts w:eastAsia="Arial"/>
        </w:rPr>
        <w:t xml:space="preserve">the IESC </w:t>
      </w:r>
      <w:r w:rsidRPr="00850E91">
        <w:t xml:space="preserve">is concerned that the project’s contribution to cumulative impacts </w:t>
      </w:r>
      <w:r w:rsidR="559DC2A1" w:rsidRPr="00850E91">
        <w:t>has a</w:t>
      </w:r>
      <w:r w:rsidR="3AF35B41" w:rsidRPr="00850E91">
        <w:t xml:space="preserve"> high</w:t>
      </w:r>
      <w:r w:rsidR="559DC2A1" w:rsidRPr="00850E91">
        <w:t xml:space="preserve"> risk of exceeding</w:t>
      </w:r>
      <w:r w:rsidRPr="00850E91">
        <w:t xml:space="preserve"> an ecological ‘tipping</w:t>
      </w:r>
      <w:r w:rsidR="15DA4B2E" w:rsidRPr="00850E91">
        <w:t xml:space="preserve"> </w:t>
      </w:r>
      <w:r w:rsidRPr="00850E91">
        <w:t xml:space="preserve">point’ </w:t>
      </w:r>
      <w:r w:rsidR="4C944C56" w:rsidRPr="00850E91">
        <w:t>for</w:t>
      </w:r>
      <w:r w:rsidR="49104490" w:rsidRPr="00850E91">
        <w:rPr>
          <w:rFonts w:eastAsia="Arial"/>
        </w:rPr>
        <w:t xml:space="preserve"> one or more threshold ecohydrological requirements for some of these water-dependent assets. For example, breaching tipping points may alter flow regimes or key ecological processes in specific areas </w:t>
      </w:r>
      <w:r w:rsidR="1A2EA613" w:rsidRPr="00850E91">
        <w:rPr>
          <w:rFonts w:eastAsia="Arial"/>
        </w:rPr>
        <w:t>leading to</w:t>
      </w:r>
      <w:r w:rsidR="49104490" w:rsidRPr="00850E91">
        <w:rPr>
          <w:rFonts w:eastAsia="Arial"/>
        </w:rPr>
        <w:t xml:space="preserve"> irreversible repercussions on downstream water-dependent assets. There may also be broader regional impacts if critical habitats or assemblages are impacted, affecting the integrity of the ecological mosaic of these ecosystems across the Surat CMA</w:t>
      </w:r>
      <w:r w:rsidRPr="00850E91">
        <w:t>.</w:t>
      </w:r>
    </w:p>
    <w:p w14:paraId="07230469" w14:textId="43491801" w:rsidR="00BA1926" w:rsidRPr="00850E91" w:rsidRDefault="292EF1F3" w:rsidP="1153EB75">
      <w:pPr>
        <w:pStyle w:val="ListNumber"/>
        <w:numPr>
          <w:ilvl w:val="0"/>
          <w:numId w:val="18"/>
        </w:numPr>
        <w:rPr>
          <w:rFonts w:eastAsia="Arial"/>
        </w:rPr>
      </w:pPr>
      <w:r w:rsidRPr="00850E91">
        <w:t xml:space="preserve">The proponent </w:t>
      </w:r>
      <w:r w:rsidR="38C5A248" w:rsidRPr="00850E91">
        <w:t xml:space="preserve">must </w:t>
      </w:r>
      <w:r w:rsidRPr="00850E91">
        <w:t>provide a</w:t>
      </w:r>
      <w:r w:rsidR="05032B39" w:rsidRPr="00850E91">
        <w:t>n ecohydrological</w:t>
      </w:r>
      <w:r w:rsidRPr="00850E91">
        <w:t xml:space="preserve"> conceptualisation of how</w:t>
      </w:r>
      <w:r w:rsidR="616C64CC" w:rsidRPr="00850E91">
        <w:t xml:space="preserve"> the project </w:t>
      </w:r>
      <w:r w:rsidRPr="00850E91">
        <w:t xml:space="preserve">will impact the quality and </w:t>
      </w:r>
      <w:r w:rsidR="77149C80" w:rsidRPr="00850E91">
        <w:rPr>
          <w:rFonts w:eastAsia="Arial"/>
        </w:rPr>
        <w:t xml:space="preserve">ecological </w:t>
      </w:r>
      <w:r w:rsidR="51AB5E5C" w:rsidRPr="00850E91">
        <w:t xml:space="preserve">condition </w:t>
      </w:r>
      <w:r w:rsidRPr="00850E91">
        <w:t xml:space="preserve">of </w:t>
      </w:r>
      <w:r w:rsidR="2B11AB46" w:rsidRPr="00850E91">
        <w:t xml:space="preserve">all water resources in the area, including </w:t>
      </w:r>
      <w:r w:rsidRPr="00850E91">
        <w:t xml:space="preserve">springs, watercourse springs, watercourses, terrestrial GDES and subterranean GDEs and any associated ecosystems or species. </w:t>
      </w:r>
      <w:r w:rsidR="38C5A248" w:rsidRPr="00850E91">
        <w:t xml:space="preserve">This conceptualisation must </w:t>
      </w:r>
      <w:r w:rsidR="6933129F" w:rsidRPr="00850E91">
        <w:t>evaluate</w:t>
      </w:r>
      <w:r w:rsidR="38C5A248" w:rsidRPr="00850E91">
        <w:t xml:space="preserve"> the project’s </w:t>
      </w:r>
      <w:r w:rsidR="3F07DE5A" w:rsidRPr="00850E91">
        <w:rPr>
          <w:rFonts w:eastAsia="Arial"/>
        </w:rPr>
        <w:t xml:space="preserve">potential </w:t>
      </w:r>
      <w:r w:rsidR="38C5A248" w:rsidRPr="00850E91">
        <w:t>contribution to cumulative impacts</w:t>
      </w:r>
      <w:r w:rsidR="33CB77A8" w:rsidRPr="00850E91">
        <w:t xml:space="preserve"> to </w:t>
      </w:r>
      <w:r w:rsidR="2CA3BCF6" w:rsidRPr="00850E91">
        <w:t xml:space="preserve">all </w:t>
      </w:r>
      <w:r w:rsidR="33CB77A8" w:rsidRPr="00850E91">
        <w:t>water-dependent assets</w:t>
      </w:r>
      <w:r w:rsidR="38C5A248" w:rsidRPr="00850E91">
        <w:t>,</w:t>
      </w:r>
      <w:r w:rsidRPr="00850E91">
        <w:t xml:space="preserve"> </w:t>
      </w:r>
      <w:r w:rsidR="4D8E502C" w:rsidRPr="00850E91">
        <w:rPr>
          <w:rFonts w:eastAsia="Arial"/>
        </w:rPr>
        <w:t>specifically</w:t>
      </w:r>
      <w:r w:rsidRPr="00850E91">
        <w:t xml:space="preserve"> consider the </w:t>
      </w:r>
      <w:r w:rsidR="33CB77A8" w:rsidRPr="00850E91">
        <w:t xml:space="preserve">unique characteristics of </w:t>
      </w:r>
      <w:r w:rsidR="3F0CFE84" w:rsidRPr="00850E91">
        <w:t>each</w:t>
      </w:r>
      <w:r w:rsidR="33CB77A8" w:rsidRPr="00850E91">
        <w:t xml:space="preserve"> </w:t>
      </w:r>
      <w:r w:rsidRPr="00850E91">
        <w:t>development area</w:t>
      </w:r>
      <w:r w:rsidR="283FA9E2" w:rsidRPr="00850E91">
        <w:rPr>
          <w:rFonts w:eastAsia="Arial"/>
        </w:rPr>
        <w:t xml:space="preserve"> and its </w:t>
      </w:r>
      <w:proofErr w:type="gramStart"/>
      <w:r w:rsidR="283FA9E2" w:rsidRPr="00850E91">
        <w:rPr>
          <w:rFonts w:eastAsia="Arial"/>
        </w:rPr>
        <w:t>components</w:t>
      </w:r>
      <w:r w:rsidR="33CB77A8" w:rsidRPr="00850E91">
        <w:t>, and</w:t>
      </w:r>
      <w:proofErr w:type="gramEnd"/>
      <w:r w:rsidR="33CB77A8" w:rsidRPr="00850E91">
        <w:t xml:space="preserve"> </w:t>
      </w:r>
      <w:r w:rsidR="48444989" w:rsidRPr="00850E91">
        <w:rPr>
          <w:rFonts w:eastAsia="Arial"/>
        </w:rPr>
        <w:t>predict how the cumulative</w:t>
      </w:r>
      <w:r w:rsidRPr="00850E91">
        <w:t xml:space="preserve"> impacts might have broader </w:t>
      </w:r>
      <w:r w:rsidR="3CA024EB" w:rsidRPr="00850E91">
        <w:t>effe</w:t>
      </w:r>
      <w:r w:rsidRPr="00850E91">
        <w:t>ct</w:t>
      </w:r>
      <w:r w:rsidR="20D212EF" w:rsidRPr="00850E91">
        <w:t>s</w:t>
      </w:r>
      <w:r w:rsidRPr="00850E91">
        <w:t xml:space="preserve"> across the Surat CMA </w:t>
      </w:r>
      <w:r w:rsidR="4748C3F7" w:rsidRPr="00850E91">
        <w:t>that may persist</w:t>
      </w:r>
      <w:r w:rsidRPr="00850E91">
        <w:t xml:space="preserve"> over time, particularly noting that groundwater drawdown is predicted over several hundred years (Origin Energy 2021, App. F, App. X). </w:t>
      </w:r>
      <w:r w:rsidR="2B11AB46" w:rsidRPr="00850E91">
        <w:t xml:space="preserve">This conceptualisation needs to be based on accurate information regarding site infrastructure placement and extent. </w:t>
      </w:r>
      <w:r w:rsidR="4375D986" w:rsidRPr="00850E91">
        <w:rPr>
          <w:rFonts w:eastAsia="Arial"/>
        </w:rPr>
        <w:t>This</w:t>
      </w:r>
      <w:r w:rsidR="4183723D" w:rsidRPr="00850E91">
        <w:rPr>
          <w:rFonts w:eastAsia="Arial"/>
        </w:rPr>
        <w:t xml:space="preserve"> </w:t>
      </w:r>
      <w:r w:rsidR="4B8C842D" w:rsidRPr="00850E91">
        <w:rPr>
          <w:rFonts w:eastAsia="Arial"/>
        </w:rPr>
        <w:t>ECM</w:t>
      </w:r>
      <w:r w:rsidR="4183723D" w:rsidRPr="00850E91">
        <w:rPr>
          <w:rFonts w:eastAsia="Arial"/>
        </w:rPr>
        <w:t xml:space="preserve"> </w:t>
      </w:r>
      <w:r w:rsidR="4375D986" w:rsidRPr="00850E91">
        <w:rPr>
          <w:rFonts w:eastAsia="Arial"/>
        </w:rPr>
        <w:t>should</w:t>
      </w:r>
      <w:r w:rsidR="4183723D" w:rsidRPr="00850E91">
        <w:rPr>
          <w:rFonts w:eastAsia="Arial"/>
        </w:rPr>
        <w:t xml:space="preserve"> integrate the outputs of </w:t>
      </w:r>
      <w:r w:rsidR="4B8C842D" w:rsidRPr="00850E91">
        <w:rPr>
          <w:rFonts w:eastAsia="Arial"/>
        </w:rPr>
        <w:t>local-scale ECMs</w:t>
      </w:r>
      <w:r w:rsidR="4183723D" w:rsidRPr="00850E91">
        <w:rPr>
          <w:rFonts w:eastAsia="Arial"/>
        </w:rPr>
        <w:t xml:space="preserve"> for each development area and its components</w:t>
      </w:r>
      <w:r w:rsidRPr="00850E91">
        <w:t xml:space="preserve">. </w:t>
      </w:r>
    </w:p>
    <w:p w14:paraId="04B12F75" w14:textId="1B06309F" w:rsidR="00BA1926" w:rsidRPr="005C6BC5" w:rsidRDefault="14FD4034" w:rsidP="00B7078D">
      <w:pPr>
        <w:pStyle w:val="ListNumber"/>
        <w:numPr>
          <w:ilvl w:val="0"/>
          <w:numId w:val="18"/>
        </w:numPr>
        <w:rPr>
          <w:rFonts w:eastAsia="Arial"/>
        </w:rPr>
      </w:pPr>
      <w:r w:rsidRPr="00850E91">
        <w:t xml:space="preserve">Cumulative impacts may also arise from the substantial amount of planned surface infrastructure associated with 7,700 CSG wells such as 6,800 km of gas and water pipelines and 16 combined gas processing and water management facilities, together with clearing of </w:t>
      </w:r>
      <w:r w:rsidR="2800B926" w:rsidRPr="00850E91">
        <w:t xml:space="preserve">vegetation within </w:t>
      </w:r>
      <w:r w:rsidR="00EC6306" w:rsidRPr="00850E91">
        <w:t>the</w:t>
      </w:r>
      <w:r w:rsidR="2800B926" w:rsidRPr="00850E91">
        <w:t xml:space="preserve"> </w:t>
      </w:r>
      <w:r w:rsidRPr="00850E91">
        <w:t>17,041</w:t>
      </w:r>
      <w:r w:rsidR="00705CDA" w:rsidRPr="00850E91">
        <w:t>-</w:t>
      </w:r>
      <w:r w:rsidRPr="00850E91">
        <w:t xml:space="preserve">ha </w:t>
      </w:r>
      <w:r w:rsidR="55C57C6D" w:rsidRPr="00850E91">
        <w:t>development footprint</w:t>
      </w:r>
      <w:r w:rsidRPr="00850E91">
        <w:t>. Collectively, these activities are likely to alter local patterns of runoff and alluvial recharge, disrupt the continuity of vegetated riparian corridors along watercourses, and cause fragmentation of broader patches of remnant vegetation. In turn, these processes may change flow regimes in ephemeral streams, alter inundation patterns of floodplains</w:t>
      </w:r>
      <w:r w:rsidR="005C6BC5">
        <w:t>,</w:t>
      </w:r>
      <w:r w:rsidRPr="00850E91">
        <w:t xml:space="preserve"> and impact on the persistence and ecological functioning of aquatic and associated terrestrial ecosystems, especially where fragmentation increases </w:t>
      </w:r>
      <w:proofErr w:type="gramStart"/>
      <w:r w:rsidRPr="00850E91">
        <w:t>impacts</w:t>
      </w:r>
      <w:proofErr w:type="gramEnd"/>
      <w:r w:rsidRPr="00850E91">
        <w:t xml:space="preserve"> due to edge effects and access to invasive species. The proponent should use the regional ECM of potential impact pathways (Paragraph 1</w:t>
      </w:r>
      <w:r w:rsidR="00711DBA">
        <w:t>5</w:t>
      </w:r>
      <w:r w:rsidRPr="00850E91">
        <w:t xml:space="preserve">) and field-collected baseline data (Paragraphs </w:t>
      </w:r>
      <w:r w:rsidR="00AB29FF" w:rsidRPr="00850E91">
        <w:t>7-9</w:t>
      </w:r>
      <w:r w:rsidRPr="00850E91">
        <w:t>) to assess the likely ecological cumulative impacts of the project on all water-dependent assets protected under the ‘water trigger’.</w:t>
      </w:r>
    </w:p>
    <w:p w14:paraId="633E36B1" w14:textId="03657EBB" w:rsidR="00294A1B" w:rsidRPr="00850E91" w:rsidRDefault="00294A1B" w:rsidP="00294A1B">
      <w:pPr>
        <w:pStyle w:val="Question"/>
        <w:shd w:val="clear" w:color="auto" w:fill="E7E6E6"/>
        <w:rPr>
          <w:rFonts w:eastAsia="Calibri"/>
          <w:color w:val="000000"/>
          <w:lang w:eastAsia="en-AU"/>
        </w:rPr>
      </w:pPr>
      <w:r w:rsidRPr="00850E91">
        <w:t xml:space="preserve">Question 4: </w:t>
      </w:r>
      <w:r w:rsidRPr="00850E91">
        <w:rPr>
          <w:rFonts w:eastAsia="Calibri"/>
          <w:color w:val="000000" w:themeColor="text1"/>
          <w:lang w:eastAsia="en-AU"/>
        </w:rPr>
        <w:t xml:space="preserve">Does the IESC consider the proposed monitoring, mitigation and management measures are adequate? If not, what additional measures does the IESC consider are required to monitor, </w:t>
      </w:r>
      <w:proofErr w:type="gramStart"/>
      <w:r w:rsidRPr="00850E91">
        <w:rPr>
          <w:rFonts w:eastAsia="Calibri"/>
          <w:color w:val="000000" w:themeColor="text1"/>
          <w:lang w:eastAsia="en-AU"/>
        </w:rPr>
        <w:t>mitigate</w:t>
      </w:r>
      <w:proofErr w:type="gramEnd"/>
      <w:r w:rsidRPr="00850E91">
        <w:rPr>
          <w:rFonts w:eastAsia="Calibri"/>
          <w:color w:val="000000" w:themeColor="text1"/>
          <w:lang w:eastAsia="en-AU"/>
        </w:rPr>
        <w:t xml:space="preserve"> and manage impacts on water resources? </w:t>
      </w:r>
    </w:p>
    <w:p w14:paraId="4D8CFF33" w14:textId="57840240" w:rsidR="00294A1B" w:rsidRPr="00850E91" w:rsidRDefault="0C639DEC" w:rsidP="00294A1B">
      <w:pPr>
        <w:pStyle w:val="ListNumber"/>
        <w:numPr>
          <w:ilvl w:val="0"/>
          <w:numId w:val="18"/>
        </w:numPr>
      </w:pPr>
      <w:r w:rsidRPr="00850E91">
        <w:t>The IESC considers that the proposed m</w:t>
      </w:r>
      <w:r w:rsidR="210DF596" w:rsidRPr="00850E91">
        <w:t xml:space="preserve">onitoring, </w:t>
      </w:r>
      <w:proofErr w:type="gramStart"/>
      <w:r w:rsidR="210DF596" w:rsidRPr="00850E91">
        <w:t>mitigation</w:t>
      </w:r>
      <w:proofErr w:type="gramEnd"/>
      <w:r w:rsidR="210DF596" w:rsidRPr="00850E91">
        <w:t xml:space="preserve"> and management </w:t>
      </w:r>
      <w:r w:rsidRPr="00850E91">
        <w:t xml:space="preserve">measures </w:t>
      </w:r>
      <w:r w:rsidR="23CE0CA1" w:rsidRPr="00850E91">
        <w:t>require further work</w:t>
      </w:r>
      <w:r w:rsidR="6482E76F" w:rsidRPr="00850E91">
        <w:t xml:space="preserve"> to </w:t>
      </w:r>
      <w:r w:rsidR="2CDDC0E2" w:rsidRPr="00850E91">
        <w:t xml:space="preserve">address the potential </w:t>
      </w:r>
      <w:r w:rsidR="6482E76F" w:rsidRPr="00850E91">
        <w:t xml:space="preserve">site-specific impacts </w:t>
      </w:r>
      <w:r w:rsidR="2CDDC0E2" w:rsidRPr="00850E91">
        <w:t>of the project</w:t>
      </w:r>
      <w:r w:rsidR="23CE0CA1" w:rsidRPr="00850E91">
        <w:t xml:space="preserve">. Monitoring, </w:t>
      </w:r>
      <w:proofErr w:type="gramStart"/>
      <w:r w:rsidR="23CE0CA1" w:rsidRPr="00850E91">
        <w:t>mitigation</w:t>
      </w:r>
      <w:proofErr w:type="gramEnd"/>
      <w:r w:rsidR="23CE0CA1" w:rsidRPr="00850E91">
        <w:t xml:space="preserve"> and management </w:t>
      </w:r>
      <w:r w:rsidR="21E98AD2" w:rsidRPr="00850E91">
        <w:t>are</w:t>
      </w:r>
      <w:r w:rsidR="23CE0CA1" w:rsidRPr="00850E91">
        <w:t xml:space="preserve"> proposed to be</w:t>
      </w:r>
      <w:r w:rsidR="210DF596" w:rsidRPr="00850E91">
        <w:t xml:space="preserve"> undertaken </w:t>
      </w:r>
      <w:r w:rsidR="7264B944" w:rsidRPr="00850E91">
        <w:t>using a combination of</w:t>
      </w:r>
      <w:r w:rsidR="210DF596" w:rsidRPr="00850E91">
        <w:t xml:space="preserve"> the UWIR process</w:t>
      </w:r>
      <w:r w:rsidR="0FBEA517" w:rsidRPr="00850E91">
        <w:t xml:space="preserve">, project-specific management plans, and standards required under the </w:t>
      </w:r>
      <w:r w:rsidR="0FBEA517" w:rsidRPr="00850E91">
        <w:rPr>
          <w:i/>
          <w:iCs/>
        </w:rPr>
        <w:t>Queensland Water Act 2000</w:t>
      </w:r>
      <w:r w:rsidR="0FBEA517" w:rsidRPr="00850E91">
        <w:t xml:space="preserve">. </w:t>
      </w:r>
      <w:r w:rsidR="7604E26E" w:rsidRPr="00850E91">
        <w:t xml:space="preserve">It is </w:t>
      </w:r>
      <w:r w:rsidR="7604E26E" w:rsidRPr="00850E91">
        <w:lastRenderedPageBreak/>
        <w:t xml:space="preserve">recommended </w:t>
      </w:r>
      <w:r w:rsidR="5BB49F46" w:rsidRPr="00850E91">
        <w:t xml:space="preserve">that the local-scale ECMs (Paragraph </w:t>
      </w:r>
      <w:r w:rsidR="00AB29FF" w:rsidRPr="00850E91">
        <w:t>1</w:t>
      </w:r>
      <w:r w:rsidR="00711DBA">
        <w:t>5</w:t>
      </w:r>
      <w:r w:rsidR="5BB49F46" w:rsidRPr="00850E91">
        <w:t xml:space="preserve">) be used to </w:t>
      </w:r>
      <w:r w:rsidR="47159BDB" w:rsidRPr="00850E91">
        <w:t>prepare</w:t>
      </w:r>
      <w:r w:rsidR="5BB49F46" w:rsidRPr="00850E91">
        <w:t xml:space="preserve"> </w:t>
      </w:r>
      <w:r w:rsidR="1FE4E0BF" w:rsidRPr="00850E91">
        <w:t xml:space="preserve">monitoring, </w:t>
      </w:r>
      <w:proofErr w:type="gramStart"/>
      <w:r w:rsidR="1FE4E0BF" w:rsidRPr="00850E91">
        <w:t>mitigation</w:t>
      </w:r>
      <w:proofErr w:type="gramEnd"/>
      <w:r w:rsidR="1FE4E0BF" w:rsidRPr="00850E91">
        <w:t xml:space="preserve"> and management</w:t>
      </w:r>
      <w:r w:rsidR="54CDB345" w:rsidRPr="00850E91">
        <w:t xml:space="preserve"> plans for each development area</w:t>
      </w:r>
      <w:r w:rsidR="47159BDB" w:rsidRPr="00850E91">
        <w:t>, taking into account</w:t>
      </w:r>
      <w:r w:rsidR="1FE4E0BF" w:rsidRPr="00850E91">
        <w:t xml:space="preserve"> the relevant hydrogeological and ecological characteristics. </w:t>
      </w:r>
      <w:r w:rsidR="660BDBF9" w:rsidRPr="00850E91">
        <w:t>These plans need to be integrated with existing management plans at the</w:t>
      </w:r>
      <w:r w:rsidR="3CD9BB88" w:rsidRPr="00850E91">
        <w:t xml:space="preserve"> offsite disposal locations. </w:t>
      </w:r>
    </w:p>
    <w:p w14:paraId="4274EAA6" w14:textId="1491CC92" w:rsidR="000D3B1A" w:rsidRPr="00850E91" w:rsidRDefault="2DD48A90" w:rsidP="009177E1">
      <w:pPr>
        <w:pStyle w:val="ListNumber"/>
        <w:numPr>
          <w:ilvl w:val="0"/>
          <w:numId w:val="18"/>
        </w:numPr>
      </w:pPr>
      <w:r w:rsidRPr="00850E91">
        <w:t xml:space="preserve">Given that </w:t>
      </w:r>
      <w:r w:rsidR="313D49FF" w:rsidRPr="00850E91">
        <w:t xml:space="preserve">the </w:t>
      </w:r>
      <w:r w:rsidRPr="00850E91">
        <w:t>discharge permeate</w:t>
      </w:r>
      <w:r w:rsidR="26DF52D1" w:rsidRPr="00850E91">
        <w:t xml:space="preserve"> from reverse-osmosis treatment of produced water</w:t>
      </w:r>
      <w:r w:rsidRPr="00850E91">
        <w:t xml:space="preserve"> has a</w:t>
      </w:r>
      <w:r w:rsidR="4ADA7ED4" w:rsidRPr="00850E91">
        <w:t>n</w:t>
      </w:r>
      <w:r w:rsidRPr="00850E91">
        <w:t xml:space="preserve"> ionic composition</w:t>
      </w:r>
      <w:r w:rsidR="4ADA7ED4" w:rsidRPr="00850E91">
        <w:t xml:space="preserve"> that </w:t>
      </w:r>
      <w:r w:rsidR="7D2CF59F" w:rsidRPr="00850E91">
        <w:t xml:space="preserve">likely </w:t>
      </w:r>
      <w:r w:rsidR="4ADA7ED4" w:rsidRPr="00850E91">
        <w:t>differs</w:t>
      </w:r>
      <w:r w:rsidRPr="00850E91">
        <w:t xml:space="preserve"> from the receiving waters, t</w:t>
      </w:r>
      <w:r w:rsidR="0CB16BAC" w:rsidRPr="00850E91">
        <w:t>he proponent should</w:t>
      </w:r>
      <w:r w:rsidR="6ED6A786" w:rsidRPr="00850E91">
        <w:t xml:space="preserve"> undertake </w:t>
      </w:r>
      <w:r w:rsidR="505AE53C" w:rsidRPr="00850E91">
        <w:t>direct toxicity assessment</w:t>
      </w:r>
      <w:r w:rsidR="6ED6A786" w:rsidRPr="00850E91">
        <w:t xml:space="preserve"> of the permeate and</w:t>
      </w:r>
      <w:r w:rsidR="505AE53C" w:rsidRPr="00850E91">
        <w:t xml:space="preserve"> </w:t>
      </w:r>
      <w:r w:rsidR="0560E552" w:rsidRPr="00850E91">
        <w:t>monitor</w:t>
      </w:r>
      <w:r w:rsidR="5442BAD8" w:rsidRPr="00850E91">
        <w:t xml:space="preserve"> </w:t>
      </w:r>
      <w:r w:rsidR="6ED6A786" w:rsidRPr="00850E91">
        <w:t xml:space="preserve">water quality </w:t>
      </w:r>
      <w:r w:rsidRPr="00850E91">
        <w:t>of receiving waters at offsite disposal locations</w:t>
      </w:r>
      <w:r w:rsidR="4ADA7ED4" w:rsidRPr="00850E91">
        <w:t>.</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0D3B1A" w:rsidRPr="00850E91" w14:paraId="1B1C625B" w14:textId="77777777" w:rsidTr="78848B37">
        <w:trPr>
          <w:trHeight w:val="19"/>
        </w:trPr>
        <w:tc>
          <w:tcPr>
            <w:tcW w:w="1809" w:type="dxa"/>
            <w:tcBorders>
              <w:top w:val="single" w:sz="4" w:space="0" w:color="auto"/>
              <w:bottom w:val="single" w:sz="4" w:space="0" w:color="auto"/>
            </w:tcBorders>
          </w:tcPr>
          <w:p w14:paraId="3578C6C4" w14:textId="77777777" w:rsidR="000D3B1A" w:rsidRPr="00A04A08" w:rsidRDefault="000D3B1A" w:rsidP="00D622B9">
            <w:pPr>
              <w:pStyle w:val="Heading6"/>
            </w:pPr>
            <w:r w:rsidRPr="00A04A08">
              <w:t>Date of advice</w:t>
            </w:r>
          </w:p>
        </w:tc>
        <w:tc>
          <w:tcPr>
            <w:tcW w:w="8159" w:type="dxa"/>
            <w:tcBorders>
              <w:top w:val="single" w:sz="4" w:space="0" w:color="auto"/>
              <w:bottom w:val="single" w:sz="4" w:space="0" w:color="auto"/>
            </w:tcBorders>
          </w:tcPr>
          <w:p w14:paraId="756E14AF" w14:textId="4DFA83FE" w:rsidR="000D3B1A" w:rsidRPr="00A04A08" w:rsidRDefault="00A04A08" w:rsidP="009E79B6">
            <w:pPr>
              <w:pStyle w:val="Tabletext"/>
            </w:pPr>
            <w:r w:rsidRPr="00A04A08">
              <w:t>6</w:t>
            </w:r>
            <w:r w:rsidR="000D3B1A" w:rsidRPr="00A04A08">
              <w:t xml:space="preserve"> </w:t>
            </w:r>
            <w:r w:rsidRPr="00A04A08">
              <w:t>February</w:t>
            </w:r>
            <w:r w:rsidR="000D3B1A" w:rsidRPr="00A04A08">
              <w:t xml:space="preserve"> 20</w:t>
            </w:r>
            <w:r w:rsidR="0092100D" w:rsidRPr="00A04A08">
              <w:t>22</w:t>
            </w:r>
            <w:r w:rsidR="000D3B1A" w:rsidRPr="00A04A08">
              <w:t xml:space="preserve"> </w:t>
            </w:r>
          </w:p>
        </w:tc>
      </w:tr>
      <w:tr w:rsidR="000D3B1A" w:rsidRPr="00850E91" w14:paraId="6BC9B9D8" w14:textId="77777777" w:rsidTr="78848B37">
        <w:trPr>
          <w:trHeight w:val="161"/>
        </w:trPr>
        <w:tc>
          <w:tcPr>
            <w:tcW w:w="1809" w:type="dxa"/>
            <w:tcBorders>
              <w:top w:val="single" w:sz="4" w:space="0" w:color="auto"/>
              <w:bottom w:val="single" w:sz="4" w:space="0" w:color="auto"/>
            </w:tcBorders>
          </w:tcPr>
          <w:p w14:paraId="2AF5FC60" w14:textId="2803A7CA" w:rsidR="000D3B1A" w:rsidRPr="00850E91" w:rsidRDefault="000D3B1A" w:rsidP="00D84735">
            <w:pPr>
              <w:pStyle w:val="Heading6"/>
            </w:pPr>
            <w:r w:rsidRPr="00850E91">
              <w:t>Source documentation provided to the IESC for the formulation of this advice</w:t>
            </w:r>
          </w:p>
        </w:tc>
        <w:tc>
          <w:tcPr>
            <w:tcW w:w="8159" w:type="dxa"/>
            <w:tcBorders>
              <w:top w:val="single" w:sz="4" w:space="0" w:color="auto"/>
              <w:bottom w:val="single" w:sz="4" w:space="0" w:color="auto"/>
            </w:tcBorders>
          </w:tcPr>
          <w:p w14:paraId="221FE414" w14:textId="77777777" w:rsidR="000D3B1A" w:rsidRPr="00850E91" w:rsidRDefault="000D3B1A" w:rsidP="00430B92">
            <w:pPr>
              <w:rPr>
                <w:rFonts w:eastAsia="ArialMT"/>
                <w:lang w:eastAsia="en-AU"/>
              </w:rPr>
            </w:pPr>
            <w:r w:rsidRPr="00850E91">
              <w:rPr>
                <w:rFonts w:eastAsia="ArialMT"/>
                <w:lang w:eastAsia="en-AU"/>
              </w:rPr>
              <w:t>Origin Upstream Operator Pty Limited (Origin Energy) 2021. Draft Public Environment Report [including appendices] EPBC 2020/8856. October 2021.</w:t>
            </w:r>
          </w:p>
          <w:p w14:paraId="2067732A" w14:textId="31175C1B" w:rsidR="000D3B1A" w:rsidRPr="00850E91" w:rsidRDefault="000D3B1A" w:rsidP="00717617">
            <w:pPr>
              <w:pStyle w:val="ListNumber2"/>
              <w:spacing w:after="0"/>
              <w:ind w:left="369" w:firstLine="0"/>
            </w:pPr>
          </w:p>
          <w:p w14:paraId="3BB9CE0D" w14:textId="77777777" w:rsidR="000D3B1A" w:rsidRPr="00850E91" w:rsidRDefault="000D3B1A" w:rsidP="00717617">
            <w:pPr>
              <w:pStyle w:val="ListNumber2"/>
              <w:spacing w:after="0"/>
              <w:ind w:left="369" w:firstLine="0"/>
            </w:pPr>
          </w:p>
          <w:p w14:paraId="06EA7651" w14:textId="2617F873" w:rsidR="000D3B1A" w:rsidRPr="00850E91" w:rsidRDefault="000D3B1A" w:rsidP="00717617">
            <w:pPr>
              <w:pStyle w:val="ListNumber2"/>
              <w:spacing w:after="0"/>
              <w:rPr>
                <w:szCs w:val="22"/>
              </w:rPr>
            </w:pPr>
          </w:p>
        </w:tc>
      </w:tr>
      <w:tr w:rsidR="000D3B1A" w:rsidRPr="00850E91" w14:paraId="4E83E97E" w14:textId="77777777" w:rsidTr="78848B37">
        <w:trPr>
          <w:trHeight w:val="19"/>
        </w:trPr>
        <w:tc>
          <w:tcPr>
            <w:tcW w:w="1809" w:type="dxa"/>
            <w:tcBorders>
              <w:top w:val="single" w:sz="4" w:space="0" w:color="auto"/>
              <w:bottom w:val="single" w:sz="4" w:space="0" w:color="auto"/>
            </w:tcBorders>
          </w:tcPr>
          <w:p w14:paraId="34EB8B0E" w14:textId="77777777" w:rsidR="000D3B1A" w:rsidRPr="00850E91" w:rsidRDefault="000D3B1A" w:rsidP="00D622B9">
            <w:pPr>
              <w:pStyle w:val="Heading6"/>
            </w:pPr>
            <w:r w:rsidRPr="00850E91">
              <w:t>References cited within the IESC’s advice</w:t>
            </w:r>
          </w:p>
        </w:tc>
        <w:tc>
          <w:tcPr>
            <w:tcW w:w="8159" w:type="dxa"/>
            <w:tcBorders>
              <w:top w:val="single" w:sz="4" w:space="0" w:color="auto"/>
              <w:bottom w:val="single" w:sz="4" w:space="0" w:color="auto"/>
            </w:tcBorders>
          </w:tcPr>
          <w:p w14:paraId="4ACDB89E" w14:textId="0431A990" w:rsidR="000D3B1A" w:rsidRPr="00850E91" w:rsidRDefault="33B4640A" w:rsidP="00850E91">
            <w:pPr>
              <w:pStyle w:val="Heading6"/>
              <w:spacing w:after="240"/>
              <w:rPr>
                <w:rFonts w:eastAsia="ArialMT"/>
                <w:lang w:eastAsia="en-AU"/>
              </w:rPr>
            </w:pPr>
            <w:r w:rsidRPr="00850E91">
              <w:rPr>
                <w:rFonts w:eastAsia="ArialMT"/>
                <w:b w:val="0"/>
                <w:lang w:eastAsia="en-AU"/>
              </w:rPr>
              <w:t xml:space="preserve">Davis, JA, </w:t>
            </w:r>
            <w:proofErr w:type="spellStart"/>
            <w:r w:rsidRPr="00850E91">
              <w:rPr>
                <w:rFonts w:eastAsia="ArialMT"/>
                <w:b w:val="0"/>
                <w:lang w:eastAsia="en-AU"/>
              </w:rPr>
              <w:t>Kerezy</w:t>
            </w:r>
            <w:proofErr w:type="spellEnd"/>
            <w:r w:rsidRPr="00850E91">
              <w:rPr>
                <w:rFonts w:eastAsia="ArialMT"/>
                <w:b w:val="0"/>
                <w:lang w:eastAsia="en-AU"/>
              </w:rPr>
              <w:t>, A, Nicol, S 2017</w:t>
            </w:r>
            <w:r w:rsidR="001E01D3" w:rsidRPr="00850E91">
              <w:rPr>
                <w:rFonts w:eastAsia="ArialMT"/>
                <w:b w:val="0"/>
                <w:lang w:eastAsia="en-AU"/>
              </w:rPr>
              <w:t>.</w:t>
            </w:r>
            <w:r w:rsidRPr="00850E91">
              <w:rPr>
                <w:rFonts w:eastAsia="ArialMT"/>
                <w:b w:val="0"/>
                <w:lang w:eastAsia="en-AU"/>
              </w:rPr>
              <w:t xml:space="preserve"> Conserving perennial water is critical in arid landscapes. Biological Conservation 211,</w:t>
            </w:r>
            <w:r w:rsidR="265F6648" w:rsidRPr="00850E91">
              <w:rPr>
                <w:rFonts w:eastAsia="ArialMT"/>
                <w:b w:val="0"/>
                <w:lang w:eastAsia="en-AU"/>
              </w:rPr>
              <w:t xml:space="preserve"> </w:t>
            </w:r>
            <w:r w:rsidRPr="00850E91">
              <w:rPr>
                <w:rFonts w:eastAsia="ArialMT"/>
                <w:b w:val="0"/>
                <w:lang w:eastAsia="en-AU"/>
              </w:rPr>
              <w:t xml:space="preserve">30–35. </w:t>
            </w:r>
          </w:p>
          <w:p w14:paraId="0C06A7E3" w14:textId="3582FD52" w:rsidR="000D3B1A" w:rsidRPr="00850E91" w:rsidRDefault="3511BA01" w:rsidP="00850E91">
            <w:pPr>
              <w:spacing w:after="240"/>
              <w:rPr>
                <w:rFonts w:eastAsia="ArialMT"/>
                <w:lang w:eastAsia="en-AU"/>
              </w:rPr>
            </w:pPr>
            <w:r w:rsidRPr="00850E91">
              <w:rPr>
                <w:rFonts w:eastAsia="ArialMT"/>
                <w:lang w:eastAsia="en-AU"/>
              </w:rPr>
              <w:t>Doody TM, Hancock PJ, Pritchard JL 2019. Information Guidelines Explanatory Note: Assessing groundwater-dependent ecosystems. Prepared for the Independent Expert Scientific Committee on Coal Seam Gas and Large Coal Mining Development through the Department of the Environment and Energy, Commonwealth of Australia. Available at: https://iesc.environment.gov.au/system/files/resources/422b5f66-dfba-4e89-adda-b169fe408fe1/files/information-guidelines-explanatory-note-assessing-groundwater-dependent-ecosystems.pdf</w:t>
            </w:r>
          </w:p>
          <w:p w14:paraId="766378F7" w14:textId="7B28E439" w:rsidR="000D3B1A" w:rsidRPr="00850E91" w:rsidRDefault="000D3B1A" w:rsidP="00430B92">
            <w:pPr>
              <w:rPr>
                <w:rFonts w:eastAsia="ArialMT"/>
                <w:lang w:eastAsia="en-AU"/>
              </w:rPr>
            </w:pPr>
            <w:r w:rsidRPr="00850E91">
              <w:rPr>
                <w:rFonts w:eastAsia="ArialMT"/>
                <w:lang w:eastAsia="en-AU"/>
              </w:rPr>
              <w:t xml:space="preserve">Independent Expert Scientific Committee on Large Coal Mining and Coal Seam Gas (IESC) 2018. Information Guidelines for proponents preparing coal seam gas and large coal mining development proposals. Commonwealth of Australia. Available at: http://www.iesc.environment.gov.au/system/files/resources/012fa918-ee79-4131-9c8d-02c9b2de65cf/files/iesc-information-guidelines-may-2018.pdf.  </w:t>
            </w:r>
          </w:p>
          <w:p w14:paraId="6AC845CE" w14:textId="12A952AB" w:rsidR="000D3B1A" w:rsidRPr="00850E91" w:rsidRDefault="000D3B1A" w:rsidP="00430B92">
            <w:pPr>
              <w:rPr>
                <w:rFonts w:eastAsia="ArialMT"/>
                <w:lang w:eastAsia="en-AU"/>
              </w:rPr>
            </w:pPr>
            <w:r w:rsidRPr="00850E91">
              <w:rPr>
                <w:rFonts w:eastAsia="ArialMT"/>
                <w:lang w:eastAsia="en-AU"/>
              </w:rPr>
              <w:t xml:space="preserve">Independent Expert Scientific Committee on Large Coal Mining and Coal Seam Gas (IESC) 2019. Fact sheet, </w:t>
            </w:r>
            <w:r w:rsidRPr="00850E91">
              <w:t xml:space="preserve">the role of the Office of Groundwater Impact Assessment and the Independent Expert Scientific Committee on Coal Seam Gas and Large Coal Mining Development in environmental assessments. </w:t>
            </w:r>
            <w:r w:rsidRPr="00850E91">
              <w:rPr>
                <w:rFonts w:eastAsia="ArialMT"/>
                <w:lang w:eastAsia="en-AU"/>
              </w:rPr>
              <w:t>Commonwealth of Australia. Available at: https://iesc.environment.gov.au/system/files/resources/31feb114-2d09-4a98-8b3f-ad629dbe4b97/files/environmental-assessments-fact-sheet.pdf</w:t>
            </w:r>
          </w:p>
          <w:p w14:paraId="7C1C5BE4" w14:textId="2E024A2E" w:rsidR="000D3B1A" w:rsidRPr="00850E91" w:rsidRDefault="000D3B1A" w:rsidP="003852A7">
            <w:pPr>
              <w:rPr>
                <w:rFonts w:eastAsia="ArialMT"/>
                <w:lang w:eastAsia="en-AU"/>
              </w:rPr>
            </w:pPr>
            <w:r w:rsidRPr="00850E91">
              <w:rPr>
                <w:rFonts w:eastAsia="ArialMT"/>
                <w:lang w:eastAsia="en-AU"/>
              </w:rPr>
              <w:t>Office of Groundwater Impact Assessment (OGIA) 2019. Underground Water Impact Report for the Surat Cumulative Management Area. OGIA Brisbane. July 2019. Available at: https://www.rdmw.qld.gov.au/__data/assets/pdf_file/0019/1461241/uwir-full-report.pdf</w:t>
            </w:r>
          </w:p>
          <w:p w14:paraId="4B426E07" w14:textId="5FEDB491" w:rsidR="000D3B1A" w:rsidRPr="00850E91" w:rsidRDefault="000D3B1A" w:rsidP="003852A7">
            <w:pPr>
              <w:rPr>
                <w:rFonts w:eastAsia="ArialMT"/>
                <w:lang w:eastAsia="en-AU"/>
              </w:rPr>
            </w:pPr>
            <w:r w:rsidRPr="00850E91">
              <w:rPr>
                <w:rFonts w:eastAsia="ArialMT"/>
                <w:lang w:eastAsia="en-AU"/>
              </w:rPr>
              <w:t>Office of Groundwater Impact Assessment (OGIA) 2021. Underground Water Impact Report for the Surat Cumulative Management Area, Consultation Draft. OGIA, Brisbane. October 2021. Available at: https://www.business.qld.gov.au/industries/mining-energy-water/resources/landholders/csg/surat-cma/uwir</w:t>
            </w:r>
          </w:p>
        </w:tc>
      </w:tr>
    </w:tbl>
    <w:p w14:paraId="0E5152B0" w14:textId="77777777" w:rsidR="007203C3" w:rsidRPr="00BF21A7" w:rsidRDefault="00C37525" w:rsidP="00D622B9">
      <w:r w:rsidRPr="00850E91">
        <w:fldChar w:fldCharType="begin"/>
      </w:r>
      <w:r w:rsidRPr="00850E91">
        <w:instrText xml:space="preserve"> ADDIN </w:instrText>
      </w:r>
      <w:r w:rsidRPr="00850E91">
        <w:fldChar w:fldCharType="end"/>
      </w:r>
    </w:p>
    <w:sectPr w:rsidR="007203C3" w:rsidRPr="00BF21A7" w:rsidSect="000B1F37">
      <w:type w:val="continuous"/>
      <w:pgSz w:w="11906" w:h="16838"/>
      <w:pgMar w:top="1440" w:right="1274" w:bottom="1440" w:left="1276" w:header="425"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0A157" w14:textId="77777777" w:rsidR="003C3397" w:rsidRDefault="003C3397" w:rsidP="00D622B9">
      <w:r>
        <w:separator/>
      </w:r>
    </w:p>
  </w:endnote>
  <w:endnote w:type="continuationSeparator" w:id="0">
    <w:p w14:paraId="6B53CA65" w14:textId="77777777" w:rsidR="003C3397" w:rsidRDefault="003C3397" w:rsidP="00D622B9">
      <w:r>
        <w:continuationSeparator/>
      </w:r>
    </w:p>
  </w:endnote>
  <w:endnote w:type="continuationNotice" w:id="1">
    <w:p w14:paraId="74E6DEF9" w14:textId="77777777" w:rsidR="003C3397" w:rsidRDefault="003C33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577E" w14:textId="77777777" w:rsidR="00011201" w:rsidRPr="00637239" w:rsidRDefault="00011201" w:rsidP="003B5A88">
    <w:pPr>
      <w:pStyle w:val="Footer"/>
      <w:pBdr>
        <w:top w:val="single" w:sz="12" w:space="0" w:color="auto"/>
      </w:pBdr>
    </w:pPr>
  </w:p>
  <w:p w14:paraId="1F413905" w14:textId="462FA582" w:rsidR="00011201" w:rsidRPr="003F09B2" w:rsidRDefault="00ED023C" w:rsidP="003B5A88">
    <w:pPr>
      <w:pStyle w:val="Footer"/>
      <w:pBdr>
        <w:top w:val="single" w:sz="12" w:space="0" w:color="auto"/>
      </w:pBdr>
      <w:rPr>
        <w:sz w:val="20"/>
      </w:rPr>
    </w:pPr>
    <w:r w:rsidRPr="00D6470D">
      <w:rPr>
        <w:sz w:val="20"/>
      </w:rPr>
      <w:t>Gas Supply Security Project</w:t>
    </w:r>
    <w:r w:rsidRPr="003F09B2">
      <w:rPr>
        <w:sz w:val="20"/>
      </w:rPr>
      <w:t xml:space="preserve"> </w:t>
    </w:r>
    <w:r w:rsidRPr="00032B5E">
      <w:rPr>
        <w:sz w:val="20"/>
      </w:rPr>
      <w:t>Advice</w:t>
    </w:r>
    <w:r w:rsidR="00011201" w:rsidRPr="00032B5E">
      <w:rPr>
        <w:sz w:val="20"/>
      </w:rPr>
      <w:ptab w:relativeTo="margin" w:alignment="right" w:leader="none"/>
    </w:r>
    <w:r w:rsidR="00963035">
      <w:rPr>
        <w:sz w:val="20"/>
      </w:rPr>
      <w:t>6</w:t>
    </w:r>
    <w:r w:rsidR="00032B5E" w:rsidRPr="00032B5E">
      <w:rPr>
        <w:sz w:val="20"/>
      </w:rPr>
      <w:t xml:space="preserve"> February</w:t>
    </w:r>
    <w:r w:rsidR="0076625D" w:rsidRPr="00032B5E">
      <w:rPr>
        <w:sz w:val="20"/>
      </w:rPr>
      <w:t xml:space="preserve"> </w:t>
    </w:r>
    <w:r w:rsidR="00011201" w:rsidRPr="00032B5E">
      <w:rPr>
        <w:sz w:val="20"/>
      </w:rPr>
      <w:t>20</w:t>
    </w:r>
    <w:r w:rsidRPr="00032B5E">
      <w:rPr>
        <w:sz w:val="20"/>
      </w:rPr>
      <w:t>2</w:t>
    </w:r>
    <w:r w:rsidR="00032B5E" w:rsidRPr="00032B5E">
      <w:rPr>
        <w:sz w:val="20"/>
      </w:rPr>
      <w:t>2</w:t>
    </w:r>
  </w:p>
  <w:p w14:paraId="243529CB" w14:textId="77777777" w:rsidR="00011201" w:rsidRPr="00637239" w:rsidRDefault="00011201" w:rsidP="003B5A88">
    <w:pPr>
      <w:pStyle w:val="Footer"/>
      <w:pBdr>
        <w:top w:val="single" w:sz="12" w:space="0" w:color="auto"/>
      </w:pBdr>
      <w:jc w:val="center"/>
      <w:rPr>
        <w:sz w:val="20"/>
      </w:rPr>
    </w:pPr>
    <w:r w:rsidRPr="00637239">
      <w:rPr>
        <w:sz w:val="20"/>
      </w:rPr>
      <w:fldChar w:fldCharType="begin"/>
    </w:r>
    <w:r w:rsidRPr="00637239">
      <w:rPr>
        <w:sz w:val="20"/>
      </w:rPr>
      <w:instrText xml:space="preserve"> PAGE   \* MERGEFORMAT </w:instrText>
    </w:r>
    <w:r w:rsidRPr="00637239">
      <w:rPr>
        <w:sz w:val="20"/>
      </w:rPr>
      <w:fldChar w:fldCharType="separate"/>
    </w:r>
    <w:r w:rsidR="00DB2E0D">
      <w:rPr>
        <w:noProof/>
        <w:sz w:val="20"/>
      </w:rPr>
      <w:t>10</w:t>
    </w:r>
    <w:r w:rsidRPr="00637239">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A9EF" w14:textId="77777777" w:rsidR="00011201" w:rsidRPr="007B11FD" w:rsidRDefault="00011201" w:rsidP="000F240D">
    <w:pPr>
      <w:pStyle w:val="Footer"/>
      <w:pBdr>
        <w:top w:val="single" w:sz="12" w:space="0" w:color="auto"/>
      </w:pBdr>
      <w:ind w:left="-426"/>
    </w:pPr>
  </w:p>
  <w:p w14:paraId="5984B83F" w14:textId="5134F453" w:rsidR="00011201" w:rsidRPr="00032B5E" w:rsidRDefault="002279B7" w:rsidP="000F240D">
    <w:pPr>
      <w:pStyle w:val="Footer"/>
      <w:pBdr>
        <w:top w:val="single" w:sz="12" w:space="0" w:color="auto"/>
      </w:pBdr>
      <w:ind w:left="-426"/>
      <w:rPr>
        <w:sz w:val="20"/>
      </w:rPr>
    </w:pPr>
    <w:r w:rsidRPr="00032B5E">
      <w:rPr>
        <w:sz w:val="20"/>
      </w:rPr>
      <w:t>Gas Supply Security Project Advice</w:t>
    </w:r>
    <w:r w:rsidR="00011201" w:rsidRPr="00032B5E">
      <w:rPr>
        <w:sz w:val="20"/>
      </w:rPr>
      <w:ptab w:relativeTo="margin" w:alignment="right" w:leader="none"/>
    </w:r>
    <w:r w:rsidRPr="00032B5E">
      <w:rPr>
        <w:sz w:val="20"/>
      </w:rPr>
      <w:t xml:space="preserve"> </w:t>
    </w:r>
    <w:r w:rsidR="00963035">
      <w:rPr>
        <w:sz w:val="20"/>
      </w:rPr>
      <w:t>6</w:t>
    </w:r>
    <w:r w:rsidRPr="00032B5E">
      <w:rPr>
        <w:sz w:val="20"/>
      </w:rPr>
      <w:t xml:space="preserve"> </w:t>
    </w:r>
    <w:r w:rsidR="00032B5E" w:rsidRPr="00032B5E">
      <w:rPr>
        <w:sz w:val="20"/>
      </w:rPr>
      <w:t>February</w:t>
    </w:r>
    <w:r w:rsidRPr="00032B5E">
      <w:rPr>
        <w:sz w:val="20"/>
      </w:rPr>
      <w:t xml:space="preserve"> 202</w:t>
    </w:r>
    <w:r w:rsidR="00032B5E" w:rsidRPr="00032B5E">
      <w:rPr>
        <w:sz w:val="20"/>
      </w:rPr>
      <w:t>2</w:t>
    </w:r>
  </w:p>
  <w:p w14:paraId="1624C0DA" w14:textId="2F1D12A0" w:rsidR="00011201" w:rsidRPr="00637239" w:rsidRDefault="00011201" w:rsidP="000F240D">
    <w:pPr>
      <w:pStyle w:val="Footer"/>
      <w:pBdr>
        <w:top w:val="none" w:sz="0" w:space="0" w:color="auto"/>
      </w:pBdr>
      <w:tabs>
        <w:tab w:val="left" w:pos="2865"/>
      </w:tabs>
      <w:rPr>
        <w:sz w:val="20"/>
      </w:rPr>
    </w:pPr>
    <w:r>
      <w:rPr>
        <w:sz w:val="20"/>
      </w:rPr>
      <w:tab/>
    </w:r>
    <w:r>
      <w:rPr>
        <w:sz w:val="20"/>
      </w:rPr>
      <w:tab/>
    </w:r>
    <w:r w:rsidRPr="00637239">
      <w:rPr>
        <w:sz w:val="20"/>
      </w:rPr>
      <w:fldChar w:fldCharType="begin"/>
    </w:r>
    <w:r w:rsidRPr="00637239">
      <w:rPr>
        <w:sz w:val="20"/>
      </w:rPr>
      <w:instrText xml:space="preserve"> PAGE   \* MERGEFORMAT </w:instrText>
    </w:r>
    <w:r w:rsidRPr="00637239">
      <w:rPr>
        <w:sz w:val="20"/>
      </w:rPr>
      <w:fldChar w:fldCharType="separate"/>
    </w:r>
    <w:r w:rsidR="00DB2E0D">
      <w:rPr>
        <w:noProof/>
        <w:sz w:val="20"/>
      </w:rPr>
      <w:t>1</w:t>
    </w:r>
    <w:r w:rsidRPr="0063723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97F75" w14:textId="77777777" w:rsidR="003C3397" w:rsidRDefault="003C3397" w:rsidP="00D622B9">
      <w:r>
        <w:separator/>
      </w:r>
    </w:p>
  </w:footnote>
  <w:footnote w:type="continuationSeparator" w:id="0">
    <w:p w14:paraId="081C5A18" w14:textId="77777777" w:rsidR="003C3397" w:rsidRDefault="003C3397" w:rsidP="00D622B9">
      <w:r>
        <w:continuationSeparator/>
      </w:r>
    </w:p>
  </w:footnote>
  <w:footnote w:type="continuationNotice" w:id="1">
    <w:p w14:paraId="4D0840D4" w14:textId="77777777" w:rsidR="003C3397" w:rsidRDefault="003C33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8D8E" w14:textId="77777777" w:rsidR="00011201" w:rsidRDefault="00011201" w:rsidP="00D622B9">
    <w:pPr>
      <w:pStyle w:val="Classification"/>
    </w:pPr>
    <w:r>
      <w:rPr>
        <w:lang w:val="en-US"/>
      </w:rPr>
      <w:t>Error! Unknown document property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3701" w14:textId="3C9FFB25" w:rsidR="00011201" w:rsidRDefault="00011201" w:rsidP="00264083">
    <w:pPr>
      <w:pStyle w:val="Header"/>
      <w:spacing w:after="0" w:line="240" w:lineRule="auto"/>
    </w:pPr>
    <w:r w:rsidRPr="00076FD2">
      <w:rPr>
        <w:noProof/>
        <w:lang w:eastAsia="en-AU"/>
      </w:rPr>
      <w:drawing>
        <wp:anchor distT="0" distB="0" distL="114300" distR="114300" simplePos="0" relativeHeight="251657216" behindDoc="0" locked="0" layoutInCell="1" allowOverlap="1" wp14:anchorId="6BCC1CF6" wp14:editId="7D6C9370">
          <wp:simplePos x="0" y="0"/>
          <wp:positionH relativeFrom="column">
            <wp:posOffset>-904875</wp:posOffset>
          </wp:positionH>
          <wp:positionV relativeFrom="paragraph">
            <wp:posOffset>-269875</wp:posOffset>
          </wp:positionV>
          <wp:extent cx="7724775" cy="229552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D7ED3C0"/>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4692C02A"/>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9932B66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15:restartNumberingAfterBreak="0">
    <w:nsid w:val="14D85F93"/>
    <w:multiLevelType w:val="hybridMultilevel"/>
    <w:tmpl w:val="35C89AA4"/>
    <w:lvl w:ilvl="0" w:tplc="FFFFFFFF">
      <w:start w:val="1"/>
      <w:numFmt w:val="decimal"/>
      <w:lvlText w:val="%1."/>
      <w:lvlJc w:val="left"/>
      <w:pPr>
        <w:ind w:left="360" w:hanging="360"/>
      </w:pPr>
      <w:rPr>
        <w:b w:val="0"/>
        <w:color w:val="auto"/>
      </w:rPr>
    </w:lvl>
    <w:lvl w:ilvl="1" w:tplc="FFFFFFFF">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A8E733C"/>
    <w:multiLevelType w:val="hybridMultilevel"/>
    <w:tmpl w:val="0F082754"/>
    <w:lvl w:ilvl="0" w:tplc="1916E6CC">
      <w:start w:val="1"/>
      <w:numFmt w:val="decimal"/>
      <w:lvlText w:val="%1."/>
      <w:lvlJc w:val="left"/>
      <w:pPr>
        <w:ind w:left="720" w:hanging="360"/>
      </w:pPr>
    </w:lvl>
    <w:lvl w:ilvl="1" w:tplc="DED4FC0A">
      <w:start w:val="1"/>
      <w:numFmt w:val="lowerLetter"/>
      <w:lvlText w:val="%2."/>
      <w:lvlJc w:val="left"/>
      <w:pPr>
        <w:ind w:left="1440" w:hanging="360"/>
      </w:pPr>
    </w:lvl>
    <w:lvl w:ilvl="2" w:tplc="D8467F64">
      <w:start w:val="1"/>
      <w:numFmt w:val="lowerRoman"/>
      <w:lvlText w:val="%3."/>
      <w:lvlJc w:val="right"/>
      <w:pPr>
        <w:ind w:left="2160" w:hanging="180"/>
      </w:pPr>
    </w:lvl>
    <w:lvl w:ilvl="3" w:tplc="A3E63276">
      <w:start w:val="1"/>
      <w:numFmt w:val="decimal"/>
      <w:lvlText w:val="%4."/>
      <w:lvlJc w:val="left"/>
      <w:pPr>
        <w:ind w:left="2880" w:hanging="360"/>
      </w:pPr>
    </w:lvl>
    <w:lvl w:ilvl="4" w:tplc="32B0F956">
      <w:start w:val="1"/>
      <w:numFmt w:val="lowerLetter"/>
      <w:lvlText w:val="%5."/>
      <w:lvlJc w:val="left"/>
      <w:pPr>
        <w:ind w:left="3600" w:hanging="360"/>
      </w:pPr>
    </w:lvl>
    <w:lvl w:ilvl="5" w:tplc="F3DAAEE8">
      <w:start w:val="1"/>
      <w:numFmt w:val="lowerRoman"/>
      <w:lvlText w:val="%6."/>
      <w:lvlJc w:val="right"/>
      <w:pPr>
        <w:ind w:left="4320" w:hanging="180"/>
      </w:pPr>
    </w:lvl>
    <w:lvl w:ilvl="6" w:tplc="6838ABEA">
      <w:start w:val="1"/>
      <w:numFmt w:val="decimal"/>
      <w:lvlText w:val="%7."/>
      <w:lvlJc w:val="left"/>
      <w:pPr>
        <w:ind w:left="5040" w:hanging="360"/>
      </w:pPr>
    </w:lvl>
    <w:lvl w:ilvl="7" w:tplc="C7A8EA3C">
      <w:start w:val="1"/>
      <w:numFmt w:val="lowerLetter"/>
      <w:lvlText w:val="%8."/>
      <w:lvlJc w:val="left"/>
      <w:pPr>
        <w:ind w:left="5760" w:hanging="360"/>
      </w:pPr>
    </w:lvl>
    <w:lvl w:ilvl="8" w:tplc="9482B0FA">
      <w:start w:val="1"/>
      <w:numFmt w:val="lowerRoman"/>
      <w:lvlText w:val="%9."/>
      <w:lvlJc w:val="right"/>
      <w:pPr>
        <w:ind w:left="6480" w:hanging="180"/>
      </w:pPr>
    </w:lvl>
  </w:abstractNum>
  <w:abstractNum w:abstractNumId="6" w15:restartNumberingAfterBreak="0">
    <w:nsid w:val="1B8D240F"/>
    <w:multiLevelType w:val="hybridMultilevel"/>
    <w:tmpl w:val="D6CCD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1833F8"/>
    <w:multiLevelType w:val="hybridMultilevel"/>
    <w:tmpl w:val="C8DE5F54"/>
    <w:lvl w:ilvl="0" w:tplc="0C09000F">
      <w:start w:val="1"/>
      <w:numFmt w:val="decimal"/>
      <w:lvlText w:val="%1."/>
      <w:lvlJc w:val="left"/>
      <w:pPr>
        <w:ind w:left="862" w:hanging="360"/>
      </w:pPr>
    </w:lvl>
    <w:lvl w:ilvl="1" w:tplc="0C090019">
      <w:start w:val="1"/>
      <w:numFmt w:val="lowerLetter"/>
      <w:lvlText w:val="%2."/>
      <w:lvlJc w:val="left"/>
      <w:pPr>
        <w:ind w:left="1582" w:hanging="360"/>
      </w:pPr>
    </w:lvl>
    <w:lvl w:ilvl="2" w:tplc="0C09001B">
      <w:start w:val="1"/>
      <w:numFmt w:val="lowerRoman"/>
      <w:lvlText w:val="%3."/>
      <w:lvlJc w:val="right"/>
      <w:pPr>
        <w:ind w:left="2302" w:hanging="180"/>
      </w:pPr>
    </w:lvl>
    <w:lvl w:ilvl="3" w:tplc="0C09000F">
      <w:start w:val="1"/>
      <w:numFmt w:val="decimal"/>
      <w:lvlText w:val="%4."/>
      <w:lvlJc w:val="left"/>
      <w:pPr>
        <w:ind w:left="3022" w:hanging="360"/>
      </w:pPr>
    </w:lvl>
    <w:lvl w:ilvl="4" w:tplc="0C090019">
      <w:start w:val="1"/>
      <w:numFmt w:val="lowerLetter"/>
      <w:lvlText w:val="%5."/>
      <w:lvlJc w:val="left"/>
      <w:pPr>
        <w:ind w:left="3742" w:hanging="360"/>
      </w:pPr>
    </w:lvl>
    <w:lvl w:ilvl="5" w:tplc="0C09001B">
      <w:start w:val="1"/>
      <w:numFmt w:val="lowerRoman"/>
      <w:lvlText w:val="%6."/>
      <w:lvlJc w:val="right"/>
      <w:pPr>
        <w:ind w:left="4462" w:hanging="180"/>
      </w:pPr>
    </w:lvl>
    <w:lvl w:ilvl="6" w:tplc="0C09000F">
      <w:start w:val="1"/>
      <w:numFmt w:val="decimal"/>
      <w:lvlText w:val="%7."/>
      <w:lvlJc w:val="left"/>
      <w:pPr>
        <w:ind w:left="5182" w:hanging="360"/>
      </w:pPr>
    </w:lvl>
    <w:lvl w:ilvl="7" w:tplc="0C090019">
      <w:start w:val="1"/>
      <w:numFmt w:val="lowerLetter"/>
      <w:lvlText w:val="%8."/>
      <w:lvlJc w:val="left"/>
      <w:pPr>
        <w:ind w:left="5902" w:hanging="360"/>
      </w:pPr>
    </w:lvl>
    <w:lvl w:ilvl="8" w:tplc="0C09001B">
      <w:start w:val="1"/>
      <w:numFmt w:val="lowerRoman"/>
      <w:lvlText w:val="%9."/>
      <w:lvlJc w:val="right"/>
      <w:pPr>
        <w:ind w:left="6622" w:hanging="180"/>
      </w:pPr>
    </w:lvl>
  </w:abstractNum>
  <w:abstractNum w:abstractNumId="8"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1B93A1C"/>
    <w:multiLevelType w:val="hybridMultilevel"/>
    <w:tmpl w:val="17B039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B184ABD"/>
    <w:multiLevelType w:val="multilevel"/>
    <w:tmpl w:val="1660AA50"/>
    <w:lvl w:ilvl="0">
      <w:start w:val="1"/>
      <w:numFmt w:val="decimal"/>
      <w:lvlText w:val="%1."/>
      <w:lvlJc w:val="left"/>
      <w:pPr>
        <w:ind w:left="511" w:hanging="369"/>
      </w:pPr>
      <w:rPr>
        <w:rFonts w:ascii="Arial" w:hAnsi="Arial" w:hint="default"/>
        <w:i w:val="0"/>
        <w:sz w:val="20"/>
        <w:szCs w:val="20"/>
      </w:rPr>
    </w:lvl>
    <w:lvl w:ilvl="1">
      <w:start w:val="1"/>
      <w:numFmt w:val="lowerLetter"/>
      <w:lvlText w:val="%2."/>
      <w:lvlJc w:val="left"/>
      <w:pPr>
        <w:ind w:left="2071" w:hanging="369"/>
      </w:pPr>
      <w:rPr>
        <w:rFonts w:ascii="Arial" w:hAnsi="Arial" w:cs="Arial" w:hint="default"/>
        <w:sz w:val="20"/>
        <w:szCs w:val="20"/>
      </w:rPr>
    </w:lvl>
    <w:lvl w:ilvl="2">
      <w:start w:val="1"/>
      <w:numFmt w:val="lowerRoman"/>
      <w:lvlText w:val="%3."/>
      <w:lvlJc w:val="left"/>
      <w:pPr>
        <w:ind w:left="1107" w:hanging="369"/>
      </w:pPr>
      <w:rPr>
        <w:rFonts w:ascii="Arial" w:hAnsi="Arial" w:cs="Arial" w:hint="default"/>
        <w:sz w:val="20"/>
        <w:szCs w:val="20"/>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2" w15:restartNumberingAfterBreak="0">
    <w:nsid w:val="3F252488"/>
    <w:multiLevelType w:val="hybridMultilevel"/>
    <w:tmpl w:val="1B88B3EC"/>
    <w:lvl w:ilvl="0" w:tplc="0C09000F">
      <w:start w:val="1"/>
      <w:numFmt w:val="decimal"/>
      <w:lvlText w:val="%1."/>
      <w:lvlJc w:val="left"/>
      <w:pPr>
        <w:ind w:left="360" w:hanging="360"/>
      </w:pPr>
      <w:rPr>
        <w:rFonts w:hint="default"/>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7E84D3F"/>
    <w:multiLevelType w:val="hybridMultilevel"/>
    <w:tmpl w:val="8184091C"/>
    <w:lvl w:ilvl="0" w:tplc="CE9A92C8">
      <w:start w:val="1"/>
      <w:numFmt w:val="decimal"/>
      <w:lvlText w:val="%1."/>
      <w:lvlJc w:val="left"/>
      <w:pPr>
        <w:ind w:left="720" w:hanging="360"/>
      </w:pPr>
    </w:lvl>
    <w:lvl w:ilvl="1" w:tplc="A6E65ED8">
      <w:start w:val="1"/>
      <w:numFmt w:val="lowerLetter"/>
      <w:lvlText w:val="%2."/>
      <w:lvlJc w:val="left"/>
      <w:pPr>
        <w:ind w:left="1440" w:hanging="360"/>
      </w:pPr>
    </w:lvl>
    <w:lvl w:ilvl="2" w:tplc="E4BA4DA0">
      <w:start w:val="1"/>
      <w:numFmt w:val="lowerRoman"/>
      <w:lvlText w:val="%3."/>
      <w:lvlJc w:val="right"/>
      <w:pPr>
        <w:ind w:left="2160" w:hanging="180"/>
      </w:pPr>
    </w:lvl>
    <w:lvl w:ilvl="3" w:tplc="6DC6DFB4">
      <w:start w:val="1"/>
      <w:numFmt w:val="decimal"/>
      <w:lvlText w:val="%4."/>
      <w:lvlJc w:val="left"/>
      <w:pPr>
        <w:ind w:left="2880" w:hanging="360"/>
      </w:pPr>
    </w:lvl>
    <w:lvl w:ilvl="4" w:tplc="7C8A3502">
      <w:start w:val="1"/>
      <w:numFmt w:val="lowerLetter"/>
      <w:lvlText w:val="%5."/>
      <w:lvlJc w:val="left"/>
      <w:pPr>
        <w:ind w:left="3600" w:hanging="360"/>
      </w:pPr>
    </w:lvl>
    <w:lvl w:ilvl="5" w:tplc="DD525702">
      <w:start w:val="1"/>
      <w:numFmt w:val="lowerRoman"/>
      <w:lvlText w:val="%6."/>
      <w:lvlJc w:val="right"/>
      <w:pPr>
        <w:ind w:left="4320" w:hanging="180"/>
      </w:pPr>
    </w:lvl>
    <w:lvl w:ilvl="6" w:tplc="606C94AC">
      <w:start w:val="1"/>
      <w:numFmt w:val="decimal"/>
      <w:lvlText w:val="%7."/>
      <w:lvlJc w:val="left"/>
      <w:pPr>
        <w:ind w:left="5040" w:hanging="360"/>
      </w:pPr>
    </w:lvl>
    <w:lvl w:ilvl="7" w:tplc="2F5E7372">
      <w:start w:val="1"/>
      <w:numFmt w:val="lowerLetter"/>
      <w:lvlText w:val="%8."/>
      <w:lvlJc w:val="left"/>
      <w:pPr>
        <w:ind w:left="5760" w:hanging="360"/>
      </w:pPr>
    </w:lvl>
    <w:lvl w:ilvl="8" w:tplc="75DAB340">
      <w:start w:val="1"/>
      <w:numFmt w:val="lowerRoman"/>
      <w:lvlText w:val="%9."/>
      <w:lvlJc w:val="right"/>
      <w:pPr>
        <w:ind w:left="6480" w:hanging="180"/>
      </w:pPr>
    </w:lvl>
  </w:abstractNum>
  <w:abstractNum w:abstractNumId="14" w15:restartNumberingAfterBreak="0">
    <w:nsid w:val="4A7F38C8"/>
    <w:multiLevelType w:val="hybridMultilevel"/>
    <w:tmpl w:val="E2080B84"/>
    <w:lvl w:ilvl="0" w:tplc="0C090017">
      <w:start w:val="1"/>
      <w:numFmt w:val="lowerLetter"/>
      <w:pStyle w:val="ListBullet"/>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9A4989"/>
    <w:multiLevelType w:val="hybridMultilevel"/>
    <w:tmpl w:val="CC48934A"/>
    <w:lvl w:ilvl="0" w:tplc="E4CAC29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A745543"/>
    <w:multiLevelType w:val="hybridMultilevel"/>
    <w:tmpl w:val="719A80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5456429"/>
    <w:multiLevelType w:val="multilevel"/>
    <w:tmpl w:val="CDDC25BC"/>
    <w:lvl w:ilvl="0">
      <w:start w:val="1"/>
      <w:numFmt w:val="decimal"/>
      <w:lvlText w:val="%1."/>
      <w:lvlJc w:val="left"/>
      <w:pPr>
        <w:ind w:left="369" w:hanging="369"/>
      </w:pPr>
      <w:rPr>
        <w:rFonts w:ascii="Arial" w:hAnsi="Arial" w:hint="default"/>
        <w:b w:val="0"/>
        <w:color w:val="auto"/>
        <w:sz w:val="20"/>
        <w:szCs w:val="20"/>
      </w:rPr>
    </w:lvl>
    <w:lvl w:ilvl="1">
      <w:start w:val="1"/>
      <w:numFmt w:val="lowerLetter"/>
      <w:lvlText w:val="%2."/>
      <w:lvlJc w:val="left"/>
      <w:pPr>
        <w:ind w:left="738" w:hanging="369"/>
      </w:pPr>
      <w:rPr>
        <w:rFonts w:ascii="Arial" w:hAnsi="Arial" w:cs="Arial" w:hint="default"/>
        <w:sz w:val="20"/>
        <w:szCs w:val="20"/>
      </w:rPr>
    </w:lvl>
    <w:lvl w:ilvl="2">
      <w:start w:val="1"/>
      <w:numFmt w:val="lowerRoman"/>
      <w:lvlText w:val="%3."/>
      <w:lvlJc w:val="left"/>
      <w:pPr>
        <w:ind w:left="1107" w:hanging="369"/>
      </w:pPr>
      <w:rPr>
        <w:rFonts w:ascii="Arial" w:hAnsi="Arial" w:cs="Arial" w:hint="default"/>
        <w:sz w:val="20"/>
        <w:szCs w:val="20"/>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8" w15:restartNumberingAfterBreak="0">
    <w:nsid w:val="6BDF2AAE"/>
    <w:multiLevelType w:val="hybridMultilevel"/>
    <w:tmpl w:val="E2080B8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7F1B3F"/>
    <w:multiLevelType w:val="singleLevel"/>
    <w:tmpl w:val="6004F720"/>
    <w:lvl w:ilvl="0">
      <w:start w:val="1"/>
      <w:numFmt w:val="bullet"/>
      <w:lvlText w:val=""/>
      <w:lvlJc w:val="left"/>
      <w:pPr>
        <w:ind w:left="2641" w:hanging="369"/>
      </w:pPr>
      <w:rPr>
        <w:rFonts w:ascii="Symbol" w:hAnsi="Symbol" w:hint="default"/>
        <w:color w:val="auto"/>
      </w:rPr>
    </w:lvl>
  </w:abstractNum>
  <w:abstractNum w:abstractNumId="20" w15:restartNumberingAfterBreak="0">
    <w:nsid w:val="7397280A"/>
    <w:multiLevelType w:val="hybridMultilevel"/>
    <w:tmpl w:val="90ACB4BA"/>
    <w:lvl w:ilvl="0" w:tplc="F858D40A">
      <w:start w:val="1"/>
      <w:numFmt w:val="decimal"/>
      <w:lvlText w:val="%1."/>
      <w:lvlJc w:val="left"/>
      <w:pPr>
        <w:ind w:left="720" w:hanging="360"/>
      </w:pPr>
    </w:lvl>
    <w:lvl w:ilvl="1" w:tplc="246E11B0">
      <w:start w:val="1"/>
      <w:numFmt w:val="lowerLetter"/>
      <w:lvlText w:val="%2."/>
      <w:lvlJc w:val="left"/>
      <w:pPr>
        <w:ind w:left="1440" w:hanging="360"/>
      </w:pPr>
    </w:lvl>
    <w:lvl w:ilvl="2" w:tplc="E8E655AA">
      <w:start w:val="1"/>
      <w:numFmt w:val="lowerRoman"/>
      <w:lvlText w:val="%3."/>
      <w:lvlJc w:val="right"/>
      <w:pPr>
        <w:ind w:left="2160" w:hanging="180"/>
      </w:pPr>
    </w:lvl>
    <w:lvl w:ilvl="3" w:tplc="B980D848">
      <w:start w:val="1"/>
      <w:numFmt w:val="decimal"/>
      <w:lvlText w:val="%4."/>
      <w:lvlJc w:val="left"/>
      <w:pPr>
        <w:ind w:left="2880" w:hanging="360"/>
      </w:pPr>
    </w:lvl>
    <w:lvl w:ilvl="4" w:tplc="F1169DBA">
      <w:start w:val="1"/>
      <w:numFmt w:val="lowerLetter"/>
      <w:lvlText w:val="%5."/>
      <w:lvlJc w:val="left"/>
      <w:pPr>
        <w:ind w:left="3600" w:hanging="360"/>
      </w:pPr>
    </w:lvl>
    <w:lvl w:ilvl="5" w:tplc="648E0EA4">
      <w:start w:val="1"/>
      <w:numFmt w:val="lowerRoman"/>
      <w:lvlText w:val="%6."/>
      <w:lvlJc w:val="right"/>
      <w:pPr>
        <w:ind w:left="4320" w:hanging="180"/>
      </w:pPr>
    </w:lvl>
    <w:lvl w:ilvl="6" w:tplc="29983772">
      <w:start w:val="1"/>
      <w:numFmt w:val="decimal"/>
      <w:lvlText w:val="%7."/>
      <w:lvlJc w:val="left"/>
      <w:pPr>
        <w:ind w:left="5040" w:hanging="360"/>
      </w:pPr>
    </w:lvl>
    <w:lvl w:ilvl="7" w:tplc="712E8E14">
      <w:start w:val="1"/>
      <w:numFmt w:val="lowerLetter"/>
      <w:lvlText w:val="%8."/>
      <w:lvlJc w:val="left"/>
      <w:pPr>
        <w:ind w:left="5760" w:hanging="360"/>
      </w:pPr>
    </w:lvl>
    <w:lvl w:ilvl="8" w:tplc="108E7FC2">
      <w:start w:val="1"/>
      <w:numFmt w:val="lowerRoman"/>
      <w:lvlText w:val="%9."/>
      <w:lvlJc w:val="right"/>
      <w:pPr>
        <w:ind w:left="6480" w:hanging="180"/>
      </w:pPr>
    </w:lvl>
  </w:abstractNum>
  <w:abstractNum w:abstractNumId="21"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2" w15:restartNumberingAfterBreak="0">
    <w:nsid w:val="790A47DC"/>
    <w:multiLevelType w:val="hybridMultilevel"/>
    <w:tmpl w:val="E0769F0A"/>
    <w:lvl w:ilvl="0" w:tplc="D250D164">
      <w:start w:val="1"/>
      <w:numFmt w:val="decimal"/>
      <w:lvlText w:val="%1."/>
      <w:lvlJc w:val="left"/>
      <w:pPr>
        <w:ind w:left="720" w:hanging="360"/>
      </w:pPr>
      <w:rPr>
        <w:rFonts w:cs="Arial" w:hint="default"/>
        <w:i w:val="0"/>
        <w:iCs w:val="0"/>
        <w:color w:val="auto"/>
      </w:rPr>
    </w:lvl>
    <w:lvl w:ilvl="1" w:tplc="0C090019">
      <w:start w:val="1"/>
      <w:numFmt w:val="lowerLetter"/>
      <w:lvlText w:val="%2."/>
      <w:lvlJc w:val="left"/>
      <w:pPr>
        <w:ind w:left="1440" w:hanging="360"/>
      </w:pPr>
      <w:rPr>
        <w:rFonts w:hint="default"/>
        <w:strike w:val="0"/>
        <w:color w:val="auto"/>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9697203"/>
    <w:multiLevelType w:val="hybridMultilevel"/>
    <w:tmpl w:val="67442456"/>
    <w:styleLink w:val="ImportedStyle4"/>
    <w:lvl w:ilvl="0" w:tplc="6E623A76">
      <w:start w:val="1"/>
      <w:numFmt w:val="decimal"/>
      <w:lvlText w:val="%1."/>
      <w:lvlJc w:val="left"/>
      <w:pPr>
        <w:ind w:left="369" w:hanging="36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C4CE77C">
      <w:start w:val="1"/>
      <w:numFmt w:val="lowerLetter"/>
      <w:lvlText w:val="%2."/>
      <w:lvlJc w:val="left"/>
      <w:pPr>
        <w:ind w:left="738" w:hanging="36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330C290">
      <w:start w:val="1"/>
      <w:numFmt w:val="lowerRoman"/>
      <w:lvlText w:val="%3."/>
      <w:lvlJc w:val="left"/>
      <w:pPr>
        <w:ind w:left="1107" w:hanging="36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466FF4A">
      <w:start w:val="1"/>
      <w:numFmt w:val="decimal"/>
      <w:lvlText w:val="%4."/>
      <w:lvlJc w:val="left"/>
      <w:pPr>
        <w:ind w:left="1476" w:hanging="36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B329F3E">
      <w:start w:val="1"/>
      <w:numFmt w:val="decimal"/>
      <w:lvlText w:val="%5."/>
      <w:lvlJc w:val="left"/>
      <w:pPr>
        <w:ind w:left="1845" w:hanging="36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098A6B6">
      <w:start w:val="1"/>
      <w:numFmt w:val="decimal"/>
      <w:lvlText w:val="%6."/>
      <w:lvlJc w:val="left"/>
      <w:pPr>
        <w:ind w:left="2214" w:hanging="36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B129014">
      <w:start w:val="1"/>
      <w:numFmt w:val="decimal"/>
      <w:lvlText w:val="%7."/>
      <w:lvlJc w:val="left"/>
      <w:pPr>
        <w:ind w:left="2583" w:hanging="36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5D0E862">
      <w:start w:val="1"/>
      <w:numFmt w:val="decimal"/>
      <w:lvlText w:val="%8."/>
      <w:lvlJc w:val="left"/>
      <w:pPr>
        <w:ind w:left="2952" w:hanging="36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BFE2D6A">
      <w:start w:val="1"/>
      <w:numFmt w:val="decimal"/>
      <w:lvlText w:val="%9."/>
      <w:lvlJc w:val="left"/>
      <w:pPr>
        <w:ind w:left="3321" w:hanging="36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3"/>
  </w:num>
  <w:num w:numId="2">
    <w:abstractNumId w:val="5"/>
  </w:num>
  <w:num w:numId="3">
    <w:abstractNumId w:val="20"/>
  </w:num>
  <w:num w:numId="4">
    <w:abstractNumId w:val="21"/>
  </w:num>
  <w:num w:numId="5">
    <w:abstractNumId w:val="3"/>
  </w:num>
  <w:num w:numId="6">
    <w:abstractNumId w:val="10"/>
  </w:num>
  <w:num w:numId="7">
    <w:abstractNumId w:val="8"/>
  </w:num>
  <w:num w:numId="8">
    <w:abstractNumId w:val="17"/>
  </w:num>
  <w:num w:numId="9">
    <w:abstractNumId w:val="14"/>
  </w:num>
  <w:num w:numId="10">
    <w:abstractNumId w:val="6"/>
  </w:num>
  <w:num w:numId="11">
    <w:abstractNumId w:val="6"/>
  </w:num>
  <w:num w:numId="12">
    <w:abstractNumId w:val="23"/>
  </w:num>
  <w:num w:numId="13">
    <w:abstractNumId w:val="17"/>
  </w:num>
  <w:num w:numId="14">
    <w:abstractNumId w:val="17"/>
  </w:num>
  <w:num w:numId="15">
    <w:abstractNumId w:val="17"/>
  </w:num>
  <w:num w:numId="16">
    <w:abstractNumId w:val="17"/>
  </w:num>
  <w:num w:numId="17">
    <w:abstractNumId w:val="19"/>
  </w:num>
  <w:num w:numId="18">
    <w:abstractNumId w:val="4"/>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6"/>
  </w:num>
  <w:num w:numId="26">
    <w:abstractNumId w:val="11"/>
  </w:num>
  <w:num w:numId="27">
    <w:abstractNumId w:val="2"/>
  </w:num>
  <w:num w:numId="28">
    <w:abstractNumId w:val="17"/>
    <w:lvlOverride w:ilvl="0">
      <w:lvl w:ilvl="0">
        <w:start w:val="1"/>
        <w:numFmt w:val="decimal"/>
        <w:lvlText w:val="%1."/>
        <w:lvlJc w:val="left"/>
        <w:pPr>
          <w:ind w:left="1079" w:hanging="369"/>
        </w:pPr>
        <w:rPr>
          <w:rFonts w:ascii="Arial" w:hAnsi="Arial" w:hint="default"/>
          <w:sz w:val="22"/>
        </w:rPr>
      </w:lvl>
    </w:lvlOverride>
    <w:lvlOverride w:ilvl="1">
      <w:lvl w:ilvl="1">
        <w:start w:val="1"/>
        <w:numFmt w:val="lowerLetter"/>
        <w:lvlText w:val="%2."/>
        <w:lvlJc w:val="left"/>
        <w:pPr>
          <w:ind w:left="738" w:hanging="369"/>
        </w:pPr>
        <w:rPr>
          <w:rFonts w:hint="default"/>
        </w:rPr>
      </w:lvl>
    </w:lvlOverride>
    <w:lvlOverride w:ilvl="2">
      <w:lvl w:ilvl="2">
        <w:start w:val="1"/>
        <w:numFmt w:val="lowerRoman"/>
        <w:lvlText w:val="%3."/>
        <w:lvlJc w:val="left"/>
        <w:pPr>
          <w:ind w:left="1107" w:hanging="369"/>
        </w:pPr>
        <w:rPr>
          <w:rFonts w:hint="default"/>
        </w:rPr>
      </w:lvl>
    </w:lvlOverride>
    <w:lvlOverride w:ilvl="3">
      <w:lvl w:ilvl="3">
        <w:start w:val="1"/>
        <w:numFmt w:val="none"/>
        <w:lvlText w:val="%4"/>
        <w:lvlJc w:val="left"/>
        <w:pPr>
          <w:ind w:left="1476" w:hanging="369"/>
        </w:pPr>
        <w:rPr>
          <w:rFonts w:hint="default"/>
        </w:rPr>
      </w:lvl>
    </w:lvlOverride>
    <w:lvlOverride w:ilvl="4">
      <w:lvl w:ilvl="4">
        <w:start w:val="1"/>
        <w:numFmt w:val="none"/>
        <w:lvlText w:val=""/>
        <w:lvlJc w:val="left"/>
        <w:pPr>
          <w:ind w:left="1845" w:hanging="369"/>
        </w:pPr>
        <w:rPr>
          <w:rFonts w:hint="default"/>
        </w:rPr>
      </w:lvl>
    </w:lvlOverride>
    <w:lvlOverride w:ilvl="5">
      <w:lvl w:ilvl="5">
        <w:start w:val="1"/>
        <w:numFmt w:val="none"/>
        <w:lvlText w:val=""/>
        <w:lvlJc w:val="left"/>
        <w:pPr>
          <w:ind w:left="2214" w:hanging="369"/>
        </w:pPr>
        <w:rPr>
          <w:rFonts w:hint="default"/>
        </w:rPr>
      </w:lvl>
    </w:lvlOverride>
    <w:lvlOverride w:ilvl="6">
      <w:lvl w:ilvl="6">
        <w:start w:val="1"/>
        <w:numFmt w:val="none"/>
        <w:lvlText w:val=""/>
        <w:lvlJc w:val="left"/>
        <w:pPr>
          <w:ind w:left="2583" w:hanging="369"/>
        </w:pPr>
        <w:rPr>
          <w:rFonts w:hint="default"/>
        </w:rPr>
      </w:lvl>
    </w:lvlOverride>
    <w:lvlOverride w:ilvl="7">
      <w:lvl w:ilvl="7">
        <w:start w:val="1"/>
        <w:numFmt w:val="none"/>
        <w:lvlText w:val=""/>
        <w:lvlJc w:val="left"/>
        <w:pPr>
          <w:ind w:left="2952" w:hanging="369"/>
        </w:pPr>
        <w:rPr>
          <w:rFonts w:hint="default"/>
        </w:rPr>
      </w:lvl>
    </w:lvlOverride>
    <w:lvlOverride w:ilvl="8">
      <w:lvl w:ilvl="8">
        <w:start w:val="1"/>
        <w:numFmt w:val="none"/>
        <w:lvlText w:val=""/>
        <w:lvlJc w:val="left"/>
        <w:pPr>
          <w:ind w:left="3321" w:hanging="369"/>
        </w:pPr>
        <w:rPr>
          <w:rFonts w:hint="default"/>
        </w:rPr>
      </w:lvl>
    </w:lvlOverride>
  </w:num>
  <w:num w:numId="29">
    <w:abstractNumId w:val="17"/>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0">
    <w:abstractNumId w:val="7"/>
  </w:num>
  <w:num w:numId="31">
    <w:abstractNumId w:val="17"/>
    <w:lvlOverride w:ilvl="0">
      <w:lvl w:ilvl="0">
        <w:start w:val="1"/>
        <w:numFmt w:val="decimal"/>
        <w:lvlText w:val="%1."/>
        <w:lvlJc w:val="left"/>
        <w:pPr>
          <w:ind w:left="369" w:hanging="369"/>
        </w:pPr>
        <w:rPr>
          <w:rFonts w:ascii="Arial" w:hAnsi="Arial" w:hint="default"/>
          <w:sz w:val="22"/>
        </w:rPr>
      </w:lvl>
    </w:lvlOverride>
    <w:lvlOverride w:ilvl="1">
      <w:lvl w:ilvl="1">
        <w:start w:val="1"/>
        <w:numFmt w:val="lowerLetter"/>
        <w:lvlText w:val="%2."/>
        <w:lvlJc w:val="left"/>
        <w:pPr>
          <w:ind w:left="738" w:hanging="369"/>
        </w:pPr>
        <w:rPr>
          <w:rFonts w:hint="default"/>
        </w:rPr>
      </w:lvl>
    </w:lvlOverride>
    <w:lvlOverride w:ilvl="2">
      <w:lvl w:ilvl="2">
        <w:start w:val="1"/>
        <w:numFmt w:val="lowerRoman"/>
        <w:lvlText w:val="%3."/>
        <w:lvlJc w:val="left"/>
        <w:pPr>
          <w:ind w:left="1107" w:hanging="369"/>
        </w:pPr>
        <w:rPr>
          <w:rFonts w:hint="default"/>
        </w:rPr>
      </w:lvl>
    </w:lvlOverride>
    <w:lvlOverride w:ilvl="3">
      <w:lvl w:ilvl="3">
        <w:start w:val="1"/>
        <w:numFmt w:val="none"/>
        <w:lvlText w:val="%4"/>
        <w:lvlJc w:val="left"/>
        <w:pPr>
          <w:ind w:left="1476" w:hanging="369"/>
        </w:pPr>
        <w:rPr>
          <w:rFonts w:hint="default"/>
        </w:rPr>
      </w:lvl>
    </w:lvlOverride>
    <w:lvlOverride w:ilvl="4">
      <w:lvl w:ilvl="4">
        <w:start w:val="1"/>
        <w:numFmt w:val="none"/>
        <w:lvlText w:val=""/>
        <w:lvlJc w:val="left"/>
        <w:pPr>
          <w:ind w:left="1845" w:hanging="369"/>
        </w:pPr>
        <w:rPr>
          <w:rFonts w:hint="default"/>
        </w:rPr>
      </w:lvl>
    </w:lvlOverride>
    <w:lvlOverride w:ilvl="5">
      <w:lvl w:ilvl="5">
        <w:start w:val="1"/>
        <w:numFmt w:val="none"/>
        <w:lvlText w:val=""/>
        <w:lvlJc w:val="left"/>
        <w:pPr>
          <w:ind w:left="2214" w:hanging="369"/>
        </w:pPr>
        <w:rPr>
          <w:rFonts w:hint="default"/>
        </w:rPr>
      </w:lvl>
    </w:lvlOverride>
    <w:lvlOverride w:ilvl="6">
      <w:lvl w:ilvl="6">
        <w:start w:val="1"/>
        <w:numFmt w:val="none"/>
        <w:lvlText w:val=""/>
        <w:lvlJc w:val="left"/>
        <w:pPr>
          <w:ind w:left="2583" w:hanging="369"/>
        </w:pPr>
        <w:rPr>
          <w:rFonts w:hint="default"/>
        </w:rPr>
      </w:lvl>
    </w:lvlOverride>
    <w:lvlOverride w:ilvl="7">
      <w:lvl w:ilvl="7">
        <w:start w:val="1"/>
        <w:numFmt w:val="none"/>
        <w:lvlText w:val=""/>
        <w:lvlJc w:val="left"/>
        <w:pPr>
          <w:ind w:left="2952" w:hanging="369"/>
        </w:pPr>
        <w:rPr>
          <w:rFonts w:hint="default"/>
        </w:rPr>
      </w:lvl>
    </w:lvlOverride>
    <w:lvlOverride w:ilvl="8">
      <w:lvl w:ilvl="8">
        <w:start w:val="1"/>
        <w:numFmt w:val="none"/>
        <w:lvlText w:val=""/>
        <w:lvlJc w:val="left"/>
        <w:pPr>
          <w:ind w:left="3321" w:hanging="369"/>
        </w:pPr>
        <w:rPr>
          <w:rFonts w:hint="default"/>
        </w:rPr>
      </w:lvl>
    </w:lvlOverride>
  </w:num>
  <w:num w:numId="32">
    <w:abstractNumId w:val="1"/>
  </w:num>
  <w:num w:numId="33">
    <w:abstractNumId w:val="0"/>
  </w:num>
  <w:num w:numId="34">
    <w:abstractNumId w:val="9"/>
  </w:num>
  <w:num w:numId="35">
    <w:abstractNumId w:val="12"/>
  </w:num>
  <w:num w:numId="36">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085A"/>
    <w:rsid w:val="00000B99"/>
    <w:rsid w:val="00004AEE"/>
    <w:rsid w:val="00005CAA"/>
    <w:rsid w:val="00010210"/>
    <w:rsid w:val="00011201"/>
    <w:rsid w:val="00011954"/>
    <w:rsid w:val="00011DAC"/>
    <w:rsid w:val="00012D66"/>
    <w:rsid w:val="000133EC"/>
    <w:rsid w:val="00013F78"/>
    <w:rsid w:val="00014715"/>
    <w:rsid w:val="00015ADA"/>
    <w:rsid w:val="00015DDA"/>
    <w:rsid w:val="00016743"/>
    <w:rsid w:val="00017701"/>
    <w:rsid w:val="00020C99"/>
    <w:rsid w:val="00022481"/>
    <w:rsid w:val="00022732"/>
    <w:rsid w:val="000227BD"/>
    <w:rsid w:val="00022D39"/>
    <w:rsid w:val="000236B9"/>
    <w:rsid w:val="00023DFB"/>
    <w:rsid w:val="00025F34"/>
    <w:rsid w:val="00026932"/>
    <w:rsid w:val="0002707B"/>
    <w:rsid w:val="000279D4"/>
    <w:rsid w:val="00031367"/>
    <w:rsid w:val="00031B32"/>
    <w:rsid w:val="00032B5E"/>
    <w:rsid w:val="00033729"/>
    <w:rsid w:val="000414BC"/>
    <w:rsid w:val="00042255"/>
    <w:rsid w:val="0005148E"/>
    <w:rsid w:val="00051555"/>
    <w:rsid w:val="000547F0"/>
    <w:rsid w:val="00054B83"/>
    <w:rsid w:val="00055FF2"/>
    <w:rsid w:val="00056465"/>
    <w:rsid w:val="00061DAF"/>
    <w:rsid w:val="0006262C"/>
    <w:rsid w:val="00062A46"/>
    <w:rsid w:val="0006418D"/>
    <w:rsid w:val="000661C6"/>
    <w:rsid w:val="000670B4"/>
    <w:rsid w:val="00067E21"/>
    <w:rsid w:val="00071148"/>
    <w:rsid w:val="00072EA9"/>
    <w:rsid w:val="000759E5"/>
    <w:rsid w:val="0007601C"/>
    <w:rsid w:val="00077226"/>
    <w:rsid w:val="00077C7C"/>
    <w:rsid w:val="00081B15"/>
    <w:rsid w:val="0008486B"/>
    <w:rsid w:val="00084AC6"/>
    <w:rsid w:val="00085816"/>
    <w:rsid w:val="00086B1C"/>
    <w:rsid w:val="0008733D"/>
    <w:rsid w:val="00087ED6"/>
    <w:rsid w:val="00090C6B"/>
    <w:rsid w:val="00091608"/>
    <w:rsid w:val="0009196E"/>
    <w:rsid w:val="00092F92"/>
    <w:rsid w:val="0009333C"/>
    <w:rsid w:val="00093E5E"/>
    <w:rsid w:val="00094729"/>
    <w:rsid w:val="000956DC"/>
    <w:rsid w:val="00095A2F"/>
    <w:rsid w:val="0009704F"/>
    <w:rsid w:val="000A0B73"/>
    <w:rsid w:val="000A0F11"/>
    <w:rsid w:val="000A125A"/>
    <w:rsid w:val="000A1ABF"/>
    <w:rsid w:val="000A228F"/>
    <w:rsid w:val="000A26A9"/>
    <w:rsid w:val="000A41B5"/>
    <w:rsid w:val="000A496E"/>
    <w:rsid w:val="000A55E7"/>
    <w:rsid w:val="000A57CD"/>
    <w:rsid w:val="000A6E81"/>
    <w:rsid w:val="000A758E"/>
    <w:rsid w:val="000B1F37"/>
    <w:rsid w:val="000B2FF3"/>
    <w:rsid w:val="000B3758"/>
    <w:rsid w:val="000B49DD"/>
    <w:rsid w:val="000B7681"/>
    <w:rsid w:val="000B7B42"/>
    <w:rsid w:val="000B7E36"/>
    <w:rsid w:val="000C02B7"/>
    <w:rsid w:val="000C2814"/>
    <w:rsid w:val="000C3B0A"/>
    <w:rsid w:val="000C451B"/>
    <w:rsid w:val="000C4BB6"/>
    <w:rsid w:val="000C4CEE"/>
    <w:rsid w:val="000C5342"/>
    <w:rsid w:val="000C6BDF"/>
    <w:rsid w:val="000C706A"/>
    <w:rsid w:val="000D1DBF"/>
    <w:rsid w:val="000D2887"/>
    <w:rsid w:val="000D3B1A"/>
    <w:rsid w:val="000D6D63"/>
    <w:rsid w:val="000D706B"/>
    <w:rsid w:val="000D7810"/>
    <w:rsid w:val="000E0081"/>
    <w:rsid w:val="000E07CF"/>
    <w:rsid w:val="000E07DC"/>
    <w:rsid w:val="000E2ADB"/>
    <w:rsid w:val="000E3EDB"/>
    <w:rsid w:val="000E501F"/>
    <w:rsid w:val="000E6507"/>
    <w:rsid w:val="000F01D5"/>
    <w:rsid w:val="000F240D"/>
    <w:rsid w:val="000F2A8B"/>
    <w:rsid w:val="000F6323"/>
    <w:rsid w:val="00100BEF"/>
    <w:rsid w:val="00101C8F"/>
    <w:rsid w:val="00102E17"/>
    <w:rsid w:val="00103671"/>
    <w:rsid w:val="00103FCA"/>
    <w:rsid w:val="001040CD"/>
    <w:rsid w:val="00104949"/>
    <w:rsid w:val="001058FB"/>
    <w:rsid w:val="00107564"/>
    <w:rsid w:val="001106EA"/>
    <w:rsid w:val="001119D5"/>
    <w:rsid w:val="0011498E"/>
    <w:rsid w:val="00116F28"/>
    <w:rsid w:val="00117A45"/>
    <w:rsid w:val="00121656"/>
    <w:rsid w:val="00121BFC"/>
    <w:rsid w:val="001224AE"/>
    <w:rsid w:val="00123035"/>
    <w:rsid w:val="0012388C"/>
    <w:rsid w:val="00123F27"/>
    <w:rsid w:val="00131875"/>
    <w:rsid w:val="001337D4"/>
    <w:rsid w:val="001340EA"/>
    <w:rsid w:val="00135B43"/>
    <w:rsid w:val="00141E02"/>
    <w:rsid w:val="001424C7"/>
    <w:rsid w:val="0014726E"/>
    <w:rsid w:val="00147C12"/>
    <w:rsid w:val="00147EFC"/>
    <w:rsid w:val="001527A1"/>
    <w:rsid w:val="001530DC"/>
    <w:rsid w:val="001536E1"/>
    <w:rsid w:val="001539AF"/>
    <w:rsid w:val="00154989"/>
    <w:rsid w:val="00155A9F"/>
    <w:rsid w:val="00155B3F"/>
    <w:rsid w:val="0015616A"/>
    <w:rsid w:val="0015637B"/>
    <w:rsid w:val="0015684F"/>
    <w:rsid w:val="00160262"/>
    <w:rsid w:val="001611F9"/>
    <w:rsid w:val="0016186F"/>
    <w:rsid w:val="0016281C"/>
    <w:rsid w:val="0016433A"/>
    <w:rsid w:val="00164C93"/>
    <w:rsid w:val="0016545E"/>
    <w:rsid w:val="0016615B"/>
    <w:rsid w:val="0016780A"/>
    <w:rsid w:val="00167FF7"/>
    <w:rsid w:val="001713FA"/>
    <w:rsid w:val="001731AD"/>
    <w:rsid w:val="00173EBF"/>
    <w:rsid w:val="001765DA"/>
    <w:rsid w:val="0017692F"/>
    <w:rsid w:val="001773C5"/>
    <w:rsid w:val="0018000F"/>
    <w:rsid w:val="00181172"/>
    <w:rsid w:val="0018166B"/>
    <w:rsid w:val="00182191"/>
    <w:rsid w:val="00182540"/>
    <w:rsid w:val="00182CCB"/>
    <w:rsid w:val="00183539"/>
    <w:rsid w:val="001842A2"/>
    <w:rsid w:val="00185039"/>
    <w:rsid w:val="00185407"/>
    <w:rsid w:val="00186465"/>
    <w:rsid w:val="00186EAA"/>
    <w:rsid w:val="00187FA8"/>
    <w:rsid w:val="00190761"/>
    <w:rsid w:val="001911CF"/>
    <w:rsid w:val="00191DE4"/>
    <w:rsid w:val="00192195"/>
    <w:rsid w:val="001922D0"/>
    <w:rsid w:val="0019252C"/>
    <w:rsid w:val="00192944"/>
    <w:rsid w:val="00192F5E"/>
    <w:rsid w:val="00194CA7"/>
    <w:rsid w:val="00197772"/>
    <w:rsid w:val="001A0A31"/>
    <w:rsid w:val="001A33C1"/>
    <w:rsid w:val="001A51C8"/>
    <w:rsid w:val="001A6B15"/>
    <w:rsid w:val="001A7170"/>
    <w:rsid w:val="001B1237"/>
    <w:rsid w:val="001B2B8B"/>
    <w:rsid w:val="001B472B"/>
    <w:rsid w:val="001B48DA"/>
    <w:rsid w:val="001B4CA8"/>
    <w:rsid w:val="001BB06E"/>
    <w:rsid w:val="001C063D"/>
    <w:rsid w:val="001C2A92"/>
    <w:rsid w:val="001C4F3D"/>
    <w:rsid w:val="001C636F"/>
    <w:rsid w:val="001C7555"/>
    <w:rsid w:val="001C7EDB"/>
    <w:rsid w:val="001D0CDC"/>
    <w:rsid w:val="001D1D82"/>
    <w:rsid w:val="001D233D"/>
    <w:rsid w:val="001D3118"/>
    <w:rsid w:val="001D364A"/>
    <w:rsid w:val="001E01D3"/>
    <w:rsid w:val="001E1182"/>
    <w:rsid w:val="001E2244"/>
    <w:rsid w:val="001E261B"/>
    <w:rsid w:val="001E2A49"/>
    <w:rsid w:val="001E2E34"/>
    <w:rsid w:val="001E3909"/>
    <w:rsid w:val="001E7C1B"/>
    <w:rsid w:val="001F0E8B"/>
    <w:rsid w:val="001F1115"/>
    <w:rsid w:val="001F2512"/>
    <w:rsid w:val="001F29B9"/>
    <w:rsid w:val="001F4E71"/>
    <w:rsid w:val="001F6BEF"/>
    <w:rsid w:val="00200944"/>
    <w:rsid w:val="00201861"/>
    <w:rsid w:val="00201DBA"/>
    <w:rsid w:val="00202162"/>
    <w:rsid w:val="00202387"/>
    <w:rsid w:val="00202C90"/>
    <w:rsid w:val="00203485"/>
    <w:rsid w:val="00205D29"/>
    <w:rsid w:val="00211355"/>
    <w:rsid w:val="00213DE8"/>
    <w:rsid w:val="00215764"/>
    <w:rsid w:val="00216118"/>
    <w:rsid w:val="002209AB"/>
    <w:rsid w:val="002244D2"/>
    <w:rsid w:val="002251E3"/>
    <w:rsid w:val="002262E6"/>
    <w:rsid w:val="00227231"/>
    <w:rsid w:val="002279B7"/>
    <w:rsid w:val="00227A95"/>
    <w:rsid w:val="002316BD"/>
    <w:rsid w:val="00233687"/>
    <w:rsid w:val="002336F3"/>
    <w:rsid w:val="0023646B"/>
    <w:rsid w:val="002365E3"/>
    <w:rsid w:val="00237C59"/>
    <w:rsid w:val="00240798"/>
    <w:rsid w:val="00241A21"/>
    <w:rsid w:val="00242D16"/>
    <w:rsid w:val="002473FC"/>
    <w:rsid w:val="00251A29"/>
    <w:rsid w:val="002523AA"/>
    <w:rsid w:val="00252922"/>
    <w:rsid w:val="00252E3C"/>
    <w:rsid w:val="00254583"/>
    <w:rsid w:val="0025575B"/>
    <w:rsid w:val="002576DF"/>
    <w:rsid w:val="00262198"/>
    <w:rsid w:val="00262741"/>
    <w:rsid w:val="00264083"/>
    <w:rsid w:val="00264AF9"/>
    <w:rsid w:val="002664E9"/>
    <w:rsid w:val="00270EF7"/>
    <w:rsid w:val="00271559"/>
    <w:rsid w:val="00277426"/>
    <w:rsid w:val="00277A51"/>
    <w:rsid w:val="00281820"/>
    <w:rsid w:val="00281AF5"/>
    <w:rsid w:val="00285F1B"/>
    <w:rsid w:val="00291857"/>
    <w:rsid w:val="00292094"/>
    <w:rsid w:val="002923F3"/>
    <w:rsid w:val="00292B81"/>
    <w:rsid w:val="0029322E"/>
    <w:rsid w:val="00294A0A"/>
    <w:rsid w:val="00294A1B"/>
    <w:rsid w:val="00294A84"/>
    <w:rsid w:val="00296477"/>
    <w:rsid w:val="00297349"/>
    <w:rsid w:val="002974BC"/>
    <w:rsid w:val="002A0946"/>
    <w:rsid w:val="002A5EC3"/>
    <w:rsid w:val="002A617C"/>
    <w:rsid w:val="002A7ED7"/>
    <w:rsid w:val="002B0CFB"/>
    <w:rsid w:val="002B18AE"/>
    <w:rsid w:val="002B561C"/>
    <w:rsid w:val="002B6472"/>
    <w:rsid w:val="002B67D3"/>
    <w:rsid w:val="002C16BE"/>
    <w:rsid w:val="002C1C93"/>
    <w:rsid w:val="002C2B71"/>
    <w:rsid w:val="002C3257"/>
    <w:rsid w:val="002C3738"/>
    <w:rsid w:val="002C5066"/>
    <w:rsid w:val="002C57E9"/>
    <w:rsid w:val="002C7E56"/>
    <w:rsid w:val="002D325F"/>
    <w:rsid w:val="002D33D2"/>
    <w:rsid w:val="002D3CDA"/>
    <w:rsid w:val="002D40E8"/>
    <w:rsid w:val="002D4AAC"/>
    <w:rsid w:val="002D4CAA"/>
    <w:rsid w:val="002D55B5"/>
    <w:rsid w:val="002D6C33"/>
    <w:rsid w:val="002D737E"/>
    <w:rsid w:val="002E1AB0"/>
    <w:rsid w:val="002E2E71"/>
    <w:rsid w:val="002E43EF"/>
    <w:rsid w:val="002E5B8A"/>
    <w:rsid w:val="002F045A"/>
    <w:rsid w:val="002F0989"/>
    <w:rsid w:val="002F2861"/>
    <w:rsid w:val="002F3244"/>
    <w:rsid w:val="002F4AB8"/>
    <w:rsid w:val="002F5D73"/>
    <w:rsid w:val="002F6518"/>
    <w:rsid w:val="0030039D"/>
    <w:rsid w:val="00300715"/>
    <w:rsid w:val="0030326F"/>
    <w:rsid w:val="003038E7"/>
    <w:rsid w:val="0030503D"/>
    <w:rsid w:val="00306524"/>
    <w:rsid w:val="003075BA"/>
    <w:rsid w:val="00310701"/>
    <w:rsid w:val="00311510"/>
    <w:rsid w:val="003138AC"/>
    <w:rsid w:val="00315980"/>
    <w:rsid w:val="00316F7F"/>
    <w:rsid w:val="00320162"/>
    <w:rsid w:val="0032087E"/>
    <w:rsid w:val="00320EA6"/>
    <w:rsid w:val="003218E8"/>
    <w:rsid w:val="00323248"/>
    <w:rsid w:val="00325AFC"/>
    <w:rsid w:val="00330DCE"/>
    <w:rsid w:val="00331E11"/>
    <w:rsid w:val="003334F2"/>
    <w:rsid w:val="00334761"/>
    <w:rsid w:val="00335015"/>
    <w:rsid w:val="00337EBC"/>
    <w:rsid w:val="00337F07"/>
    <w:rsid w:val="0034033E"/>
    <w:rsid w:val="003414EC"/>
    <w:rsid w:val="00341DCD"/>
    <w:rsid w:val="0034286E"/>
    <w:rsid w:val="00343E78"/>
    <w:rsid w:val="00344D5E"/>
    <w:rsid w:val="0034504D"/>
    <w:rsid w:val="0034563E"/>
    <w:rsid w:val="00347436"/>
    <w:rsid w:val="003504CC"/>
    <w:rsid w:val="003518D6"/>
    <w:rsid w:val="0035460C"/>
    <w:rsid w:val="0035523E"/>
    <w:rsid w:val="003556BD"/>
    <w:rsid w:val="003601F4"/>
    <w:rsid w:val="0036078A"/>
    <w:rsid w:val="00361676"/>
    <w:rsid w:val="00362E04"/>
    <w:rsid w:val="00363188"/>
    <w:rsid w:val="00364E6D"/>
    <w:rsid w:val="00365147"/>
    <w:rsid w:val="0036608B"/>
    <w:rsid w:val="0036694B"/>
    <w:rsid w:val="00367062"/>
    <w:rsid w:val="0037016E"/>
    <w:rsid w:val="003701F9"/>
    <w:rsid w:val="00370957"/>
    <w:rsid w:val="00370E55"/>
    <w:rsid w:val="00372908"/>
    <w:rsid w:val="003735C3"/>
    <w:rsid w:val="00376457"/>
    <w:rsid w:val="0037694D"/>
    <w:rsid w:val="00381917"/>
    <w:rsid w:val="00383020"/>
    <w:rsid w:val="00383750"/>
    <w:rsid w:val="003847D6"/>
    <w:rsid w:val="00384FA1"/>
    <w:rsid w:val="003852A7"/>
    <w:rsid w:val="00385FFE"/>
    <w:rsid w:val="0038675A"/>
    <w:rsid w:val="00386765"/>
    <w:rsid w:val="0039576B"/>
    <w:rsid w:val="00396356"/>
    <w:rsid w:val="003975FD"/>
    <w:rsid w:val="00397D6C"/>
    <w:rsid w:val="003A0593"/>
    <w:rsid w:val="003A0A5C"/>
    <w:rsid w:val="003A1325"/>
    <w:rsid w:val="003A25AC"/>
    <w:rsid w:val="003A31E2"/>
    <w:rsid w:val="003A4A02"/>
    <w:rsid w:val="003A64F3"/>
    <w:rsid w:val="003B386B"/>
    <w:rsid w:val="003B3CAA"/>
    <w:rsid w:val="003B4893"/>
    <w:rsid w:val="003B5398"/>
    <w:rsid w:val="003B5564"/>
    <w:rsid w:val="003B5A88"/>
    <w:rsid w:val="003B60CC"/>
    <w:rsid w:val="003B6B9C"/>
    <w:rsid w:val="003C0B7D"/>
    <w:rsid w:val="003C1B25"/>
    <w:rsid w:val="003C2443"/>
    <w:rsid w:val="003C31E0"/>
    <w:rsid w:val="003C3397"/>
    <w:rsid w:val="003C5DA3"/>
    <w:rsid w:val="003C7478"/>
    <w:rsid w:val="003D0D4E"/>
    <w:rsid w:val="003D211E"/>
    <w:rsid w:val="003D2858"/>
    <w:rsid w:val="003D2E8E"/>
    <w:rsid w:val="003D4BCD"/>
    <w:rsid w:val="003E01D8"/>
    <w:rsid w:val="003E1796"/>
    <w:rsid w:val="003E2100"/>
    <w:rsid w:val="003E2135"/>
    <w:rsid w:val="003E2BDB"/>
    <w:rsid w:val="003E43B2"/>
    <w:rsid w:val="003E45FA"/>
    <w:rsid w:val="003E53CA"/>
    <w:rsid w:val="003E5ED5"/>
    <w:rsid w:val="003F0984"/>
    <w:rsid w:val="003F09B2"/>
    <w:rsid w:val="003F0CB7"/>
    <w:rsid w:val="003F4EBF"/>
    <w:rsid w:val="003F681F"/>
    <w:rsid w:val="003F6F5B"/>
    <w:rsid w:val="003F754E"/>
    <w:rsid w:val="003F798B"/>
    <w:rsid w:val="003F7EAC"/>
    <w:rsid w:val="00400F8F"/>
    <w:rsid w:val="00402A54"/>
    <w:rsid w:val="0040342D"/>
    <w:rsid w:val="00403FB9"/>
    <w:rsid w:val="004058DB"/>
    <w:rsid w:val="00405E1C"/>
    <w:rsid w:val="00406521"/>
    <w:rsid w:val="00407968"/>
    <w:rsid w:val="00407A91"/>
    <w:rsid w:val="004118D4"/>
    <w:rsid w:val="0041192D"/>
    <w:rsid w:val="004122ED"/>
    <w:rsid w:val="0041275D"/>
    <w:rsid w:val="00412B2A"/>
    <w:rsid w:val="00412C7B"/>
    <w:rsid w:val="00413EE1"/>
    <w:rsid w:val="0042128E"/>
    <w:rsid w:val="0042465A"/>
    <w:rsid w:val="0042578B"/>
    <w:rsid w:val="00430B92"/>
    <w:rsid w:val="00432B60"/>
    <w:rsid w:val="004333E6"/>
    <w:rsid w:val="00434FD7"/>
    <w:rsid w:val="004366E5"/>
    <w:rsid w:val="004371A8"/>
    <w:rsid w:val="004378F2"/>
    <w:rsid w:val="004404B7"/>
    <w:rsid w:val="00440698"/>
    <w:rsid w:val="0044716C"/>
    <w:rsid w:val="00450600"/>
    <w:rsid w:val="00450D55"/>
    <w:rsid w:val="004510D5"/>
    <w:rsid w:val="00453CC1"/>
    <w:rsid w:val="004540E2"/>
    <w:rsid w:val="00454454"/>
    <w:rsid w:val="00457EF4"/>
    <w:rsid w:val="004603EE"/>
    <w:rsid w:val="004612DC"/>
    <w:rsid w:val="00466EFE"/>
    <w:rsid w:val="00467924"/>
    <w:rsid w:val="004712A5"/>
    <w:rsid w:val="0047266F"/>
    <w:rsid w:val="004729C6"/>
    <w:rsid w:val="004756EB"/>
    <w:rsid w:val="00476D6B"/>
    <w:rsid w:val="0047786B"/>
    <w:rsid w:val="0048018F"/>
    <w:rsid w:val="004817EF"/>
    <w:rsid w:val="0048478B"/>
    <w:rsid w:val="00485F6E"/>
    <w:rsid w:val="004861E6"/>
    <w:rsid w:val="00487906"/>
    <w:rsid w:val="00487E92"/>
    <w:rsid w:val="0049013A"/>
    <w:rsid w:val="004912F7"/>
    <w:rsid w:val="00492C11"/>
    <w:rsid w:val="00492C16"/>
    <w:rsid w:val="0049376E"/>
    <w:rsid w:val="0049393E"/>
    <w:rsid w:val="00497FE5"/>
    <w:rsid w:val="004A0678"/>
    <w:rsid w:val="004A0A1E"/>
    <w:rsid w:val="004A4373"/>
    <w:rsid w:val="004A48A3"/>
    <w:rsid w:val="004A6562"/>
    <w:rsid w:val="004A6B70"/>
    <w:rsid w:val="004B0D92"/>
    <w:rsid w:val="004B0EC0"/>
    <w:rsid w:val="004B27F5"/>
    <w:rsid w:val="004B32B2"/>
    <w:rsid w:val="004B3452"/>
    <w:rsid w:val="004B560B"/>
    <w:rsid w:val="004B5A51"/>
    <w:rsid w:val="004B5E19"/>
    <w:rsid w:val="004B66F1"/>
    <w:rsid w:val="004C079E"/>
    <w:rsid w:val="004C2A7F"/>
    <w:rsid w:val="004C3B7B"/>
    <w:rsid w:val="004C3EA0"/>
    <w:rsid w:val="004D1C4A"/>
    <w:rsid w:val="004D327F"/>
    <w:rsid w:val="004D3594"/>
    <w:rsid w:val="004D46F2"/>
    <w:rsid w:val="004D67E5"/>
    <w:rsid w:val="004D74CD"/>
    <w:rsid w:val="004E1BF5"/>
    <w:rsid w:val="004E26D2"/>
    <w:rsid w:val="004E4BBE"/>
    <w:rsid w:val="004E56B1"/>
    <w:rsid w:val="004E7D39"/>
    <w:rsid w:val="004F32CC"/>
    <w:rsid w:val="004F3D69"/>
    <w:rsid w:val="004F7169"/>
    <w:rsid w:val="00500D66"/>
    <w:rsid w:val="00502A55"/>
    <w:rsid w:val="005036A6"/>
    <w:rsid w:val="00511E3E"/>
    <w:rsid w:val="00514C8E"/>
    <w:rsid w:val="00517F35"/>
    <w:rsid w:val="00523A57"/>
    <w:rsid w:val="00523ED3"/>
    <w:rsid w:val="00525457"/>
    <w:rsid w:val="0053074C"/>
    <w:rsid w:val="00531DBF"/>
    <w:rsid w:val="00532323"/>
    <w:rsid w:val="0053336D"/>
    <w:rsid w:val="005337FC"/>
    <w:rsid w:val="00533AA1"/>
    <w:rsid w:val="005344C0"/>
    <w:rsid w:val="0054119A"/>
    <w:rsid w:val="00541AED"/>
    <w:rsid w:val="00542495"/>
    <w:rsid w:val="00542BF9"/>
    <w:rsid w:val="00544A61"/>
    <w:rsid w:val="00545487"/>
    <w:rsid w:val="00545759"/>
    <w:rsid w:val="00545BE0"/>
    <w:rsid w:val="0054607B"/>
    <w:rsid w:val="00546655"/>
    <w:rsid w:val="005470E6"/>
    <w:rsid w:val="00551975"/>
    <w:rsid w:val="00554A98"/>
    <w:rsid w:val="00554C6A"/>
    <w:rsid w:val="00556EB2"/>
    <w:rsid w:val="0055744B"/>
    <w:rsid w:val="0056146F"/>
    <w:rsid w:val="00562E85"/>
    <w:rsid w:val="0056332F"/>
    <w:rsid w:val="0056536B"/>
    <w:rsid w:val="005712C5"/>
    <w:rsid w:val="005736EF"/>
    <w:rsid w:val="00580145"/>
    <w:rsid w:val="00581BBE"/>
    <w:rsid w:val="00581C39"/>
    <w:rsid w:val="005834A4"/>
    <w:rsid w:val="00584F6B"/>
    <w:rsid w:val="005852E1"/>
    <w:rsid w:val="005903B6"/>
    <w:rsid w:val="0059151B"/>
    <w:rsid w:val="00592B20"/>
    <w:rsid w:val="00592F31"/>
    <w:rsid w:val="00594897"/>
    <w:rsid w:val="005A0247"/>
    <w:rsid w:val="005A126E"/>
    <w:rsid w:val="005A452F"/>
    <w:rsid w:val="005A6F04"/>
    <w:rsid w:val="005A703F"/>
    <w:rsid w:val="005B0855"/>
    <w:rsid w:val="005B140D"/>
    <w:rsid w:val="005B3D79"/>
    <w:rsid w:val="005B4455"/>
    <w:rsid w:val="005B4621"/>
    <w:rsid w:val="005B6B29"/>
    <w:rsid w:val="005C1FEA"/>
    <w:rsid w:val="005C285F"/>
    <w:rsid w:val="005C305B"/>
    <w:rsid w:val="005C3183"/>
    <w:rsid w:val="005C3495"/>
    <w:rsid w:val="005C3785"/>
    <w:rsid w:val="005C668F"/>
    <w:rsid w:val="005C6B47"/>
    <w:rsid w:val="005C6BC5"/>
    <w:rsid w:val="005C7F32"/>
    <w:rsid w:val="005D028E"/>
    <w:rsid w:val="005E06CF"/>
    <w:rsid w:val="005E13EA"/>
    <w:rsid w:val="005E1414"/>
    <w:rsid w:val="005E15E0"/>
    <w:rsid w:val="005E3889"/>
    <w:rsid w:val="005E3BA3"/>
    <w:rsid w:val="005E3DFC"/>
    <w:rsid w:val="005E60AF"/>
    <w:rsid w:val="005E7B4E"/>
    <w:rsid w:val="005F1DEA"/>
    <w:rsid w:val="005F3559"/>
    <w:rsid w:val="005F4932"/>
    <w:rsid w:val="00600DE0"/>
    <w:rsid w:val="00602FCB"/>
    <w:rsid w:val="00604486"/>
    <w:rsid w:val="00607FC9"/>
    <w:rsid w:val="00610955"/>
    <w:rsid w:val="00610A2C"/>
    <w:rsid w:val="00610EEE"/>
    <w:rsid w:val="0061490C"/>
    <w:rsid w:val="00614910"/>
    <w:rsid w:val="00616861"/>
    <w:rsid w:val="00622B29"/>
    <w:rsid w:val="00622FE1"/>
    <w:rsid w:val="00623889"/>
    <w:rsid w:val="0062521C"/>
    <w:rsid w:val="00625F01"/>
    <w:rsid w:val="00627931"/>
    <w:rsid w:val="00630A2B"/>
    <w:rsid w:val="00630BA2"/>
    <w:rsid w:val="00631580"/>
    <w:rsid w:val="0063283F"/>
    <w:rsid w:val="00632DC7"/>
    <w:rsid w:val="00633896"/>
    <w:rsid w:val="00633BD9"/>
    <w:rsid w:val="00633DCB"/>
    <w:rsid w:val="006357FB"/>
    <w:rsid w:val="00637239"/>
    <w:rsid w:val="006406FC"/>
    <w:rsid w:val="0064407B"/>
    <w:rsid w:val="0064550B"/>
    <w:rsid w:val="00646122"/>
    <w:rsid w:val="00651606"/>
    <w:rsid w:val="006527A9"/>
    <w:rsid w:val="00653E16"/>
    <w:rsid w:val="00655A89"/>
    <w:rsid w:val="00657220"/>
    <w:rsid w:val="00660FDA"/>
    <w:rsid w:val="0066104B"/>
    <w:rsid w:val="00661419"/>
    <w:rsid w:val="0066452D"/>
    <w:rsid w:val="00664855"/>
    <w:rsid w:val="006655EE"/>
    <w:rsid w:val="00666BA3"/>
    <w:rsid w:val="00667A3C"/>
    <w:rsid w:val="00667C10"/>
    <w:rsid w:val="00667EF4"/>
    <w:rsid w:val="006706FC"/>
    <w:rsid w:val="00672B85"/>
    <w:rsid w:val="00673B97"/>
    <w:rsid w:val="00674E59"/>
    <w:rsid w:val="00676FCA"/>
    <w:rsid w:val="0067705E"/>
    <w:rsid w:val="00677177"/>
    <w:rsid w:val="00677C90"/>
    <w:rsid w:val="0068056B"/>
    <w:rsid w:val="00680ADD"/>
    <w:rsid w:val="006844C7"/>
    <w:rsid w:val="0068612E"/>
    <w:rsid w:val="006869CB"/>
    <w:rsid w:val="00687858"/>
    <w:rsid w:val="00687A4E"/>
    <w:rsid w:val="00687C8C"/>
    <w:rsid w:val="00687C92"/>
    <w:rsid w:val="006903B7"/>
    <w:rsid w:val="00691BDC"/>
    <w:rsid w:val="00692883"/>
    <w:rsid w:val="00692CF9"/>
    <w:rsid w:val="00692D43"/>
    <w:rsid w:val="00693B37"/>
    <w:rsid w:val="00693CB7"/>
    <w:rsid w:val="00694151"/>
    <w:rsid w:val="0069534E"/>
    <w:rsid w:val="00696365"/>
    <w:rsid w:val="0069669C"/>
    <w:rsid w:val="006971C6"/>
    <w:rsid w:val="006A0532"/>
    <w:rsid w:val="006A1200"/>
    <w:rsid w:val="006A1896"/>
    <w:rsid w:val="006A244C"/>
    <w:rsid w:val="006A2C5A"/>
    <w:rsid w:val="006A2FEA"/>
    <w:rsid w:val="006A4F4E"/>
    <w:rsid w:val="006A523A"/>
    <w:rsid w:val="006A5844"/>
    <w:rsid w:val="006A5A62"/>
    <w:rsid w:val="006A7900"/>
    <w:rsid w:val="006B0335"/>
    <w:rsid w:val="006B0F22"/>
    <w:rsid w:val="006B14DB"/>
    <w:rsid w:val="006B21C4"/>
    <w:rsid w:val="006B3ECF"/>
    <w:rsid w:val="006B6BE5"/>
    <w:rsid w:val="006B762C"/>
    <w:rsid w:val="006C458F"/>
    <w:rsid w:val="006C4A1A"/>
    <w:rsid w:val="006C4DA7"/>
    <w:rsid w:val="006C5D7F"/>
    <w:rsid w:val="006C7DAD"/>
    <w:rsid w:val="006D0393"/>
    <w:rsid w:val="006D19BD"/>
    <w:rsid w:val="006D1A83"/>
    <w:rsid w:val="006D270F"/>
    <w:rsid w:val="006D2E5C"/>
    <w:rsid w:val="006D5D1E"/>
    <w:rsid w:val="006E1CFE"/>
    <w:rsid w:val="006E31A2"/>
    <w:rsid w:val="006E529B"/>
    <w:rsid w:val="006E67C2"/>
    <w:rsid w:val="006E6ADE"/>
    <w:rsid w:val="006E6D10"/>
    <w:rsid w:val="006E763E"/>
    <w:rsid w:val="006F0273"/>
    <w:rsid w:val="006F0308"/>
    <w:rsid w:val="006F0F36"/>
    <w:rsid w:val="006F10C4"/>
    <w:rsid w:val="006F40E9"/>
    <w:rsid w:val="006F5603"/>
    <w:rsid w:val="006F7DD3"/>
    <w:rsid w:val="007009A6"/>
    <w:rsid w:val="00701400"/>
    <w:rsid w:val="00701411"/>
    <w:rsid w:val="007037CF"/>
    <w:rsid w:val="00703BB8"/>
    <w:rsid w:val="00704668"/>
    <w:rsid w:val="00704B37"/>
    <w:rsid w:val="00705CDA"/>
    <w:rsid w:val="007061CF"/>
    <w:rsid w:val="0070680A"/>
    <w:rsid w:val="00707534"/>
    <w:rsid w:val="00710BFC"/>
    <w:rsid w:val="00711DBA"/>
    <w:rsid w:val="00712A8B"/>
    <w:rsid w:val="007132AF"/>
    <w:rsid w:val="00713A5A"/>
    <w:rsid w:val="00714B40"/>
    <w:rsid w:val="0071524A"/>
    <w:rsid w:val="00716583"/>
    <w:rsid w:val="007167C0"/>
    <w:rsid w:val="007167D1"/>
    <w:rsid w:val="00717617"/>
    <w:rsid w:val="007203C3"/>
    <w:rsid w:val="00720481"/>
    <w:rsid w:val="007207D9"/>
    <w:rsid w:val="00721642"/>
    <w:rsid w:val="00721BC7"/>
    <w:rsid w:val="00723E5C"/>
    <w:rsid w:val="0072510B"/>
    <w:rsid w:val="00726310"/>
    <w:rsid w:val="0072638D"/>
    <w:rsid w:val="00727C18"/>
    <w:rsid w:val="00727D2D"/>
    <w:rsid w:val="00727E2F"/>
    <w:rsid w:val="00733193"/>
    <w:rsid w:val="00733285"/>
    <w:rsid w:val="00736CC8"/>
    <w:rsid w:val="00737CBA"/>
    <w:rsid w:val="00741FC1"/>
    <w:rsid w:val="00743723"/>
    <w:rsid w:val="00746A2F"/>
    <w:rsid w:val="00746E43"/>
    <w:rsid w:val="00747371"/>
    <w:rsid w:val="007507E9"/>
    <w:rsid w:val="00752CA0"/>
    <w:rsid w:val="00752FF8"/>
    <w:rsid w:val="00753BE4"/>
    <w:rsid w:val="00754C17"/>
    <w:rsid w:val="0075732A"/>
    <w:rsid w:val="00760262"/>
    <w:rsid w:val="0076292D"/>
    <w:rsid w:val="0076310C"/>
    <w:rsid w:val="00766009"/>
    <w:rsid w:val="007661DA"/>
    <w:rsid w:val="0076625D"/>
    <w:rsid w:val="0076744F"/>
    <w:rsid w:val="00767BCE"/>
    <w:rsid w:val="00767EBD"/>
    <w:rsid w:val="00767EFC"/>
    <w:rsid w:val="007707DE"/>
    <w:rsid w:val="00770B5D"/>
    <w:rsid w:val="00772B1F"/>
    <w:rsid w:val="007736EC"/>
    <w:rsid w:val="007751FE"/>
    <w:rsid w:val="007752F1"/>
    <w:rsid w:val="00776768"/>
    <w:rsid w:val="007813DF"/>
    <w:rsid w:val="00782D61"/>
    <w:rsid w:val="0078392A"/>
    <w:rsid w:val="007847D5"/>
    <w:rsid w:val="00784E40"/>
    <w:rsid w:val="00785780"/>
    <w:rsid w:val="00785BA7"/>
    <w:rsid w:val="00785DA5"/>
    <w:rsid w:val="00787D99"/>
    <w:rsid w:val="00791024"/>
    <w:rsid w:val="007921C6"/>
    <w:rsid w:val="00792551"/>
    <w:rsid w:val="00792F6D"/>
    <w:rsid w:val="00794818"/>
    <w:rsid w:val="007A2573"/>
    <w:rsid w:val="007A273A"/>
    <w:rsid w:val="007A3B9C"/>
    <w:rsid w:val="007A43D5"/>
    <w:rsid w:val="007A6396"/>
    <w:rsid w:val="007A7B4F"/>
    <w:rsid w:val="007B047A"/>
    <w:rsid w:val="007B106C"/>
    <w:rsid w:val="007B11FD"/>
    <w:rsid w:val="007B1A4E"/>
    <w:rsid w:val="007B236A"/>
    <w:rsid w:val="007B3D05"/>
    <w:rsid w:val="007B51F2"/>
    <w:rsid w:val="007B5503"/>
    <w:rsid w:val="007B64C4"/>
    <w:rsid w:val="007B7938"/>
    <w:rsid w:val="007B7EEA"/>
    <w:rsid w:val="007C01F0"/>
    <w:rsid w:val="007C20AA"/>
    <w:rsid w:val="007C45A4"/>
    <w:rsid w:val="007C48F9"/>
    <w:rsid w:val="007C5145"/>
    <w:rsid w:val="007C5295"/>
    <w:rsid w:val="007C5FA2"/>
    <w:rsid w:val="007C68C3"/>
    <w:rsid w:val="007C6948"/>
    <w:rsid w:val="007C6BB3"/>
    <w:rsid w:val="007D14B4"/>
    <w:rsid w:val="007D3AD7"/>
    <w:rsid w:val="007D3E94"/>
    <w:rsid w:val="007E24F6"/>
    <w:rsid w:val="007E4154"/>
    <w:rsid w:val="007F1778"/>
    <w:rsid w:val="007F2F2E"/>
    <w:rsid w:val="007F462A"/>
    <w:rsid w:val="007F528E"/>
    <w:rsid w:val="00800013"/>
    <w:rsid w:val="00800F64"/>
    <w:rsid w:val="00801A30"/>
    <w:rsid w:val="00801FB7"/>
    <w:rsid w:val="0080229E"/>
    <w:rsid w:val="00802F0B"/>
    <w:rsid w:val="00803393"/>
    <w:rsid w:val="00804922"/>
    <w:rsid w:val="00806531"/>
    <w:rsid w:val="00807816"/>
    <w:rsid w:val="00807BA5"/>
    <w:rsid w:val="00810785"/>
    <w:rsid w:val="00810A67"/>
    <w:rsid w:val="00812975"/>
    <w:rsid w:val="0081315B"/>
    <w:rsid w:val="00814285"/>
    <w:rsid w:val="008145CC"/>
    <w:rsid w:val="00814CBD"/>
    <w:rsid w:val="00815C9D"/>
    <w:rsid w:val="00816E3C"/>
    <w:rsid w:val="00820E2F"/>
    <w:rsid w:val="00820E4F"/>
    <w:rsid w:val="00822BB3"/>
    <w:rsid w:val="00822FF4"/>
    <w:rsid w:val="00823F1C"/>
    <w:rsid w:val="0082453B"/>
    <w:rsid w:val="008254A5"/>
    <w:rsid w:val="008278AB"/>
    <w:rsid w:val="00827C40"/>
    <w:rsid w:val="00831566"/>
    <w:rsid w:val="00831691"/>
    <w:rsid w:val="00832036"/>
    <w:rsid w:val="00833CF7"/>
    <w:rsid w:val="0083538D"/>
    <w:rsid w:val="00836FE1"/>
    <w:rsid w:val="008375D1"/>
    <w:rsid w:val="00842832"/>
    <w:rsid w:val="00843160"/>
    <w:rsid w:val="00844D6A"/>
    <w:rsid w:val="00845601"/>
    <w:rsid w:val="00847EC4"/>
    <w:rsid w:val="00850E91"/>
    <w:rsid w:val="008524B9"/>
    <w:rsid w:val="0085314B"/>
    <w:rsid w:val="00855C5C"/>
    <w:rsid w:val="00855E83"/>
    <w:rsid w:val="00857729"/>
    <w:rsid w:val="008578DC"/>
    <w:rsid w:val="00857F95"/>
    <w:rsid w:val="0086233C"/>
    <w:rsid w:val="00865CFA"/>
    <w:rsid w:val="0087013D"/>
    <w:rsid w:val="00871155"/>
    <w:rsid w:val="008715B3"/>
    <w:rsid w:val="0087656A"/>
    <w:rsid w:val="00876A92"/>
    <w:rsid w:val="00880BE1"/>
    <w:rsid w:val="00881FD8"/>
    <w:rsid w:val="008821C7"/>
    <w:rsid w:val="0088392D"/>
    <w:rsid w:val="00883CE7"/>
    <w:rsid w:val="008844BB"/>
    <w:rsid w:val="00886DB4"/>
    <w:rsid w:val="008877E4"/>
    <w:rsid w:val="0089127F"/>
    <w:rsid w:val="008938F7"/>
    <w:rsid w:val="00896CE2"/>
    <w:rsid w:val="008A187F"/>
    <w:rsid w:val="008A2F16"/>
    <w:rsid w:val="008A31FF"/>
    <w:rsid w:val="008A3C96"/>
    <w:rsid w:val="008A413C"/>
    <w:rsid w:val="008A4CEA"/>
    <w:rsid w:val="008A5C4B"/>
    <w:rsid w:val="008A5DEF"/>
    <w:rsid w:val="008B0B97"/>
    <w:rsid w:val="008B0BBA"/>
    <w:rsid w:val="008B1627"/>
    <w:rsid w:val="008B4019"/>
    <w:rsid w:val="008B505F"/>
    <w:rsid w:val="008B5162"/>
    <w:rsid w:val="008B65C9"/>
    <w:rsid w:val="008B72F4"/>
    <w:rsid w:val="008C00AD"/>
    <w:rsid w:val="008C09E8"/>
    <w:rsid w:val="008C2D4A"/>
    <w:rsid w:val="008C3193"/>
    <w:rsid w:val="008C6A05"/>
    <w:rsid w:val="008C71DB"/>
    <w:rsid w:val="008C7DBB"/>
    <w:rsid w:val="008D094C"/>
    <w:rsid w:val="008D0DF4"/>
    <w:rsid w:val="008D119B"/>
    <w:rsid w:val="008D1280"/>
    <w:rsid w:val="008D158C"/>
    <w:rsid w:val="008D1C2F"/>
    <w:rsid w:val="008D1D42"/>
    <w:rsid w:val="008D3900"/>
    <w:rsid w:val="008D3FB9"/>
    <w:rsid w:val="008D41CE"/>
    <w:rsid w:val="008D6E1D"/>
    <w:rsid w:val="008D6EDB"/>
    <w:rsid w:val="008D7E73"/>
    <w:rsid w:val="008E2719"/>
    <w:rsid w:val="008E2C78"/>
    <w:rsid w:val="008E36FE"/>
    <w:rsid w:val="008E3D4C"/>
    <w:rsid w:val="008E4E99"/>
    <w:rsid w:val="008E75AF"/>
    <w:rsid w:val="008F0FAB"/>
    <w:rsid w:val="008F39B4"/>
    <w:rsid w:val="008F4162"/>
    <w:rsid w:val="008F5A07"/>
    <w:rsid w:val="008F65F8"/>
    <w:rsid w:val="008F6FB7"/>
    <w:rsid w:val="008F7F30"/>
    <w:rsid w:val="00901780"/>
    <w:rsid w:val="0090314D"/>
    <w:rsid w:val="00903E02"/>
    <w:rsid w:val="009044BD"/>
    <w:rsid w:val="00905297"/>
    <w:rsid w:val="009110D5"/>
    <w:rsid w:val="00913175"/>
    <w:rsid w:val="009138D3"/>
    <w:rsid w:val="00915B57"/>
    <w:rsid w:val="00915C87"/>
    <w:rsid w:val="00916EDB"/>
    <w:rsid w:val="009177E1"/>
    <w:rsid w:val="00917D72"/>
    <w:rsid w:val="00917DC3"/>
    <w:rsid w:val="00920861"/>
    <w:rsid w:val="0092100D"/>
    <w:rsid w:val="00922B13"/>
    <w:rsid w:val="00924241"/>
    <w:rsid w:val="009242EF"/>
    <w:rsid w:val="00924AB9"/>
    <w:rsid w:val="0092615F"/>
    <w:rsid w:val="00932291"/>
    <w:rsid w:val="00932BEF"/>
    <w:rsid w:val="00933B1B"/>
    <w:rsid w:val="0093408E"/>
    <w:rsid w:val="00934490"/>
    <w:rsid w:val="00937422"/>
    <w:rsid w:val="0093777A"/>
    <w:rsid w:val="0094014D"/>
    <w:rsid w:val="00940467"/>
    <w:rsid w:val="00940C25"/>
    <w:rsid w:val="009414F6"/>
    <w:rsid w:val="009422E1"/>
    <w:rsid w:val="00942973"/>
    <w:rsid w:val="00944ED0"/>
    <w:rsid w:val="00945CF7"/>
    <w:rsid w:val="00947507"/>
    <w:rsid w:val="00947B0F"/>
    <w:rsid w:val="009524FE"/>
    <w:rsid w:val="00952DDF"/>
    <w:rsid w:val="00952EC4"/>
    <w:rsid w:val="00955180"/>
    <w:rsid w:val="00956297"/>
    <w:rsid w:val="0096071B"/>
    <w:rsid w:val="00963035"/>
    <w:rsid w:val="00963617"/>
    <w:rsid w:val="00967EFD"/>
    <w:rsid w:val="00972423"/>
    <w:rsid w:val="00972F3E"/>
    <w:rsid w:val="00975823"/>
    <w:rsid w:val="009762CB"/>
    <w:rsid w:val="00976F9F"/>
    <w:rsid w:val="00977310"/>
    <w:rsid w:val="009774DB"/>
    <w:rsid w:val="00980B15"/>
    <w:rsid w:val="009810E5"/>
    <w:rsid w:val="009812D4"/>
    <w:rsid w:val="00982653"/>
    <w:rsid w:val="00983C94"/>
    <w:rsid w:val="00984C45"/>
    <w:rsid w:val="00985682"/>
    <w:rsid w:val="009858BE"/>
    <w:rsid w:val="009873F4"/>
    <w:rsid w:val="009902F4"/>
    <w:rsid w:val="00990FA3"/>
    <w:rsid w:val="00991997"/>
    <w:rsid w:val="009920D8"/>
    <w:rsid w:val="009934FC"/>
    <w:rsid w:val="0099413A"/>
    <w:rsid w:val="00995F8E"/>
    <w:rsid w:val="00996022"/>
    <w:rsid w:val="009A02A0"/>
    <w:rsid w:val="009A2E9A"/>
    <w:rsid w:val="009A371F"/>
    <w:rsid w:val="009A3D70"/>
    <w:rsid w:val="009A4869"/>
    <w:rsid w:val="009A4CD4"/>
    <w:rsid w:val="009A5318"/>
    <w:rsid w:val="009A71FE"/>
    <w:rsid w:val="009B2A28"/>
    <w:rsid w:val="009B38BE"/>
    <w:rsid w:val="009B4556"/>
    <w:rsid w:val="009B682F"/>
    <w:rsid w:val="009C0E49"/>
    <w:rsid w:val="009C2D89"/>
    <w:rsid w:val="009C3638"/>
    <w:rsid w:val="009C3844"/>
    <w:rsid w:val="009C3D0F"/>
    <w:rsid w:val="009C4BE3"/>
    <w:rsid w:val="009C591E"/>
    <w:rsid w:val="009C61E7"/>
    <w:rsid w:val="009C66D4"/>
    <w:rsid w:val="009C67A6"/>
    <w:rsid w:val="009D0935"/>
    <w:rsid w:val="009D20CD"/>
    <w:rsid w:val="009D23D2"/>
    <w:rsid w:val="009D6232"/>
    <w:rsid w:val="009D7A63"/>
    <w:rsid w:val="009E1B19"/>
    <w:rsid w:val="009E1D6D"/>
    <w:rsid w:val="009E3278"/>
    <w:rsid w:val="009E67BE"/>
    <w:rsid w:val="009E79B6"/>
    <w:rsid w:val="009E7F55"/>
    <w:rsid w:val="009F1C47"/>
    <w:rsid w:val="009F2815"/>
    <w:rsid w:val="009F35E2"/>
    <w:rsid w:val="009F368B"/>
    <w:rsid w:val="009F41E4"/>
    <w:rsid w:val="009F438B"/>
    <w:rsid w:val="009F65F9"/>
    <w:rsid w:val="009F68BA"/>
    <w:rsid w:val="009F6D2B"/>
    <w:rsid w:val="009F7A90"/>
    <w:rsid w:val="00A00521"/>
    <w:rsid w:val="00A00594"/>
    <w:rsid w:val="00A02ED7"/>
    <w:rsid w:val="00A036EA"/>
    <w:rsid w:val="00A04A08"/>
    <w:rsid w:val="00A06277"/>
    <w:rsid w:val="00A06325"/>
    <w:rsid w:val="00A068F2"/>
    <w:rsid w:val="00A079DC"/>
    <w:rsid w:val="00A1037A"/>
    <w:rsid w:val="00A1046E"/>
    <w:rsid w:val="00A10908"/>
    <w:rsid w:val="00A10BAB"/>
    <w:rsid w:val="00A111C2"/>
    <w:rsid w:val="00A12077"/>
    <w:rsid w:val="00A148DC"/>
    <w:rsid w:val="00A15DB0"/>
    <w:rsid w:val="00A16F68"/>
    <w:rsid w:val="00A17C39"/>
    <w:rsid w:val="00A21440"/>
    <w:rsid w:val="00A238AA"/>
    <w:rsid w:val="00A2419C"/>
    <w:rsid w:val="00A254A9"/>
    <w:rsid w:val="00A25600"/>
    <w:rsid w:val="00A32EB6"/>
    <w:rsid w:val="00A338E7"/>
    <w:rsid w:val="00A355A2"/>
    <w:rsid w:val="00A35CAA"/>
    <w:rsid w:val="00A36990"/>
    <w:rsid w:val="00A36E7F"/>
    <w:rsid w:val="00A36EDB"/>
    <w:rsid w:val="00A37A72"/>
    <w:rsid w:val="00A37EF4"/>
    <w:rsid w:val="00A40170"/>
    <w:rsid w:val="00A41E65"/>
    <w:rsid w:val="00A426F9"/>
    <w:rsid w:val="00A43517"/>
    <w:rsid w:val="00A43E0A"/>
    <w:rsid w:val="00A44C10"/>
    <w:rsid w:val="00A46029"/>
    <w:rsid w:val="00A46247"/>
    <w:rsid w:val="00A46DAA"/>
    <w:rsid w:val="00A47F07"/>
    <w:rsid w:val="00A530C7"/>
    <w:rsid w:val="00A55F5B"/>
    <w:rsid w:val="00A60109"/>
    <w:rsid w:val="00A60185"/>
    <w:rsid w:val="00A607EB"/>
    <w:rsid w:val="00A60F38"/>
    <w:rsid w:val="00A611EE"/>
    <w:rsid w:val="00A622EC"/>
    <w:rsid w:val="00A6438F"/>
    <w:rsid w:val="00A64445"/>
    <w:rsid w:val="00A6545F"/>
    <w:rsid w:val="00A661EA"/>
    <w:rsid w:val="00A66263"/>
    <w:rsid w:val="00A6775C"/>
    <w:rsid w:val="00A7018F"/>
    <w:rsid w:val="00A7052F"/>
    <w:rsid w:val="00A70A6C"/>
    <w:rsid w:val="00A771D4"/>
    <w:rsid w:val="00A830E5"/>
    <w:rsid w:val="00A83DF5"/>
    <w:rsid w:val="00A84BF3"/>
    <w:rsid w:val="00A864BD"/>
    <w:rsid w:val="00A86CC0"/>
    <w:rsid w:val="00A86E1E"/>
    <w:rsid w:val="00A87135"/>
    <w:rsid w:val="00A87684"/>
    <w:rsid w:val="00A9202D"/>
    <w:rsid w:val="00A93280"/>
    <w:rsid w:val="00A93C73"/>
    <w:rsid w:val="00A94972"/>
    <w:rsid w:val="00A951EA"/>
    <w:rsid w:val="00A961A6"/>
    <w:rsid w:val="00A973E1"/>
    <w:rsid w:val="00A97F71"/>
    <w:rsid w:val="00AA1C65"/>
    <w:rsid w:val="00AA1F0D"/>
    <w:rsid w:val="00AA2548"/>
    <w:rsid w:val="00AA2B96"/>
    <w:rsid w:val="00AA3B6E"/>
    <w:rsid w:val="00AA551F"/>
    <w:rsid w:val="00AA58C4"/>
    <w:rsid w:val="00AB01E8"/>
    <w:rsid w:val="00AB11C8"/>
    <w:rsid w:val="00AB213C"/>
    <w:rsid w:val="00AB2248"/>
    <w:rsid w:val="00AB29FF"/>
    <w:rsid w:val="00AB2D6E"/>
    <w:rsid w:val="00AC0516"/>
    <w:rsid w:val="00AC08A8"/>
    <w:rsid w:val="00AC0A40"/>
    <w:rsid w:val="00AC1FBF"/>
    <w:rsid w:val="00AC24AB"/>
    <w:rsid w:val="00AC39DD"/>
    <w:rsid w:val="00AC56BD"/>
    <w:rsid w:val="00AC618C"/>
    <w:rsid w:val="00AD20F6"/>
    <w:rsid w:val="00AD4607"/>
    <w:rsid w:val="00AD56C8"/>
    <w:rsid w:val="00AD58F2"/>
    <w:rsid w:val="00AD5AA4"/>
    <w:rsid w:val="00AE0CC5"/>
    <w:rsid w:val="00AE5712"/>
    <w:rsid w:val="00AF1FCE"/>
    <w:rsid w:val="00AF4A14"/>
    <w:rsid w:val="00AF4D60"/>
    <w:rsid w:val="00AF5319"/>
    <w:rsid w:val="00AF5E27"/>
    <w:rsid w:val="00AF5EA3"/>
    <w:rsid w:val="00AF6573"/>
    <w:rsid w:val="00AF65FE"/>
    <w:rsid w:val="00AF7690"/>
    <w:rsid w:val="00B04092"/>
    <w:rsid w:val="00B0512A"/>
    <w:rsid w:val="00B0529F"/>
    <w:rsid w:val="00B05D52"/>
    <w:rsid w:val="00B13D07"/>
    <w:rsid w:val="00B1418B"/>
    <w:rsid w:val="00B1427B"/>
    <w:rsid w:val="00B151A0"/>
    <w:rsid w:val="00B1520C"/>
    <w:rsid w:val="00B1560E"/>
    <w:rsid w:val="00B15E7A"/>
    <w:rsid w:val="00B164D8"/>
    <w:rsid w:val="00B169A8"/>
    <w:rsid w:val="00B16C16"/>
    <w:rsid w:val="00B20F84"/>
    <w:rsid w:val="00B21195"/>
    <w:rsid w:val="00B22B3D"/>
    <w:rsid w:val="00B22B57"/>
    <w:rsid w:val="00B23C14"/>
    <w:rsid w:val="00B24B22"/>
    <w:rsid w:val="00B24EF9"/>
    <w:rsid w:val="00B25310"/>
    <w:rsid w:val="00B32434"/>
    <w:rsid w:val="00B32F8F"/>
    <w:rsid w:val="00B33CC9"/>
    <w:rsid w:val="00B371CB"/>
    <w:rsid w:val="00B37BD8"/>
    <w:rsid w:val="00B37C35"/>
    <w:rsid w:val="00B41E1E"/>
    <w:rsid w:val="00B42AFA"/>
    <w:rsid w:val="00B42C1C"/>
    <w:rsid w:val="00B441B8"/>
    <w:rsid w:val="00B4690F"/>
    <w:rsid w:val="00B47C42"/>
    <w:rsid w:val="00B50B12"/>
    <w:rsid w:val="00B510B1"/>
    <w:rsid w:val="00B515F6"/>
    <w:rsid w:val="00B51A67"/>
    <w:rsid w:val="00B536CB"/>
    <w:rsid w:val="00B53EA1"/>
    <w:rsid w:val="00B54DE9"/>
    <w:rsid w:val="00B551EF"/>
    <w:rsid w:val="00B553EC"/>
    <w:rsid w:val="00B55870"/>
    <w:rsid w:val="00B5611F"/>
    <w:rsid w:val="00B56E5A"/>
    <w:rsid w:val="00B5783D"/>
    <w:rsid w:val="00B60059"/>
    <w:rsid w:val="00B6005B"/>
    <w:rsid w:val="00B6065C"/>
    <w:rsid w:val="00B610B5"/>
    <w:rsid w:val="00B628B1"/>
    <w:rsid w:val="00B642B7"/>
    <w:rsid w:val="00B65FD9"/>
    <w:rsid w:val="00B66FC2"/>
    <w:rsid w:val="00B67681"/>
    <w:rsid w:val="00B67B23"/>
    <w:rsid w:val="00B701AE"/>
    <w:rsid w:val="00B7078D"/>
    <w:rsid w:val="00B77732"/>
    <w:rsid w:val="00B77CCD"/>
    <w:rsid w:val="00B80D6D"/>
    <w:rsid w:val="00B82614"/>
    <w:rsid w:val="00B9154F"/>
    <w:rsid w:val="00B922C4"/>
    <w:rsid w:val="00B93DD0"/>
    <w:rsid w:val="00B97732"/>
    <w:rsid w:val="00BA0849"/>
    <w:rsid w:val="00BA1926"/>
    <w:rsid w:val="00BA4158"/>
    <w:rsid w:val="00BA4C99"/>
    <w:rsid w:val="00BA56D7"/>
    <w:rsid w:val="00BA6396"/>
    <w:rsid w:val="00BA65A8"/>
    <w:rsid w:val="00BA6A97"/>
    <w:rsid w:val="00BA6D19"/>
    <w:rsid w:val="00BA7461"/>
    <w:rsid w:val="00BA747E"/>
    <w:rsid w:val="00BA7DA9"/>
    <w:rsid w:val="00BB3416"/>
    <w:rsid w:val="00BB5FFE"/>
    <w:rsid w:val="00BB7F2F"/>
    <w:rsid w:val="00BC0E22"/>
    <w:rsid w:val="00BC1B07"/>
    <w:rsid w:val="00BC219C"/>
    <w:rsid w:val="00BC3652"/>
    <w:rsid w:val="00BC4215"/>
    <w:rsid w:val="00BD0396"/>
    <w:rsid w:val="00BD1A6F"/>
    <w:rsid w:val="00BD21D3"/>
    <w:rsid w:val="00BD2750"/>
    <w:rsid w:val="00BD2956"/>
    <w:rsid w:val="00BD5B71"/>
    <w:rsid w:val="00BD76BD"/>
    <w:rsid w:val="00BE1484"/>
    <w:rsid w:val="00BE30E7"/>
    <w:rsid w:val="00BE3A80"/>
    <w:rsid w:val="00BE6D3C"/>
    <w:rsid w:val="00BE71C7"/>
    <w:rsid w:val="00BE7852"/>
    <w:rsid w:val="00BF21A7"/>
    <w:rsid w:val="00BF35EE"/>
    <w:rsid w:val="00BF46B7"/>
    <w:rsid w:val="00BF48C4"/>
    <w:rsid w:val="00BF5DE2"/>
    <w:rsid w:val="00BF5FE6"/>
    <w:rsid w:val="00BF6D87"/>
    <w:rsid w:val="00BF6DD6"/>
    <w:rsid w:val="00BF7045"/>
    <w:rsid w:val="00BF7CEE"/>
    <w:rsid w:val="00C00D6D"/>
    <w:rsid w:val="00C034AD"/>
    <w:rsid w:val="00C03880"/>
    <w:rsid w:val="00C03B25"/>
    <w:rsid w:val="00C062F6"/>
    <w:rsid w:val="00C06B4C"/>
    <w:rsid w:val="00C0785E"/>
    <w:rsid w:val="00C10E34"/>
    <w:rsid w:val="00C1284E"/>
    <w:rsid w:val="00C1301D"/>
    <w:rsid w:val="00C13120"/>
    <w:rsid w:val="00C135CF"/>
    <w:rsid w:val="00C152AD"/>
    <w:rsid w:val="00C15871"/>
    <w:rsid w:val="00C16EB5"/>
    <w:rsid w:val="00C20C79"/>
    <w:rsid w:val="00C20F38"/>
    <w:rsid w:val="00C23052"/>
    <w:rsid w:val="00C251C0"/>
    <w:rsid w:val="00C2683F"/>
    <w:rsid w:val="00C271DB"/>
    <w:rsid w:val="00C27768"/>
    <w:rsid w:val="00C3184D"/>
    <w:rsid w:val="00C339E3"/>
    <w:rsid w:val="00C34F0D"/>
    <w:rsid w:val="00C35486"/>
    <w:rsid w:val="00C365A7"/>
    <w:rsid w:val="00C37525"/>
    <w:rsid w:val="00C4168E"/>
    <w:rsid w:val="00C41D23"/>
    <w:rsid w:val="00C43084"/>
    <w:rsid w:val="00C43825"/>
    <w:rsid w:val="00C44795"/>
    <w:rsid w:val="00C44DA8"/>
    <w:rsid w:val="00C46E64"/>
    <w:rsid w:val="00C4714E"/>
    <w:rsid w:val="00C47FE0"/>
    <w:rsid w:val="00C50941"/>
    <w:rsid w:val="00C52219"/>
    <w:rsid w:val="00C54D2A"/>
    <w:rsid w:val="00C5504F"/>
    <w:rsid w:val="00C55991"/>
    <w:rsid w:val="00C60A1A"/>
    <w:rsid w:val="00C60F31"/>
    <w:rsid w:val="00C62DD4"/>
    <w:rsid w:val="00C63072"/>
    <w:rsid w:val="00C63376"/>
    <w:rsid w:val="00C641F1"/>
    <w:rsid w:val="00C646A7"/>
    <w:rsid w:val="00C64E43"/>
    <w:rsid w:val="00C65392"/>
    <w:rsid w:val="00C669C8"/>
    <w:rsid w:val="00C66CB4"/>
    <w:rsid w:val="00C6C61F"/>
    <w:rsid w:val="00C70771"/>
    <w:rsid w:val="00C74F97"/>
    <w:rsid w:val="00C76A08"/>
    <w:rsid w:val="00C774E6"/>
    <w:rsid w:val="00C7774A"/>
    <w:rsid w:val="00C803D7"/>
    <w:rsid w:val="00C807AC"/>
    <w:rsid w:val="00C8276E"/>
    <w:rsid w:val="00C83461"/>
    <w:rsid w:val="00C83AD1"/>
    <w:rsid w:val="00C842AC"/>
    <w:rsid w:val="00C84BED"/>
    <w:rsid w:val="00C85A4E"/>
    <w:rsid w:val="00C85B7B"/>
    <w:rsid w:val="00C91194"/>
    <w:rsid w:val="00C91330"/>
    <w:rsid w:val="00C91564"/>
    <w:rsid w:val="00C92AD5"/>
    <w:rsid w:val="00C92F68"/>
    <w:rsid w:val="00C93121"/>
    <w:rsid w:val="00C93152"/>
    <w:rsid w:val="00C93FD9"/>
    <w:rsid w:val="00C940DA"/>
    <w:rsid w:val="00C95AE8"/>
    <w:rsid w:val="00C96688"/>
    <w:rsid w:val="00CA0723"/>
    <w:rsid w:val="00CA13B8"/>
    <w:rsid w:val="00CA2338"/>
    <w:rsid w:val="00CA3730"/>
    <w:rsid w:val="00CA4542"/>
    <w:rsid w:val="00CA45C8"/>
    <w:rsid w:val="00CA47BE"/>
    <w:rsid w:val="00CA7B53"/>
    <w:rsid w:val="00CB1690"/>
    <w:rsid w:val="00CB3138"/>
    <w:rsid w:val="00CB3B14"/>
    <w:rsid w:val="00CB471B"/>
    <w:rsid w:val="00CB6863"/>
    <w:rsid w:val="00CB6D76"/>
    <w:rsid w:val="00CC25E2"/>
    <w:rsid w:val="00CC27E7"/>
    <w:rsid w:val="00CC2B33"/>
    <w:rsid w:val="00CC4268"/>
    <w:rsid w:val="00CC4365"/>
    <w:rsid w:val="00CC61B3"/>
    <w:rsid w:val="00CC70C6"/>
    <w:rsid w:val="00CC7D44"/>
    <w:rsid w:val="00CD11B0"/>
    <w:rsid w:val="00CD1A24"/>
    <w:rsid w:val="00CD275A"/>
    <w:rsid w:val="00CD5E0E"/>
    <w:rsid w:val="00CD70B7"/>
    <w:rsid w:val="00CD7E84"/>
    <w:rsid w:val="00CE2472"/>
    <w:rsid w:val="00CE25C8"/>
    <w:rsid w:val="00CE42D7"/>
    <w:rsid w:val="00CE5C36"/>
    <w:rsid w:val="00CE619B"/>
    <w:rsid w:val="00CE71C2"/>
    <w:rsid w:val="00CF121E"/>
    <w:rsid w:val="00CF182B"/>
    <w:rsid w:val="00CF2242"/>
    <w:rsid w:val="00CF2E7E"/>
    <w:rsid w:val="00CF42D5"/>
    <w:rsid w:val="00CF4EDA"/>
    <w:rsid w:val="00CF562A"/>
    <w:rsid w:val="00CF5929"/>
    <w:rsid w:val="00CF5A90"/>
    <w:rsid w:val="00CF6E95"/>
    <w:rsid w:val="00CF7339"/>
    <w:rsid w:val="00D00281"/>
    <w:rsid w:val="00D01C91"/>
    <w:rsid w:val="00D01E11"/>
    <w:rsid w:val="00D021CB"/>
    <w:rsid w:val="00D04F4F"/>
    <w:rsid w:val="00D052EB"/>
    <w:rsid w:val="00D0623B"/>
    <w:rsid w:val="00D10C4C"/>
    <w:rsid w:val="00D10F1A"/>
    <w:rsid w:val="00D116F8"/>
    <w:rsid w:val="00D15280"/>
    <w:rsid w:val="00D17596"/>
    <w:rsid w:val="00D21396"/>
    <w:rsid w:val="00D225B2"/>
    <w:rsid w:val="00D22640"/>
    <w:rsid w:val="00D26D3A"/>
    <w:rsid w:val="00D30842"/>
    <w:rsid w:val="00D31849"/>
    <w:rsid w:val="00D35293"/>
    <w:rsid w:val="00D363C9"/>
    <w:rsid w:val="00D40B20"/>
    <w:rsid w:val="00D441B2"/>
    <w:rsid w:val="00D45C91"/>
    <w:rsid w:val="00D45EE3"/>
    <w:rsid w:val="00D466EA"/>
    <w:rsid w:val="00D46FE8"/>
    <w:rsid w:val="00D50618"/>
    <w:rsid w:val="00D509E9"/>
    <w:rsid w:val="00D50E50"/>
    <w:rsid w:val="00D53B1C"/>
    <w:rsid w:val="00D61714"/>
    <w:rsid w:val="00D620BE"/>
    <w:rsid w:val="00D622B9"/>
    <w:rsid w:val="00D6470D"/>
    <w:rsid w:val="00D652C8"/>
    <w:rsid w:val="00D656FF"/>
    <w:rsid w:val="00D673EF"/>
    <w:rsid w:val="00D70829"/>
    <w:rsid w:val="00D73238"/>
    <w:rsid w:val="00D74658"/>
    <w:rsid w:val="00D746C5"/>
    <w:rsid w:val="00D74FCA"/>
    <w:rsid w:val="00D7551C"/>
    <w:rsid w:val="00D775FA"/>
    <w:rsid w:val="00D77BC5"/>
    <w:rsid w:val="00D80360"/>
    <w:rsid w:val="00D81F71"/>
    <w:rsid w:val="00D82448"/>
    <w:rsid w:val="00D83615"/>
    <w:rsid w:val="00D83AAD"/>
    <w:rsid w:val="00D84735"/>
    <w:rsid w:val="00D86EB2"/>
    <w:rsid w:val="00D95A93"/>
    <w:rsid w:val="00D97037"/>
    <w:rsid w:val="00DA101E"/>
    <w:rsid w:val="00DA1B12"/>
    <w:rsid w:val="00DA22D3"/>
    <w:rsid w:val="00DA4F90"/>
    <w:rsid w:val="00DA54C9"/>
    <w:rsid w:val="00DA6739"/>
    <w:rsid w:val="00DA6CAE"/>
    <w:rsid w:val="00DB1A9E"/>
    <w:rsid w:val="00DB28BC"/>
    <w:rsid w:val="00DB2E0D"/>
    <w:rsid w:val="00DB31D6"/>
    <w:rsid w:val="00DB3296"/>
    <w:rsid w:val="00DB3D93"/>
    <w:rsid w:val="00DB4005"/>
    <w:rsid w:val="00DB44AD"/>
    <w:rsid w:val="00DB44E2"/>
    <w:rsid w:val="00DB61F1"/>
    <w:rsid w:val="00DB7437"/>
    <w:rsid w:val="00DB7DA2"/>
    <w:rsid w:val="00DC0A62"/>
    <w:rsid w:val="00DC135D"/>
    <w:rsid w:val="00DC15BB"/>
    <w:rsid w:val="00DC2EE7"/>
    <w:rsid w:val="00DC312B"/>
    <w:rsid w:val="00DC325B"/>
    <w:rsid w:val="00DC34EB"/>
    <w:rsid w:val="00DC45FD"/>
    <w:rsid w:val="00DC4E2E"/>
    <w:rsid w:val="00DC78C0"/>
    <w:rsid w:val="00DD01DF"/>
    <w:rsid w:val="00DD0673"/>
    <w:rsid w:val="00DD51EE"/>
    <w:rsid w:val="00DD7971"/>
    <w:rsid w:val="00DE0514"/>
    <w:rsid w:val="00DE0EDD"/>
    <w:rsid w:val="00DE1DAB"/>
    <w:rsid w:val="00DE2C10"/>
    <w:rsid w:val="00DE3468"/>
    <w:rsid w:val="00DE4E38"/>
    <w:rsid w:val="00DF0290"/>
    <w:rsid w:val="00DF14B3"/>
    <w:rsid w:val="00DF14C9"/>
    <w:rsid w:val="00DF1E5B"/>
    <w:rsid w:val="00DF2275"/>
    <w:rsid w:val="00DF334A"/>
    <w:rsid w:val="00DF3F5E"/>
    <w:rsid w:val="00DF513E"/>
    <w:rsid w:val="00DF5461"/>
    <w:rsid w:val="00DF5653"/>
    <w:rsid w:val="00DF5761"/>
    <w:rsid w:val="00DF6C86"/>
    <w:rsid w:val="00DF7B99"/>
    <w:rsid w:val="00E02298"/>
    <w:rsid w:val="00E02C47"/>
    <w:rsid w:val="00E032D3"/>
    <w:rsid w:val="00E045FE"/>
    <w:rsid w:val="00E0527E"/>
    <w:rsid w:val="00E0596E"/>
    <w:rsid w:val="00E06CFE"/>
    <w:rsid w:val="00E06F66"/>
    <w:rsid w:val="00E109FA"/>
    <w:rsid w:val="00E11E71"/>
    <w:rsid w:val="00E16131"/>
    <w:rsid w:val="00E1667C"/>
    <w:rsid w:val="00E17BCF"/>
    <w:rsid w:val="00E20C29"/>
    <w:rsid w:val="00E2111A"/>
    <w:rsid w:val="00E21678"/>
    <w:rsid w:val="00E22D0A"/>
    <w:rsid w:val="00E22D2A"/>
    <w:rsid w:val="00E249EC"/>
    <w:rsid w:val="00E24F38"/>
    <w:rsid w:val="00E25A05"/>
    <w:rsid w:val="00E25C91"/>
    <w:rsid w:val="00E265D0"/>
    <w:rsid w:val="00E270CE"/>
    <w:rsid w:val="00E27833"/>
    <w:rsid w:val="00E27956"/>
    <w:rsid w:val="00E31274"/>
    <w:rsid w:val="00E32604"/>
    <w:rsid w:val="00E3325E"/>
    <w:rsid w:val="00E33D26"/>
    <w:rsid w:val="00E34415"/>
    <w:rsid w:val="00E344AA"/>
    <w:rsid w:val="00E34C72"/>
    <w:rsid w:val="00E356E5"/>
    <w:rsid w:val="00E35B59"/>
    <w:rsid w:val="00E36F81"/>
    <w:rsid w:val="00E37830"/>
    <w:rsid w:val="00E378A8"/>
    <w:rsid w:val="00E4060C"/>
    <w:rsid w:val="00E40B9B"/>
    <w:rsid w:val="00E414C7"/>
    <w:rsid w:val="00E4155A"/>
    <w:rsid w:val="00E41FDD"/>
    <w:rsid w:val="00E432FA"/>
    <w:rsid w:val="00E447A8"/>
    <w:rsid w:val="00E45765"/>
    <w:rsid w:val="00E5098C"/>
    <w:rsid w:val="00E50E6E"/>
    <w:rsid w:val="00E51143"/>
    <w:rsid w:val="00E52B23"/>
    <w:rsid w:val="00E54ECD"/>
    <w:rsid w:val="00E574EF"/>
    <w:rsid w:val="00E57CD8"/>
    <w:rsid w:val="00E57E07"/>
    <w:rsid w:val="00E60213"/>
    <w:rsid w:val="00E61E26"/>
    <w:rsid w:val="00E62473"/>
    <w:rsid w:val="00E639E1"/>
    <w:rsid w:val="00E64C7B"/>
    <w:rsid w:val="00E661B2"/>
    <w:rsid w:val="00E661F9"/>
    <w:rsid w:val="00E670E8"/>
    <w:rsid w:val="00E7078B"/>
    <w:rsid w:val="00E74D29"/>
    <w:rsid w:val="00E75A91"/>
    <w:rsid w:val="00E763EB"/>
    <w:rsid w:val="00E806FF"/>
    <w:rsid w:val="00E8093C"/>
    <w:rsid w:val="00E82717"/>
    <w:rsid w:val="00E83C74"/>
    <w:rsid w:val="00E83CEE"/>
    <w:rsid w:val="00E8779A"/>
    <w:rsid w:val="00E87D71"/>
    <w:rsid w:val="00E91F18"/>
    <w:rsid w:val="00E9226D"/>
    <w:rsid w:val="00E96424"/>
    <w:rsid w:val="00EA1DF4"/>
    <w:rsid w:val="00EA2A91"/>
    <w:rsid w:val="00EA416C"/>
    <w:rsid w:val="00EA4780"/>
    <w:rsid w:val="00EA58F3"/>
    <w:rsid w:val="00EA5941"/>
    <w:rsid w:val="00EA69B5"/>
    <w:rsid w:val="00EB0865"/>
    <w:rsid w:val="00EB3613"/>
    <w:rsid w:val="00EB4572"/>
    <w:rsid w:val="00EB525B"/>
    <w:rsid w:val="00EB60CE"/>
    <w:rsid w:val="00EB76B3"/>
    <w:rsid w:val="00EB7D53"/>
    <w:rsid w:val="00EB7EBB"/>
    <w:rsid w:val="00EC0BAC"/>
    <w:rsid w:val="00EC2AFA"/>
    <w:rsid w:val="00EC37F0"/>
    <w:rsid w:val="00EC423D"/>
    <w:rsid w:val="00EC596B"/>
    <w:rsid w:val="00EC6306"/>
    <w:rsid w:val="00ED023C"/>
    <w:rsid w:val="00ED1702"/>
    <w:rsid w:val="00ED2000"/>
    <w:rsid w:val="00ED3318"/>
    <w:rsid w:val="00ED5B94"/>
    <w:rsid w:val="00ED5D73"/>
    <w:rsid w:val="00ED5EEB"/>
    <w:rsid w:val="00EDB394"/>
    <w:rsid w:val="00EE13C5"/>
    <w:rsid w:val="00EE1456"/>
    <w:rsid w:val="00EE1E71"/>
    <w:rsid w:val="00EE3146"/>
    <w:rsid w:val="00EE3380"/>
    <w:rsid w:val="00EE530D"/>
    <w:rsid w:val="00EE6077"/>
    <w:rsid w:val="00EE7715"/>
    <w:rsid w:val="00EF1096"/>
    <w:rsid w:val="00EF50BB"/>
    <w:rsid w:val="00EF5270"/>
    <w:rsid w:val="00EF71E4"/>
    <w:rsid w:val="00F00192"/>
    <w:rsid w:val="00F015BF"/>
    <w:rsid w:val="00F01DF6"/>
    <w:rsid w:val="00F02716"/>
    <w:rsid w:val="00F027B8"/>
    <w:rsid w:val="00F0340D"/>
    <w:rsid w:val="00F035F2"/>
    <w:rsid w:val="00F0399E"/>
    <w:rsid w:val="00F059A6"/>
    <w:rsid w:val="00F05D1E"/>
    <w:rsid w:val="00F07C90"/>
    <w:rsid w:val="00F12BE8"/>
    <w:rsid w:val="00F13571"/>
    <w:rsid w:val="00F14A04"/>
    <w:rsid w:val="00F1788D"/>
    <w:rsid w:val="00F21AE7"/>
    <w:rsid w:val="00F23756"/>
    <w:rsid w:val="00F2464C"/>
    <w:rsid w:val="00F2523A"/>
    <w:rsid w:val="00F25C24"/>
    <w:rsid w:val="00F25FFA"/>
    <w:rsid w:val="00F310D2"/>
    <w:rsid w:val="00F31E11"/>
    <w:rsid w:val="00F3378E"/>
    <w:rsid w:val="00F33F44"/>
    <w:rsid w:val="00F345D2"/>
    <w:rsid w:val="00F36F3D"/>
    <w:rsid w:val="00F37C48"/>
    <w:rsid w:val="00F424D7"/>
    <w:rsid w:val="00F439A2"/>
    <w:rsid w:val="00F4406E"/>
    <w:rsid w:val="00F443CD"/>
    <w:rsid w:val="00F44F05"/>
    <w:rsid w:val="00F477BD"/>
    <w:rsid w:val="00F50333"/>
    <w:rsid w:val="00F50AE2"/>
    <w:rsid w:val="00F527CB"/>
    <w:rsid w:val="00F53491"/>
    <w:rsid w:val="00F54656"/>
    <w:rsid w:val="00F55386"/>
    <w:rsid w:val="00F56411"/>
    <w:rsid w:val="00F56924"/>
    <w:rsid w:val="00F56C92"/>
    <w:rsid w:val="00F60181"/>
    <w:rsid w:val="00F60539"/>
    <w:rsid w:val="00F60DCF"/>
    <w:rsid w:val="00F615B8"/>
    <w:rsid w:val="00F6295F"/>
    <w:rsid w:val="00F65109"/>
    <w:rsid w:val="00F657D7"/>
    <w:rsid w:val="00F65A1C"/>
    <w:rsid w:val="00F65CCF"/>
    <w:rsid w:val="00F66F50"/>
    <w:rsid w:val="00F670BF"/>
    <w:rsid w:val="00F6719F"/>
    <w:rsid w:val="00F67BA9"/>
    <w:rsid w:val="00F7127C"/>
    <w:rsid w:val="00F7253D"/>
    <w:rsid w:val="00F73587"/>
    <w:rsid w:val="00F74AAD"/>
    <w:rsid w:val="00F7628B"/>
    <w:rsid w:val="00F77289"/>
    <w:rsid w:val="00F77432"/>
    <w:rsid w:val="00F81032"/>
    <w:rsid w:val="00F81162"/>
    <w:rsid w:val="00F81231"/>
    <w:rsid w:val="00F81657"/>
    <w:rsid w:val="00F82FF8"/>
    <w:rsid w:val="00F8330D"/>
    <w:rsid w:val="00F83C7C"/>
    <w:rsid w:val="00F84305"/>
    <w:rsid w:val="00F8485C"/>
    <w:rsid w:val="00F86032"/>
    <w:rsid w:val="00F8633F"/>
    <w:rsid w:val="00F87149"/>
    <w:rsid w:val="00F87FFE"/>
    <w:rsid w:val="00F9138D"/>
    <w:rsid w:val="00F92146"/>
    <w:rsid w:val="00F94C01"/>
    <w:rsid w:val="00F954C9"/>
    <w:rsid w:val="00F95EB3"/>
    <w:rsid w:val="00FA491F"/>
    <w:rsid w:val="00FA4CF0"/>
    <w:rsid w:val="00FA61AA"/>
    <w:rsid w:val="00FA6871"/>
    <w:rsid w:val="00FA69A4"/>
    <w:rsid w:val="00FB0D9E"/>
    <w:rsid w:val="00FB1279"/>
    <w:rsid w:val="00FB1495"/>
    <w:rsid w:val="00FB39BE"/>
    <w:rsid w:val="00FB457F"/>
    <w:rsid w:val="00FB69B9"/>
    <w:rsid w:val="00FB7365"/>
    <w:rsid w:val="00FB7965"/>
    <w:rsid w:val="00FC20F8"/>
    <w:rsid w:val="00FC314B"/>
    <w:rsid w:val="00FC5002"/>
    <w:rsid w:val="00FC60F8"/>
    <w:rsid w:val="00FD1694"/>
    <w:rsid w:val="00FD2134"/>
    <w:rsid w:val="00FD5C46"/>
    <w:rsid w:val="00FD6048"/>
    <w:rsid w:val="00FD7636"/>
    <w:rsid w:val="00FE0105"/>
    <w:rsid w:val="00FE1DFC"/>
    <w:rsid w:val="00FE3229"/>
    <w:rsid w:val="00FE3737"/>
    <w:rsid w:val="00FE412E"/>
    <w:rsid w:val="00FE4485"/>
    <w:rsid w:val="00FE74C3"/>
    <w:rsid w:val="00FF215C"/>
    <w:rsid w:val="00FF49E8"/>
    <w:rsid w:val="00FF651B"/>
    <w:rsid w:val="00FF672F"/>
    <w:rsid w:val="010B4940"/>
    <w:rsid w:val="011E7543"/>
    <w:rsid w:val="0138D1F4"/>
    <w:rsid w:val="0160AD78"/>
    <w:rsid w:val="01639ADB"/>
    <w:rsid w:val="017E0901"/>
    <w:rsid w:val="018BC528"/>
    <w:rsid w:val="01DD11F9"/>
    <w:rsid w:val="024DF88E"/>
    <w:rsid w:val="0255CCB1"/>
    <w:rsid w:val="02580B6A"/>
    <w:rsid w:val="02F22C6A"/>
    <w:rsid w:val="02F77DB6"/>
    <w:rsid w:val="03000FF0"/>
    <w:rsid w:val="030E6D2C"/>
    <w:rsid w:val="031BF90B"/>
    <w:rsid w:val="0337A051"/>
    <w:rsid w:val="03390718"/>
    <w:rsid w:val="035C7B3E"/>
    <w:rsid w:val="035FCC70"/>
    <w:rsid w:val="039453DE"/>
    <w:rsid w:val="03B5DA67"/>
    <w:rsid w:val="0433FDAF"/>
    <w:rsid w:val="0478619C"/>
    <w:rsid w:val="047E1AEE"/>
    <w:rsid w:val="048F75AC"/>
    <w:rsid w:val="04A0C254"/>
    <w:rsid w:val="04A2231D"/>
    <w:rsid w:val="04D8BE5B"/>
    <w:rsid w:val="04FCD457"/>
    <w:rsid w:val="05032B39"/>
    <w:rsid w:val="05127F95"/>
    <w:rsid w:val="054BAC06"/>
    <w:rsid w:val="0554C75A"/>
    <w:rsid w:val="0560E552"/>
    <w:rsid w:val="0587B5BE"/>
    <w:rsid w:val="059C9FBA"/>
    <w:rsid w:val="059CB7D3"/>
    <w:rsid w:val="05A86207"/>
    <w:rsid w:val="05CAD235"/>
    <w:rsid w:val="061DE3A1"/>
    <w:rsid w:val="0621A07C"/>
    <w:rsid w:val="0632E8B1"/>
    <w:rsid w:val="06626C7C"/>
    <w:rsid w:val="068625B3"/>
    <w:rsid w:val="068E167B"/>
    <w:rsid w:val="06976D32"/>
    <w:rsid w:val="06A73676"/>
    <w:rsid w:val="06B1355B"/>
    <w:rsid w:val="06F6BA11"/>
    <w:rsid w:val="07188639"/>
    <w:rsid w:val="07261583"/>
    <w:rsid w:val="073B06C5"/>
    <w:rsid w:val="076669A3"/>
    <w:rsid w:val="07861DC5"/>
    <w:rsid w:val="07B79EC5"/>
    <w:rsid w:val="07D2DC5F"/>
    <w:rsid w:val="07D82B5C"/>
    <w:rsid w:val="08067A77"/>
    <w:rsid w:val="08333D93"/>
    <w:rsid w:val="08342E4E"/>
    <w:rsid w:val="084C80FB"/>
    <w:rsid w:val="085E97A4"/>
    <w:rsid w:val="0933DA3E"/>
    <w:rsid w:val="094DB4E1"/>
    <w:rsid w:val="09519270"/>
    <w:rsid w:val="09536F26"/>
    <w:rsid w:val="098309F9"/>
    <w:rsid w:val="0996E53E"/>
    <w:rsid w:val="09C9BB31"/>
    <w:rsid w:val="09ED454B"/>
    <w:rsid w:val="09FB272F"/>
    <w:rsid w:val="0A1296E1"/>
    <w:rsid w:val="0A5BE7B5"/>
    <w:rsid w:val="0A78373D"/>
    <w:rsid w:val="0A7C96C9"/>
    <w:rsid w:val="0AA6B1A2"/>
    <w:rsid w:val="0AABDC3E"/>
    <w:rsid w:val="0AB274EE"/>
    <w:rsid w:val="0ACC3CE4"/>
    <w:rsid w:val="0AD6D8DD"/>
    <w:rsid w:val="0AEF3F87"/>
    <w:rsid w:val="0B197F11"/>
    <w:rsid w:val="0B284572"/>
    <w:rsid w:val="0B5A75B9"/>
    <w:rsid w:val="0B5BE64A"/>
    <w:rsid w:val="0B60B2AB"/>
    <w:rsid w:val="0B89B20F"/>
    <w:rsid w:val="0BC18C7F"/>
    <w:rsid w:val="0BD17282"/>
    <w:rsid w:val="0BD8A2E0"/>
    <w:rsid w:val="0C4668B2"/>
    <w:rsid w:val="0C55A4A4"/>
    <w:rsid w:val="0C639DEC"/>
    <w:rsid w:val="0C6CE40A"/>
    <w:rsid w:val="0C79E386"/>
    <w:rsid w:val="0CA64D82"/>
    <w:rsid w:val="0CB16BAC"/>
    <w:rsid w:val="0CCE77CF"/>
    <w:rsid w:val="0DA19D29"/>
    <w:rsid w:val="0DB46BDA"/>
    <w:rsid w:val="0DD53D2F"/>
    <w:rsid w:val="0DE1BD79"/>
    <w:rsid w:val="0E0CF788"/>
    <w:rsid w:val="0E3DFA96"/>
    <w:rsid w:val="0E50585B"/>
    <w:rsid w:val="0E6DDDB4"/>
    <w:rsid w:val="0E81F116"/>
    <w:rsid w:val="0ECF7D20"/>
    <w:rsid w:val="0F05DF62"/>
    <w:rsid w:val="0F291067"/>
    <w:rsid w:val="0F46BB1C"/>
    <w:rsid w:val="0F572FEA"/>
    <w:rsid w:val="0FA8B13E"/>
    <w:rsid w:val="0FBEA517"/>
    <w:rsid w:val="0FC1C897"/>
    <w:rsid w:val="0FD9CAF7"/>
    <w:rsid w:val="1007162C"/>
    <w:rsid w:val="1008D4EC"/>
    <w:rsid w:val="10162F10"/>
    <w:rsid w:val="1025E802"/>
    <w:rsid w:val="1069C5C5"/>
    <w:rsid w:val="107D7BBB"/>
    <w:rsid w:val="109393C0"/>
    <w:rsid w:val="1094D930"/>
    <w:rsid w:val="10D9412B"/>
    <w:rsid w:val="10E47E93"/>
    <w:rsid w:val="112AAFB4"/>
    <w:rsid w:val="112AF966"/>
    <w:rsid w:val="1153EB75"/>
    <w:rsid w:val="1153EEF8"/>
    <w:rsid w:val="11613AFC"/>
    <w:rsid w:val="11FBB7A0"/>
    <w:rsid w:val="12257C5D"/>
    <w:rsid w:val="123B5E6D"/>
    <w:rsid w:val="12EFBF59"/>
    <w:rsid w:val="12F40BD8"/>
    <w:rsid w:val="136A61AF"/>
    <w:rsid w:val="137D8126"/>
    <w:rsid w:val="13BE9B74"/>
    <w:rsid w:val="13C2D627"/>
    <w:rsid w:val="1416F323"/>
    <w:rsid w:val="142E4B01"/>
    <w:rsid w:val="146F42D3"/>
    <w:rsid w:val="149413BD"/>
    <w:rsid w:val="14B741AD"/>
    <w:rsid w:val="14D3BB13"/>
    <w:rsid w:val="14DF1DA3"/>
    <w:rsid w:val="14FD4034"/>
    <w:rsid w:val="1517AB62"/>
    <w:rsid w:val="151F0D71"/>
    <w:rsid w:val="155C3BC5"/>
    <w:rsid w:val="158F53FC"/>
    <w:rsid w:val="15DA4B2E"/>
    <w:rsid w:val="15EA532F"/>
    <w:rsid w:val="162FE41E"/>
    <w:rsid w:val="16403249"/>
    <w:rsid w:val="16841DA0"/>
    <w:rsid w:val="168DAF84"/>
    <w:rsid w:val="1696FD44"/>
    <w:rsid w:val="16E9515C"/>
    <w:rsid w:val="1709246A"/>
    <w:rsid w:val="172AE879"/>
    <w:rsid w:val="1756BF2B"/>
    <w:rsid w:val="17B9C665"/>
    <w:rsid w:val="17D4AD1F"/>
    <w:rsid w:val="1856202F"/>
    <w:rsid w:val="186B4924"/>
    <w:rsid w:val="189CC4A0"/>
    <w:rsid w:val="18D540FF"/>
    <w:rsid w:val="190FE1B5"/>
    <w:rsid w:val="1924F8CA"/>
    <w:rsid w:val="192D730F"/>
    <w:rsid w:val="199A47BC"/>
    <w:rsid w:val="199BC000"/>
    <w:rsid w:val="19A868CC"/>
    <w:rsid w:val="19B17CAD"/>
    <w:rsid w:val="1A2EA613"/>
    <w:rsid w:val="1A77DFE3"/>
    <w:rsid w:val="1AA6965C"/>
    <w:rsid w:val="1AD1A834"/>
    <w:rsid w:val="1B1759C9"/>
    <w:rsid w:val="1B27CBE9"/>
    <w:rsid w:val="1B2E38F9"/>
    <w:rsid w:val="1B60CF3D"/>
    <w:rsid w:val="1B87D8C2"/>
    <w:rsid w:val="1BB5370E"/>
    <w:rsid w:val="1BD57EC9"/>
    <w:rsid w:val="1BD763F0"/>
    <w:rsid w:val="1C0D4C80"/>
    <w:rsid w:val="1C7A8F96"/>
    <w:rsid w:val="1C8FF8DB"/>
    <w:rsid w:val="1CB84DFF"/>
    <w:rsid w:val="1CF36732"/>
    <w:rsid w:val="1D02BE48"/>
    <w:rsid w:val="1D4A213D"/>
    <w:rsid w:val="1D5892E0"/>
    <w:rsid w:val="1DA9C460"/>
    <w:rsid w:val="1DB247A2"/>
    <w:rsid w:val="1DC738A2"/>
    <w:rsid w:val="1DC9FC1A"/>
    <w:rsid w:val="1DD28FEB"/>
    <w:rsid w:val="1DD85720"/>
    <w:rsid w:val="1E1A7A4B"/>
    <w:rsid w:val="1E30BDC0"/>
    <w:rsid w:val="1E3F1950"/>
    <w:rsid w:val="1E55338D"/>
    <w:rsid w:val="1E6875B7"/>
    <w:rsid w:val="1E816995"/>
    <w:rsid w:val="1EA8E518"/>
    <w:rsid w:val="1EAE3A86"/>
    <w:rsid w:val="1EC1624B"/>
    <w:rsid w:val="1ECD4D15"/>
    <w:rsid w:val="1EF46341"/>
    <w:rsid w:val="1F0883B3"/>
    <w:rsid w:val="1F259BB1"/>
    <w:rsid w:val="1F38D540"/>
    <w:rsid w:val="1F3BBF14"/>
    <w:rsid w:val="1FC0EE15"/>
    <w:rsid w:val="1FD6C664"/>
    <w:rsid w:val="1FE4E0BF"/>
    <w:rsid w:val="1FEE68CB"/>
    <w:rsid w:val="1FEFEEC1"/>
    <w:rsid w:val="200F603D"/>
    <w:rsid w:val="201351B3"/>
    <w:rsid w:val="2027EBEC"/>
    <w:rsid w:val="20555C56"/>
    <w:rsid w:val="20D212EF"/>
    <w:rsid w:val="20E74FA1"/>
    <w:rsid w:val="20ED23FE"/>
    <w:rsid w:val="210DF596"/>
    <w:rsid w:val="212D39E4"/>
    <w:rsid w:val="21467A7B"/>
    <w:rsid w:val="216DDADE"/>
    <w:rsid w:val="2194B264"/>
    <w:rsid w:val="21B04426"/>
    <w:rsid w:val="21CD14C8"/>
    <w:rsid w:val="21E18139"/>
    <w:rsid w:val="21E98AD2"/>
    <w:rsid w:val="2292A752"/>
    <w:rsid w:val="22BDE84F"/>
    <w:rsid w:val="22CC15BF"/>
    <w:rsid w:val="22CE7132"/>
    <w:rsid w:val="22DBE575"/>
    <w:rsid w:val="22E9E872"/>
    <w:rsid w:val="2338EF53"/>
    <w:rsid w:val="239895A2"/>
    <w:rsid w:val="23A95731"/>
    <w:rsid w:val="23CE0CA1"/>
    <w:rsid w:val="23F49F24"/>
    <w:rsid w:val="24AFE093"/>
    <w:rsid w:val="24B4331D"/>
    <w:rsid w:val="24B6B799"/>
    <w:rsid w:val="24BC43D7"/>
    <w:rsid w:val="24C2F469"/>
    <w:rsid w:val="24F0AB19"/>
    <w:rsid w:val="252C4A6C"/>
    <w:rsid w:val="25CB45AF"/>
    <w:rsid w:val="264A453A"/>
    <w:rsid w:val="265218BB"/>
    <w:rsid w:val="265F6648"/>
    <w:rsid w:val="266B5EE0"/>
    <w:rsid w:val="26C7C981"/>
    <w:rsid w:val="26DF52D1"/>
    <w:rsid w:val="26EB8844"/>
    <w:rsid w:val="2720A27E"/>
    <w:rsid w:val="27671610"/>
    <w:rsid w:val="278F9673"/>
    <w:rsid w:val="27BD8AC7"/>
    <w:rsid w:val="27BF653F"/>
    <w:rsid w:val="27F393A4"/>
    <w:rsid w:val="27FE5F1D"/>
    <w:rsid w:val="2800B926"/>
    <w:rsid w:val="28284BDB"/>
    <w:rsid w:val="283FA9E2"/>
    <w:rsid w:val="28435DD5"/>
    <w:rsid w:val="286C13DA"/>
    <w:rsid w:val="28751EB9"/>
    <w:rsid w:val="28C13AE0"/>
    <w:rsid w:val="28F9721B"/>
    <w:rsid w:val="29020F1F"/>
    <w:rsid w:val="2911F8C5"/>
    <w:rsid w:val="2918B6A1"/>
    <w:rsid w:val="292EF1F3"/>
    <w:rsid w:val="293B5743"/>
    <w:rsid w:val="294D6C6B"/>
    <w:rsid w:val="295C858B"/>
    <w:rsid w:val="295D0112"/>
    <w:rsid w:val="298055B2"/>
    <w:rsid w:val="29B4591F"/>
    <w:rsid w:val="29C05110"/>
    <w:rsid w:val="29C41C3C"/>
    <w:rsid w:val="29CB99DD"/>
    <w:rsid w:val="29CBB7A7"/>
    <w:rsid w:val="29CC09C2"/>
    <w:rsid w:val="29F39D45"/>
    <w:rsid w:val="29F8171B"/>
    <w:rsid w:val="2A716B9D"/>
    <w:rsid w:val="2AB05260"/>
    <w:rsid w:val="2AC27FA0"/>
    <w:rsid w:val="2AE9E0C9"/>
    <w:rsid w:val="2AEDD66F"/>
    <w:rsid w:val="2B118AB8"/>
    <w:rsid w:val="2B11AB46"/>
    <w:rsid w:val="2B2647FE"/>
    <w:rsid w:val="2B8A8C5F"/>
    <w:rsid w:val="2BB5FDBE"/>
    <w:rsid w:val="2BDD88A5"/>
    <w:rsid w:val="2BE40BF3"/>
    <w:rsid w:val="2C0119BF"/>
    <w:rsid w:val="2C1CF06A"/>
    <w:rsid w:val="2C28AF7B"/>
    <w:rsid w:val="2C3D36C3"/>
    <w:rsid w:val="2C871626"/>
    <w:rsid w:val="2C970BD1"/>
    <w:rsid w:val="2C97B283"/>
    <w:rsid w:val="2CA3BCF6"/>
    <w:rsid w:val="2CAB6994"/>
    <w:rsid w:val="2CAE4CB8"/>
    <w:rsid w:val="2CDDC0E2"/>
    <w:rsid w:val="2CFB89CD"/>
    <w:rsid w:val="2D166F0A"/>
    <w:rsid w:val="2D443E40"/>
    <w:rsid w:val="2D66BAF8"/>
    <w:rsid w:val="2D76A430"/>
    <w:rsid w:val="2D813C07"/>
    <w:rsid w:val="2DAFCCC8"/>
    <w:rsid w:val="2DB955CE"/>
    <w:rsid w:val="2DD48A90"/>
    <w:rsid w:val="2E14DF68"/>
    <w:rsid w:val="2E18B8C7"/>
    <w:rsid w:val="2E2F78A7"/>
    <w:rsid w:val="2E86F150"/>
    <w:rsid w:val="2EF0E1DD"/>
    <w:rsid w:val="2EF1C70F"/>
    <w:rsid w:val="2F37CE4A"/>
    <w:rsid w:val="2F5FEF83"/>
    <w:rsid w:val="2F967332"/>
    <w:rsid w:val="2FB6BE68"/>
    <w:rsid w:val="2FC942FD"/>
    <w:rsid w:val="2FD60187"/>
    <w:rsid w:val="30128F1A"/>
    <w:rsid w:val="3012D3A0"/>
    <w:rsid w:val="30174CA7"/>
    <w:rsid w:val="303A89AA"/>
    <w:rsid w:val="304F2370"/>
    <w:rsid w:val="305ABB52"/>
    <w:rsid w:val="30620DDD"/>
    <w:rsid w:val="30A42C9A"/>
    <w:rsid w:val="30A8C15A"/>
    <w:rsid w:val="30AE44F2"/>
    <w:rsid w:val="30F8ABFD"/>
    <w:rsid w:val="313D49FF"/>
    <w:rsid w:val="3140C654"/>
    <w:rsid w:val="3162FAB3"/>
    <w:rsid w:val="319A1A5F"/>
    <w:rsid w:val="31B63E90"/>
    <w:rsid w:val="31B85F9F"/>
    <w:rsid w:val="31F29B81"/>
    <w:rsid w:val="31F5FEEC"/>
    <w:rsid w:val="31FF4BDD"/>
    <w:rsid w:val="321AB7F2"/>
    <w:rsid w:val="328C3724"/>
    <w:rsid w:val="32CEE489"/>
    <w:rsid w:val="330496CB"/>
    <w:rsid w:val="331651B2"/>
    <w:rsid w:val="332FD277"/>
    <w:rsid w:val="33599457"/>
    <w:rsid w:val="336E354C"/>
    <w:rsid w:val="338B6825"/>
    <w:rsid w:val="33B4640A"/>
    <w:rsid w:val="33CB77A8"/>
    <w:rsid w:val="33F52AF8"/>
    <w:rsid w:val="340348D3"/>
    <w:rsid w:val="342DA885"/>
    <w:rsid w:val="34318ED2"/>
    <w:rsid w:val="344EC1CC"/>
    <w:rsid w:val="3477E718"/>
    <w:rsid w:val="3478099A"/>
    <w:rsid w:val="349B94EF"/>
    <w:rsid w:val="34CAC584"/>
    <w:rsid w:val="34E3AF84"/>
    <w:rsid w:val="34F29EDA"/>
    <w:rsid w:val="3511BA01"/>
    <w:rsid w:val="35200BAD"/>
    <w:rsid w:val="3538C4CC"/>
    <w:rsid w:val="354A96E2"/>
    <w:rsid w:val="35895A57"/>
    <w:rsid w:val="359F1934"/>
    <w:rsid w:val="35A33600"/>
    <w:rsid w:val="35C640B6"/>
    <w:rsid w:val="35C6B9E1"/>
    <w:rsid w:val="36068875"/>
    <w:rsid w:val="360B1BFA"/>
    <w:rsid w:val="378D4D3A"/>
    <w:rsid w:val="37C9626C"/>
    <w:rsid w:val="38044C92"/>
    <w:rsid w:val="38293129"/>
    <w:rsid w:val="38B227F4"/>
    <w:rsid w:val="38C5A248"/>
    <w:rsid w:val="38D6B9F6"/>
    <w:rsid w:val="390DA1CA"/>
    <w:rsid w:val="3915C82B"/>
    <w:rsid w:val="3918B399"/>
    <w:rsid w:val="393EB241"/>
    <w:rsid w:val="3940121E"/>
    <w:rsid w:val="3945526A"/>
    <w:rsid w:val="395A730F"/>
    <w:rsid w:val="39619632"/>
    <w:rsid w:val="3992AAC0"/>
    <w:rsid w:val="39F54759"/>
    <w:rsid w:val="3A7862A0"/>
    <w:rsid w:val="3A99AA16"/>
    <w:rsid w:val="3AA54065"/>
    <w:rsid w:val="3ABA822F"/>
    <w:rsid w:val="3AF35B41"/>
    <w:rsid w:val="3AFEFD84"/>
    <w:rsid w:val="3B0C18AB"/>
    <w:rsid w:val="3B33B5BA"/>
    <w:rsid w:val="3B4AAF98"/>
    <w:rsid w:val="3B583EE9"/>
    <w:rsid w:val="3B73EE74"/>
    <w:rsid w:val="3B9D22B2"/>
    <w:rsid w:val="3BA31C94"/>
    <w:rsid w:val="3BDE6D9F"/>
    <w:rsid w:val="3BEE5F97"/>
    <w:rsid w:val="3BFB8807"/>
    <w:rsid w:val="3C4C7D18"/>
    <w:rsid w:val="3C50AAFD"/>
    <w:rsid w:val="3C910955"/>
    <w:rsid w:val="3C913613"/>
    <w:rsid w:val="3C9474D1"/>
    <w:rsid w:val="3CA024EB"/>
    <w:rsid w:val="3CC1C26A"/>
    <w:rsid w:val="3CD9BB88"/>
    <w:rsid w:val="3CECACC2"/>
    <w:rsid w:val="3D156835"/>
    <w:rsid w:val="3D267530"/>
    <w:rsid w:val="3D3D61B1"/>
    <w:rsid w:val="3DADF552"/>
    <w:rsid w:val="3DB7E9E3"/>
    <w:rsid w:val="3E0AA97D"/>
    <w:rsid w:val="3E2DC507"/>
    <w:rsid w:val="3E7C4D00"/>
    <w:rsid w:val="3E90364B"/>
    <w:rsid w:val="3E9C1FB0"/>
    <w:rsid w:val="3EB067DD"/>
    <w:rsid w:val="3EE0DBFE"/>
    <w:rsid w:val="3EFE416E"/>
    <w:rsid w:val="3F07DE5A"/>
    <w:rsid w:val="3F0CFE84"/>
    <w:rsid w:val="3F28985B"/>
    <w:rsid w:val="3F2A5BB9"/>
    <w:rsid w:val="3F41D82D"/>
    <w:rsid w:val="3F903945"/>
    <w:rsid w:val="3FAFBB90"/>
    <w:rsid w:val="3FD1D338"/>
    <w:rsid w:val="3FDCC838"/>
    <w:rsid w:val="400BCC26"/>
    <w:rsid w:val="4028EA92"/>
    <w:rsid w:val="402E0B45"/>
    <w:rsid w:val="4038176B"/>
    <w:rsid w:val="407C0EB2"/>
    <w:rsid w:val="409C6EB2"/>
    <w:rsid w:val="40E6AFDB"/>
    <w:rsid w:val="40E75237"/>
    <w:rsid w:val="40EB1725"/>
    <w:rsid w:val="41003509"/>
    <w:rsid w:val="412C09A6"/>
    <w:rsid w:val="4173B0F8"/>
    <w:rsid w:val="417F386E"/>
    <w:rsid w:val="4183723D"/>
    <w:rsid w:val="41938F3F"/>
    <w:rsid w:val="41E4C690"/>
    <w:rsid w:val="41EB1D7E"/>
    <w:rsid w:val="421B6845"/>
    <w:rsid w:val="423F150E"/>
    <w:rsid w:val="4272CDF2"/>
    <w:rsid w:val="42C04759"/>
    <w:rsid w:val="42F7CC77"/>
    <w:rsid w:val="42F97E81"/>
    <w:rsid w:val="43075A55"/>
    <w:rsid w:val="4340691E"/>
    <w:rsid w:val="4375D986"/>
    <w:rsid w:val="4386EDDF"/>
    <w:rsid w:val="43A7FE2F"/>
    <w:rsid w:val="43C3FE4C"/>
    <w:rsid w:val="43CFE9F9"/>
    <w:rsid w:val="43DAE56F"/>
    <w:rsid w:val="43EC20F1"/>
    <w:rsid w:val="43F40DCC"/>
    <w:rsid w:val="44218C3C"/>
    <w:rsid w:val="4421FED7"/>
    <w:rsid w:val="44A22C8B"/>
    <w:rsid w:val="44A45593"/>
    <w:rsid w:val="44B83253"/>
    <w:rsid w:val="45203687"/>
    <w:rsid w:val="45876255"/>
    <w:rsid w:val="45D3DDFA"/>
    <w:rsid w:val="46294EC2"/>
    <w:rsid w:val="465455F4"/>
    <w:rsid w:val="467B486C"/>
    <w:rsid w:val="46834704"/>
    <w:rsid w:val="46BDA71E"/>
    <w:rsid w:val="46BE8EA1"/>
    <w:rsid w:val="46BF7006"/>
    <w:rsid w:val="470CA80F"/>
    <w:rsid w:val="47128631"/>
    <w:rsid w:val="47159BDB"/>
    <w:rsid w:val="473FD288"/>
    <w:rsid w:val="4748C3F7"/>
    <w:rsid w:val="47586228"/>
    <w:rsid w:val="4767FCD5"/>
    <w:rsid w:val="478206F0"/>
    <w:rsid w:val="479D1E69"/>
    <w:rsid w:val="47AA68F7"/>
    <w:rsid w:val="47EF6EE5"/>
    <w:rsid w:val="48444989"/>
    <w:rsid w:val="485A5F02"/>
    <w:rsid w:val="488AFF19"/>
    <w:rsid w:val="488E6A37"/>
    <w:rsid w:val="48AE5692"/>
    <w:rsid w:val="48B97555"/>
    <w:rsid w:val="48DC9FE3"/>
    <w:rsid w:val="49104490"/>
    <w:rsid w:val="492AB3CC"/>
    <w:rsid w:val="492F2E05"/>
    <w:rsid w:val="498EB0AF"/>
    <w:rsid w:val="498F501C"/>
    <w:rsid w:val="49B3C82A"/>
    <w:rsid w:val="49BCFE6E"/>
    <w:rsid w:val="49E6FAA2"/>
    <w:rsid w:val="49F62F63"/>
    <w:rsid w:val="4A0FCE72"/>
    <w:rsid w:val="4A34766D"/>
    <w:rsid w:val="4A3B22AC"/>
    <w:rsid w:val="4A4A26F3"/>
    <w:rsid w:val="4A51E233"/>
    <w:rsid w:val="4A769FE1"/>
    <w:rsid w:val="4AB9A7B2"/>
    <w:rsid w:val="4ADA7ED4"/>
    <w:rsid w:val="4AF9AE83"/>
    <w:rsid w:val="4AFAB84A"/>
    <w:rsid w:val="4AFC273A"/>
    <w:rsid w:val="4B10732C"/>
    <w:rsid w:val="4B12E4A2"/>
    <w:rsid w:val="4B453B35"/>
    <w:rsid w:val="4B692100"/>
    <w:rsid w:val="4B69527F"/>
    <w:rsid w:val="4B74B86E"/>
    <w:rsid w:val="4B8C842D"/>
    <w:rsid w:val="4BD866FA"/>
    <w:rsid w:val="4BDDEE23"/>
    <w:rsid w:val="4BE55232"/>
    <w:rsid w:val="4C04B99B"/>
    <w:rsid w:val="4C149878"/>
    <w:rsid w:val="4C1CD170"/>
    <w:rsid w:val="4C2848BB"/>
    <w:rsid w:val="4C557813"/>
    <w:rsid w:val="4C861726"/>
    <w:rsid w:val="4C944C56"/>
    <w:rsid w:val="4CD2A119"/>
    <w:rsid w:val="4CED9686"/>
    <w:rsid w:val="4D14D5E2"/>
    <w:rsid w:val="4D209E3A"/>
    <w:rsid w:val="4D25B5B2"/>
    <w:rsid w:val="4D2F30EB"/>
    <w:rsid w:val="4D8E502C"/>
    <w:rsid w:val="4DC8DEF1"/>
    <w:rsid w:val="4DCD5951"/>
    <w:rsid w:val="4E002483"/>
    <w:rsid w:val="4E2224C3"/>
    <w:rsid w:val="4EC9A086"/>
    <w:rsid w:val="4EDA5BF3"/>
    <w:rsid w:val="4EE70E42"/>
    <w:rsid w:val="4F136ABC"/>
    <w:rsid w:val="4F2260EC"/>
    <w:rsid w:val="4F327480"/>
    <w:rsid w:val="4F39BE61"/>
    <w:rsid w:val="4F430D99"/>
    <w:rsid w:val="4F52D1F3"/>
    <w:rsid w:val="4F5FE97D"/>
    <w:rsid w:val="4F75C2A4"/>
    <w:rsid w:val="4F8D34B2"/>
    <w:rsid w:val="4FA93A54"/>
    <w:rsid w:val="4FD709AD"/>
    <w:rsid w:val="4FEBEAD2"/>
    <w:rsid w:val="5016E386"/>
    <w:rsid w:val="503F475A"/>
    <w:rsid w:val="505AE53C"/>
    <w:rsid w:val="50B830F1"/>
    <w:rsid w:val="50BEFBEE"/>
    <w:rsid w:val="50D1ADB7"/>
    <w:rsid w:val="50DD1C8C"/>
    <w:rsid w:val="51326A53"/>
    <w:rsid w:val="516FB7A1"/>
    <w:rsid w:val="51AB5E5C"/>
    <w:rsid w:val="51B102F3"/>
    <w:rsid w:val="51C341C9"/>
    <w:rsid w:val="51FF0705"/>
    <w:rsid w:val="520F5CEE"/>
    <w:rsid w:val="522BE0EA"/>
    <w:rsid w:val="522C2BFE"/>
    <w:rsid w:val="523CDA24"/>
    <w:rsid w:val="524E1FE8"/>
    <w:rsid w:val="525538D8"/>
    <w:rsid w:val="5273FD9C"/>
    <w:rsid w:val="5282B959"/>
    <w:rsid w:val="52831A8C"/>
    <w:rsid w:val="52978A3F"/>
    <w:rsid w:val="53599168"/>
    <w:rsid w:val="539F2902"/>
    <w:rsid w:val="53C77618"/>
    <w:rsid w:val="54144E51"/>
    <w:rsid w:val="5414A255"/>
    <w:rsid w:val="5424A9E6"/>
    <w:rsid w:val="5442BAD8"/>
    <w:rsid w:val="54755808"/>
    <w:rsid w:val="54A4D376"/>
    <w:rsid w:val="54BC9BAD"/>
    <w:rsid w:val="54CDB345"/>
    <w:rsid w:val="55057133"/>
    <w:rsid w:val="55100346"/>
    <w:rsid w:val="552931AE"/>
    <w:rsid w:val="5537ABD3"/>
    <w:rsid w:val="559DC2A1"/>
    <w:rsid w:val="55C21377"/>
    <w:rsid w:val="55C57C6D"/>
    <w:rsid w:val="55C60909"/>
    <w:rsid w:val="55DAD675"/>
    <w:rsid w:val="55FDEDF0"/>
    <w:rsid w:val="560463BC"/>
    <w:rsid w:val="56137CA0"/>
    <w:rsid w:val="5623BFF8"/>
    <w:rsid w:val="567BD034"/>
    <w:rsid w:val="56CC603E"/>
    <w:rsid w:val="570DFB12"/>
    <w:rsid w:val="5711499D"/>
    <w:rsid w:val="5714092E"/>
    <w:rsid w:val="5729509A"/>
    <w:rsid w:val="573CAA34"/>
    <w:rsid w:val="574D515A"/>
    <w:rsid w:val="5754619D"/>
    <w:rsid w:val="575DE3D8"/>
    <w:rsid w:val="57644877"/>
    <w:rsid w:val="576AFB62"/>
    <w:rsid w:val="5775EAC1"/>
    <w:rsid w:val="57916CAB"/>
    <w:rsid w:val="57C05AEB"/>
    <w:rsid w:val="57D45E5F"/>
    <w:rsid w:val="583DEFD9"/>
    <w:rsid w:val="5851A080"/>
    <w:rsid w:val="58566554"/>
    <w:rsid w:val="58568A62"/>
    <w:rsid w:val="585D923C"/>
    <w:rsid w:val="58638656"/>
    <w:rsid w:val="5871E392"/>
    <w:rsid w:val="58A0BDBB"/>
    <w:rsid w:val="58CC5AE6"/>
    <w:rsid w:val="5927D301"/>
    <w:rsid w:val="59358EB2"/>
    <w:rsid w:val="59434303"/>
    <w:rsid w:val="59B4B656"/>
    <w:rsid w:val="59D18904"/>
    <w:rsid w:val="59E16659"/>
    <w:rsid w:val="59F2DFD1"/>
    <w:rsid w:val="5A01EE85"/>
    <w:rsid w:val="5A09BB1B"/>
    <w:rsid w:val="5A627D99"/>
    <w:rsid w:val="5A69732B"/>
    <w:rsid w:val="5A879F65"/>
    <w:rsid w:val="5A9B1D63"/>
    <w:rsid w:val="5AA29C24"/>
    <w:rsid w:val="5AB16C04"/>
    <w:rsid w:val="5AB49A70"/>
    <w:rsid w:val="5AB830DD"/>
    <w:rsid w:val="5AE9B142"/>
    <w:rsid w:val="5B04E281"/>
    <w:rsid w:val="5B1C9E70"/>
    <w:rsid w:val="5B30C15B"/>
    <w:rsid w:val="5B70B462"/>
    <w:rsid w:val="5BB49F46"/>
    <w:rsid w:val="5C338FC8"/>
    <w:rsid w:val="5C4807AE"/>
    <w:rsid w:val="5C8D7BD0"/>
    <w:rsid w:val="5C93CC0E"/>
    <w:rsid w:val="5C947F4A"/>
    <w:rsid w:val="5CBD6D75"/>
    <w:rsid w:val="5CBF5F7C"/>
    <w:rsid w:val="5CC1C5AF"/>
    <w:rsid w:val="5CCD25DB"/>
    <w:rsid w:val="5CEEB23C"/>
    <w:rsid w:val="5D1F0E76"/>
    <w:rsid w:val="5D2302B1"/>
    <w:rsid w:val="5DA3A785"/>
    <w:rsid w:val="5DA9CE71"/>
    <w:rsid w:val="5DB702FE"/>
    <w:rsid w:val="5DC968DB"/>
    <w:rsid w:val="5DCD255C"/>
    <w:rsid w:val="5DF85F03"/>
    <w:rsid w:val="5E1CE9B9"/>
    <w:rsid w:val="5E328D5F"/>
    <w:rsid w:val="5EA4A749"/>
    <w:rsid w:val="5F09B009"/>
    <w:rsid w:val="5F1EA39F"/>
    <w:rsid w:val="5F34EA70"/>
    <w:rsid w:val="5F3E1EBC"/>
    <w:rsid w:val="5F4F88D3"/>
    <w:rsid w:val="5F87A10B"/>
    <w:rsid w:val="5FA3587C"/>
    <w:rsid w:val="5FBA3159"/>
    <w:rsid w:val="5FD6F0C3"/>
    <w:rsid w:val="604174C5"/>
    <w:rsid w:val="6067077A"/>
    <w:rsid w:val="60C9696F"/>
    <w:rsid w:val="60D1060A"/>
    <w:rsid w:val="60F19B31"/>
    <w:rsid w:val="616C64CC"/>
    <w:rsid w:val="6178EDAE"/>
    <w:rsid w:val="61870157"/>
    <w:rsid w:val="61F05745"/>
    <w:rsid w:val="621B6D5F"/>
    <w:rsid w:val="6224BB45"/>
    <w:rsid w:val="624413C7"/>
    <w:rsid w:val="628B1B8A"/>
    <w:rsid w:val="62935C2F"/>
    <w:rsid w:val="6296ABE7"/>
    <w:rsid w:val="62A96974"/>
    <w:rsid w:val="62B3BAB0"/>
    <w:rsid w:val="631E0BA0"/>
    <w:rsid w:val="632A8948"/>
    <w:rsid w:val="632D3A88"/>
    <w:rsid w:val="636CF563"/>
    <w:rsid w:val="6377FD7D"/>
    <w:rsid w:val="63CF7DDB"/>
    <w:rsid w:val="63F7504B"/>
    <w:rsid w:val="63FB219A"/>
    <w:rsid w:val="641B52E6"/>
    <w:rsid w:val="64225AC0"/>
    <w:rsid w:val="6426A2BC"/>
    <w:rsid w:val="643E80E3"/>
    <w:rsid w:val="6476C99F"/>
    <w:rsid w:val="6482E76F"/>
    <w:rsid w:val="649FE4AA"/>
    <w:rsid w:val="64A739F2"/>
    <w:rsid w:val="64D5B79E"/>
    <w:rsid w:val="64F3A441"/>
    <w:rsid w:val="6514EC39"/>
    <w:rsid w:val="65170176"/>
    <w:rsid w:val="65A2340A"/>
    <w:rsid w:val="65B4BE29"/>
    <w:rsid w:val="65E9F1DC"/>
    <w:rsid w:val="6601434C"/>
    <w:rsid w:val="660BDBF9"/>
    <w:rsid w:val="6612010D"/>
    <w:rsid w:val="665FF968"/>
    <w:rsid w:val="667E2606"/>
    <w:rsid w:val="6696C057"/>
    <w:rsid w:val="66D4D6B8"/>
    <w:rsid w:val="66DAFC24"/>
    <w:rsid w:val="66EACD19"/>
    <w:rsid w:val="66EF4F7B"/>
    <w:rsid w:val="671F0BE1"/>
    <w:rsid w:val="679A0119"/>
    <w:rsid w:val="679E574C"/>
    <w:rsid w:val="67AF2B63"/>
    <w:rsid w:val="67ECC8D5"/>
    <w:rsid w:val="6800ABAB"/>
    <w:rsid w:val="6833C0A0"/>
    <w:rsid w:val="683A0D62"/>
    <w:rsid w:val="6851226D"/>
    <w:rsid w:val="685FDD0F"/>
    <w:rsid w:val="68783B66"/>
    <w:rsid w:val="68880E1B"/>
    <w:rsid w:val="68AB3566"/>
    <w:rsid w:val="68EF5475"/>
    <w:rsid w:val="691BCDD9"/>
    <w:rsid w:val="6920EA4A"/>
    <w:rsid w:val="6933129F"/>
    <w:rsid w:val="695444B6"/>
    <w:rsid w:val="6957073D"/>
    <w:rsid w:val="69A4A964"/>
    <w:rsid w:val="69B60D14"/>
    <w:rsid w:val="69CE8C74"/>
    <w:rsid w:val="69D336B6"/>
    <w:rsid w:val="69DE61C6"/>
    <w:rsid w:val="69EC3B3E"/>
    <w:rsid w:val="6A1E091C"/>
    <w:rsid w:val="6A217E8C"/>
    <w:rsid w:val="6A541FDB"/>
    <w:rsid w:val="6A6902F9"/>
    <w:rsid w:val="6A74AF7B"/>
    <w:rsid w:val="6AE07405"/>
    <w:rsid w:val="6B0DE7BD"/>
    <w:rsid w:val="6B385BB4"/>
    <w:rsid w:val="6B4787B5"/>
    <w:rsid w:val="6B570A9C"/>
    <w:rsid w:val="6B8642FA"/>
    <w:rsid w:val="6B9D4087"/>
    <w:rsid w:val="6C567AB5"/>
    <w:rsid w:val="6CECD97E"/>
    <w:rsid w:val="6D0C3F02"/>
    <w:rsid w:val="6D36B041"/>
    <w:rsid w:val="6DCC02C2"/>
    <w:rsid w:val="6DF86D17"/>
    <w:rsid w:val="6E2816C8"/>
    <w:rsid w:val="6E351CE6"/>
    <w:rsid w:val="6E7AE6B8"/>
    <w:rsid w:val="6EC97A87"/>
    <w:rsid w:val="6ED6A786"/>
    <w:rsid w:val="6ED9B3E0"/>
    <w:rsid w:val="6EE60E09"/>
    <w:rsid w:val="6F0C4FB8"/>
    <w:rsid w:val="6F25AAC5"/>
    <w:rsid w:val="6F712A3C"/>
    <w:rsid w:val="6F7627EE"/>
    <w:rsid w:val="6F8E1B77"/>
    <w:rsid w:val="701580A3"/>
    <w:rsid w:val="7036F12B"/>
    <w:rsid w:val="70389861"/>
    <w:rsid w:val="70427E25"/>
    <w:rsid w:val="709C0462"/>
    <w:rsid w:val="70BB234D"/>
    <w:rsid w:val="70ECE2E1"/>
    <w:rsid w:val="7120FE16"/>
    <w:rsid w:val="7143CF45"/>
    <w:rsid w:val="7168DAD2"/>
    <w:rsid w:val="71808C3E"/>
    <w:rsid w:val="71D6C507"/>
    <w:rsid w:val="71F23D4A"/>
    <w:rsid w:val="71F5847E"/>
    <w:rsid w:val="723B8C3B"/>
    <w:rsid w:val="724A9403"/>
    <w:rsid w:val="72521E7B"/>
    <w:rsid w:val="7264B944"/>
    <w:rsid w:val="72B3F377"/>
    <w:rsid w:val="72BB283B"/>
    <w:rsid w:val="72D8D360"/>
    <w:rsid w:val="72E1FE9F"/>
    <w:rsid w:val="730229F0"/>
    <w:rsid w:val="73137A6D"/>
    <w:rsid w:val="7324B9D9"/>
    <w:rsid w:val="734DB64F"/>
    <w:rsid w:val="7361F189"/>
    <w:rsid w:val="7384A4A0"/>
    <w:rsid w:val="738A53CA"/>
    <w:rsid w:val="73C8758E"/>
    <w:rsid w:val="73E4DFFB"/>
    <w:rsid w:val="740F7AF1"/>
    <w:rsid w:val="7412824B"/>
    <w:rsid w:val="741FC3C2"/>
    <w:rsid w:val="7427A5FC"/>
    <w:rsid w:val="74337610"/>
    <w:rsid w:val="74539DDD"/>
    <w:rsid w:val="745BC85F"/>
    <w:rsid w:val="747082FC"/>
    <w:rsid w:val="748517D2"/>
    <w:rsid w:val="751CE8EB"/>
    <w:rsid w:val="753821E5"/>
    <w:rsid w:val="759813EE"/>
    <w:rsid w:val="75F6B7D0"/>
    <w:rsid w:val="7604E26E"/>
    <w:rsid w:val="76087335"/>
    <w:rsid w:val="760A7460"/>
    <w:rsid w:val="76789257"/>
    <w:rsid w:val="7682245D"/>
    <w:rsid w:val="76AB6228"/>
    <w:rsid w:val="76C7BEBD"/>
    <w:rsid w:val="76C89D89"/>
    <w:rsid w:val="76F11FEE"/>
    <w:rsid w:val="770B2A09"/>
    <w:rsid w:val="77149C80"/>
    <w:rsid w:val="773EB735"/>
    <w:rsid w:val="77589389"/>
    <w:rsid w:val="7790CD11"/>
    <w:rsid w:val="781D6D04"/>
    <w:rsid w:val="78296953"/>
    <w:rsid w:val="786218B2"/>
    <w:rsid w:val="7867D595"/>
    <w:rsid w:val="786B8FEE"/>
    <w:rsid w:val="787C1C8C"/>
    <w:rsid w:val="787FE5A7"/>
    <w:rsid w:val="78848B37"/>
    <w:rsid w:val="78A04A0B"/>
    <w:rsid w:val="78CF8B0A"/>
    <w:rsid w:val="78EB56BA"/>
    <w:rsid w:val="78F618CC"/>
    <w:rsid w:val="78FE284F"/>
    <w:rsid w:val="7904A3A5"/>
    <w:rsid w:val="7923236A"/>
    <w:rsid w:val="79378520"/>
    <w:rsid w:val="79AD3B16"/>
    <w:rsid w:val="79EE33FF"/>
    <w:rsid w:val="7A311B6D"/>
    <w:rsid w:val="7A4BEE56"/>
    <w:rsid w:val="7AA06D38"/>
    <w:rsid w:val="7ABA8EF0"/>
    <w:rsid w:val="7AC13BBD"/>
    <w:rsid w:val="7AC73194"/>
    <w:rsid w:val="7ACFB01A"/>
    <w:rsid w:val="7ADDA0C9"/>
    <w:rsid w:val="7AF24419"/>
    <w:rsid w:val="7B2BBFE5"/>
    <w:rsid w:val="7B3A4572"/>
    <w:rsid w:val="7B402827"/>
    <w:rsid w:val="7B53E23C"/>
    <w:rsid w:val="7B936804"/>
    <w:rsid w:val="7B9C66C4"/>
    <w:rsid w:val="7BDA0A60"/>
    <w:rsid w:val="7C0A61CA"/>
    <w:rsid w:val="7C18E8F9"/>
    <w:rsid w:val="7C497EE0"/>
    <w:rsid w:val="7CD5EDD7"/>
    <w:rsid w:val="7D0B2741"/>
    <w:rsid w:val="7D2CF59F"/>
    <w:rsid w:val="7D336D7A"/>
    <w:rsid w:val="7D7D0E55"/>
    <w:rsid w:val="7DA76F03"/>
    <w:rsid w:val="7DAC5EB5"/>
    <w:rsid w:val="7DD3A87D"/>
    <w:rsid w:val="7E137497"/>
    <w:rsid w:val="7E46683E"/>
    <w:rsid w:val="7EA4511D"/>
    <w:rsid w:val="7ED9DFCF"/>
    <w:rsid w:val="7F1657CB"/>
    <w:rsid w:val="7F21EE9A"/>
    <w:rsid w:val="7F60AB8F"/>
    <w:rsid w:val="7F821BB5"/>
    <w:rsid w:val="7F834966"/>
    <w:rsid w:val="7F914C1C"/>
    <w:rsid w:val="7FAC8CDF"/>
    <w:rsid w:val="7FD31D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D6E8E"/>
  <w15:docId w15:val="{EF65BF4E-4BA4-4BDB-A36D-4C63256B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43E78"/>
    <w:pPr>
      <w:keepNext/>
      <w:jc w:val="center"/>
      <w:outlineLvl w:val="0"/>
    </w:pPr>
    <w:rPr>
      <w:b/>
      <w:sz w:val="24"/>
    </w:rPr>
  </w:style>
  <w:style w:type="paragraph" w:styleId="Heading2">
    <w:name w:val="heading 2"/>
    <w:basedOn w:val="Header"/>
    <w:next w:val="Normal"/>
    <w:link w:val="Heading2Char"/>
    <w:uiPriority w:val="9"/>
    <w:qFormat/>
    <w:rsid w:val="00343E78"/>
    <w:pPr>
      <w:keepNext/>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343E78"/>
    <w:pPr>
      <w:keepNext/>
      <w:spacing w:before="200"/>
      <w:outlineLvl w:val="2"/>
    </w:pPr>
    <w:rPr>
      <w:sz w:val="20"/>
    </w:rPr>
  </w:style>
  <w:style w:type="paragraph" w:styleId="Heading4">
    <w:name w:val="heading 4"/>
    <w:basedOn w:val="PlainText"/>
    <w:next w:val="Normal"/>
    <w:link w:val="Heading4Char"/>
    <w:uiPriority w:val="9"/>
    <w:qFormat/>
    <w:rsid w:val="00343E78"/>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343E78"/>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4"/>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5"/>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43E78"/>
    <w:rPr>
      <w:rFonts w:eastAsia="Times New Roman" w:cs="Arial"/>
      <w:b/>
      <w:sz w:val="24"/>
      <w:lang w:eastAsia="en-US"/>
    </w:rPr>
  </w:style>
  <w:style w:type="character" w:customStyle="1" w:styleId="Heading2Char">
    <w:name w:val="Heading 2 Char"/>
    <w:basedOn w:val="DefaultParagraphFont"/>
    <w:link w:val="Heading2"/>
    <w:uiPriority w:val="9"/>
    <w:rsid w:val="00343E78"/>
    <w:rPr>
      <w:rFonts w:eastAsia="Times New Roman" w:cs="Arial"/>
      <w:b/>
    </w:rPr>
  </w:style>
  <w:style w:type="character" w:customStyle="1" w:styleId="Heading3Char">
    <w:name w:val="Heading 3 Char"/>
    <w:basedOn w:val="DefaultParagraphFont"/>
    <w:link w:val="Heading3"/>
    <w:uiPriority w:val="9"/>
    <w:rsid w:val="00343E78"/>
    <w:rPr>
      <w:rFonts w:eastAsia="Times New Roman" w:cs="Arial"/>
      <w:b/>
      <w:lang w:eastAsia="en-US"/>
    </w:rPr>
  </w:style>
  <w:style w:type="character" w:customStyle="1" w:styleId="Heading4Char">
    <w:name w:val="Heading 4 Char"/>
    <w:basedOn w:val="DefaultParagraphFont"/>
    <w:link w:val="Heading4"/>
    <w:uiPriority w:val="9"/>
    <w:rsid w:val="00343E78"/>
    <w:rPr>
      <w:rFonts w:eastAsia="Times New Roman" w:cs="Arial"/>
      <w:u w:val="single"/>
      <w:lang w:eastAsia="en-US"/>
    </w:rPr>
  </w:style>
  <w:style w:type="paragraph" w:styleId="ListBullet">
    <w:name w:val="List Bullet"/>
    <w:basedOn w:val="Normal"/>
    <w:uiPriority w:val="99"/>
    <w:unhideWhenUsed/>
    <w:qFormat/>
    <w:rsid w:val="00D441B2"/>
    <w:pPr>
      <w:numPr>
        <w:numId w:val="9"/>
      </w:numPr>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6"/>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numPr>
        <w:numId w:val="7"/>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style>
  <w:style w:type="paragraph" w:styleId="ListNumber2">
    <w:name w:val="List Number 2"/>
    <w:basedOn w:val="Normal"/>
    <w:uiPriority w:val="99"/>
    <w:qFormat/>
    <w:rsid w:val="00186465"/>
    <w:pPr>
      <w:ind w:left="738" w:hanging="369"/>
    </w:pPr>
  </w:style>
  <w:style w:type="paragraph" w:styleId="ListNumber3">
    <w:name w:val="List Number 3"/>
    <w:basedOn w:val="Normal"/>
    <w:uiPriority w:val="99"/>
    <w:qFormat/>
    <w:rsid w:val="009E79B6"/>
    <w:pPr>
      <w:ind w:left="1107" w:hanging="369"/>
    </w:pPr>
  </w:style>
  <w:style w:type="paragraph" w:styleId="ListNumber4">
    <w:name w:val="List Number 4"/>
    <w:basedOn w:val="Normal"/>
    <w:uiPriority w:val="99"/>
    <w:rsid w:val="00005CAA"/>
    <w:pPr>
      <w:ind w:left="1476" w:hanging="369"/>
    </w:pPr>
  </w:style>
  <w:style w:type="paragraph" w:styleId="ListNumber5">
    <w:name w:val="List Number 5"/>
    <w:basedOn w:val="Normal"/>
    <w:uiPriority w:val="99"/>
    <w:rsid w:val="00005CAA"/>
    <w:pPr>
      <w:ind w:left="1845" w:hanging="369"/>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43E78"/>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semiHidden/>
    <w:unhideWhenUsed/>
    <w:rsid w:val="003E2135"/>
  </w:style>
  <w:style w:type="character" w:customStyle="1" w:styleId="CommentTextChar">
    <w:name w:val="Comment Text Char"/>
    <w:basedOn w:val="DefaultParagraphFont"/>
    <w:link w:val="CommentText"/>
    <w:uiPriority w:val="99"/>
    <w:semiHidden/>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NEWNormalTNR12">
    <w:name w:val="NEW Normal TNR 12"/>
    <w:link w:val="NEWNormalTNR12Char"/>
    <w:qFormat/>
    <w:rsid w:val="00CD7E84"/>
    <w:pPr>
      <w:tabs>
        <w:tab w:val="left" w:pos="5670"/>
        <w:tab w:val="right" w:pos="9070"/>
      </w:tabs>
      <w:spacing w:before="240" w:after="240"/>
    </w:pPr>
    <w:rPr>
      <w:rFonts w:ascii="Times New Roman" w:eastAsiaTheme="minorHAnsi" w:hAnsi="Times New Roman"/>
      <w:sz w:val="24"/>
      <w:szCs w:val="22"/>
      <w:lang w:eastAsia="en-US"/>
    </w:rPr>
  </w:style>
  <w:style w:type="character" w:customStyle="1" w:styleId="NEWNormalTNR12Char">
    <w:name w:val="NEW Normal TNR 12 Char"/>
    <w:basedOn w:val="DefaultParagraphFont"/>
    <w:link w:val="NEWNormalTNR12"/>
    <w:rsid w:val="00CD7E84"/>
    <w:rPr>
      <w:rFonts w:ascii="Times New Roman" w:eastAsiaTheme="minorHAnsi" w:hAnsi="Times New Roman"/>
      <w:sz w:val="24"/>
      <w:szCs w:val="22"/>
      <w:lang w:eastAsia="en-US"/>
    </w:rPr>
  </w:style>
  <w:style w:type="character" w:styleId="FollowedHyperlink">
    <w:name w:val="FollowedHyperlink"/>
    <w:basedOn w:val="DefaultParagraphFont"/>
    <w:uiPriority w:val="99"/>
    <w:semiHidden/>
    <w:unhideWhenUsed/>
    <w:rsid w:val="001E2E34"/>
    <w:rPr>
      <w:color w:val="800080" w:themeColor="followedHyperlink"/>
      <w:u w:val="single"/>
    </w:rPr>
  </w:style>
  <w:style w:type="numbering" w:customStyle="1" w:styleId="ImportedStyle4">
    <w:name w:val="Imported Style 4"/>
    <w:rsid w:val="007F1778"/>
    <w:pPr>
      <w:numPr>
        <w:numId w:val="12"/>
      </w:numPr>
    </w:pPr>
  </w:style>
  <w:style w:type="character" w:customStyle="1" w:styleId="None">
    <w:name w:val="None"/>
    <w:rsid w:val="007F1778"/>
  </w:style>
  <w:style w:type="character" w:styleId="UnresolvedMention">
    <w:name w:val="Unresolved Mention"/>
    <w:basedOn w:val="DefaultParagraphFont"/>
    <w:uiPriority w:val="99"/>
    <w:semiHidden/>
    <w:unhideWhenUsed/>
    <w:rsid w:val="00306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72618434">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940065214">
      <w:bodyDiv w:val="1"/>
      <w:marLeft w:val="0"/>
      <w:marRight w:val="0"/>
      <w:marTop w:val="0"/>
      <w:marBottom w:val="0"/>
      <w:divBdr>
        <w:top w:val="none" w:sz="0" w:space="0" w:color="auto"/>
        <w:left w:val="none" w:sz="0" w:space="0" w:color="auto"/>
        <w:bottom w:val="none" w:sz="0" w:space="0" w:color="auto"/>
        <w:right w:val="none" w:sz="0" w:space="0" w:color="auto"/>
      </w:divBdr>
    </w:div>
    <w:div w:id="204663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6955990A-7FFA-4506-A7B0-235CD9E81773}"/>
</file>

<file path=customXml/itemProps2.xml><?xml version="1.0" encoding="utf-8"?>
<ds:datastoreItem xmlns:ds="http://schemas.openxmlformats.org/officeDocument/2006/customXml" ds:itemID="{9B00A1B3-7F4D-4427-A436-53D991EA20B7}"/>
</file>

<file path=customXml/itemProps3.xml><?xml version="1.0" encoding="utf-8"?>
<ds:datastoreItem xmlns:ds="http://schemas.openxmlformats.org/officeDocument/2006/customXml" ds:itemID="{3B6302F1-8196-4108-A3BD-C3D2808C2339}"/>
</file>

<file path=docProps/app.xml><?xml version="1.0" encoding="utf-8"?>
<Properties xmlns="http://schemas.openxmlformats.org/officeDocument/2006/extended-properties" xmlns:vt="http://schemas.openxmlformats.org/officeDocument/2006/docPropsVTypes">
  <Template>Normal.dotm</Template>
  <TotalTime>0</TotalTime>
  <Pages>8</Pages>
  <Words>4381</Words>
  <Characters>24975</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IESC 2021-129: Gas Supply Security Project (EPBC 2020/8856) – Expansion</vt:lpstr>
    </vt:vector>
  </TitlesOfParts>
  <Company/>
  <LinksUpToDate>false</LinksUpToDate>
  <CharactersWithSpaces>29298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IESC 2021-129: Gas Supply Security Project (EPBC 2020/8856) – Expansion</dc:title>
  <dc:creator>IESC</dc:creator>
  <cp:lastModifiedBy>Bec Durack</cp:lastModifiedBy>
  <cp:revision>2</cp:revision>
  <dcterms:created xsi:type="dcterms:W3CDTF">2022-02-16T05:49:00Z</dcterms:created>
  <dcterms:modified xsi:type="dcterms:W3CDTF">2022-02-16T05:49:00Z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{4b445ea7-761d-43d2-909a-116082cfbf41}</vt:lpwstr>
  </property>
  <property fmtid="{D5CDD505-2E9C-101B-9397-08002B2CF9AE}" pid="6" name="RecordPoint_ActiveItemListId">
    <vt:lpwstr>{574208f6-e55d-4ec4-8f06-0d10f5b11996}</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{fa8a03f5-7a97-45b2-b4e5-2fed20151ba9}</vt:lpwstr>
  </property>
  <property fmtid="{D5CDD505-2E9C-101B-9397-08002B2CF9AE}" pid="11" name="RecordPoint_ActiveItemWebId">
    <vt:lpwstr>{aa3e7952-617a-4d1d-acc5-2dff72d3e0ca}</vt:lpwstr>
  </property>
  <property fmtid="{D5CDD505-2E9C-101B-9397-08002B2CF9AE}" pid="12" name="RecordPoint_WorkflowType">
    <vt:lpwstr>ActiveSubmitStub</vt:lpwstr>
  </property>
  <property fmtid="{D5CDD505-2E9C-101B-9397-08002B2CF9AE}" pid="13" name="IconOverlay">
    <vt:lpwstr/>
  </property>
</Properties>
</file>