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7B8" w:rsidRDefault="00F027B8" w:rsidP="00F027B8">
      <w:pPr>
        <w:pStyle w:val="Header"/>
        <w:keepLines/>
        <w:tabs>
          <w:tab w:val="left" w:pos="2835"/>
        </w:tabs>
        <w:spacing w:after="200" w:line="276" w:lineRule="auto"/>
        <w:ind w:left="-1134" w:right="-1136"/>
        <w:rPr>
          <w:rFonts w:ascii="Arial" w:hAnsi="Arial" w:cs="Arial"/>
          <w:b/>
        </w:rPr>
      </w:pPr>
      <w:r w:rsidRPr="00F027B8"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-907260</wp:posOffset>
            </wp:positionH>
            <wp:positionV relativeFrom="paragraph">
              <wp:posOffset>-883178</wp:posOffset>
            </wp:positionV>
            <wp:extent cx="7572195" cy="2357171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839" cy="2357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1765DA" w:rsidRPr="002A5EC3">
        <w:rPr>
          <w:rFonts w:ascii="Arial" w:hAnsi="Arial" w:cs="Arial"/>
          <w:b/>
        </w:rPr>
        <w:t>Advi</w:t>
      </w:r>
      <w:proofErr w:type="spellEnd"/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F027B8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</w:p>
    <w:p w:rsidR="001765DA" w:rsidRPr="002A5EC3" w:rsidRDefault="00F027B8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>Advi</w:t>
      </w:r>
      <w:r w:rsidR="001765DA" w:rsidRPr="002A5EC3">
        <w:rPr>
          <w:rFonts w:ascii="Arial" w:hAnsi="Arial" w:cs="Arial"/>
          <w:b/>
        </w:rPr>
        <w:t>ce to decision maker on coal mining</w:t>
      </w:r>
      <w:r w:rsidR="00E21678" w:rsidRPr="002A5EC3">
        <w:rPr>
          <w:rFonts w:ascii="Arial" w:hAnsi="Arial" w:cs="Arial"/>
          <w:b/>
        </w:rPr>
        <w:t xml:space="preserve"> project </w:t>
      </w:r>
    </w:p>
    <w:bookmarkEnd w:id="0"/>
    <w:bookmarkEnd w:id="1"/>
    <w:p w:rsidR="008C6A05" w:rsidRPr="002A5EC3" w:rsidRDefault="001765DA" w:rsidP="0032087E">
      <w:pPr>
        <w:pStyle w:val="Header"/>
        <w:keepLines/>
        <w:tabs>
          <w:tab w:val="left" w:pos="2835"/>
        </w:tabs>
        <w:spacing w:after="200" w:line="276" w:lineRule="auto"/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  <w:r w:rsidRPr="002A5EC3">
        <w:rPr>
          <w:rFonts w:ascii="Arial" w:hAnsi="Arial" w:cs="Arial"/>
          <w:b/>
          <w:sz w:val="20"/>
          <w:lang w:eastAsia="en-AU"/>
        </w:rPr>
        <w:t>Proposed acti</w:t>
      </w:r>
      <w:r w:rsidRPr="00066FCB">
        <w:rPr>
          <w:rFonts w:ascii="Arial" w:hAnsi="Arial" w:cs="Arial"/>
          <w:b/>
          <w:color w:val="000000" w:themeColor="text1"/>
          <w:sz w:val="20"/>
          <w:lang w:eastAsia="en-AU"/>
        </w:rPr>
        <w:t>on:</w:t>
      </w:r>
      <w:r w:rsidR="002974BC" w:rsidRPr="00066FCB">
        <w:rPr>
          <w:rFonts w:ascii="Arial" w:hAnsi="Arial" w:cs="Arial"/>
          <w:b/>
          <w:color w:val="000000" w:themeColor="text1"/>
          <w:sz w:val="20"/>
          <w:lang w:eastAsia="en-AU"/>
        </w:rPr>
        <w:t xml:space="preserve"> </w:t>
      </w:r>
      <w:bookmarkStart w:id="2" w:name="OLE_LINK3"/>
      <w:bookmarkStart w:id="3" w:name="OLE_LINK4"/>
      <w:r w:rsidR="00066FCB" w:rsidRPr="00066FCB">
        <w:rPr>
          <w:rFonts w:ascii="Arial Bold" w:hAnsi="Arial Bold" w:cs="Arial"/>
          <w:b/>
          <w:color w:val="000000" w:themeColor="text1"/>
          <w:sz w:val="20"/>
          <w:lang w:eastAsia="en-AU"/>
        </w:rPr>
        <w:t>Drake Open Cut Coal Mine Project</w:t>
      </w:r>
      <w:r w:rsidR="00E21678" w:rsidRPr="00066FCB">
        <w:rPr>
          <w:rFonts w:ascii="Arial" w:hAnsi="Arial" w:cs="Arial"/>
          <w:b/>
          <w:color w:val="000000" w:themeColor="text1"/>
          <w:sz w:val="20"/>
          <w:lang w:eastAsia="en-AU"/>
        </w:rPr>
        <w:t xml:space="preserve"> </w:t>
      </w:r>
      <w:bookmarkEnd w:id="2"/>
      <w:bookmarkEnd w:id="3"/>
      <w:r w:rsidR="00E21678" w:rsidRPr="00066FCB">
        <w:rPr>
          <w:rFonts w:ascii="Arial" w:hAnsi="Arial" w:cs="Arial"/>
          <w:b/>
          <w:color w:val="000000" w:themeColor="text1"/>
          <w:sz w:val="20"/>
          <w:lang w:eastAsia="en-AU"/>
        </w:rPr>
        <w:t>(</w:t>
      </w:r>
      <w:r w:rsidR="00066FCB" w:rsidRPr="00066FCB">
        <w:rPr>
          <w:rFonts w:ascii="Arial" w:hAnsi="Arial" w:cs="Arial"/>
          <w:b/>
          <w:color w:val="000000" w:themeColor="text1"/>
          <w:sz w:val="20"/>
          <w:lang w:eastAsia="en-AU"/>
        </w:rPr>
        <w:t>2010/5457</w:t>
      </w:r>
      <w:r w:rsidR="00E21678" w:rsidRPr="00066FCB">
        <w:rPr>
          <w:rFonts w:ascii="Arial" w:hAnsi="Arial" w:cs="Arial"/>
          <w:b/>
          <w:color w:val="000000" w:themeColor="text1"/>
          <w:sz w:val="20"/>
          <w:lang w:eastAsia="en-AU"/>
        </w:rPr>
        <w:t>)</w:t>
      </w:r>
    </w:p>
    <w:tbl>
      <w:tblPr>
        <w:tblW w:w="980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283"/>
      </w:tblGrid>
      <w:tr w:rsidR="001765DA" w:rsidRPr="002A5EC3" w:rsidTr="0032087E">
        <w:trPr>
          <w:trHeight w:val="10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32087E">
            <w:pPr>
              <w:pStyle w:val="tablelabel"/>
              <w:spacing w:after="200" w:line="276" w:lineRule="auto"/>
              <w:rPr>
                <w:rFonts w:cs="Arial"/>
                <w:b w:val="0"/>
                <w:color w:val="FF0000"/>
                <w:sz w:val="20"/>
              </w:rPr>
            </w:pPr>
            <w:r w:rsidRPr="002A5EC3">
              <w:rPr>
                <w:rFonts w:cs="Arial"/>
                <w:sz w:val="20"/>
              </w:rPr>
              <w:t>Requesting agency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066FCB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A5EC3">
              <w:rPr>
                <w:rFonts w:ascii="Arial" w:hAnsi="Arial" w:cs="Arial"/>
                <w:sz w:val="20"/>
                <w:szCs w:val="20"/>
              </w:rPr>
              <w:t>Dep</w:t>
            </w:r>
            <w:bookmarkStart w:id="4" w:name="_GoBack"/>
            <w:bookmarkEnd w:id="4"/>
            <w:r w:rsidRPr="002A5EC3">
              <w:rPr>
                <w:rFonts w:ascii="Arial" w:hAnsi="Arial" w:cs="Arial"/>
                <w:sz w:val="20"/>
                <w:szCs w:val="20"/>
              </w:rPr>
              <w:t xml:space="preserve">artment of Sustainability, Environment, Water, Population </w:t>
            </w:r>
            <w:r w:rsidR="002974BC" w:rsidRPr="002A5EC3">
              <w:rPr>
                <w:rFonts w:ascii="Arial" w:hAnsi="Arial" w:cs="Arial"/>
                <w:sz w:val="20"/>
                <w:szCs w:val="20"/>
              </w:rPr>
              <w:t>and</w:t>
            </w:r>
            <w:r w:rsidRPr="002A5EC3"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  <w:r w:rsidR="00F564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765DA" w:rsidRPr="002A5EC3" w:rsidTr="0032087E">
        <w:trPr>
          <w:trHeight w:val="136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2A5EC3">
              <w:rPr>
                <w:rFonts w:cs="Arial"/>
                <w:sz w:val="20"/>
              </w:rPr>
              <w:t>Date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066FCB" w:rsidP="00EC2D2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November</w:t>
            </w:r>
            <w:r w:rsidR="00A10BAB" w:rsidRPr="002A5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583" w:rsidRPr="002A5EC3">
              <w:rPr>
                <w:rFonts w:ascii="Arial" w:hAnsi="Arial" w:cs="Arial"/>
                <w:sz w:val="20"/>
                <w:szCs w:val="20"/>
              </w:rPr>
              <w:t>2012</w:t>
            </w:r>
            <w:r w:rsidR="00E21678" w:rsidRPr="002A5EC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185039" w:rsidRPr="002A5EC3" w:rsidTr="00D127B1">
        <w:trPr>
          <w:trHeight w:val="75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85039" w:rsidRPr="002A5EC3" w:rsidRDefault="00185039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2A5EC3">
              <w:rPr>
                <w:rFonts w:cs="Arial"/>
                <w:sz w:val="20"/>
              </w:rPr>
              <w:t>Date request accepted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85039" w:rsidRPr="002A5EC3" w:rsidRDefault="00EC2D28" w:rsidP="00D127B1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November</w:t>
            </w:r>
            <w:r w:rsidR="00185039" w:rsidRPr="002A5EC3">
              <w:rPr>
                <w:rFonts w:ascii="Arial" w:hAnsi="Arial" w:cs="Arial"/>
                <w:sz w:val="20"/>
                <w:szCs w:val="20"/>
              </w:rPr>
              <w:t xml:space="preserve"> 2012</w:t>
            </w:r>
            <w:r w:rsidR="00185039" w:rsidRPr="002A5EC3">
              <w:rPr>
                <w:rFonts w:ascii="Arial" w:hAnsi="Arial" w:cs="Arial"/>
                <w:b/>
                <w:sz w:val="20"/>
                <w:lang w:eastAsia="en-AU"/>
              </w:rPr>
              <w:t xml:space="preserve"> </w:t>
            </w:r>
          </w:p>
        </w:tc>
      </w:tr>
      <w:tr w:rsidR="001765DA" w:rsidRPr="002A5EC3" w:rsidTr="0032087E">
        <w:trPr>
          <w:trHeight w:val="258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2A5EC3" w:rsidRDefault="001765DA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2A5EC3">
              <w:rPr>
                <w:rFonts w:cs="Arial"/>
                <w:sz w:val="20"/>
              </w:rPr>
              <w:t>Summary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D97037" w:rsidRPr="00D97037" w:rsidRDefault="00D97037" w:rsidP="00EC2D28">
            <w:pPr>
              <w:tabs>
                <w:tab w:val="left" w:pos="425"/>
              </w:tabs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A5EC3"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Department of Sustainability, Environment, Water, Population </w:t>
            </w:r>
            <w:r w:rsidR="002974BC" w:rsidRPr="002A5EC3">
              <w:rPr>
                <w:rFonts w:ascii="Arial" w:hAnsi="Arial" w:cs="Arial"/>
                <w:sz w:val="20"/>
                <w:szCs w:val="20"/>
              </w:rPr>
              <w:t>and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 xml:space="preserve">ommunities (the department) is currently 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>assess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>ing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1678" w:rsidRPr="002A5EC3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765DA" w:rsidRPr="002A5EC3">
              <w:rPr>
                <w:rFonts w:ascii="Arial" w:hAnsi="Arial" w:cs="Arial"/>
                <w:sz w:val="20"/>
                <w:szCs w:val="20"/>
              </w:rPr>
              <w:t xml:space="preserve">proposed project in accordance with the provisions </w:t>
            </w:r>
            <w:r w:rsidR="0015450C">
              <w:rPr>
                <w:rFonts w:ascii="Arial" w:hAnsi="Arial" w:cs="Arial"/>
                <w:sz w:val="20"/>
                <w:szCs w:val="20"/>
              </w:rPr>
              <w:t xml:space="preserve">of the </w:t>
            </w:r>
            <w:r w:rsidR="001545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Environment Protection and Biodiversity Conservation Act </w:t>
            </w:r>
            <w:proofErr w:type="gramStart"/>
            <w:r w:rsidR="0015450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1999 </w:t>
            </w:r>
            <w:r w:rsidR="0015450C">
              <w:rPr>
                <w:rFonts w:ascii="Arial" w:hAnsi="Arial" w:cs="Arial"/>
                <w:sz w:val="20"/>
                <w:szCs w:val="20"/>
              </w:rPr>
              <w:t> (</w:t>
            </w:r>
            <w:proofErr w:type="gramEnd"/>
            <w:r w:rsidR="0015450C">
              <w:rPr>
                <w:rFonts w:ascii="Arial" w:hAnsi="Arial" w:cs="Arial"/>
                <w:sz w:val="20"/>
                <w:szCs w:val="20"/>
              </w:rPr>
              <w:t>EPBC Act).</w:t>
            </w:r>
          </w:p>
          <w:p w:rsidR="00A10BAB" w:rsidRPr="002A5EC3" w:rsidRDefault="00703BB8" w:rsidP="0032087E">
            <w:pPr>
              <w:pStyle w:val="Default"/>
              <w:spacing w:after="200"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The department advises the </w:t>
            </w:r>
            <w:bookmarkStart w:id="5" w:name="OLE_LINK5"/>
            <w:bookmarkStart w:id="6" w:name="OLE_LINK6"/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Independent Expert Scientific 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Committee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on Coal Seam Gas and </w:t>
            </w:r>
            <w:r w:rsidR="00F56411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Large 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Coal Mining </w:t>
            </w:r>
            <w:r w:rsidR="00F56411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Development </w:t>
            </w:r>
            <w:bookmarkEnd w:id="5"/>
            <w:bookmarkEnd w:id="6"/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(the committee)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of an opportunity to comment on a</w:t>
            </w:r>
            <w:r w:rsidR="00A10BAB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9F5E7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draft and supplementary Environmental Impact </w:t>
            </w:r>
            <w:proofErr w:type="spellStart"/>
            <w:r w:rsidR="009F5E7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Statment</w:t>
            </w:r>
            <w:proofErr w:type="spellEnd"/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. Specifically, the department seeks the advice of the </w:t>
            </w:r>
            <w:r w:rsidR="009D6232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c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ommittee on</w:t>
            </w:r>
            <w:r w:rsidR="00A10BAB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: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  <w:p w:rsidR="00A10BAB" w:rsidRPr="002A5EC3" w:rsidRDefault="00A10BAB" w:rsidP="0032087E">
            <w:pPr>
              <w:pStyle w:val="Default"/>
              <w:spacing w:after="200"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1.</w:t>
            </w:r>
            <w:r w:rsidR="00D0009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What are the likely impacts of the p</w:t>
            </w:r>
            <w:r w:rsidR="00B176A7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r</w:t>
            </w:r>
            <w:r w:rsidR="00D0009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oposed mine on surface and groundwater resources, in particular, changes to surface and groundwater dynamics and water resources which may support surface habit</w:t>
            </w:r>
            <w:r w:rsidR="003254B5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at</w:t>
            </w:r>
            <w:r w:rsidR="00D0009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?</w:t>
            </w:r>
          </w:p>
          <w:p w:rsidR="00A10BAB" w:rsidRPr="002A5EC3" w:rsidRDefault="00A10BAB" w:rsidP="00D127B1">
            <w:pPr>
              <w:pStyle w:val="Default"/>
              <w:spacing w:after="120"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2.</w:t>
            </w:r>
            <w:r w:rsidR="00D0009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D0009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in</w:t>
            </w:r>
            <w:proofErr w:type="gramEnd"/>
            <w:r w:rsidR="00D0009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the context of the above question, based on the information available, does the Committee identify any particular concerns relating to cumulative impacts?</w:t>
            </w:r>
          </w:p>
          <w:p w:rsidR="0032087E" w:rsidRDefault="00703BB8" w:rsidP="0032087E">
            <w:pPr>
              <w:pStyle w:val="Default"/>
              <w:spacing w:after="200" w:line="276" w:lineRule="auto"/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</w:pP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The </w:t>
            </w:r>
            <w:r w:rsidR="009F5E7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draft Environmental Impact Statement is </w:t>
            </w:r>
            <w:r w:rsidR="00A10BAB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available for public review.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The public exhibition </w:t>
            </w:r>
            <w:r w:rsidR="00A10BAB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period </w:t>
            </w:r>
            <w:r w:rsidR="009F5E7B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was between 14 May 2012 and 25 May 2012</w:t>
            </w:r>
            <w:r w:rsidR="00E21678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. The department requested 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for</w:t>
            </w:r>
            <w:r w:rsidR="00E21678"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advice to be provided</w:t>
            </w:r>
            <w:r w:rsidRPr="002A5EC3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by </w:t>
            </w:r>
            <w:r w:rsidR="00AF1310" w:rsidRPr="00AF1310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29</w:t>
            </w:r>
            <w:r w:rsidR="00A10BAB" w:rsidRPr="00AF1310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F1310" w:rsidRPr="00AF1310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November</w:t>
            </w:r>
            <w:r w:rsidR="00A10BAB" w:rsidRPr="00AF1310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  <w:r w:rsidR="00AF1310" w:rsidRPr="00AF1310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2012</w:t>
            </w:r>
            <w:r w:rsidRPr="00AF1310">
              <w:rPr>
                <w:rFonts w:ascii="Arial" w:eastAsia="Times New Roman" w:hAnsi="Arial" w:cs="Arial"/>
                <w:color w:val="auto"/>
                <w:sz w:val="20"/>
                <w:szCs w:val="20"/>
                <w:lang w:eastAsia="en-US"/>
              </w:rPr>
              <w:t>.</w:t>
            </w:r>
          </w:p>
          <w:p w:rsidR="00E10C4B" w:rsidRPr="00E10C4B" w:rsidRDefault="00E10C4B" w:rsidP="008B3D49">
            <w:pPr>
              <w:pStyle w:val="Default"/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57B4">
              <w:rPr>
                <w:rFonts w:ascii="Arial" w:hAnsi="Arial" w:cs="Arial"/>
                <w:i/>
                <w:sz w:val="20"/>
                <w:szCs w:val="20"/>
              </w:rPr>
              <w:t xml:space="preserve">It is suggested that this advice be read in conjunction with the committee’s advice on the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Sonoma Mine Extension </w:t>
            </w:r>
            <w:r w:rsidRPr="00A657B4">
              <w:rPr>
                <w:rFonts w:ascii="Arial" w:hAnsi="Arial" w:cs="Arial"/>
                <w:i/>
                <w:sz w:val="20"/>
                <w:szCs w:val="20"/>
              </w:rPr>
              <w:t>Project.</w:t>
            </w:r>
          </w:p>
        </w:tc>
      </w:tr>
      <w:tr w:rsidR="0032087E" w:rsidRPr="00B451D3" w:rsidTr="0032087E">
        <w:trPr>
          <w:trHeight w:val="1428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32087E" w:rsidRPr="00592B20" w:rsidRDefault="0032087E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 w:rsidRPr="00F37C48">
              <w:rPr>
                <w:rFonts w:cs="Arial"/>
                <w:sz w:val="20"/>
              </w:rPr>
              <w:t>Advice</w:t>
            </w:r>
          </w:p>
          <w:p w:rsidR="0032087E" w:rsidRDefault="0032087E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6A7285" w:rsidRDefault="00B46A5D" w:rsidP="00AF1310">
            <w:pPr>
              <w:pStyle w:val="ListNumber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46A5D">
              <w:rPr>
                <w:rFonts w:ascii="Arial" w:hAnsi="Arial" w:cs="Arial"/>
                <w:sz w:val="20"/>
                <w:szCs w:val="20"/>
              </w:rPr>
              <w:t xml:space="preserve">The Committee provides the following advice based on information available in the </w:t>
            </w:r>
            <w:r w:rsidR="006A7285">
              <w:rPr>
                <w:rFonts w:ascii="Arial" w:hAnsi="Arial" w:cs="Arial"/>
                <w:sz w:val="20"/>
                <w:szCs w:val="20"/>
              </w:rPr>
              <w:t xml:space="preserve">draft </w:t>
            </w:r>
            <w:r w:rsidR="00D71745">
              <w:rPr>
                <w:rFonts w:ascii="Arial" w:hAnsi="Arial" w:cs="Arial"/>
                <w:sz w:val="20"/>
                <w:szCs w:val="20"/>
              </w:rPr>
              <w:t>E</w:t>
            </w:r>
            <w:r w:rsidR="00D37D17">
              <w:rPr>
                <w:rFonts w:ascii="Arial" w:hAnsi="Arial" w:cs="Arial"/>
                <w:sz w:val="20"/>
                <w:szCs w:val="20"/>
              </w:rPr>
              <w:t xml:space="preserve">nvironmental </w:t>
            </w:r>
            <w:r w:rsidR="00D71745">
              <w:rPr>
                <w:rFonts w:ascii="Arial" w:hAnsi="Arial" w:cs="Arial"/>
                <w:sz w:val="20"/>
                <w:szCs w:val="20"/>
              </w:rPr>
              <w:t>I</w:t>
            </w:r>
            <w:r w:rsidR="00D37D17">
              <w:rPr>
                <w:rFonts w:ascii="Arial" w:hAnsi="Arial" w:cs="Arial"/>
                <w:sz w:val="20"/>
                <w:szCs w:val="20"/>
              </w:rPr>
              <w:t xml:space="preserve">mpact </w:t>
            </w:r>
            <w:r w:rsidR="00D71745">
              <w:rPr>
                <w:rFonts w:ascii="Arial" w:hAnsi="Arial" w:cs="Arial"/>
                <w:sz w:val="20"/>
                <w:szCs w:val="20"/>
              </w:rPr>
              <w:t>S</w:t>
            </w:r>
            <w:r w:rsidR="00D37D17">
              <w:rPr>
                <w:rFonts w:ascii="Arial" w:hAnsi="Arial" w:cs="Arial"/>
                <w:sz w:val="20"/>
                <w:szCs w:val="20"/>
              </w:rPr>
              <w:t>tatement</w:t>
            </w:r>
            <w:r w:rsidR="00D71745">
              <w:rPr>
                <w:rFonts w:ascii="Arial" w:hAnsi="Arial" w:cs="Arial"/>
                <w:sz w:val="20"/>
                <w:szCs w:val="20"/>
              </w:rPr>
              <w:t xml:space="preserve"> and Su</w:t>
            </w:r>
            <w:r w:rsidRPr="00B46A5D">
              <w:rPr>
                <w:rFonts w:ascii="Arial" w:hAnsi="Arial" w:cs="Arial"/>
                <w:sz w:val="20"/>
                <w:szCs w:val="20"/>
              </w:rPr>
              <w:t>pplementary E</w:t>
            </w:r>
            <w:r w:rsidR="00D37D17">
              <w:rPr>
                <w:rFonts w:ascii="Arial" w:hAnsi="Arial" w:cs="Arial"/>
                <w:sz w:val="20"/>
                <w:szCs w:val="20"/>
              </w:rPr>
              <w:t xml:space="preserve">nvironmental </w:t>
            </w:r>
            <w:r w:rsidRPr="00B46A5D">
              <w:rPr>
                <w:rFonts w:ascii="Arial" w:hAnsi="Arial" w:cs="Arial"/>
                <w:sz w:val="20"/>
                <w:szCs w:val="20"/>
              </w:rPr>
              <w:t>I</w:t>
            </w:r>
            <w:r w:rsidR="00D37D17">
              <w:rPr>
                <w:rFonts w:ascii="Arial" w:hAnsi="Arial" w:cs="Arial"/>
                <w:sz w:val="20"/>
                <w:szCs w:val="20"/>
              </w:rPr>
              <w:t xml:space="preserve">mpact </w:t>
            </w:r>
            <w:r w:rsidRPr="00B46A5D">
              <w:rPr>
                <w:rFonts w:ascii="Arial" w:hAnsi="Arial" w:cs="Arial"/>
                <w:sz w:val="20"/>
                <w:szCs w:val="20"/>
              </w:rPr>
              <w:t>S</w:t>
            </w:r>
            <w:r w:rsidR="00D37D17">
              <w:rPr>
                <w:rFonts w:ascii="Arial" w:hAnsi="Arial" w:cs="Arial"/>
                <w:sz w:val="20"/>
                <w:szCs w:val="20"/>
              </w:rPr>
              <w:t>tatement</w:t>
            </w:r>
            <w:r w:rsidRPr="00B46A5D">
              <w:rPr>
                <w:rFonts w:ascii="Arial" w:hAnsi="Arial" w:cs="Arial"/>
                <w:sz w:val="20"/>
                <w:szCs w:val="20"/>
              </w:rPr>
              <w:t xml:space="preserve"> and the prop</w:t>
            </w:r>
            <w:r w:rsidR="00FF094C">
              <w:rPr>
                <w:rFonts w:ascii="Arial" w:hAnsi="Arial" w:cs="Arial"/>
                <w:sz w:val="20"/>
                <w:szCs w:val="20"/>
              </w:rPr>
              <w:t xml:space="preserve">onent’s response to submissions:        </w:t>
            </w:r>
          </w:p>
          <w:p w:rsidR="00B46A5D" w:rsidRDefault="006A7285" w:rsidP="00AF1310">
            <w:pPr>
              <w:pStyle w:val="ListNumber"/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B46A5D" w:rsidRPr="00FF094C">
              <w:rPr>
                <w:rFonts w:ascii="Arial" w:hAnsi="Arial" w:cs="Arial"/>
                <w:sz w:val="20"/>
                <w:szCs w:val="20"/>
              </w:rPr>
              <w:t>he Committee is concerned about potential cumulative impacts on water resources; in light of the number of mining operations in the surrounding area and particularly given the close proximity of this project to t</w:t>
            </w:r>
            <w:r w:rsidR="00DC485E" w:rsidRPr="00FF094C">
              <w:rPr>
                <w:rFonts w:ascii="Arial" w:hAnsi="Arial" w:cs="Arial"/>
                <w:sz w:val="20"/>
                <w:szCs w:val="20"/>
              </w:rPr>
              <w:t xml:space="preserve">he Bowen River. There is inadequate </w:t>
            </w:r>
            <w:proofErr w:type="spellStart"/>
            <w:r w:rsidR="00B46A5D" w:rsidRPr="00FF094C">
              <w:rPr>
                <w:rFonts w:ascii="Arial" w:hAnsi="Arial" w:cs="Arial"/>
                <w:sz w:val="20"/>
                <w:szCs w:val="20"/>
              </w:rPr>
              <w:t>hydrogeological</w:t>
            </w:r>
            <w:proofErr w:type="spellEnd"/>
            <w:r w:rsidR="00B46A5D" w:rsidRPr="00FF094C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D71745" w:rsidRPr="00FF09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6794" w:rsidRPr="00FF094C">
              <w:rPr>
                <w:rFonts w:ascii="Arial" w:hAnsi="Arial" w:cs="Arial"/>
                <w:sz w:val="20"/>
                <w:szCs w:val="20"/>
              </w:rPr>
              <w:t>and no predictive numerical groundwater model or regional water balance</w:t>
            </w:r>
            <w:r w:rsidR="00B46A5D" w:rsidRPr="00FF094C">
              <w:rPr>
                <w:rFonts w:ascii="Arial" w:hAnsi="Arial" w:cs="Arial"/>
                <w:sz w:val="20"/>
                <w:szCs w:val="20"/>
              </w:rPr>
              <w:t xml:space="preserve"> for the project site. As a result</w:t>
            </w:r>
            <w:r w:rsidR="00FF094C">
              <w:rPr>
                <w:rFonts w:ascii="Arial" w:hAnsi="Arial" w:cs="Arial"/>
                <w:sz w:val="20"/>
                <w:szCs w:val="20"/>
              </w:rPr>
              <w:t>,</w:t>
            </w:r>
            <w:r w:rsidR="00B46A5D" w:rsidRPr="00FF094C">
              <w:rPr>
                <w:rFonts w:ascii="Arial" w:hAnsi="Arial" w:cs="Arial"/>
                <w:sz w:val="20"/>
                <w:szCs w:val="20"/>
              </w:rPr>
              <w:t xml:space="preserve"> it is difficult to draw robust conclusions on the impacts of the proposed mine on surface and groundwater resources or changes to </w:t>
            </w:r>
            <w:r w:rsidR="00B46A5D" w:rsidRPr="00FF094C">
              <w:rPr>
                <w:rFonts w:ascii="Arial" w:hAnsi="Arial" w:cs="Arial"/>
                <w:sz w:val="20"/>
                <w:szCs w:val="20"/>
              </w:rPr>
              <w:lastRenderedPageBreak/>
              <w:t>these dynamics.</w:t>
            </w:r>
            <w:r w:rsidR="00E46652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B22DF3" w:rsidRPr="00B46A5D" w:rsidRDefault="00B22DF3" w:rsidP="00E7000F">
            <w:pPr>
              <w:pStyle w:val="ListNumber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46A5D">
              <w:rPr>
                <w:rFonts w:ascii="Arial" w:hAnsi="Arial" w:cs="Arial"/>
                <w:sz w:val="20"/>
                <w:szCs w:val="20"/>
              </w:rPr>
              <w:t>The Committee considers that the following are required to inform understanding of the impacts of this proposed development on groundwater behaviour and ground</w:t>
            </w:r>
            <w:r>
              <w:rPr>
                <w:rFonts w:ascii="Arial" w:hAnsi="Arial" w:cs="Arial"/>
                <w:sz w:val="20"/>
                <w:szCs w:val="20"/>
              </w:rPr>
              <w:t>water/surface water interaction:</w:t>
            </w:r>
          </w:p>
          <w:p w:rsidR="00B22DF3" w:rsidRPr="00B46A5D" w:rsidRDefault="00B22DF3" w:rsidP="00AF131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Statistically valid </w:t>
            </w:r>
            <w:r w:rsidRPr="00B46A5D">
              <w:rPr>
                <w:rFonts w:ascii="Arial" w:hAnsi="Arial" w:cs="Arial"/>
                <w:sz w:val="20"/>
                <w:szCs w:val="20"/>
              </w:rPr>
              <w:t xml:space="preserve">data and analysis </w:t>
            </w:r>
            <w:r>
              <w:rPr>
                <w:rFonts w:ascii="Arial" w:hAnsi="Arial" w:cs="Arial"/>
                <w:sz w:val="20"/>
                <w:szCs w:val="20"/>
              </w:rPr>
              <w:t>to characterise the hydraulic properties</w:t>
            </w:r>
            <w:r w:rsidRPr="00B46A5D">
              <w:rPr>
                <w:rFonts w:ascii="Arial" w:hAnsi="Arial" w:cs="Arial"/>
                <w:sz w:val="20"/>
                <w:szCs w:val="20"/>
              </w:rPr>
              <w:t>, hydrochemistry and connectivity of the alluvium and Permian sediments, including consideration of faults and whether the Permian sediments are more appr</w:t>
            </w:r>
            <w:r w:rsidR="00674960">
              <w:rPr>
                <w:rFonts w:ascii="Arial" w:hAnsi="Arial" w:cs="Arial"/>
                <w:sz w:val="20"/>
                <w:szCs w:val="20"/>
              </w:rPr>
              <w:t xml:space="preserve">opriately conceptualised as </w:t>
            </w:r>
            <w:r w:rsidRPr="00B46A5D">
              <w:rPr>
                <w:rFonts w:ascii="Arial" w:hAnsi="Arial" w:cs="Arial"/>
                <w:sz w:val="20"/>
                <w:szCs w:val="20"/>
              </w:rPr>
              <w:t>discrete aquifer units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22DF3" w:rsidRPr="00B46A5D" w:rsidRDefault="00B22DF3" w:rsidP="00AF131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6A5D">
              <w:rPr>
                <w:rFonts w:ascii="Arial" w:hAnsi="Arial" w:cs="Arial"/>
                <w:sz w:val="20"/>
                <w:szCs w:val="20"/>
              </w:rPr>
              <w:t xml:space="preserve">Revision of the </w:t>
            </w:r>
            <w:r>
              <w:rPr>
                <w:rFonts w:ascii="Arial" w:hAnsi="Arial" w:cs="Arial"/>
                <w:sz w:val="20"/>
                <w:szCs w:val="20"/>
              </w:rPr>
              <w:t>groundwater conceptualisation t</w:t>
            </w:r>
            <w:r w:rsidRPr="00B46A5D">
              <w:rPr>
                <w:rFonts w:ascii="Arial" w:hAnsi="Arial" w:cs="Arial"/>
                <w:sz w:val="20"/>
                <w:szCs w:val="20"/>
              </w:rPr>
              <w:t>o take into account the role of faulting and groundwater/</w:t>
            </w:r>
            <w:proofErr w:type="spellStart"/>
            <w:r w:rsidRPr="00B46A5D">
              <w:rPr>
                <w:rFonts w:ascii="Arial" w:hAnsi="Arial" w:cs="Arial"/>
                <w:sz w:val="20"/>
                <w:szCs w:val="20"/>
              </w:rPr>
              <w:t>surfacewater</w:t>
            </w:r>
            <w:proofErr w:type="spellEnd"/>
            <w:r w:rsidRPr="00B46A5D">
              <w:rPr>
                <w:rFonts w:ascii="Arial" w:hAnsi="Arial" w:cs="Arial"/>
                <w:sz w:val="20"/>
                <w:szCs w:val="20"/>
              </w:rPr>
              <w:t xml:space="preserve"> interactions in groundwater dynamics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22DF3" w:rsidRPr="00B46A5D" w:rsidRDefault="00B22DF3" w:rsidP="00AF131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6A5D">
              <w:rPr>
                <w:rFonts w:ascii="Arial" w:hAnsi="Arial" w:cs="Arial"/>
                <w:sz w:val="20"/>
                <w:szCs w:val="20"/>
              </w:rPr>
              <w:t>The development of a numerical model to simulate groundwater drawdown extent and rates in wet and dry season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B46A5D">
              <w:rPr>
                <w:rFonts w:ascii="Arial" w:hAnsi="Arial" w:cs="Arial"/>
                <w:sz w:val="20"/>
                <w:szCs w:val="20"/>
              </w:rPr>
              <w:t>, including changes to groundwater/</w:t>
            </w:r>
            <w:proofErr w:type="spellStart"/>
            <w:r w:rsidRPr="00B46A5D">
              <w:rPr>
                <w:rFonts w:ascii="Arial" w:hAnsi="Arial" w:cs="Arial"/>
                <w:sz w:val="20"/>
                <w:szCs w:val="20"/>
              </w:rPr>
              <w:t>surfacewater</w:t>
            </w:r>
            <w:proofErr w:type="spellEnd"/>
            <w:r w:rsidRPr="00B46A5D">
              <w:rPr>
                <w:rFonts w:ascii="Arial" w:hAnsi="Arial" w:cs="Arial"/>
                <w:sz w:val="20"/>
                <w:szCs w:val="20"/>
              </w:rPr>
              <w:t xml:space="preserve"> interaction around the Bowen River during the</w:t>
            </w:r>
            <w:r>
              <w:rPr>
                <w:rFonts w:ascii="Arial" w:hAnsi="Arial" w:cs="Arial"/>
                <w:sz w:val="20"/>
                <w:szCs w:val="20"/>
              </w:rPr>
              <w:t xml:space="preserve"> mine operation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postclosure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</w:p>
          <w:p w:rsidR="00B22DF3" w:rsidRDefault="00B22DF3" w:rsidP="00AF131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Presentation</w:t>
            </w:r>
            <w:r w:rsidRPr="00B46A5D">
              <w:rPr>
                <w:rFonts w:ascii="Arial" w:hAnsi="Arial" w:cs="Arial"/>
                <w:sz w:val="20"/>
                <w:szCs w:val="20"/>
              </w:rPr>
              <w:t xml:space="preserve"> of a regional water balance that takes into account the predictions of the numerical model</w:t>
            </w:r>
            <w:r w:rsidR="0035185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22DF3" w:rsidRDefault="00B22DF3" w:rsidP="00AF131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C1460">
              <w:rPr>
                <w:rFonts w:ascii="Arial" w:hAnsi="Arial" w:cs="Arial"/>
                <w:sz w:val="20"/>
                <w:szCs w:val="20"/>
              </w:rPr>
              <w:t>The Committee recommends that a thorough risk assessment be undertaken that is informed by the above, and identifies appropriate mitigation strategies including for any likely interaction between the mining operati</w:t>
            </w:r>
            <w:r w:rsidR="00351850">
              <w:rPr>
                <w:rFonts w:ascii="Arial" w:hAnsi="Arial" w:cs="Arial"/>
                <w:sz w:val="20"/>
                <w:szCs w:val="20"/>
              </w:rPr>
              <w:t>on and the surface water system; and</w:t>
            </w:r>
          </w:p>
          <w:p w:rsidR="00B22DF3" w:rsidRPr="00B22DF3" w:rsidRDefault="00B22DF3" w:rsidP="00AF1310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22DF3">
              <w:rPr>
                <w:rFonts w:ascii="Arial" w:hAnsi="Arial" w:cs="Arial"/>
                <w:sz w:val="20"/>
                <w:szCs w:val="20"/>
              </w:rPr>
              <w:t>A monitoring strategy should be developed to validate the numerical model and provide early indication of water movement from the river towards the mine pit.</w:t>
            </w:r>
          </w:p>
          <w:p w:rsidR="00CC1460" w:rsidRPr="00B22DF3" w:rsidRDefault="00B46A5D" w:rsidP="00AF1310">
            <w:pPr>
              <w:pStyle w:val="ListNumber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B46A5D">
              <w:rPr>
                <w:rFonts w:ascii="Arial" w:hAnsi="Arial" w:cs="Arial"/>
                <w:sz w:val="20"/>
                <w:szCs w:val="20"/>
              </w:rPr>
              <w:t xml:space="preserve">The Committee </w:t>
            </w:r>
            <w:r w:rsidRPr="00CC1460">
              <w:rPr>
                <w:rFonts w:ascii="Arial" w:hAnsi="Arial" w:cs="Arial"/>
                <w:sz w:val="20"/>
                <w:szCs w:val="20"/>
              </w:rPr>
              <w:t xml:space="preserve">has </w:t>
            </w:r>
            <w:r w:rsidR="00FF094C" w:rsidRPr="00CC1460">
              <w:rPr>
                <w:rFonts w:ascii="Arial" w:hAnsi="Arial" w:cs="Arial"/>
                <w:sz w:val="20"/>
                <w:szCs w:val="20"/>
              </w:rPr>
              <w:t xml:space="preserve">identified </w:t>
            </w:r>
            <w:r w:rsidR="0025236E" w:rsidRPr="00CC1460">
              <w:rPr>
                <w:rFonts w:ascii="Arial" w:hAnsi="Arial" w:cs="Arial"/>
                <w:sz w:val="20"/>
                <w:szCs w:val="20"/>
              </w:rPr>
              <w:t>that</w:t>
            </w:r>
            <w:r w:rsidR="0025236E"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="00FF094C">
              <w:rPr>
                <w:rFonts w:ascii="Arial" w:hAnsi="Arial" w:cs="Arial"/>
                <w:sz w:val="20"/>
                <w:szCs w:val="20"/>
              </w:rPr>
              <w:t>re is a potential for water flow from the river into the pit.  The rate of this movement needs to be quantified through the use of an accurate numerical model</w:t>
            </w:r>
            <w:r w:rsidR="00CC1460">
              <w:rPr>
                <w:rFonts w:ascii="Arial" w:hAnsi="Arial" w:cs="Arial"/>
                <w:sz w:val="20"/>
                <w:szCs w:val="20"/>
              </w:rPr>
              <w:t>.</w:t>
            </w:r>
            <w:r w:rsidR="002523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46A5D" w:rsidRDefault="00B46A5D" w:rsidP="00AF1310">
            <w:pPr>
              <w:pStyle w:val="ListNumber"/>
              <w:spacing w:after="200"/>
              <w:rPr>
                <w:rFonts w:ascii="Arial" w:hAnsi="Arial" w:cs="Arial"/>
                <w:sz w:val="20"/>
                <w:szCs w:val="20"/>
              </w:rPr>
            </w:pPr>
            <w:r w:rsidRPr="00B46A5D">
              <w:rPr>
                <w:rFonts w:ascii="Arial" w:hAnsi="Arial" w:cs="Arial"/>
                <w:sz w:val="20"/>
                <w:szCs w:val="20"/>
              </w:rPr>
              <w:t xml:space="preserve">The Committee has concerns regarding </w:t>
            </w:r>
            <w:r w:rsidR="00BD171B">
              <w:rPr>
                <w:rFonts w:ascii="Arial" w:hAnsi="Arial" w:cs="Arial"/>
                <w:sz w:val="20"/>
                <w:szCs w:val="20"/>
              </w:rPr>
              <w:t xml:space="preserve">the implication of flooding given </w:t>
            </w:r>
            <w:r w:rsidRPr="00B46A5D">
              <w:rPr>
                <w:rFonts w:ascii="Arial" w:hAnsi="Arial" w:cs="Arial"/>
                <w:sz w:val="20"/>
                <w:szCs w:val="20"/>
              </w:rPr>
              <w:t>the close proximity of the Co-disposal Facility</w:t>
            </w:r>
            <w:r w:rsidR="00EF1BC6">
              <w:rPr>
                <w:rFonts w:ascii="Arial" w:hAnsi="Arial" w:cs="Arial"/>
                <w:sz w:val="20"/>
                <w:szCs w:val="20"/>
              </w:rPr>
              <w:t xml:space="preserve"> mine pit to the B</w:t>
            </w:r>
            <w:r w:rsidRPr="00B46A5D">
              <w:rPr>
                <w:rFonts w:ascii="Arial" w:hAnsi="Arial" w:cs="Arial"/>
                <w:sz w:val="20"/>
                <w:szCs w:val="20"/>
              </w:rPr>
              <w:t>owen River</w:t>
            </w:r>
            <w:r w:rsidR="00D7174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D171B">
              <w:rPr>
                <w:rFonts w:ascii="Arial" w:hAnsi="Arial" w:cs="Arial"/>
                <w:sz w:val="20"/>
                <w:szCs w:val="20"/>
              </w:rPr>
              <w:t xml:space="preserve">in light </w:t>
            </w:r>
            <w:r w:rsidR="0055166C">
              <w:rPr>
                <w:rFonts w:ascii="Arial" w:hAnsi="Arial" w:cs="Arial"/>
                <w:sz w:val="20"/>
                <w:szCs w:val="20"/>
              </w:rPr>
              <w:t xml:space="preserve">of the fact </w:t>
            </w:r>
            <w:r w:rsidRPr="00B46A5D">
              <w:rPr>
                <w:rFonts w:ascii="Arial" w:hAnsi="Arial" w:cs="Arial"/>
                <w:sz w:val="20"/>
                <w:szCs w:val="20"/>
              </w:rPr>
              <w:t xml:space="preserve">that the river forms the southern boundary </w:t>
            </w:r>
            <w:r w:rsidR="00D71745">
              <w:rPr>
                <w:rFonts w:ascii="Arial" w:hAnsi="Arial" w:cs="Arial"/>
                <w:sz w:val="20"/>
                <w:szCs w:val="20"/>
              </w:rPr>
              <w:t xml:space="preserve">and there is a </w:t>
            </w:r>
            <w:r w:rsidRPr="00B46A5D">
              <w:rPr>
                <w:rFonts w:ascii="Arial" w:hAnsi="Arial" w:cs="Arial"/>
                <w:sz w:val="20"/>
                <w:szCs w:val="20"/>
              </w:rPr>
              <w:t xml:space="preserve">minimal buffer zone. </w:t>
            </w:r>
          </w:p>
          <w:p w:rsidR="00B46A5D" w:rsidRPr="00B46A5D" w:rsidRDefault="00B46A5D" w:rsidP="00E7000F">
            <w:pPr>
              <w:pStyle w:val="ListNumber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46A5D">
              <w:rPr>
                <w:rFonts w:ascii="Arial" w:hAnsi="Arial" w:cs="Arial"/>
                <w:sz w:val="20"/>
                <w:szCs w:val="20"/>
              </w:rPr>
              <w:t>The Committee provides the following recommendations:</w:t>
            </w:r>
          </w:p>
          <w:p w:rsidR="00B46A5D" w:rsidRPr="00B46A5D" w:rsidRDefault="00B46A5D" w:rsidP="00AF1310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6A5D">
              <w:rPr>
                <w:rFonts w:ascii="Arial" w:hAnsi="Arial" w:cs="Arial"/>
                <w:sz w:val="20"/>
                <w:szCs w:val="20"/>
              </w:rPr>
              <w:t>Further information should be provided to support the ass</w:t>
            </w:r>
            <w:r w:rsidR="00D71745">
              <w:rPr>
                <w:rFonts w:ascii="Arial" w:hAnsi="Arial" w:cs="Arial"/>
                <w:sz w:val="20"/>
                <w:szCs w:val="20"/>
              </w:rPr>
              <w:t>ertion</w:t>
            </w:r>
            <w:r w:rsidRPr="00B46A5D">
              <w:rPr>
                <w:rFonts w:ascii="Arial" w:hAnsi="Arial" w:cs="Arial"/>
                <w:sz w:val="20"/>
                <w:szCs w:val="20"/>
              </w:rPr>
              <w:t xml:space="preserve"> that the proposed flood protection thresholds that have been adopted will be sufficient to mitigate downstream water related risks, at bo</w:t>
            </w:r>
            <w:r w:rsidR="00DC485E">
              <w:rPr>
                <w:rFonts w:ascii="Arial" w:hAnsi="Arial" w:cs="Arial"/>
                <w:sz w:val="20"/>
                <w:szCs w:val="20"/>
              </w:rPr>
              <w:t>th the local and regional scale;</w:t>
            </w:r>
          </w:p>
          <w:p w:rsidR="00B46A5D" w:rsidRPr="00B46A5D" w:rsidRDefault="00B46A5D" w:rsidP="00AF1310">
            <w:pPr>
              <w:pStyle w:val="ListParagraph"/>
              <w:numPr>
                <w:ilvl w:val="0"/>
                <w:numId w:val="25"/>
              </w:numPr>
              <w:spacing w:after="20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6A5D">
              <w:rPr>
                <w:rFonts w:ascii="Arial" w:hAnsi="Arial" w:cs="Arial"/>
                <w:sz w:val="20"/>
                <w:szCs w:val="20"/>
              </w:rPr>
              <w:t xml:space="preserve">Any redesigning of the flood mitigation infrastructure during development must identify the direct risk to ecological communities </w:t>
            </w:r>
            <w:r w:rsidR="00DC485E">
              <w:rPr>
                <w:rFonts w:ascii="Arial" w:hAnsi="Arial" w:cs="Arial"/>
                <w:sz w:val="20"/>
                <w:szCs w:val="20"/>
              </w:rPr>
              <w:t>and provide adequate mitigation;</w:t>
            </w:r>
          </w:p>
          <w:p w:rsidR="00B46A5D" w:rsidRDefault="00B46A5D" w:rsidP="00E7000F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B46A5D">
              <w:rPr>
                <w:rFonts w:ascii="Arial" w:hAnsi="Arial" w:cs="Arial"/>
                <w:sz w:val="20"/>
                <w:szCs w:val="20"/>
              </w:rPr>
              <w:t xml:space="preserve">Additional consideration should be given towards identifying the potential for </w:t>
            </w:r>
            <w:proofErr w:type="spellStart"/>
            <w:r w:rsidRPr="00B46A5D">
              <w:rPr>
                <w:rFonts w:ascii="Arial" w:hAnsi="Arial" w:cs="Arial"/>
                <w:sz w:val="20"/>
                <w:szCs w:val="20"/>
              </w:rPr>
              <w:t>leachate</w:t>
            </w:r>
            <w:proofErr w:type="spellEnd"/>
            <w:r w:rsidRPr="00B46A5D">
              <w:rPr>
                <w:rFonts w:ascii="Arial" w:hAnsi="Arial" w:cs="Arial"/>
                <w:sz w:val="20"/>
                <w:szCs w:val="20"/>
              </w:rPr>
              <w:t xml:space="preserve"> from the Co-disposal Facility to occur and impact on the water qual</w:t>
            </w:r>
            <w:r w:rsidR="00BD171B">
              <w:rPr>
                <w:rFonts w:ascii="Arial" w:hAnsi="Arial" w:cs="Arial"/>
                <w:sz w:val="20"/>
                <w:szCs w:val="20"/>
              </w:rPr>
              <w:t>ity of the adjacent Bowen River.</w:t>
            </w:r>
          </w:p>
          <w:p w:rsidR="007D0E22" w:rsidRDefault="008A34B1" w:rsidP="00AF1310">
            <w:pPr>
              <w:pStyle w:val="ListNumber"/>
              <w:spacing w:after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There is limited information provided by the proponent on the contribution of the proposed Drake Mine to local and regio</w:t>
            </w:r>
            <w:r w:rsidR="00BD171B">
              <w:rPr>
                <w:rFonts w:ascii="Arial" w:hAnsi="Arial" w:cs="Arial"/>
                <w:sz w:val="20"/>
                <w:szCs w:val="20"/>
              </w:rPr>
              <w:t>nal water quality impacts, reco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BD171B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ising this is already an impacted catchment from various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landuses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 Water quality concerns would primarily be around discharges of contaminants associated with the mines during flood periods</w:t>
            </w:r>
            <w:r w:rsidR="00BD171B">
              <w:rPr>
                <w:rFonts w:ascii="Arial" w:hAnsi="Arial" w:cs="Arial"/>
                <w:sz w:val="20"/>
                <w:szCs w:val="20"/>
              </w:rPr>
              <w:t xml:space="preserve"> which would need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be </w:t>
            </w:r>
            <w:r w:rsidR="00351850">
              <w:rPr>
                <w:rFonts w:ascii="Arial" w:hAnsi="Arial" w:cs="Arial"/>
                <w:sz w:val="20"/>
                <w:szCs w:val="20"/>
              </w:rPr>
              <w:t>dealt with by the Regulator.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26EAD" w:rsidRPr="008B3D49" w:rsidRDefault="00EC1F2B" w:rsidP="008B3D49">
            <w:pPr>
              <w:pStyle w:val="ListNumber"/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Drake Coal project is located within the Bowen River Catchment, </w:t>
            </w:r>
            <w:r w:rsidR="00FE6794">
              <w:rPr>
                <w:rFonts w:ascii="Arial" w:hAnsi="Arial" w:cs="Arial"/>
                <w:sz w:val="20"/>
                <w:szCs w:val="20"/>
              </w:rPr>
              <w:t xml:space="preserve">downstream of other large coal mines, such as Newlands Coal Mine, </w:t>
            </w:r>
            <w:r>
              <w:rPr>
                <w:rFonts w:ascii="Arial" w:hAnsi="Arial" w:cs="Arial"/>
                <w:sz w:val="20"/>
                <w:szCs w:val="20"/>
              </w:rPr>
              <w:t>and consideration should be given to the potential cumulative impacts on water resources and water dependent ecological c</w:t>
            </w:r>
            <w:r w:rsidR="00FE6794">
              <w:rPr>
                <w:rFonts w:ascii="Arial" w:hAnsi="Arial" w:cs="Arial"/>
                <w:sz w:val="20"/>
                <w:szCs w:val="20"/>
              </w:rPr>
              <w:t>ommunities in this catchment</w:t>
            </w:r>
            <w:r w:rsidR="00DC485E">
              <w:rPr>
                <w:rFonts w:ascii="Arial" w:hAnsi="Arial" w:cs="Arial"/>
                <w:sz w:val="20"/>
                <w:szCs w:val="20"/>
              </w:rPr>
              <w:t xml:space="preserve">, such as the </w:t>
            </w:r>
            <w:r w:rsidR="00FE6794">
              <w:rPr>
                <w:rFonts w:ascii="Arial" w:hAnsi="Arial" w:cs="Arial"/>
                <w:sz w:val="20"/>
                <w:szCs w:val="20"/>
              </w:rPr>
              <w:t xml:space="preserve">Birralee Pelican Creek </w:t>
            </w:r>
            <w:proofErr w:type="spellStart"/>
            <w:r w:rsidR="00FE6794">
              <w:rPr>
                <w:rFonts w:ascii="Arial" w:hAnsi="Arial" w:cs="Arial"/>
                <w:sz w:val="20"/>
                <w:szCs w:val="20"/>
              </w:rPr>
              <w:t>Aggregration</w:t>
            </w:r>
            <w:proofErr w:type="spellEnd"/>
            <w:r w:rsidR="00FE67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765DA" w:rsidRPr="00B451D3" w:rsidTr="0032087E">
        <w:trPr>
          <w:trHeight w:val="19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32087E">
            <w:pPr>
              <w:pStyle w:val="tablelabel"/>
              <w:spacing w:after="200"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8B3D49" w:rsidP="008B3D49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December </w:t>
            </w:r>
            <w:r w:rsidR="006D5D1E">
              <w:rPr>
                <w:rFonts w:ascii="Arial" w:hAnsi="Arial" w:cs="Arial"/>
                <w:sz w:val="20"/>
                <w:szCs w:val="20"/>
              </w:rPr>
              <w:t>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6B14DB" w:rsidRPr="00EA416C" w:rsidRDefault="006B14DB" w:rsidP="008B3D49"/>
    <w:sectPr w:rsidR="006B14DB" w:rsidRPr="00EA416C" w:rsidSect="008B3D49">
      <w:head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00F" w:rsidRDefault="00E7000F" w:rsidP="00A60185">
      <w:r>
        <w:separator/>
      </w:r>
    </w:p>
  </w:endnote>
  <w:endnote w:type="continuationSeparator" w:id="0">
    <w:p w:rsidR="00E7000F" w:rsidRDefault="00E7000F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0F" w:rsidRPr="008B3D49" w:rsidRDefault="00E7000F">
    <w:pPr>
      <w:pStyle w:val="Footer"/>
      <w:jc w:val="center"/>
      <w:rPr>
        <w:rFonts w:ascii="Arial" w:hAnsi="Arial" w:cs="Arial"/>
        <w:sz w:val="18"/>
        <w:szCs w:val="18"/>
      </w:rPr>
    </w:pPr>
    <w:r w:rsidRPr="008B3D49">
      <w:rPr>
        <w:rFonts w:ascii="Arial" w:hAnsi="Arial" w:cs="Arial"/>
        <w:sz w:val="18"/>
        <w:szCs w:val="18"/>
      </w:rPr>
      <w:t xml:space="preserve">Final Advice                    </w:t>
    </w:r>
    <w:r>
      <w:rPr>
        <w:rFonts w:ascii="Arial" w:hAnsi="Arial" w:cs="Arial"/>
        <w:sz w:val="18"/>
        <w:szCs w:val="18"/>
      </w:rPr>
      <w:t xml:space="preserve">        </w:t>
    </w:r>
    <w:r w:rsidRPr="008B3D49">
      <w:rPr>
        <w:rFonts w:ascii="Arial" w:hAnsi="Arial" w:cs="Arial"/>
        <w:sz w:val="18"/>
        <w:szCs w:val="18"/>
      </w:rPr>
      <w:t xml:space="preserve">            </w:t>
    </w:r>
    <w:r>
      <w:rPr>
        <w:rFonts w:ascii="Arial" w:hAnsi="Arial" w:cs="Arial"/>
        <w:sz w:val="18"/>
        <w:szCs w:val="18"/>
      </w:rPr>
      <w:t xml:space="preserve">   </w:t>
    </w:r>
    <w:r w:rsidRPr="008B3D49"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 xml:space="preserve">       </w:t>
    </w:r>
    <w:r w:rsidRPr="008B3D49">
      <w:rPr>
        <w:rFonts w:ascii="Arial" w:hAnsi="Arial" w:cs="Arial"/>
        <w:sz w:val="18"/>
        <w:szCs w:val="18"/>
      </w:rPr>
      <w:t xml:space="preserve">          </w:t>
    </w:r>
    <w:r w:rsidR="00AB2F01" w:rsidRPr="008B3D49">
      <w:rPr>
        <w:rFonts w:ascii="Arial" w:hAnsi="Arial" w:cs="Arial"/>
        <w:sz w:val="18"/>
        <w:szCs w:val="18"/>
      </w:rPr>
      <w:fldChar w:fldCharType="begin"/>
    </w:r>
    <w:r w:rsidRPr="008B3D49">
      <w:rPr>
        <w:rFonts w:ascii="Arial" w:hAnsi="Arial" w:cs="Arial"/>
        <w:sz w:val="18"/>
        <w:szCs w:val="18"/>
      </w:rPr>
      <w:instrText xml:space="preserve"> PAGE   \* MERGEFORMAT </w:instrText>
    </w:r>
    <w:r w:rsidR="00AB2F01" w:rsidRPr="008B3D49">
      <w:rPr>
        <w:rFonts w:ascii="Arial" w:hAnsi="Arial" w:cs="Arial"/>
        <w:sz w:val="18"/>
        <w:szCs w:val="18"/>
      </w:rPr>
      <w:fldChar w:fldCharType="separate"/>
    </w:r>
    <w:r w:rsidR="005D4696">
      <w:rPr>
        <w:rFonts w:ascii="Arial" w:hAnsi="Arial" w:cs="Arial"/>
        <w:noProof/>
        <w:sz w:val="18"/>
        <w:szCs w:val="18"/>
      </w:rPr>
      <w:t>1</w:t>
    </w:r>
    <w:r w:rsidR="00AB2F01" w:rsidRPr="008B3D49">
      <w:rPr>
        <w:rFonts w:ascii="Arial" w:hAnsi="Arial" w:cs="Arial"/>
        <w:sz w:val="18"/>
        <w:szCs w:val="18"/>
      </w:rPr>
      <w:fldChar w:fldCharType="end"/>
    </w:r>
    <w:r w:rsidRPr="008B3D49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</w:t>
    </w:r>
    <w:r w:rsidRPr="008B3D49"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 xml:space="preserve">       </w:t>
    </w:r>
    <w:r w:rsidRPr="008B3D49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         </w:t>
    </w:r>
    <w:r w:rsidRPr="008B3D49">
      <w:rPr>
        <w:rFonts w:ascii="Arial" w:hAnsi="Arial" w:cs="Arial"/>
        <w:sz w:val="18"/>
        <w:szCs w:val="18"/>
      </w:rPr>
      <w:t xml:space="preserve">                               20 December 2012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0F" w:rsidRPr="008B3D49" w:rsidRDefault="00E7000F">
    <w:pPr>
      <w:pStyle w:val="Footer"/>
      <w:jc w:val="center"/>
      <w:rPr>
        <w:rFonts w:ascii="Arial" w:hAnsi="Arial" w:cs="Arial"/>
        <w:sz w:val="18"/>
        <w:szCs w:val="18"/>
      </w:rPr>
    </w:pPr>
    <w:r w:rsidRPr="008B3D49">
      <w:rPr>
        <w:rFonts w:ascii="Arial" w:hAnsi="Arial" w:cs="Arial"/>
        <w:sz w:val="18"/>
        <w:szCs w:val="18"/>
      </w:rPr>
      <w:t>Final Advice</w:t>
    </w:r>
    <w:sdt>
      <w:sdtPr>
        <w:rPr>
          <w:rFonts w:ascii="Arial" w:hAnsi="Arial" w:cs="Arial"/>
          <w:sz w:val="18"/>
          <w:szCs w:val="18"/>
        </w:rPr>
        <w:id w:val="111241529"/>
        <w:docPartObj>
          <w:docPartGallery w:val="Page Numbers (Bottom of Page)"/>
          <w:docPartUnique/>
        </w:docPartObj>
      </w:sdtPr>
      <w:sdtContent>
        <w:r w:rsidRPr="008B3D49">
          <w:rPr>
            <w:rFonts w:ascii="Arial" w:hAnsi="Arial" w:cs="Arial"/>
            <w:sz w:val="18"/>
            <w:szCs w:val="18"/>
          </w:rPr>
          <w:t xml:space="preserve">         </w:t>
        </w:r>
        <w:r>
          <w:rPr>
            <w:rFonts w:ascii="Arial" w:hAnsi="Arial" w:cs="Arial"/>
            <w:sz w:val="18"/>
            <w:szCs w:val="18"/>
          </w:rPr>
          <w:t xml:space="preserve">                                   </w:t>
        </w:r>
        <w:r w:rsidRPr="008B3D49">
          <w:rPr>
            <w:rFonts w:ascii="Arial" w:hAnsi="Arial" w:cs="Arial"/>
            <w:sz w:val="18"/>
            <w:szCs w:val="18"/>
          </w:rPr>
          <w:t xml:space="preserve">  </w:t>
        </w:r>
        <w:r>
          <w:rPr>
            <w:rFonts w:ascii="Arial" w:hAnsi="Arial" w:cs="Arial"/>
            <w:sz w:val="18"/>
            <w:szCs w:val="18"/>
          </w:rPr>
          <w:t xml:space="preserve">     </w:t>
        </w:r>
        <w:r w:rsidRPr="008B3D49">
          <w:rPr>
            <w:rFonts w:ascii="Arial" w:hAnsi="Arial" w:cs="Arial"/>
            <w:sz w:val="18"/>
            <w:szCs w:val="18"/>
          </w:rPr>
          <w:t xml:space="preserve">  </w:t>
        </w:r>
        <w:r>
          <w:rPr>
            <w:rFonts w:ascii="Arial" w:hAnsi="Arial" w:cs="Arial"/>
            <w:sz w:val="18"/>
            <w:szCs w:val="18"/>
          </w:rPr>
          <w:t xml:space="preserve"> </w:t>
        </w:r>
        <w:r w:rsidRPr="008B3D49">
          <w:rPr>
            <w:rFonts w:ascii="Arial" w:hAnsi="Arial" w:cs="Arial"/>
            <w:sz w:val="18"/>
            <w:szCs w:val="18"/>
          </w:rPr>
          <w:t xml:space="preserve">            </w:t>
        </w:r>
        <w:r w:rsidR="00AB2F01" w:rsidRPr="008B3D49">
          <w:rPr>
            <w:rFonts w:ascii="Arial" w:hAnsi="Arial" w:cs="Arial"/>
            <w:sz w:val="18"/>
            <w:szCs w:val="18"/>
          </w:rPr>
          <w:fldChar w:fldCharType="begin"/>
        </w:r>
        <w:r w:rsidRPr="008B3D49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AB2F01" w:rsidRPr="008B3D4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AB2F01" w:rsidRPr="008B3D49">
          <w:rPr>
            <w:rFonts w:ascii="Arial" w:hAnsi="Arial" w:cs="Arial"/>
            <w:sz w:val="18"/>
            <w:szCs w:val="18"/>
          </w:rPr>
          <w:fldChar w:fldCharType="end"/>
        </w:r>
        <w:r w:rsidRPr="008B3D49">
          <w:rPr>
            <w:rFonts w:ascii="Arial" w:hAnsi="Arial" w:cs="Arial"/>
            <w:sz w:val="18"/>
            <w:szCs w:val="18"/>
          </w:rPr>
          <w:t xml:space="preserve">     </w:t>
        </w:r>
        <w:r>
          <w:rPr>
            <w:rFonts w:ascii="Arial" w:hAnsi="Arial" w:cs="Arial"/>
            <w:sz w:val="18"/>
            <w:szCs w:val="18"/>
          </w:rPr>
          <w:t xml:space="preserve">                                             </w:t>
        </w:r>
        <w:r w:rsidRPr="008B3D49">
          <w:rPr>
            <w:rFonts w:ascii="Arial" w:hAnsi="Arial" w:cs="Arial"/>
            <w:sz w:val="18"/>
            <w:szCs w:val="18"/>
          </w:rPr>
          <w:t xml:space="preserve">               20 December 2012</w:t>
        </w:r>
      </w:sdtContent>
    </w:sdt>
  </w:p>
  <w:p w:rsidR="00E7000F" w:rsidRDefault="00E700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00F" w:rsidRDefault="00E7000F" w:rsidP="00A60185">
      <w:r>
        <w:separator/>
      </w:r>
    </w:p>
  </w:footnote>
  <w:footnote w:type="continuationSeparator" w:id="0">
    <w:p w:rsidR="00E7000F" w:rsidRDefault="00E7000F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0F" w:rsidRDefault="00E7000F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0F" w:rsidRDefault="00E7000F" w:rsidP="0034504D">
    <w:pPr>
      <w:pStyle w:val="Header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B3C8F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0EF21922"/>
    <w:multiLevelType w:val="hybridMultilevel"/>
    <w:tmpl w:val="D4C643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34AC7862"/>
    <w:multiLevelType w:val="hybridMultilevel"/>
    <w:tmpl w:val="0F9C32D6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01F04"/>
    <w:multiLevelType w:val="hybridMultilevel"/>
    <w:tmpl w:val="2E002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FB82C84"/>
    <w:multiLevelType w:val="hybridMultilevel"/>
    <w:tmpl w:val="DBBEB5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555E2"/>
    <w:multiLevelType w:val="hybridMultilevel"/>
    <w:tmpl w:val="7ACC457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5E7559"/>
    <w:multiLevelType w:val="hybridMultilevel"/>
    <w:tmpl w:val="231AF052"/>
    <w:lvl w:ilvl="0" w:tplc="0C090011">
      <w:start w:val="1"/>
      <w:numFmt w:val="decimal"/>
      <w:lvlText w:val="%1)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56429"/>
    <w:multiLevelType w:val="multilevel"/>
    <w:tmpl w:val="70783556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ascii="Arial" w:hAnsi="Arial" w:cs="Arial" w:hint="default"/>
        <w:sz w:val="20"/>
        <w:szCs w:val="20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1">
    <w:nsid w:val="6AB97BEF"/>
    <w:multiLevelType w:val="hybridMultilevel"/>
    <w:tmpl w:val="9F54F820"/>
    <w:lvl w:ilvl="0" w:tplc="BC6873F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D4FC6"/>
    <w:multiLevelType w:val="hybridMultilevel"/>
    <w:tmpl w:val="4ABC604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0"/>
  </w:num>
  <w:num w:numId="19">
    <w:abstractNumId w:val="10"/>
  </w:num>
  <w:num w:numId="20">
    <w:abstractNumId w:val="7"/>
  </w:num>
  <w:num w:numId="21">
    <w:abstractNumId w:val="10"/>
  </w:num>
  <w:num w:numId="22">
    <w:abstractNumId w:val="10"/>
  </w:num>
  <w:num w:numId="23">
    <w:abstractNumId w:val="10"/>
  </w:num>
  <w:num w:numId="24">
    <w:abstractNumId w:val="8"/>
  </w:num>
  <w:num w:numId="25">
    <w:abstractNumId w:val="4"/>
  </w:num>
  <w:num w:numId="26">
    <w:abstractNumId w:val="10"/>
  </w:num>
  <w:num w:numId="27">
    <w:abstractNumId w:val="10"/>
  </w:num>
  <w:num w:numId="28">
    <w:abstractNumId w:val="11"/>
  </w:num>
  <w:num w:numId="29">
    <w:abstractNumId w:val="10"/>
  </w:num>
  <w:num w:numId="30">
    <w:abstractNumId w:val="3"/>
  </w:num>
  <w:num w:numId="31">
    <w:abstractNumId w:val="10"/>
  </w:num>
  <w:num w:numId="32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41275D"/>
    <w:rsid w:val="00004AEE"/>
    <w:rsid w:val="00005CAA"/>
    <w:rsid w:val="00005F2A"/>
    <w:rsid w:val="00010210"/>
    <w:rsid w:val="00012D66"/>
    <w:rsid w:val="00015ADA"/>
    <w:rsid w:val="00020C99"/>
    <w:rsid w:val="0002707B"/>
    <w:rsid w:val="00031B32"/>
    <w:rsid w:val="0005148E"/>
    <w:rsid w:val="000547F0"/>
    <w:rsid w:val="00066FCB"/>
    <w:rsid w:val="000759E5"/>
    <w:rsid w:val="0007601C"/>
    <w:rsid w:val="00084AC6"/>
    <w:rsid w:val="00091608"/>
    <w:rsid w:val="0009196E"/>
    <w:rsid w:val="00092F92"/>
    <w:rsid w:val="0009333C"/>
    <w:rsid w:val="0009704F"/>
    <w:rsid w:val="000A0F11"/>
    <w:rsid w:val="000A125A"/>
    <w:rsid w:val="000A228F"/>
    <w:rsid w:val="000A57CD"/>
    <w:rsid w:val="000B3758"/>
    <w:rsid w:val="000B7681"/>
    <w:rsid w:val="000B7B42"/>
    <w:rsid w:val="000C02B7"/>
    <w:rsid w:val="000C2814"/>
    <w:rsid w:val="000C451B"/>
    <w:rsid w:val="000C5342"/>
    <w:rsid w:val="000C706A"/>
    <w:rsid w:val="000D2887"/>
    <w:rsid w:val="000D6D63"/>
    <w:rsid w:val="000D706B"/>
    <w:rsid w:val="000D7810"/>
    <w:rsid w:val="000E0081"/>
    <w:rsid w:val="000E07CF"/>
    <w:rsid w:val="00100BEF"/>
    <w:rsid w:val="001073E4"/>
    <w:rsid w:val="00111ACF"/>
    <w:rsid w:val="0011498E"/>
    <w:rsid w:val="00117A45"/>
    <w:rsid w:val="001224AE"/>
    <w:rsid w:val="00123035"/>
    <w:rsid w:val="00126EAD"/>
    <w:rsid w:val="001337D4"/>
    <w:rsid w:val="001340EA"/>
    <w:rsid w:val="00147C12"/>
    <w:rsid w:val="001506C3"/>
    <w:rsid w:val="001527A1"/>
    <w:rsid w:val="001530DC"/>
    <w:rsid w:val="0015450C"/>
    <w:rsid w:val="00154989"/>
    <w:rsid w:val="00155A9F"/>
    <w:rsid w:val="0015684F"/>
    <w:rsid w:val="00160262"/>
    <w:rsid w:val="0016186F"/>
    <w:rsid w:val="0016281C"/>
    <w:rsid w:val="0016433A"/>
    <w:rsid w:val="0016780A"/>
    <w:rsid w:val="001713FA"/>
    <w:rsid w:val="00173EBF"/>
    <w:rsid w:val="001765DA"/>
    <w:rsid w:val="001842A2"/>
    <w:rsid w:val="00185039"/>
    <w:rsid w:val="00187FA8"/>
    <w:rsid w:val="001922D0"/>
    <w:rsid w:val="00192F5E"/>
    <w:rsid w:val="00197772"/>
    <w:rsid w:val="001A51C8"/>
    <w:rsid w:val="001B472B"/>
    <w:rsid w:val="001B4CA8"/>
    <w:rsid w:val="001C4F3D"/>
    <w:rsid w:val="001D0CDC"/>
    <w:rsid w:val="001D1D82"/>
    <w:rsid w:val="001E1182"/>
    <w:rsid w:val="001F0E8B"/>
    <w:rsid w:val="00200944"/>
    <w:rsid w:val="00202C90"/>
    <w:rsid w:val="00207D95"/>
    <w:rsid w:val="00213DE8"/>
    <w:rsid w:val="00216118"/>
    <w:rsid w:val="002209AB"/>
    <w:rsid w:val="002251E3"/>
    <w:rsid w:val="00227A95"/>
    <w:rsid w:val="002316BD"/>
    <w:rsid w:val="002336F3"/>
    <w:rsid w:val="002473FC"/>
    <w:rsid w:val="0025236E"/>
    <w:rsid w:val="00252E3C"/>
    <w:rsid w:val="00262198"/>
    <w:rsid w:val="00285F1B"/>
    <w:rsid w:val="0028736E"/>
    <w:rsid w:val="00292B81"/>
    <w:rsid w:val="0029322E"/>
    <w:rsid w:val="00296477"/>
    <w:rsid w:val="002974BC"/>
    <w:rsid w:val="002A5EC3"/>
    <w:rsid w:val="002B18AE"/>
    <w:rsid w:val="002B67D3"/>
    <w:rsid w:val="002C1C93"/>
    <w:rsid w:val="002C5066"/>
    <w:rsid w:val="002D4AAC"/>
    <w:rsid w:val="002D6C33"/>
    <w:rsid w:val="002F045A"/>
    <w:rsid w:val="002F4171"/>
    <w:rsid w:val="0030039D"/>
    <w:rsid w:val="00300715"/>
    <w:rsid w:val="0030326F"/>
    <w:rsid w:val="00310701"/>
    <w:rsid w:val="00315980"/>
    <w:rsid w:val="00316F7F"/>
    <w:rsid w:val="00320162"/>
    <w:rsid w:val="0032087E"/>
    <w:rsid w:val="003218E8"/>
    <w:rsid w:val="003254B5"/>
    <w:rsid w:val="00330DCE"/>
    <w:rsid w:val="00331E11"/>
    <w:rsid w:val="00334761"/>
    <w:rsid w:val="00337EBC"/>
    <w:rsid w:val="00341DCD"/>
    <w:rsid w:val="0034504D"/>
    <w:rsid w:val="0034563E"/>
    <w:rsid w:val="003460B1"/>
    <w:rsid w:val="003504CC"/>
    <w:rsid w:val="00351850"/>
    <w:rsid w:val="003518D6"/>
    <w:rsid w:val="00351B5E"/>
    <w:rsid w:val="0035460C"/>
    <w:rsid w:val="003556BD"/>
    <w:rsid w:val="00365147"/>
    <w:rsid w:val="0037016E"/>
    <w:rsid w:val="00370E55"/>
    <w:rsid w:val="00372908"/>
    <w:rsid w:val="00374564"/>
    <w:rsid w:val="00376457"/>
    <w:rsid w:val="003809FB"/>
    <w:rsid w:val="00381917"/>
    <w:rsid w:val="00383020"/>
    <w:rsid w:val="003975FD"/>
    <w:rsid w:val="003A0593"/>
    <w:rsid w:val="003A39C8"/>
    <w:rsid w:val="003B60CC"/>
    <w:rsid w:val="003C1B25"/>
    <w:rsid w:val="003C2443"/>
    <w:rsid w:val="003C31E0"/>
    <w:rsid w:val="003C5DA3"/>
    <w:rsid w:val="003D4BCD"/>
    <w:rsid w:val="003E01D8"/>
    <w:rsid w:val="003E2100"/>
    <w:rsid w:val="003F6F5B"/>
    <w:rsid w:val="0040342D"/>
    <w:rsid w:val="00403FB9"/>
    <w:rsid w:val="0041192D"/>
    <w:rsid w:val="0041275D"/>
    <w:rsid w:val="00413EE1"/>
    <w:rsid w:val="0042128E"/>
    <w:rsid w:val="0042465A"/>
    <w:rsid w:val="00427F43"/>
    <w:rsid w:val="00432B60"/>
    <w:rsid w:val="00440698"/>
    <w:rsid w:val="00446FB3"/>
    <w:rsid w:val="004540E2"/>
    <w:rsid w:val="00454454"/>
    <w:rsid w:val="00467924"/>
    <w:rsid w:val="004712A5"/>
    <w:rsid w:val="0047266F"/>
    <w:rsid w:val="00476B7E"/>
    <w:rsid w:val="00476D6B"/>
    <w:rsid w:val="0049013A"/>
    <w:rsid w:val="00492C16"/>
    <w:rsid w:val="004972CB"/>
    <w:rsid w:val="004A0678"/>
    <w:rsid w:val="004A48A3"/>
    <w:rsid w:val="004B0D92"/>
    <w:rsid w:val="004B0EC0"/>
    <w:rsid w:val="004B66F1"/>
    <w:rsid w:val="004C3B7B"/>
    <w:rsid w:val="004C3EA0"/>
    <w:rsid w:val="004D3B0E"/>
    <w:rsid w:val="004F185E"/>
    <w:rsid w:val="004F7169"/>
    <w:rsid w:val="00500D66"/>
    <w:rsid w:val="005036A6"/>
    <w:rsid w:val="00514C8E"/>
    <w:rsid w:val="00517F35"/>
    <w:rsid w:val="00523ED3"/>
    <w:rsid w:val="00531DBF"/>
    <w:rsid w:val="005337FC"/>
    <w:rsid w:val="00540C89"/>
    <w:rsid w:val="00545759"/>
    <w:rsid w:val="00545BE0"/>
    <w:rsid w:val="0055166C"/>
    <w:rsid w:val="00554C6A"/>
    <w:rsid w:val="00562E85"/>
    <w:rsid w:val="0056332F"/>
    <w:rsid w:val="00567BF3"/>
    <w:rsid w:val="00581C39"/>
    <w:rsid w:val="00584F6B"/>
    <w:rsid w:val="005903B6"/>
    <w:rsid w:val="00592B20"/>
    <w:rsid w:val="005A0247"/>
    <w:rsid w:val="005A126E"/>
    <w:rsid w:val="005A452F"/>
    <w:rsid w:val="005A703F"/>
    <w:rsid w:val="005B140D"/>
    <w:rsid w:val="005C1FEA"/>
    <w:rsid w:val="005C3495"/>
    <w:rsid w:val="005C4479"/>
    <w:rsid w:val="005D4696"/>
    <w:rsid w:val="005E3DFC"/>
    <w:rsid w:val="005E60AF"/>
    <w:rsid w:val="005E7B4E"/>
    <w:rsid w:val="005F1DEA"/>
    <w:rsid w:val="00602FCB"/>
    <w:rsid w:val="00607FC9"/>
    <w:rsid w:val="00610955"/>
    <w:rsid w:val="0061490C"/>
    <w:rsid w:val="00622FE1"/>
    <w:rsid w:val="0062521C"/>
    <w:rsid w:val="00630A2B"/>
    <w:rsid w:val="00632DC7"/>
    <w:rsid w:val="00633896"/>
    <w:rsid w:val="006357FB"/>
    <w:rsid w:val="00636A78"/>
    <w:rsid w:val="006406FC"/>
    <w:rsid w:val="0064407B"/>
    <w:rsid w:val="00646122"/>
    <w:rsid w:val="00653E16"/>
    <w:rsid w:val="00657220"/>
    <w:rsid w:val="0066104B"/>
    <w:rsid w:val="00661419"/>
    <w:rsid w:val="006655EE"/>
    <w:rsid w:val="00667C10"/>
    <w:rsid w:val="00667EF4"/>
    <w:rsid w:val="00672B85"/>
    <w:rsid w:val="00674960"/>
    <w:rsid w:val="00674E59"/>
    <w:rsid w:val="00675F05"/>
    <w:rsid w:val="00676FCA"/>
    <w:rsid w:val="00677177"/>
    <w:rsid w:val="0068612E"/>
    <w:rsid w:val="00687C92"/>
    <w:rsid w:val="0069534E"/>
    <w:rsid w:val="00696365"/>
    <w:rsid w:val="0069669C"/>
    <w:rsid w:val="006A1200"/>
    <w:rsid w:val="006A2C5A"/>
    <w:rsid w:val="006A4F4E"/>
    <w:rsid w:val="006A7285"/>
    <w:rsid w:val="006B14DB"/>
    <w:rsid w:val="006B21C4"/>
    <w:rsid w:val="006C4A1A"/>
    <w:rsid w:val="006C712B"/>
    <w:rsid w:val="006C7DAD"/>
    <w:rsid w:val="006D0393"/>
    <w:rsid w:val="006D1A83"/>
    <w:rsid w:val="006D5D1E"/>
    <w:rsid w:val="006E1CFE"/>
    <w:rsid w:val="006E31A2"/>
    <w:rsid w:val="006F10C4"/>
    <w:rsid w:val="006F40E9"/>
    <w:rsid w:val="006F5603"/>
    <w:rsid w:val="00701400"/>
    <w:rsid w:val="007037CF"/>
    <w:rsid w:val="00703BB8"/>
    <w:rsid w:val="00716583"/>
    <w:rsid w:val="007167C0"/>
    <w:rsid w:val="00720481"/>
    <w:rsid w:val="00727C18"/>
    <w:rsid w:val="00727E2F"/>
    <w:rsid w:val="00733193"/>
    <w:rsid w:val="00737CBA"/>
    <w:rsid w:val="00754C17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2D61"/>
    <w:rsid w:val="00791024"/>
    <w:rsid w:val="00794818"/>
    <w:rsid w:val="007A2573"/>
    <w:rsid w:val="007A3B9C"/>
    <w:rsid w:val="007B106C"/>
    <w:rsid w:val="007B1A4E"/>
    <w:rsid w:val="007B3D05"/>
    <w:rsid w:val="007B5503"/>
    <w:rsid w:val="007C6BB3"/>
    <w:rsid w:val="007D0E22"/>
    <w:rsid w:val="007D14B4"/>
    <w:rsid w:val="007D3AD7"/>
    <w:rsid w:val="007D570B"/>
    <w:rsid w:val="007D6121"/>
    <w:rsid w:val="007E2066"/>
    <w:rsid w:val="007E24F6"/>
    <w:rsid w:val="007E64A8"/>
    <w:rsid w:val="00800F64"/>
    <w:rsid w:val="00802681"/>
    <w:rsid w:val="00802F0B"/>
    <w:rsid w:val="00810A67"/>
    <w:rsid w:val="00833CF7"/>
    <w:rsid w:val="00845601"/>
    <w:rsid w:val="008524B9"/>
    <w:rsid w:val="00855C5C"/>
    <w:rsid w:val="0086233C"/>
    <w:rsid w:val="00865CFA"/>
    <w:rsid w:val="00883CE7"/>
    <w:rsid w:val="00884B22"/>
    <w:rsid w:val="008A187F"/>
    <w:rsid w:val="008A34B1"/>
    <w:rsid w:val="008A3C96"/>
    <w:rsid w:val="008B0BBA"/>
    <w:rsid w:val="008B1627"/>
    <w:rsid w:val="008B3D49"/>
    <w:rsid w:val="008B4019"/>
    <w:rsid w:val="008B505F"/>
    <w:rsid w:val="008B65C9"/>
    <w:rsid w:val="008C2D4A"/>
    <w:rsid w:val="008C6A05"/>
    <w:rsid w:val="008C7DBB"/>
    <w:rsid w:val="008D3900"/>
    <w:rsid w:val="008D6E1D"/>
    <w:rsid w:val="008D6EDB"/>
    <w:rsid w:val="008E36FE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292C"/>
    <w:rsid w:val="0093408E"/>
    <w:rsid w:val="00947507"/>
    <w:rsid w:val="00952DDF"/>
    <w:rsid w:val="00952EC4"/>
    <w:rsid w:val="00975332"/>
    <w:rsid w:val="009812D4"/>
    <w:rsid w:val="00982653"/>
    <w:rsid w:val="009873F4"/>
    <w:rsid w:val="009920D8"/>
    <w:rsid w:val="009A371F"/>
    <w:rsid w:val="009B38BE"/>
    <w:rsid w:val="009C3D0F"/>
    <w:rsid w:val="009D1885"/>
    <w:rsid w:val="009D6232"/>
    <w:rsid w:val="009D7666"/>
    <w:rsid w:val="009E1B19"/>
    <w:rsid w:val="009F35E2"/>
    <w:rsid w:val="009F5E7B"/>
    <w:rsid w:val="009F65F9"/>
    <w:rsid w:val="009F68BA"/>
    <w:rsid w:val="00A06277"/>
    <w:rsid w:val="00A079DC"/>
    <w:rsid w:val="00A10BAB"/>
    <w:rsid w:val="00A111C2"/>
    <w:rsid w:val="00A17C39"/>
    <w:rsid w:val="00A223E1"/>
    <w:rsid w:val="00A238AA"/>
    <w:rsid w:val="00A276AC"/>
    <w:rsid w:val="00A30C01"/>
    <w:rsid w:val="00A338E7"/>
    <w:rsid w:val="00A35CAA"/>
    <w:rsid w:val="00A36E7F"/>
    <w:rsid w:val="00A41E65"/>
    <w:rsid w:val="00A43E0A"/>
    <w:rsid w:val="00A46247"/>
    <w:rsid w:val="00A530C7"/>
    <w:rsid w:val="00A55F5B"/>
    <w:rsid w:val="00A60185"/>
    <w:rsid w:val="00A661EA"/>
    <w:rsid w:val="00A70A6C"/>
    <w:rsid w:val="00A830E5"/>
    <w:rsid w:val="00A87135"/>
    <w:rsid w:val="00A93280"/>
    <w:rsid w:val="00A951EA"/>
    <w:rsid w:val="00A961A6"/>
    <w:rsid w:val="00A973E1"/>
    <w:rsid w:val="00AA1C65"/>
    <w:rsid w:val="00AA2548"/>
    <w:rsid w:val="00AA3B6E"/>
    <w:rsid w:val="00AA58C4"/>
    <w:rsid w:val="00AB11C8"/>
    <w:rsid w:val="00AB2F01"/>
    <w:rsid w:val="00AC08A8"/>
    <w:rsid w:val="00AC3A85"/>
    <w:rsid w:val="00AD56C8"/>
    <w:rsid w:val="00AD58F2"/>
    <w:rsid w:val="00AF1310"/>
    <w:rsid w:val="00AF5EA3"/>
    <w:rsid w:val="00AF6573"/>
    <w:rsid w:val="00B002F4"/>
    <w:rsid w:val="00B0512A"/>
    <w:rsid w:val="00B0529F"/>
    <w:rsid w:val="00B05D52"/>
    <w:rsid w:val="00B10C7F"/>
    <w:rsid w:val="00B1418B"/>
    <w:rsid w:val="00B176A7"/>
    <w:rsid w:val="00B21195"/>
    <w:rsid w:val="00B22B3D"/>
    <w:rsid w:val="00B22DF3"/>
    <w:rsid w:val="00B24B22"/>
    <w:rsid w:val="00B25310"/>
    <w:rsid w:val="00B32F8F"/>
    <w:rsid w:val="00B46A5D"/>
    <w:rsid w:val="00B47C42"/>
    <w:rsid w:val="00B510B1"/>
    <w:rsid w:val="00B54DE9"/>
    <w:rsid w:val="00B553EC"/>
    <w:rsid w:val="00B55870"/>
    <w:rsid w:val="00B77732"/>
    <w:rsid w:val="00B80D6D"/>
    <w:rsid w:val="00B9154F"/>
    <w:rsid w:val="00B93DD0"/>
    <w:rsid w:val="00B97732"/>
    <w:rsid w:val="00BA65A8"/>
    <w:rsid w:val="00BA6D19"/>
    <w:rsid w:val="00BA7461"/>
    <w:rsid w:val="00BA7DA9"/>
    <w:rsid w:val="00BC4215"/>
    <w:rsid w:val="00BD0396"/>
    <w:rsid w:val="00BD171B"/>
    <w:rsid w:val="00BD1A6F"/>
    <w:rsid w:val="00BD5B71"/>
    <w:rsid w:val="00BE6D3C"/>
    <w:rsid w:val="00BE7852"/>
    <w:rsid w:val="00BF7CEE"/>
    <w:rsid w:val="00C03880"/>
    <w:rsid w:val="00C06797"/>
    <w:rsid w:val="00C06A8A"/>
    <w:rsid w:val="00C135CF"/>
    <w:rsid w:val="00C2683F"/>
    <w:rsid w:val="00C3184D"/>
    <w:rsid w:val="00C4714E"/>
    <w:rsid w:val="00C50941"/>
    <w:rsid w:val="00C5504F"/>
    <w:rsid w:val="00C55991"/>
    <w:rsid w:val="00C63376"/>
    <w:rsid w:val="00C65103"/>
    <w:rsid w:val="00C66CB4"/>
    <w:rsid w:val="00C74EBA"/>
    <w:rsid w:val="00C74F97"/>
    <w:rsid w:val="00C76A08"/>
    <w:rsid w:val="00C8276E"/>
    <w:rsid w:val="00C83AD1"/>
    <w:rsid w:val="00C842AC"/>
    <w:rsid w:val="00C93FD9"/>
    <w:rsid w:val="00C96688"/>
    <w:rsid w:val="00CA0723"/>
    <w:rsid w:val="00CA4542"/>
    <w:rsid w:val="00CB1690"/>
    <w:rsid w:val="00CB3D4D"/>
    <w:rsid w:val="00CB570D"/>
    <w:rsid w:val="00CC1460"/>
    <w:rsid w:val="00CC4365"/>
    <w:rsid w:val="00CC43C1"/>
    <w:rsid w:val="00CD11B0"/>
    <w:rsid w:val="00CD5E0E"/>
    <w:rsid w:val="00CE71C2"/>
    <w:rsid w:val="00CF42D5"/>
    <w:rsid w:val="00CF4EDA"/>
    <w:rsid w:val="00D00093"/>
    <w:rsid w:val="00D021CB"/>
    <w:rsid w:val="00D02484"/>
    <w:rsid w:val="00D02A71"/>
    <w:rsid w:val="00D04019"/>
    <w:rsid w:val="00D10F1A"/>
    <w:rsid w:val="00D116F8"/>
    <w:rsid w:val="00D127B1"/>
    <w:rsid w:val="00D17596"/>
    <w:rsid w:val="00D22640"/>
    <w:rsid w:val="00D26D3A"/>
    <w:rsid w:val="00D30705"/>
    <w:rsid w:val="00D37D17"/>
    <w:rsid w:val="00D459F8"/>
    <w:rsid w:val="00D45C91"/>
    <w:rsid w:val="00D45EE3"/>
    <w:rsid w:val="00D50618"/>
    <w:rsid w:val="00D509E9"/>
    <w:rsid w:val="00D53B1C"/>
    <w:rsid w:val="00D652C8"/>
    <w:rsid w:val="00D656FF"/>
    <w:rsid w:val="00D71745"/>
    <w:rsid w:val="00D83615"/>
    <w:rsid w:val="00D97037"/>
    <w:rsid w:val="00DA1B12"/>
    <w:rsid w:val="00DA4F90"/>
    <w:rsid w:val="00DA54C9"/>
    <w:rsid w:val="00DA6739"/>
    <w:rsid w:val="00DA6CAE"/>
    <w:rsid w:val="00DB1A9E"/>
    <w:rsid w:val="00DB31D6"/>
    <w:rsid w:val="00DB3296"/>
    <w:rsid w:val="00DB4005"/>
    <w:rsid w:val="00DB61F1"/>
    <w:rsid w:val="00DC34EB"/>
    <w:rsid w:val="00DC485E"/>
    <w:rsid w:val="00DC78C0"/>
    <w:rsid w:val="00DD26E0"/>
    <w:rsid w:val="00DE2C10"/>
    <w:rsid w:val="00DF14C9"/>
    <w:rsid w:val="00DF1E5B"/>
    <w:rsid w:val="00DF2275"/>
    <w:rsid w:val="00DF3F5E"/>
    <w:rsid w:val="00DF5653"/>
    <w:rsid w:val="00E0596E"/>
    <w:rsid w:val="00E06F66"/>
    <w:rsid w:val="00E10C4B"/>
    <w:rsid w:val="00E14018"/>
    <w:rsid w:val="00E2111A"/>
    <w:rsid w:val="00E21678"/>
    <w:rsid w:val="00E356E5"/>
    <w:rsid w:val="00E36F81"/>
    <w:rsid w:val="00E378A8"/>
    <w:rsid w:val="00E40B9B"/>
    <w:rsid w:val="00E45765"/>
    <w:rsid w:val="00E46652"/>
    <w:rsid w:val="00E5098C"/>
    <w:rsid w:val="00E60213"/>
    <w:rsid w:val="00E661B2"/>
    <w:rsid w:val="00E7000F"/>
    <w:rsid w:val="00E74D29"/>
    <w:rsid w:val="00E806FF"/>
    <w:rsid w:val="00E83C74"/>
    <w:rsid w:val="00E83CEE"/>
    <w:rsid w:val="00E91F18"/>
    <w:rsid w:val="00E9226D"/>
    <w:rsid w:val="00EA416C"/>
    <w:rsid w:val="00EA4223"/>
    <w:rsid w:val="00EA5941"/>
    <w:rsid w:val="00EB60CE"/>
    <w:rsid w:val="00EB7D53"/>
    <w:rsid w:val="00EC1F2B"/>
    <w:rsid w:val="00EC2D28"/>
    <w:rsid w:val="00EC596B"/>
    <w:rsid w:val="00ED6D35"/>
    <w:rsid w:val="00EE13C5"/>
    <w:rsid w:val="00EE3012"/>
    <w:rsid w:val="00EE3146"/>
    <w:rsid w:val="00EF1BC6"/>
    <w:rsid w:val="00EF50BB"/>
    <w:rsid w:val="00EF71E4"/>
    <w:rsid w:val="00F00192"/>
    <w:rsid w:val="00F01DF6"/>
    <w:rsid w:val="00F027B8"/>
    <w:rsid w:val="00F0340D"/>
    <w:rsid w:val="00F059A6"/>
    <w:rsid w:val="00F23756"/>
    <w:rsid w:val="00F2523A"/>
    <w:rsid w:val="00F25FFA"/>
    <w:rsid w:val="00F310D2"/>
    <w:rsid w:val="00F36F3D"/>
    <w:rsid w:val="00F37C48"/>
    <w:rsid w:val="00F477BD"/>
    <w:rsid w:val="00F50333"/>
    <w:rsid w:val="00F53491"/>
    <w:rsid w:val="00F54656"/>
    <w:rsid w:val="00F55386"/>
    <w:rsid w:val="00F56411"/>
    <w:rsid w:val="00F60181"/>
    <w:rsid w:val="00F65A1C"/>
    <w:rsid w:val="00F66F50"/>
    <w:rsid w:val="00F77432"/>
    <w:rsid w:val="00F81162"/>
    <w:rsid w:val="00F82FF8"/>
    <w:rsid w:val="00F8330D"/>
    <w:rsid w:val="00F84305"/>
    <w:rsid w:val="00F8485C"/>
    <w:rsid w:val="00F87149"/>
    <w:rsid w:val="00F87FFE"/>
    <w:rsid w:val="00F954C9"/>
    <w:rsid w:val="00FA4754"/>
    <w:rsid w:val="00FA4CF0"/>
    <w:rsid w:val="00FA61AA"/>
    <w:rsid w:val="00FA69A4"/>
    <w:rsid w:val="00FB1279"/>
    <w:rsid w:val="00FB1495"/>
    <w:rsid w:val="00FC20F8"/>
    <w:rsid w:val="00FD1694"/>
    <w:rsid w:val="00FD7636"/>
    <w:rsid w:val="00FE3229"/>
    <w:rsid w:val="00FE6794"/>
    <w:rsid w:val="00FE74C3"/>
    <w:rsid w:val="00FF094C"/>
    <w:rsid w:val="00FF215C"/>
    <w:rsid w:val="00FF49E8"/>
    <w:rsid w:val="00FF4EC1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A5EC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B1627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al_x0020_Keywords xmlns="ebd1d3cd-24cf-40e2-889b-3f9ec775ac81">Committee Advice</Departmental_x0020_Keywords>
    <Publishing_x0020_Section xmlns="d3d3a9f2-d6b9-4ac6-938b-c1d69a470220">Water Group</Publishing_x0020_Section>
    <Keywords1 xmlns="d3d3a9f2-d6b9-4ac6-938b-c1d69a470220">Templates</Keywords1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104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True</rca:property>
    <rca:property rca:type="ConfiguredPageLocation">http://intranet.environment.gov.au</rca:property>
    <rca:property rca:type="CreateSynchronously">True</rca:property>
    <rca:property rca:type="AllowChangeProcessingConfig">True</rca:property>
    <rca:property rca:type="ConverterSpecificSettings"/>
  </rca:Converter>
  <rca:Converter rca:guid="888d770d-d3e9-4d60-8267-3c05ab059ef5">
    <rca:property rca:type="InheritParentSettings">False</rca:property>
    <rca:property rca:type="SelectedPageLayout">104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True</rca:property>
    <rca:property rca:type="ConfiguredPageLocation">http://intranet.environment.gov.au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EFB0CD99110D4998310DCED31C75A1" ma:contentTypeVersion="1" ma:contentTypeDescription="Create a new document." ma:contentTypeScope="" ma:versionID="9e2e67e850b690e63af8966cf7209148">
  <xsd:schema xmlns:xsd="http://www.w3.org/2001/XMLSchema" xmlns:xs="http://www.w3.org/2001/XMLSchema" xmlns:p="http://schemas.microsoft.com/office/2006/metadata/properties" xmlns:ns1="http://schemas.microsoft.com/sharepoint/v3" xmlns:ns2="ebd1d3cd-24cf-40e2-889b-3f9ec775ac81" xmlns:ns3="d3d3a9f2-d6b9-4ac6-938b-c1d69a470220" targetNamespace="http://schemas.microsoft.com/office/2006/metadata/properties" ma:root="true" ma:fieldsID="f58c6731f14a29095145dc94409cfc03" ns1:_="" ns2:_="" ns3:_="">
    <xsd:import namespace="http://schemas.microsoft.com/sharepoint/v3"/>
    <xsd:import namespace="ebd1d3cd-24cf-40e2-889b-3f9ec775ac81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Publishing_x0020_Section"/>
                <xsd:element ref="ns3:Keywords1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1d3cd-24cf-40e2-889b-3f9ec775ac81" elementFormDefault="qualified">
    <xsd:import namespace="http://schemas.microsoft.com/office/2006/documentManagement/types"/>
    <xsd:import namespace="http://schemas.microsoft.com/office/infopath/2007/PartnerControls"/>
    <xsd:element name="Departmental_x0020_Keywords" ma:index="8" nillable="true" ma:displayName="Document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3a9f2-d6b9-4ac6-938b-c1d69a470220" elementFormDefault="qualified">
    <xsd:import namespace="http://schemas.microsoft.com/office/2006/documentManagement/types"/>
    <xsd:import namespace="http://schemas.microsoft.com/office/infopath/2007/PartnerControls"/>
    <xsd:element name="Publishing_x0020_Section" ma:index="9" ma:displayName="Publishing Section" ma:description="Select a departmental owner" ma:format="Dropdown" ma:internalName="Publishing_x0020_Section">
      <xsd:simpleType>
        <xsd:restriction base="dms:Choice">
          <xsd:enumeration value="All Department"/>
          <xsd:enumeration value="Australian Antarctic Division"/>
          <xsd:enumeration value="Business Improvement Division"/>
          <xsd:enumeration value="Corporate Strategies Division"/>
          <xsd:enumeration value="Department of Climate Change"/>
          <xsd:enumeration value="Director of National Parks"/>
          <xsd:enumeration value="Environment Assessment and Compliance Division"/>
          <xsd:enumeration value="Environment Quality Division"/>
          <xsd:enumeration value="Executive"/>
          <xsd:enumeration value="Great Barrier Reef Marine Park Authority"/>
          <xsd:enumeration value="Heritage and Wildlife Division"/>
          <xsd:enumeration value="Information Management Division"/>
          <xsd:enumeration value="Land &amp; Coasts"/>
          <xsd:enumeration value="Marine Division"/>
          <xsd:enumeration value="National Water Commission"/>
          <xsd:enumeration value="Natural Resource Management Programs Division"/>
          <xsd:enumeration value="Office of the Renewable Energy Regulator"/>
          <xsd:enumeration value="Parks Australia"/>
          <xsd:enumeration value="Policy and Communications Division"/>
          <xsd:enumeration value="Renewable &amp; Energy Efficiency Division"/>
          <xsd:enumeration value="Supervising Scientist Division"/>
          <xsd:enumeration value="Sustainability Policy and Analysis Division"/>
          <xsd:enumeration value="Sustainable Population Division"/>
          <xsd:enumeration value="Sydney Harbour Federation Trust"/>
          <xsd:enumeration value="Water Group"/>
        </xsd:restriction>
      </xsd:simpleType>
    </xsd:element>
    <xsd:element name="Keywords1" ma:index="10" nillable="true" ma:displayName="Category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B2543-5026-4B1D-9DDD-44A4240F5571}">
  <ds:schemaRefs>
    <ds:schemaRef ds:uri="http://schemas.microsoft.com/office/2006/metadata/properties"/>
    <ds:schemaRef ds:uri="http://schemas.microsoft.com/office/infopath/2007/PartnerControls"/>
    <ds:schemaRef ds:uri="ebd1d3cd-24cf-40e2-889b-3f9ec775ac81"/>
    <ds:schemaRef ds:uri="d3d3a9f2-d6b9-4ac6-938b-c1d69a47022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ECE9135-01B9-4179-87A8-F1D2D1CBB58B}">
  <ds:schemaRefs>
    <ds:schemaRef ds:uri="urn:sharePointPublishingRcaProperties"/>
  </ds:schemaRefs>
</ds:datastoreItem>
</file>

<file path=customXml/itemProps3.xml><?xml version="1.0" encoding="utf-8"?>
<ds:datastoreItem xmlns:ds="http://schemas.openxmlformats.org/officeDocument/2006/customXml" ds:itemID="{2924141D-37D9-4BD9-8F27-24ADF6F72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d1d3cd-24cf-40e2-889b-3f9ec775ac81"/>
    <ds:schemaRef ds:uri="d3d3a9f2-d6b9-4ac6-938b-c1d69a470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0C89A6-0562-46AE-8702-014F564551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CC7E00-4FDA-4F9B-B53D-E90A66EB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4723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IESC Advice template 08112012</vt:lpstr>
    </vt:vector>
  </TitlesOfParts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mining project: Drake Open Cut Coal Mine Project</dc:title>
  <dc:creator/>
  <cp:lastModifiedBy/>
  <cp:revision>1</cp:revision>
  <dcterms:created xsi:type="dcterms:W3CDTF">2014-04-28T04:36:00Z</dcterms:created>
  <dcterms:modified xsi:type="dcterms:W3CDTF">2014-04-28T04:36:00Z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0x0101002EEFB0CD99110D4998310DCED31C75A1</vt:lpwstr>
  </property>
</Properties>
</file>