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A0AC4C" w14:textId="77777777" w:rsidR="002368B2" w:rsidRDefault="002368B2" w:rsidP="002368B2">
      <w:pPr>
        <w:rPr>
          <w:rFonts w:asciiTheme="minorHAnsi" w:eastAsiaTheme="minorHAnsi" w:hAnsiTheme="minorHAnsi" w:cstheme="minorBidi"/>
          <w:b/>
          <w:sz w:val="22"/>
          <w:szCs w:val="22"/>
          <w:lang w:eastAsia="en-US"/>
        </w:rPr>
      </w:pPr>
      <w:r w:rsidRPr="002368B2">
        <w:rPr>
          <w:rFonts w:asciiTheme="minorHAnsi" w:eastAsiaTheme="minorHAnsi" w:hAnsiTheme="minorHAnsi" w:cstheme="minorBidi"/>
          <w:b/>
          <w:sz w:val="22"/>
          <w:szCs w:val="22"/>
          <w:lang w:eastAsia="en-US"/>
        </w:rPr>
        <w:t xml:space="preserve">The Independent Expert Scientific Committee on Coal Seam Gas and Large Coal Mining Development (IESC) is seeking comment on the </w:t>
      </w:r>
      <w:r w:rsidRPr="00A93C9F">
        <w:rPr>
          <w:rFonts w:asciiTheme="minorHAnsi" w:eastAsiaTheme="minorHAnsi" w:hAnsiTheme="minorHAnsi" w:cstheme="minorBidi"/>
          <w:b/>
          <w:sz w:val="22"/>
          <w:szCs w:val="22"/>
          <w:u w:val="single"/>
          <w:lang w:eastAsia="en-US"/>
        </w:rPr>
        <w:t>draft</w:t>
      </w:r>
      <w:r w:rsidRPr="002368B2">
        <w:rPr>
          <w:rFonts w:asciiTheme="minorHAnsi" w:eastAsiaTheme="minorHAnsi" w:hAnsiTheme="minorHAnsi" w:cstheme="minorBidi"/>
          <w:b/>
          <w:sz w:val="22"/>
          <w:szCs w:val="22"/>
          <w:lang w:eastAsia="en-US"/>
        </w:rPr>
        <w:t xml:space="preserve"> Explanatory Note, Uncertainty Analysis in Groundwater Modelling. </w:t>
      </w:r>
      <w:bookmarkStart w:id="0" w:name="_GoBack"/>
      <w:bookmarkEnd w:id="0"/>
    </w:p>
    <w:p w14:paraId="7BFEA2D1" w14:textId="77777777" w:rsidR="001648FB" w:rsidRDefault="001648FB" w:rsidP="002368B2">
      <w:pPr>
        <w:rPr>
          <w:rFonts w:asciiTheme="minorHAnsi" w:eastAsiaTheme="minorHAnsi" w:hAnsiTheme="minorHAnsi" w:cstheme="minorBidi"/>
          <w:b/>
          <w:sz w:val="22"/>
          <w:szCs w:val="22"/>
          <w:lang w:eastAsia="en-US"/>
        </w:rPr>
      </w:pPr>
    </w:p>
    <w:p w14:paraId="72B92981" w14:textId="2B4E36AE" w:rsidR="002368B2" w:rsidRPr="002368B2" w:rsidRDefault="001648FB" w:rsidP="001648FB">
      <w:pPr>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The IESC note the draft nature of the Explanatory Note and welcome </w:t>
      </w:r>
      <w:r w:rsidR="002368B2" w:rsidRPr="002368B2">
        <w:rPr>
          <w:rFonts w:asciiTheme="minorHAnsi" w:eastAsiaTheme="minorHAnsi" w:hAnsiTheme="minorHAnsi" w:cstheme="minorBidi"/>
          <w:b/>
          <w:sz w:val="22"/>
          <w:szCs w:val="22"/>
          <w:lang w:eastAsia="en-US"/>
        </w:rPr>
        <w:t>feedback</w:t>
      </w:r>
      <w:r>
        <w:rPr>
          <w:rFonts w:asciiTheme="minorHAnsi" w:eastAsiaTheme="minorHAnsi" w:hAnsiTheme="minorHAnsi" w:cstheme="minorBidi"/>
          <w:b/>
          <w:sz w:val="22"/>
          <w:szCs w:val="22"/>
          <w:lang w:eastAsia="en-US"/>
        </w:rPr>
        <w:t xml:space="preserve"> on its content, usability and applicability.</w:t>
      </w:r>
      <w:r w:rsidR="00A93C9F">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In particular</w:t>
      </w:r>
      <w:r w:rsidR="002368B2" w:rsidRPr="002368B2">
        <w:rPr>
          <w:rFonts w:asciiTheme="minorHAnsi" w:eastAsiaTheme="minorHAnsi" w:hAnsiTheme="minorHAnsi" w:cstheme="minorBidi"/>
          <w:b/>
          <w:sz w:val="22"/>
          <w:szCs w:val="22"/>
          <w:lang w:eastAsia="en-US"/>
        </w:rPr>
        <w:t>, views are sought on:</w:t>
      </w:r>
    </w:p>
    <w:p w14:paraId="447A2430" w14:textId="77777777" w:rsidR="002368B2" w:rsidRPr="002368B2" w:rsidRDefault="002368B2" w:rsidP="002368B2">
      <w:pPr>
        <w:widowControl/>
        <w:numPr>
          <w:ilvl w:val="0"/>
          <w:numId w:val="48"/>
        </w:numPr>
        <w:autoSpaceDE/>
        <w:autoSpaceDN/>
        <w:adjustRightInd/>
        <w:spacing w:after="160" w:line="259" w:lineRule="auto"/>
        <w:contextualSpacing/>
        <w:rPr>
          <w:rFonts w:asciiTheme="minorHAnsi" w:eastAsiaTheme="minorHAnsi" w:hAnsiTheme="minorHAnsi" w:cstheme="minorBidi"/>
          <w:b/>
          <w:sz w:val="22"/>
          <w:szCs w:val="22"/>
          <w:lang w:eastAsia="en-US"/>
        </w:rPr>
      </w:pPr>
      <w:r w:rsidRPr="002368B2">
        <w:rPr>
          <w:rFonts w:asciiTheme="minorHAnsi" w:eastAsiaTheme="minorHAnsi" w:hAnsiTheme="minorHAnsi" w:cstheme="minorBidi"/>
          <w:b/>
          <w:sz w:val="22"/>
          <w:szCs w:val="22"/>
          <w:lang w:eastAsia="en-US"/>
        </w:rPr>
        <w:t>the technical content within the draft Explanatory Note. Are there any areas that are missing or not captured adequately?</w:t>
      </w:r>
    </w:p>
    <w:p w14:paraId="1CCB15B0" w14:textId="77777777" w:rsidR="002368B2" w:rsidRPr="002368B2" w:rsidRDefault="002368B2" w:rsidP="002368B2">
      <w:pPr>
        <w:widowControl/>
        <w:numPr>
          <w:ilvl w:val="0"/>
          <w:numId w:val="48"/>
        </w:numPr>
        <w:autoSpaceDE/>
        <w:autoSpaceDN/>
        <w:adjustRightInd/>
        <w:spacing w:after="160" w:line="259" w:lineRule="auto"/>
        <w:contextualSpacing/>
        <w:rPr>
          <w:rFonts w:asciiTheme="minorHAnsi" w:eastAsiaTheme="minorHAnsi" w:hAnsiTheme="minorHAnsi" w:cstheme="minorBidi"/>
          <w:b/>
          <w:sz w:val="22"/>
          <w:szCs w:val="22"/>
          <w:lang w:eastAsia="en-US"/>
        </w:rPr>
      </w:pPr>
      <w:r w:rsidRPr="002368B2">
        <w:rPr>
          <w:rFonts w:asciiTheme="minorHAnsi" w:eastAsiaTheme="minorHAnsi" w:hAnsiTheme="minorHAnsi" w:cstheme="minorBidi"/>
          <w:b/>
          <w:sz w:val="22"/>
          <w:szCs w:val="22"/>
          <w:lang w:eastAsia="en-US"/>
        </w:rPr>
        <w:t>the relevance to your specific area of work and any views on its uptake and adoption.</w:t>
      </w:r>
    </w:p>
    <w:p w14:paraId="360BC905" w14:textId="77777777" w:rsidR="002368B2" w:rsidRDefault="002368B2" w:rsidP="002368B2">
      <w:pPr>
        <w:widowControl/>
        <w:numPr>
          <w:ilvl w:val="0"/>
          <w:numId w:val="48"/>
        </w:numPr>
        <w:autoSpaceDE/>
        <w:autoSpaceDN/>
        <w:adjustRightInd/>
        <w:spacing w:after="160" w:line="259" w:lineRule="auto"/>
        <w:contextualSpacing/>
        <w:rPr>
          <w:rFonts w:asciiTheme="minorHAnsi" w:eastAsiaTheme="minorHAnsi" w:hAnsiTheme="minorHAnsi" w:cstheme="minorBidi"/>
          <w:b/>
          <w:sz w:val="22"/>
          <w:szCs w:val="22"/>
          <w:lang w:eastAsia="en-US"/>
        </w:rPr>
      </w:pPr>
      <w:r w:rsidRPr="002368B2">
        <w:rPr>
          <w:rFonts w:asciiTheme="minorHAnsi" w:eastAsiaTheme="minorHAnsi" w:hAnsiTheme="minorHAnsi" w:cstheme="minorBidi"/>
          <w:b/>
          <w:sz w:val="22"/>
          <w:szCs w:val="22"/>
          <w:lang w:eastAsia="en-US"/>
        </w:rPr>
        <w:t xml:space="preserve">potential options to increase uptake and adoption. </w:t>
      </w:r>
    </w:p>
    <w:p w14:paraId="7D2B949D" w14:textId="77777777" w:rsidR="001648FB" w:rsidRDefault="001648FB" w:rsidP="001648FB">
      <w:pPr>
        <w:widowControl/>
        <w:autoSpaceDE/>
        <w:autoSpaceDN/>
        <w:adjustRightInd/>
        <w:spacing w:after="160" w:line="259" w:lineRule="auto"/>
        <w:contextualSpacing/>
        <w:rPr>
          <w:rFonts w:asciiTheme="minorHAnsi" w:eastAsiaTheme="minorHAnsi" w:hAnsiTheme="minorHAnsi" w:cstheme="minorBidi"/>
          <w:b/>
          <w:sz w:val="22"/>
          <w:szCs w:val="22"/>
          <w:lang w:eastAsia="en-US"/>
        </w:rPr>
      </w:pPr>
    </w:p>
    <w:p w14:paraId="0BF13609" w14:textId="598F477B" w:rsidR="001648FB" w:rsidRDefault="004C6527" w:rsidP="002368B2">
      <w:pPr>
        <w:widowControl/>
        <w:autoSpaceDE/>
        <w:autoSpaceDN/>
        <w:adjustRightInd/>
        <w:spacing w:after="160" w:line="259" w:lineRule="auto"/>
        <w:contextualSpacing/>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A</w:t>
      </w:r>
      <w:r w:rsidR="00CF59FD" w:rsidRPr="00CF59FD">
        <w:rPr>
          <w:rFonts w:asciiTheme="minorHAnsi" w:eastAsiaTheme="minorHAnsi" w:hAnsiTheme="minorHAnsi" w:cstheme="minorBidi"/>
          <w:b/>
          <w:sz w:val="22"/>
          <w:szCs w:val="22"/>
          <w:lang w:eastAsia="en-US"/>
        </w:rPr>
        <w:t xml:space="preserve"> glossary is being developed and the Explanatory Note will be updated once this is finalised. Feedback received during the consultation process will be used to further target and refine sections to </w:t>
      </w:r>
      <w:r w:rsidR="00CF59FD">
        <w:rPr>
          <w:rFonts w:asciiTheme="minorHAnsi" w:eastAsiaTheme="minorHAnsi" w:hAnsiTheme="minorHAnsi" w:cstheme="minorBidi"/>
          <w:b/>
          <w:sz w:val="22"/>
          <w:szCs w:val="22"/>
          <w:lang w:eastAsia="en-US"/>
        </w:rPr>
        <w:t>ensure a robust and relevant document</w:t>
      </w:r>
      <w:r w:rsidR="00CF59FD" w:rsidRPr="00CF59FD">
        <w:rPr>
          <w:rFonts w:asciiTheme="minorHAnsi" w:eastAsiaTheme="minorHAnsi" w:hAnsiTheme="minorHAnsi" w:cstheme="minorBidi"/>
          <w:b/>
          <w:sz w:val="22"/>
          <w:szCs w:val="22"/>
          <w:lang w:eastAsia="en-US"/>
        </w:rPr>
        <w:t xml:space="preserve">. </w:t>
      </w:r>
    </w:p>
    <w:p w14:paraId="3FB2B96E" w14:textId="77777777" w:rsidR="00CF59FD" w:rsidRDefault="00CF59FD" w:rsidP="002368B2">
      <w:pPr>
        <w:widowControl/>
        <w:autoSpaceDE/>
        <w:autoSpaceDN/>
        <w:adjustRightInd/>
        <w:spacing w:after="160" w:line="259" w:lineRule="auto"/>
        <w:contextualSpacing/>
        <w:rPr>
          <w:rFonts w:asciiTheme="minorHAnsi" w:eastAsiaTheme="minorHAnsi" w:hAnsiTheme="minorHAnsi" w:cstheme="minorBidi"/>
          <w:b/>
          <w:sz w:val="22"/>
          <w:szCs w:val="22"/>
          <w:lang w:eastAsia="en-US"/>
        </w:rPr>
      </w:pPr>
    </w:p>
    <w:p w14:paraId="468099B6" w14:textId="68B61C70" w:rsidR="002368B2" w:rsidRPr="002368B2" w:rsidRDefault="002368B2" w:rsidP="002368B2">
      <w:pPr>
        <w:widowControl/>
        <w:autoSpaceDE/>
        <w:autoSpaceDN/>
        <w:adjustRightInd/>
        <w:spacing w:after="160" w:line="259" w:lineRule="auto"/>
        <w:rPr>
          <w:rFonts w:asciiTheme="minorHAnsi" w:eastAsiaTheme="minorHAnsi" w:hAnsiTheme="minorHAnsi" w:cstheme="minorBidi"/>
          <w:b/>
          <w:sz w:val="22"/>
          <w:szCs w:val="22"/>
          <w:lang w:eastAsia="en-US"/>
        </w:rPr>
      </w:pPr>
      <w:r w:rsidRPr="002368B2">
        <w:rPr>
          <w:rFonts w:asciiTheme="minorHAnsi" w:eastAsiaTheme="minorHAnsi" w:hAnsiTheme="minorHAnsi" w:cstheme="minorBidi"/>
          <w:b/>
          <w:sz w:val="22"/>
          <w:szCs w:val="22"/>
          <w:lang w:eastAsia="en-US"/>
        </w:rPr>
        <w:t xml:space="preserve">This paper provides a background on the IESC’s role. Context for the draft Explanatory Note is also provided to consider when providing feedback. </w:t>
      </w:r>
    </w:p>
    <w:p w14:paraId="4E95B268" w14:textId="77777777" w:rsidR="002368B2" w:rsidRPr="002368B2" w:rsidRDefault="002368B2" w:rsidP="002368B2">
      <w:pPr>
        <w:widowControl/>
        <w:autoSpaceDE/>
        <w:autoSpaceDN/>
        <w:adjustRightInd/>
        <w:spacing w:after="160" w:line="259" w:lineRule="auto"/>
        <w:rPr>
          <w:rFonts w:asciiTheme="minorHAnsi" w:eastAsiaTheme="minorHAnsi" w:hAnsiTheme="minorHAnsi" w:cstheme="minorBidi"/>
          <w:b/>
          <w:i/>
          <w:sz w:val="22"/>
          <w:szCs w:val="22"/>
          <w:lang w:eastAsia="en-US"/>
        </w:rPr>
      </w:pPr>
      <w:r w:rsidRPr="002368B2">
        <w:rPr>
          <w:rFonts w:asciiTheme="minorHAnsi" w:eastAsiaTheme="minorHAnsi" w:hAnsiTheme="minorHAnsi" w:cstheme="minorBidi"/>
          <w:b/>
          <w:i/>
          <w:sz w:val="22"/>
          <w:szCs w:val="22"/>
          <w:lang w:eastAsia="en-US"/>
        </w:rPr>
        <w:t xml:space="preserve">The IESC and the Information Guidelines </w:t>
      </w:r>
    </w:p>
    <w:p w14:paraId="5FEA3112" w14:textId="77777777" w:rsidR="002368B2" w:rsidRPr="002368B2" w:rsidRDefault="002368B2" w:rsidP="002368B2">
      <w:pPr>
        <w:widowControl/>
        <w:autoSpaceDE/>
        <w:autoSpaceDN/>
        <w:adjustRightInd/>
        <w:spacing w:after="160" w:line="259" w:lineRule="auto"/>
        <w:rPr>
          <w:rFonts w:asciiTheme="minorHAnsi" w:eastAsiaTheme="minorHAnsi" w:hAnsiTheme="minorHAnsi" w:cstheme="minorBidi"/>
          <w:sz w:val="22"/>
          <w:szCs w:val="22"/>
          <w:lang w:val="en-US" w:eastAsia="ja-JP"/>
        </w:rPr>
      </w:pPr>
      <w:r w:rsidRPr="002368B2">
        <w:rPr>
          <w:rFonts w:asciiTheme="minorHAnsi" w:eastAsiaTheme="minorHAnsi" w:hAnsiTheme="minorHAnsi" w:cstheme="minorBidi"/>
          <w:sz w:val="22"/>
          <w:szCs w:val="22"/>
          <w:lang w:val="en-US" w:eastAsia="ja-JP"/>
        </w:rPr>
        <w:t xml:space="preserve">The </w:t>
      </w:r>
      <w:r w:rsidRPr="002368B2">
        <w:rPr>
          <w:rFonts w:asciiTheme="minorHAnsi" w:eastAsiaTheme="minorHAnsi" w:hAnsiTheme="minorHAnsi"/>
          <w:color w:val="000000"/>
          <w:sz w:val="22"/>
          <w:szCs w:val="22"/>
          <w:lang w:eastAsia="en-US"/>
        </w:rPr>
        <w:t xml:space="preserve">IESC </w:t>
      </w:r>
      <w:r w:rsidRPr="002368B2">
        <w:rPr>
          <w:rFonts w:asciiTheme="minorHAnsi" w:eastAsiaTheme="minorHAnsi" w:hAnsiTheme="minorHAnsi" w:cstheme="minorBidi"/>
          <w:sz w:val="22"/>
          <w:szCs w:val="22"/>
          <w:lang w:val="en-US" w:eastAsia="ja-JP"/>
        </w:rPr>
        <w:t xml:space="preserve">is a statutory body under the </w:t>
      </w:r>
      <w:r w:rsidRPr="002368B2">
        <w:rPr>
          <w:rFonts w:asciiTheme="minorHAnsi" w:eastAsiaTheme="minorHAnsi" w:hAnsiTheme="minorHAnsi" w:cstheme="minorBidi"/>
          <w:i/>
          <w:sz w:val="22"/>
          <w:szCs w:val="22"/>
          <w:lang w:val="en-US" w:eastAsia="ja-JP"/>
        </w:rPr>
        <w:t>Environment Protection and Biodiversity Conservation Act 1999</w:t>
      </w:r>
      <w:r w:rsidRPr="002368B2">
        <w:rPr>
          <w:rFonts w:asciiTheme="minorHAnsi" w:eastAsiaTheme="minorHAnsi" w:hAnsiTheme="minorHAnsi" w:cstheme="minorBidi"/>
          <w:sz w:val="22"/>
          <w:szCs w:val="22"/>
          <w:lang w:val="en-US" w:eastAsia="ja-JP"/>
        </w:rPr>
        <w:t xml:space="preserve"> (EPBC Act). One of the IESC’s key legislative functions is to provide scientific advice to the Commonwealth Environment Minister and relevant state ministers in relation to coal seam gas (CSG) and large coal mining development proposals that are likely to have a significant impact on water resources. </w:t>
      </w:r>
    </w:p>
    <w:p w14:paraId="366971F5" w14:textId="3B844E95" w:rsidR="002368B2" w:rsidRPr="002368B2" w:rsidRDefault="002368B2" w:rsidP="002368B2">
      <w:pPr>
        <w:widowControl/>
        <w:autoSpaceDE/>
        <w:autoSpaceDN/>
        <w:adjustRightInd/>
        <w:spacing w:after="160" w:line="259" w:lineRule="auto"/>
        <w:rPr>
          <w:rFonts w:asciiTheme="minorHAnsi" w:eastAsiaTheme="minorHAnsi" w:hAnsiTheme="minorHAnsi" w:cstheme="minorBidi"/>
          <w:sz w:val="22"/>
          <w:szCs w:val="22"/>
          <w:lang w:val="en-US" w:eastAsia="ja-JP"/>
        </w:rPr>
      </w:pPr>
      <w:r w:rsidRPr="002368B2">
        <w:rPr>
          <w:rFonts w:asciiTheme="minorHAnsi" w:eastAsiaTheme="minorHAnsi" w:hAnsiTheme="minorHAnsi"/>
          <w:color w:val="000000"/>
          <w:sz w:val="22"/>
          <w:szCs w:val="22"/>
          <w:lang w:eastAsia="en-US"/>
        </w:rPr>
        <w:t>The</w:t>
      </w:r>
      <w:r w:rsidR="00A44B0E">
        <w:rPr>
          <w:rFonts w:asciiTheme="minorHAnsi" w:eastAsiaTheme="minorHAnsi" w:hAnsiTheme="minorHAnsi"/>
          <w:color w:val="000000"/>
          <w:sz w:val="22"/>
          <w:szCs w:val="22"/>
          <w:lang w:eastAsia="en-US"/>
        </w:rPr>
        <w:t xml:space="preserve"> Independent Expert Scientific Committee’s </w:t>
      </w:r>
      <w:r w:rsidR="00A44B0E" w:rsidRPr="00A44B0E">
        <w:rPr>
          <w:rFonts w:asciiTheme="minorHAnsi" w:eastAsiaTheme="minorHAnsi" w:hAnsiTheme="minorHAnsi"/>
          <w:i/>
          <w:color w:val="000000"/>
          <w:sz w:val="22"/>
          <w:szCs w:val="22"/>
          <w:lang w:eastAsia="en-US"/>
        </w:rPr>
        <w:t>Information Guidelines for proponents preparing coal seam gas and large coal mining development proposals</w:t>
      </w:r>
      <w:r w:rsidR="00A44B0E">
        <w:rPr>
          <w:rFonts w:asciiTheme="minorHAnsi" w:eastAsiaTheme="minorHAnsi" w:hAnsiTheme="minorHAnsi"/>
          <w:color w:val="000000"/>
          <w:sz w:val="22"/>
          <w:szCs w:val="22"/>
          <w:lang w:eastAsia="en-US"/>
        </w:rPr>
        <w:t xml:space="preserve"> (Information Guidelines) </w:t>
      </w:r>
      <w:r w:rsidRPr="002368B2">
        <w:rPr>
          <w:rFonts w:asciiTheme="minorHAnsi" w:eastAsiaTheme="minorHAnsi" w:hAnsiTheme="minorHAnsi"/>
          <w:color w:val="000000"/>
          <w:sz w:val="22"/>
          <w:szCs w:val="22"/>
          <w:lang w:eastAsia="en-US"/>
        </w:rPr>
        <w:t>outline the information that project proponents should provide to enable the IESC to provide robust scientific advice to government regulators on</w:t>
      </w:r>
      <w:r w:rsidRPr="002368B2">
        <w:rPr>
          <w:rFonts w:ascii="Verdana" w:eastAsiaTheme="minorHAnsi" w:hAnsi="Verdana"/>
          <w:color w:val="000000"/>
          <w:sz w:val="17"/>
          <w:szCs w:val="17"/>
          <w:lang w:eastAsia="en-US"/>
        </w:rPr>
        <w:t xml:space="preserve"> </w:t>
      </w:r>
      <w:r w:rsidRPr="002368B2">
        <w:rPr>
          <w:rFonts w:asciiTheme="minorHAnsi" w:eastAsiaTheme="minorHAnsi" w:hAnsiTheme="minorHAnsi" w:cstheme="minorBidi"/>
          <w:sz w:val="22"/>
          <w:szCs w:val="22"/>
          <w:lang w:val="en-US" w:eastAsia="ja-JP"/>
        </w:rPr>
        <w:t xml:space="preserve">the potential water-related impacts of CSG and large coal mining development proposals. </w:t>
      </w:r>
      <w:r w:rsidRPr="002368B2">
        <w:rPr>
          <w:rFonts w:asciiTheme="minorHAnsi" w:eastAsiaTheme="minorHAnsi" w:hAnsiTheme="minorHAnsi" w:cstheme="minorBidi"/>
          <w:sz w:val="22"/>
          <w:szCs w:val="22"/>
          <w:lang w:eastAsia="en-US"/>
        </w:rPr>
        <w:t xml:space="preserve">The Explanatory Note supports the </w:t>
      </w:r>
      <w:r w:rsidR="00A44B0E">
        <w:rPr>
          <w:rFonts w:asciiTheme="minorHAnsi" w:eastAsiaTheme="minorHAnsi" w:hAnsiTheme="minorHAnsi" w:cstheme="minorBidi"/>
          <w:sz w:val="22"/>
          <w:szCs w:val="22"/>
          <w:lang w:eastAsia="en-US"/>
        </w:rPr>
        <w:t xml:space="preserve">Information </w:t>
      </w:r>
      <w:r w:rsidRPr="002368B2">
        <w:rPr>
          <w:rFonts w:asciiTheme="minorHAnsi" w:eastAsiaTheme="minorHAnsi" w:hAnsiTheme="minorHAnsi" w:cstheme="minorBidi"/>
          <w:sz w:val="22"/>
          <w:szCs w:val="22"/>
          <w:lang w:eastAsia="en-US"/>
        </w:rPr>
        <w:t>Guidelines by providing information and guidance on undertaking uncertainty analysis of groundwater modelling.</w:t>
      </w:r>
      <w:r w:rsidRPr="002368B2">
        <w:rPr>
          <w:rFonts w:asciiTheme="minorHAnsi" w:eastAsiaTheme="minorHAnsi" w:hAnsiTheme="minorHAnsi" w:cstheme="minorBidi"/>
          <w:sz w:val="22"/>
          <w:szCs w:val="22"/>
          <w:lang w:val="en-US" w:eastAsia="ja-JP"/>
        </w:rPr>
        <w:t xml:space="preserve"> </w:t>
      </w:r>
    </w:p>
    <w:p w14:paraId="0645857F" w14:textId="77777777" w:rsidR="002368B2" w:rsidRPr="002368B2" w:rsidRDefault="002368B2" w:rsidP="002368B2">
      <w:pPr>
        <w:widowControl/>
        <w:autoSpaceDE/>
        <w:autoSpaceDN/>
        <w:adjustRightInd/>
        <w:spacing w:after="160" w:line="259" w:lineRule="auto"/>
        <w:rPr>
          <w:rFonts w:asciiTheme="minorHAnsi" w:eastAsiaTheme="minorHAnsi" w:hAnsiTheme="minorHAnsi" w:cstheme="minorBidi"/>
          <w:b/>
          <w:i/>
          <w:sz w:val="22"/>
          <w:szCs w:val="22"/>
          <w:lang w:val="en-US" w:eastAsia="ja-JP"/>
        </w:rPr>
      </w:pPr>
      <w:r w:rsidRPr="002368B2">
        <w:rPr>
          <w:rFonts w:asciiTheme="minorHAnsi" w:eastAsiaTheme="minorHAnsi" w:hAnsiTheme="minorHAnsi" w:cstheme="minorBidi"/>
          <w:b/>
          <w:i/>
          <w:sz w:val="22"/>
          <w:szCs w:val="22"/>
          <w:lang w:val="en-US" w:eastAsia="ja-JP"/>
        </w:rPr>
        <w:t>The Explanatory Note, Uncertainty Analysis in Groundwater Modelling</w:t>
      </w:r>
    </w:p>
    <w:p w14:paraId="341F032C" w14:textId="05FAEDEE" w:rsidR="002368B2" w:rsidRPr="002368B2" w:rsidRDefault="002368B2" w:rsidP="002368B2">
      <w:pPr>
        <w:widowControl/>
        <w:autoSpaceDE/>
        <w:autoSpaceDN/>
        <w:adjustRightInd/>
        <w:spacing w:after="160" w:line="259" w:lineRule="auto"/>
        <w:rPr>
          <w:rFonts w:asciiTheme="minorHAnsi" w:eastAsiaTheme="minorHAnsi" w:hAnsiTheme="minorHAnsi" w:cstheme="minorBidi"/>
          <w:sz w:val="22"/>
          <w:szCs w:val="22"/>
          <w:lang w:eastAsia="en-US"/>
        </w:rPr>
      </w:pPr>
      <w:r w:rsidRPr="002368B2">
        <w:rPr>
          <w:rFonts w:asciiTheme="minorHAnsi" w:eastAsiaTheme="minorHAnsi" w:hAnsiTheme="minorHAnsi" w:cstheme="minorBidi"/>
          <w:sz w:val="22"/>
          <w:szCs w:val="22"/>
          <w:lang w:eastAsia="en-US"/>
        </w:rPr>
        <w:t xml:space="preserve">The complexities and inherent uncertainties associated with conceptualising and estimating hydraulic characteristics (i.e. parameterisation) of groundwater systems indicates that </w:t>
      </w:r>
      <w:r w:rsidRPr="002368B2">
        <w:rPr>
          <w:rFonts w:ascii="Calibri" w:eastAsiaTheme="minorHAnsi" w:hAnsi="Calibri" w:cs="Calibri"/>
          <w:sz w:val="22"/>
          <w:szCs w:val="22"/>
          <w:lang w:eastAsia="en-US"/>
        </w:rPr>
        <w:t xml:space="preserve">predictive uncertainty analysis should be an important part of the groundwater modelling process. </w:t>
      </w:r>
      <w:r w:rsidRPr="002368B2">
        <w:rPr>
          <w:rFonts w:asciiTheme="minorHAnsi" w:eastAsiaTheme="minorHAnsi" w:hAnsiTheme="minorHAnsi" w:cstheme="minorBidi"/>
          <w:sz w:val="22"/>
          <w:szCs w:val="22"/>
          <w:lang w:eastAsia="en-US"/>
        </w:rPr>
        <w:t xml:space="preserve">The general approach </w:t>
      </w:r>
      <w:r w:rsidR="005D1560">
        <w:rPr>
          <w:rFonts w:asciiTheme="minorHAnsi" w:eastAsiaTheme="minorHAnsi" w:hAnsiTheme="minorHAnsi" w:cstheme="minorBidi"/>
          <w:sz w:val="22"/>
          <w:szCs w:val="22"/>
          <w:lang w:eastAsia="en-US"/>
        </w:rPr>
        <w:t>that is currently</w:t>
      </w:r>
      <w:r w:rsidR="005D1560" w:rsidRPr="002368B2">
        <w:rPr>
          <w:rFonts w:asciiTheme="minorHAnsi" w:eastAsiaTheme="minorHAnsi" w:hAnsiTheme="minorHAnsi" w:cstheme="minorBidi"/>
          <w:sz w:val="22"/>
          <w:szCs w:val="22"/>
          <w:lang w:eastAsia="en-US"/>
        </w:rPr>
        <w:t xml:space="preserve"> </w:t>
      </w:r>
      <w:r w:rsidRPr="002368B2">
        <w:rPr>
          <w:rFonts w:asciiTheme="minorHAnsi" w:eastAsiaTheme="minorHAnsi" w:hAnsiTheme="minorHAnsi" w:cstheme="minorBidi"/>
          <w:sz w:val="22"/>
          <w:szCs w:val="22"/>
          <w:lang w:eastAsia="en-US"/>
        </w:rPr>
        <w:t xml:space="preserve">observed in environmental impact assessments is the development of a </w:t>
      </w:r>
      <w:r w:rsidRPr="002368B2">
        <w:rPr>
          <w:rFonts w:ascii="Calibri" w:eastAsiaTheme="minorHAnsi" w:hAnsi="Calibri" w:cs="Calibri"/>
          <w:sz w:val="22"/>
          <w:szCs w:val="22"/>
          <w:lang w:eastAsia="en-US"/>
        </w:rPr>
        <w:t>single numerical groundwater model without any uncertainty analysis. W</w:t>
      </w:r>
      <w:r w:rsidRPr="002368B2">
        <w:rPr>
          <w:rFonts w:asciiTheme="minorHAnsi" w:eastAsiaTheme="minorHAnsi" w:hAnsiTheme="minorHAnsi" w:cstheme="minorBidi"/>
          <w:sz w:val="22"/>
          <w:szCs w:val="22"/>
          <w:lang w:eastAsia="en-US"/>
        </w:rPr>
        <w:t xml:space="preserve">hen considered in a risk management context, this approach is not sufficient to predict the range of potential impacts and their likelihood. A quantitative uncertainty analysis delivers the range of model prediction scenarios, each plausible in that they are consistent with all available information and data. Uncertainty analysis also provides insight into what are the main sources of uncertainty and how much the uncertainty in model outcomes is reduced by data. </w:t>
      </w:r>
    </w:p>
    <w:p w14:paraId="42B0817E" w14:textId="6AE90812" w:rsidR="007A3B92" w:rsidRDefault="002368B2" w:rsidP="00BB12AF">
      <w:pPr>
        <w:widowControl/>
        <w:autoSpaceDE/>
        <w:autoSpaceDN/>
        <w:adjustRightInd/>
        <w:spacing w:after="160" w:line="259" w:lineRule="auto"/>
        <w:rPr>
          <w:rFonts w:asciiTheme="minorHAnsi" w:eastAsiaTheme="minorHAnsi" w:hAnsiTheme="minorHAnsi" w:cstheme="minorBidi"/>
          <w:sz w:val="22"/>
          <w:szCs w:val="22"/>
          <w:lang w:eastAsia="en-US"/>
        </w:rPr>
        <w:sectPr w:rsidR="007A3B92" w:rsidSect="007F5235">
          <w:headerReference w:type="even" r:id="rId7"/>
          <w:headerReference w:type="default" r:id="rId8"/>
          <w:footerReference w:type="even" r:id="rId9"/>
          <w:footerReference w:type="default" r:id="rId10"/>
          <w:headerReference w:type="first" r:id="rId11"/>
          <w:footerReference w:type="first" r:id="rId12"/>
          <w:type w:val="continuous"/>
          <w:pgSz w:w="11910" w:h="16840"/>
          <w:pgMar w:top="426" w:right="1021" w:bottom="426" w:left="1298" w:header="740" w:footer="170" w:gutter="0"/>
          <w:pgNumType w:start="1"/>
          <w:cols w:space="720"/>
          <w:noEndnote/>
          <w:titlePg/>
          <w:docGrid w:linePitch="326"/>
        </w:sectPr>
      </w:pPr>
      <w:r w:rsidRPr="002368B2">
        <w:rPr>
          <w:rFonts w:asciiTheme="minorHAnsi" w:eastAsiaTheme="minorHAnsi" w:hAnsiTheme="minorHAnsi" w:cstheme="minorBidi"/>
          <w:sz w:val="22"/>
          <w:szCs w:val="22"/>
          <w:lang w:eastAsia="en-US"/>
        </w:rPr>
        <w:lastRenderedPageBreak/>
        <w:t xml:space="preserve">The </w:t>
      </w:r>
      <w:r w:rsidR="00A93C9F">
        <w:rPr>
          <w:rFonts w:asciiTheme="minorHAnsi" w:eastAsiaTheme="minorHAnsi" w:hAnsiTheme="minorHAnsi" w:cstheme="minorBidi"/>
          <w:sz w:val="22"/>
          <w:szCs w:val="22"/>
          <w:lang w:eastAsia="en-US"/>
        </w:rPr>
        <w:t xml:space="preserve">draft </w:t>
      </w:r>
      <w:r w:rsidRPr="002368B2">
        <w:rPr>
          <w:rFonts w:asciiTheme="minorHAnsi" w:eastAsiaTheme="minorHAnsi" w:hAnsiTheme="minorHAnsi" w:cstheme="minorBidi"/>
          <w:sz w:val="22"/>
          <w:szCs w:val="22"/>
          <w:lang w:eastAsia="en-US"/>
        </w:rPr>
        <w:t>Explanatory Note is intended to complement the Australian Groundwater Modelling Guidelines (AGMG). It is acknowledged that there are a range of externalities (e.g. l</w:t>
      </w:r>
      <w:r w:rsidRPr="002368B2">
        <w:rPr>
          <w:rFonts w:ascii="Calibri" w:eastAsiaTheme="minorHAnsi" w:hAnsi="Calibri" w:cs="Calibri"/>
          <w:sz w:val="22"/>
          <w:szCs w:val="22"/>
          <w:lang w:eastAsia="en-US"/>
        </w:rPr>
        <w:t xml:space="preserve">imited formal training/guidance, timing, cost, project staging etc.) </w:t>
      </w:r>
      <w:r w:rsidRPr="002368B2">
        <w:rPr>
          <w:rFonts w:asciiTheme="minorHAnsi" w:eastAsiaTheme="minorHAnsi" w:hAnsiTheme="minorHAnsi" w:cstheme="minorBidi"/>
          <w:sz w:val="22"/>
          <w:szCs w:val="22"/>
          <w:lang w:eastAsia="en-US"/>
        </w:rPr>
        <w:t>that need to be considered to increase adoption and uptake of uncertainty analysis for</w:t>
      </w:r>
      <w:r w:rsidRPr="002368B2">
        <w:rPr>
          <w:rFonts w:ascii="Calibri" w:eastAsiaTheme="minorHAnsi" w:hAnsi="Calibri" w:cs="Calibri"/>
          <w:sz w:val="22"/>
          <w:szCs w:val="22"/>
          <w:lang w:eastAsia="en-US"/>
        </w:rPr>
        <w:t xml:space="preserve"> project scale environment impact assessments. </w:t>
      </w:r>
      <w:r w:rsidR="004C6527">
        <w:rPr>
          <w:rFonts w:ascii="Calibri" w:eastAsiaTheme="minorHAnsi" w:hAnsi="Calibri" w:cs="Calibri"/>
          <w:sz w:val="22"/>
          <w:szCs w:val="22"/>
          <w:lang w:eastAsia="en-US"/>
        </w:rPr>
        <w:t>A</w:t>
      </w:r>
      <w:r w:rsidRPr="002368B2">
        <w:rPr>
          <w:rFonts w:asciiTheme="minorHAnsi" w:eastAsiaTheme="minorHAnsi" w:hAnsiTheme="minorHAnsi" w:cstheme="minorBidi"/>
          <w:sz w:val="22"/>
          <w:szCs w:val="22"/>
          <w:lang w:eastAsia="en-US"/>
        </w:rPr>
        <w:t xml:space="preserve"> robust uncertainty analysis is important for regulatory decision-making</w:t>
      </w:r>
      <w:r w:rsidR="00681976">
        <w:rPr>
          <w:rFonts w:asciiTheme="minorHAnsi" w:eastAsiaTheme="minorHAnsi" w:hAnsiTheme="minorHAnsi" w:cstheme="minorBidi"/>
          <w:sz w:val="22"/>
          <w:szCs w:val="22"/>
          <w:lang w:eastAsia="en-US"/>
        </w:rPr>
        <w:t>,</w:t>
      </w:r>
      <w:r w:rsidR="007A3B92">
        <w:rPr>
          <w:rFonts w:asciiTheme="minorHAnsi" w:eastAsiaTheme="minorHAnsi" w:hAnsiTheme="minorHAnsi" w:cstheme="minorBidi"/>
          <w:sz w:val="22"/>
          <w:szCs w:val="22"/>
          <w:lang w:eastAsia="en-US"/>
        </w:rPr>
        <w:t xml:space="preserve"> a</w:t>
      </w:r>
      <w:r w:rsidR="001E1D7B">
        <w:rPr>
          <w:rFonts w:asciiTheme="minorHAnsi" w:eastAsiaTheme="minorHAnsi" w:hAnsiTheme="minorHAnsi" w:cstheme="minorBidi"/>
          <w:sz w:val="22"/>
          <w:szCs w:val="22"/>
          <w:lang w:eastAsia="en-US"/>
        </w:rPr>
        <w:t>s i</w:t>
      </w:r>
      <w:r w:rsidRPr="002368B2">
        <w:rPr>
          <w:rFonts w:asciiTheme="minorHAnsi" w:eastAsiaTheme="minorHAnsi" w:hAnsiTheme="minorHAnsi" w:cstheme="minorBidi"/>
          <w:sz w:val="22"/>
          <w:szCs w:val="22"/>
          <w:lang w:eastAsia="en-US"/>
        </w:rPr>
        <w:t xml:space="preserve">t will inform and ensure management options and approaches are commensurate with the level of risk </w:t>
      </w:r>
      <w:r w:rsidR="007A3B92">
        <w:rPr>
          <w:rFonts w:asciiTheme="minorHAnsi" w:eastAsiaTheme="minorHAnsi" w:hAnsiTheme="minorHAnsi" w:cstheme="minorBidi"/>
          <w:sz w:val="22"/>
          <w:szCs w:val="22"/>
          <w:lang w:eastAsia="en-US"/>
        </w:rPr>
        <w:t>and</w:t>
      </w:r>
      <w:r w:rsidRPr="002368B2">
        <w:rPr>
          <w:rFonts w:asciiTheme="minorHAnsi" w:eastAsiaTheme="minorHAnsi" w:hAnsiTheme="minorHAnsi" w:cstheme="minorBidi"/>
          <w:sz w:val="22"/>
          <w:szCs w:val="22"/>
          <w:lang w:eastAsia="en-US"/>
        </w:rPr>
        <w:t xml:space="preserve"> </w:t>
      </w:r>
      <w:r w:rsidR="00681976">
        <w:rPr>
          <w:rFonts w:asciiTheme="minorHAnsi" w:eastAsiaTheme="minorHAnsi" w:hAnsiTheme="minorHAnsi" w:cstheme="minorBidi"/>
          <w:sz w:val="22"/>
          <w:szCs w:val="22"/>
          <w:lang w:eastAsia="en-US"/>
        </w:rPr>
        <w:t xml:space="preserve">its </w:t>
      </w:r>
      <w:r w:rsidRPr="002368B2">
        <w:rPr>
          <w:rFonts w:asciiTheme="minorHAnsi" w:eastAsiaTheme="minorHAnsi" w:hAnsiTheme="minorHAnsi" w:cstheme="minorBidi"/>
          <w:sz w:val="22"/>
          <w:szCs w:val="22"/>
          <w:lang w:eastAsia="en-US"/>
        </w:rPr>
        <w:t>likelihood for any particular impact.</w:t>
      </w:r>
      <w:r w:rsidR="00A93C9F">
        <w:rPr>
          <w:rFonts w:asciiTheme="minorHAnsi" w:eastAsiaTheme="minorHAnsi" w:hAnsiTheme="minorHAnsi" w:cstheme="minorBidi"/>
          <w:sz w:val="22"/>
          <w:szCs w:val="22"/>
          <w:lang w:eastAsia="en-US"/>
        </w:rPr>
        <w:t xml:space="preserve"> </w:t>
      </w:r>
      <w:r w:rsidR="004C6527">
        <w:rPr>
          <w:rFonts w:asciiTheme="minorHAnsi" w:eastAsiaTheme="minorHAnsi" w:hAnsiTheme="minorHAnsi" w:cstheme="minorBidi"/>
          <w:sz w:val="22"/>
          <w:szCs w:val="22"/>
          <w:lang w:eastAsia="en-US"/>
        </w:rPr>
        <w:t xml:space="preserve">Feedback </w:t>
      </w:r>
      <w:r w:rsidR="00A93C9F">
        <w:rPr>
          <w:rFonts w:asciiTheme="minorHAnsi" w:eastAsiaTheme="minorHAnsi" w:hAnsiTheme="minorHAnsi" w:cstheme="minorBidi"/>
          <w:sz w:val="22"/>
          <w:szCs w:val="22"/>
          <w:lang w:eastAsia="en-US"/>
        </w:rPr>
        <w:t xml:space="preserve">on the draft Explanatory Note </w:t>
      </w:r>
      <w:r w:rsidR="007A3B92">
        <w:rPr>
          <w:rFonts w:asciiTheme="minorHAnsi" w:eastAsiaTheme="minorHAnsi" w:hAnsiTheme="minorHAnsi" w:cstheme="minorBidi"/>
          <w:sz w:val="22"/>
          <w:szCs w:val="22"/>
          <w:lang w:eastAsia="en-US"/>
        </w:rPr>
        <w:t xml:space="preserve">will </w:t>
      </w:r>
      <w:r w:rsidR="00A93C9F">
        <w:rPr>
          <w:rFonts w:asciiTheme="minorHAnsi" w:eastAsiaTheme="minorHAnsi" w:hAnsiTheme="minorHAnsi" w:cstheme="minorBidi"/>
          <w:sz w:val="22"/>
          <w:szCs w:val="22"/>
          <w:lang w:eastAsia="en-US"/>
        </w:rPr>
        <w:t>help develop</w:t>
      </w:r>
      <w:r w:rsidR="00A93C9F" w:rsidRPr="00A93C9F">
        <w:rPr>
          <w:rFonts w:asciiTheme="minorHAnsi" w:eastAsiaTheme="minorHAnsi" w:hAnsiTheme="minorHAnsi" w:cstheme="minorBidi"/>
          <w:sz w:val="22"/>
          <w:szCs w:val="22"/>
          <w:lang w:eastAsia="en-US"/>
        </w:rPr>
        <w:t xml:space="preserve"> </w:t>
      </w:r>
      <w:r w:rsidR="00A93C9F">
        <w:rPr>
          <w:rFonts w:asciiTheme="minorHAnsi" w:eastAsiaTheme="minorHAnsi" w:hAnsiTheme="minorHAnsi" w:cstheme="minorBidi"/>
          <w:sz w:val="22"/>
          <w:szCs w:val="22"/>
          <w:lang w:eastAsia="en-US"/>
        </w:rPr>
        <w:t>a robust, relevant and usable document</w:t>
      </w:r>
      <w:r w:rsidR="00A93C9F" w:rsidRPr="00A93C9F">
        <w:rPr>
          <w:rFonts w:asciiTheme="minorHAnsi" w:eastAsiaTheme="minorHAnsi" w:hAnsiTheme="minorHAnsi" w:cstheme="minorBidi"/>
          <w:sz w:val="22"/>
          <w:szCs w:val="22"/>
          <w:lang w:eastAsia="en-US"/>
        </w:rPr>
        <w:t>.</w:t>
      </w:r>
    </w:p>
    <w:p w14:paraId="24C98501" w14:textId="528A50FD" w:rsidR="00DC3F48" w:rsidRDefault="00DC3F48" w:rsidP="00BB12AF">
      <w:pPr>
        <w:widowControl/>
        <w:autoSpaceDE/>
        <w:autoSpaceDN/>
        <w:adjustRightInd/>
        <w:spacing w:after="160" w:line="259"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br w:type="page"/>
      </w:r>
      <w:r w:rsidR="007A3B92" w:rsidRPr="007A3B92">
        <w:rPr>
          <w:rFonts w:ascii="Cambria" w:eastAsia="MS Mincho" w:hAnsi="Cambria" w:cs="Times New Roman"/>
          <w:noProof/>
        </w:rPr>
        <mc:AlternateContent>
          <mc:Choice Requires="wps">
            <w:drawing>
              <wp:anchor distT="0" distB="0" distL="114300" distR="114300" simplePos="0" relativeHeight="251658249" behindDoc="0" locked="0" layoutInCell="1" allowOverlap="1" wp14:anchorId="1F51E2AA" wp14:editId="237144B0">
                <wp:simplePos x="0" y="0"/>
                <wp:positionH relativeFrom="column">
                  <wp:posOffset>2181860</wp:posOffset>
                </wp:positionH>
                <wp:positionV relativeFrom="paragraph">
                  <wp:posOffset>2324735</wp:posOffset>
                </wp:positionV>
                <wp:extent cx="3886200" cy="480060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48006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69AC893D" w14:textId="25284166" w:rsidR="00A44B0E" w:rsidRDefault="00A44B0E" w:rsidP="007A3B92">
                            <w:pPr>
                              <w:pStyle w:val="Head1Headings"/>
                              <w:pBdr>
                                <w:top w:val="single" w:sz="4" w:space="8" w:color="auto"/>
                                <w:bottom w:val="single" w:sz="4" w:space="4" w:color="auto"/>
                              </w:pBdr>
                              <w:rPr>
                                <w:color w:val="auto"/>
                              </w:rPr>
                            </w:pPr>
                            <w:r>
                              <w:rPr>
                                <w:color w:val="auto"/>
                              </w:rPr>
                              <w:t>Explanatory Note, Uncertainty Analysis in Groundwater Modelling</w:t>
                            </w:r>
                          </w:p>
                          <w:p w14:paraId="1B19DC67" w14:textId="77777777" w:rsidR="00A44B0E" w:rsidRPr="003C31AE" w:rsidRDefault="00A44B0E" w:rsidP="007A3B92">
                            <w:pPr>
                              <w:pStyle w:val="Head1Headings"/>
                              <w:pBdr>
                                <w:top w:val="single" w:sz="4" w:space="8" w:color="auto"/>
                                <w:bottom w:val="single" w:sz="4" w:space="4" w:color="auto"/>
                              </w:pBdr>
                              <w:rPr>
                                <w:color w:val="auto"/>
                              </w:rPr>
                            </w:pPr>
                          </w:p>
                          <w:p w14:paraId="4A291CD4" w14:textId="77777777" w:rsidR="00A44B0E" w:rsidRDefault="00A44B0E" w:rsidP="007A3B92"/>
                          <w:p w14:paraId="2643E0CF" w14:textId="77777777" w:rsidR="00A44B0E" w:rsidRDefault="00A44B0E" w:rsidP="007A3B92"/>
                          <w:p w14:paraId="15143F57" w14:textId="77777777" w:rsidR="00A44B0E" w:rsidRDefault="00A44B0E" w:rsidP="007A3B92"/>
                          <w:p w14:paraId="44CEB3CA" w14:textId="77777777" w:rsidR="00A44B0E" w:rsidRDefault="00A44B0E" w:rsidP="007A3B92"/>
                          <w:p w14:paraId="48D4154A" w14:textId="77777777" w:rsidR="00A44B0E" w:rsidRDefault="00A44B0E" w:rsidP="007A3B92"/>
                          <w:p w14:paraId="0B41879C" w14:textId="77777777" w:rsidR="00A44B0E" w:rsidRDefault="00A44B0E" w:rsidP="007A3B92"/>
                          <w:p w14:paraId="6BFC2956" w14:textId="77777777" w:rsidR="00A44B0E" w:rsidRDefault="00A44B0E" w:rsidP="007A3B92"/>
                          <w:p w14:paraId="43CAB4E3" w14:textId="77777777" w:rsidR="00A44B0E" w:rsidRPr="003C31AE" w:rsidRDefault="00A44B0E" w:rsidP="007A3B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1E2AA" id="_x0000_t202" coordsize="21600,21600" o:spt="202" path="m,l,21600r21600,l21600,xe">
                <v:stroke joinstyle="miter"/>
                <v:path gradientshapeok="t" o:connecttype="rect"/>
              </v:shapetype>
              <v:shape id="Text Box 14" o:spid="_x0000_s1026" type="#_x0000_t202" style="position:absolute;margin-left:171.8pt;margin-top:183.05pt;width:306pt;height:37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4DaZQIAALwEAAAOAAAAZHJzL2Uyb0RvYy54bWysVFFP2zAQfp+0/2D5vSTtApSIFIWiTpMq&#10;QIKJZ9d1aLTE59kuCZv47/vstNCxPU17Sc93n893933X84u+bdiTsq4mXfDxUcqZ0pLWtX4s+Nf7&#10;xWjKmfNCr0VDWhX8WTl+Mfv44bwzuZrQhpq1sgxJtMs7U/CN9yZPEic3qhXuiIzSCFZkW+FxtI/J&#10;2ooO2dsmmaTpSdKRXRtLUjkH79UQ5LOYv6qU9DdV5ZRnTcFRm49fG7+r8E1m5yJ/tMJsarkrQ/xD&#10;Fa2oNR59TXUlvGBbW/+Rqq2lJUeVP5LUJlRVtVSxB3QzTt91c7cRRsVeMBxnXsfk/l9aef10a1m9&#10;BncZZ1q04Ohe9Z5dUs/gwnw643LA7gyAvocf2NirM0uS3xwgyQFmuOCADvPoK9uGX3TKcBEUPL+O&#10;PTwj4fw0nZ6AS84kYtkUrOIQsr5dN9b5z4paFoyCW/AaSxBPS+cH6B4SXtO0qJsGfpE3+jcHcg4e&#10;FcUx3BY5SoEZkKGoSNzP+fHppDw9PhudlMfjUTZOp6OyTCejq0WZlmm2mJ9lly+7Ovf34yCG3sNI&#10;fL/qUUUwV7R+xgAtDRJ0Ri5q9LIUzt8KC82hf+yRv8GnaqgrOO0szjZkf/zNH/CQAqKcddBwwd33&#10;rbCKs+aLhkjOxlkWRB8PGdrBwR5GVocRvW3nhDUZY2ONjGbA+2ZvVpbaB6xbGV5FSGiJtwvu9+bc&#10;D5uFdZWqLCMIMjfCL/WdkXvdBKbu+wdhzY5Oj/Fd017tIn/H6oAdaCy3nqo6Uv421Z0AsSJRNLt1&#10;Djt4eI6otz+d2S8AAAD//wMAUEsDBBQABgAIAAAAIQA6tSLv3wAAAAwBAAAPAAAAZHJzL2Rvd25y&#10;ZXYueG1sTI/PToQwEIfvJr5DMybe3ALrEhcpG2Oy0Rgv4j5Al3aBQKcNbQF9eseT3ubPl998Ux5W&#10;M7JZT763KCDdJMA0Nlb12Ao4fR7vHoD5IFHJ0aIW8KU9HKrrq1IWyi74oec6tIxC0BdSQBeCKzj3&#10;TaeN9BvrNNLuYicjA7VTy9UkFwo3I8+SJOdG9kgXOun0c6eboY5GwDG+vJr5m0f3VjcLdm6Ip/dB&#10;iNub9ekRWNBr+IPhV5/UoSKns42oPBsFbO+3OaFU5HkKjIj9bkeTM6FplqXAq5L/f6L6AQAA//8D&#10;AFBLAQItABQABgAIAAAAIQC2gziS/gAAAOEBAAATAAAAAAAAAAAAAAAAAAAAAABbQ29udGVudF9U&#10;eXBlc10ueG1sUEsBAi0AFAAGAAgAAAAhADj9If/WAAAAlAEAAAsAAAAAAAAAAAAAAAAALwEAAF9y&#10;ZWxzLy5yZWxzUEsBAi0AFAAGAAgAAAAhAHkLgNplAgAAvAQAAA4AAAAAAAAAAAAAAAAALgIAAGRy&#10;cy9lMm9Eb2MueG1sUEsBAi0AFAAGAAgAAAAhADq1Iu/fAAAADAEAAA8AAAAAAAAAAAAAAAAAvwQA&#10;AGRycy9kb3ducmV2LnhtbFBLBQYAAAAABAAEAPMAAADLBQAAAAA=&#10;" filled="f" stroked="f">
                <v:path arrowok="t"/>
                <v:textbox>
                  <w:txbxContent>
                    <w:p w14:paraId="69AC893D" w14:textId="25284166" w:rsidR="00A44B0E" w:rsidRDefault="00A44B0E" w:rsidP="007A3B92">
                      <w:pPr>
                        <w:pStyle w:val="Head1Headings"/>
                        <w:pBdr>
                          <w:top w:val="single" w:sz="4" w:space="8" w:color="auto"/>
                          <w:bottom w:val="single" w:sz="4" w:space="4" w:color="auto"/>
                        </w:pBdr>
                        <w:rPr>
                          <w:color w:val="auto"/>
                        </w:rPr>
                      </w:pPr>
                      <w:r>
                        <w:rPr>
                          <w:color w:val="auto"/>
                        </w:rPr>
                        <w:t>Explanatory Note, Uncertainty Analysis in Groundwater Modelling</w:t>
                      </w:r>
                    </w:p>
                    <w:p w14:paraId="1B19DC67" w14:textId="77777777" w:rsidR="00A44B0E" w:rsidRPr="003C31AE" w:rsidRDefault="00A44B0E" w:rsidP="007A3B92">
                      <w:pPr>
                        <w:pStyle w:val="Head1Headings"/>
                        <w:pBdr>
                          <w:top w:val="single" w:sz="4" w:space="8" w:color="auto"/>
                          <w:bottom w:val="single" w:sz="4" w:space="4" w:color="auto"/>
                        </w:pBdr>
                        <w:rPr>
                          <w:color w:val="auto"/>
                        </w:rPr>
                      </w:pPr>
                    </w:p>
                    <w:p w14:paraId="4A291CD4" w14:textId="77777777" w:rsidR="00A44B0E" w:rsidRDefault="00A44B0E" w:rsidP="007A3B92"/>
                    <w:p w14:paraId="2643E0CF" w14:textId="77777777" w:rsidR="00A44B0E" w:rsidRDefault="00A44B0E" w:rsidP="007A3B92"/>
                    <w:p w14:paraId="15143F57" w14:textId="77777777" w:rsidR="00A44B0E" w:rsidRDefault="00A44B0E" w:rsidP="007A3B92"/>
                    <w:p w14:paraId="44CEB3CA" w14:textId="77777777" w:rsidR="00A44B0E" w:rsidRDefault="00A44B0E" w:rsidP="007A3B92"/>
                    <w:p w14:paraId="48D4154A" w14:textId="77777777" w:rsidR="00A44B0E" w:rsidRDefault="00A44B0E" w:rsidP="007A3B92"/>
                    <w:p w14:paraId="0B41879C" w14:textId="77777777" w:rsidR="00A44B0E" w:rsidRDefault="00A44B0E" w:rsidP="007A3B92"/>
                    <w:p w14:paraId="6BFC2956" w14:textId="77777777" w:rsidR="00A44B0E" w:rsidRDefault="00A44B0E" w:rsidP="007A3B92"/>
                    <w:p w14:paraId="43CAB4E3" w14:textId="77777777" w:rsidR="00A44B0E" w:rsidRPr="003C31AE" w:rsidRDefault="00A44B0E" w:rsidP="007A3B92"/>
                  </w:txbxContent>
                </v:textbox>
                <w10:wrap type="square"/>
              </v:shape>
            </w:pict>
          </mc:Fallback>
        </mc:AlternateContent>
      </w:r>
    </w:p>
    <w:p w14:paraId="346A5BF2" w14:textId="77777777" w:rsidR="00DC3F48" w:rsidRDefault="00DC3F48" w:rsidP="00BB12AF">
      <w:pPr>
        <w:widowControl/>
        <w:autoSpaceDE/>
        <w:autoSpaceDN/>
        <w:adjustRightInd/>
        <w:spacing w:after="160" w:line="259" w:lineRule="auto"/>
        <w:rPr>
          <w:b/>
          <w:bCs/>
          <w:color w:val="1F3864" w:themeColor="accent5" w:themeShade="80"/>
          <w:sz w:val="40"/>
          <w:szCs w:val="40"/>
        </w:rPr>
        <w:sectPr w:rsidR="00DC3F48" w:rsidSect="007A3B92">
          <w:headerReference w:type="first" r:id="rId13"/>
          <w:footerReference w:type="first" r:id="rId14"/>
          <w:pgSz w:w="11910" w:h="16840"/>
          <w:pgMar w:top="426" w:right="1021" w:bottom="426" w:left="1298" w:header="740" w:footer="170" w:gutter="0"/>
          <w:pgNumType w:start="1"/>
          <w:cols w:space="720"/>
          <w:noEndnote/>
          <w:titlePg/>
          <w:docGrid w:linePitch="326"/>
        </w:sectPr>
      </w:pPr>
    </w:p>
    <w:p w14:paraId="749CACAC" w14:textId="77777777" w:rsidR="003D338A" w:rsidRPr="003D338A" w:rsidRDefault="003D338A" w:rsidP="003D338A">
      <w:pPr>
        <w:pStyle w:val="Default"/>
        <w:rPr>
          <w:rFonts w:ascii="Calibri" w:eastAsiaTheme="minorEastAsia" w:hAnsi="Calibri" w:cs="Calibri"/>
          <w:b/>
          <w:bCs/>
          <w:color w:val="1F487C"/>
          <w:sz w:val="28"/>
          <w:szCs w:val="28"/>
          <w:lang w:eastAsia="ja-JP"/>
        </w:rPr>
      </w:pPr>
      <w:r w:rsidRPr="003D338A">
        <w:rPr>
          <w:rFonts w:ascii="Calibri" w:eastAsiaTheme="minorEastAsia" w:hAnsi="Calibri" w:cs="Calibri"/>
          <w:b/>
          <w:bCs/>
          <w:color w:val="1F487C"/>
          <w:sz w:val="28"/>
          <w:szCs w:val="28"/>
          <w:lang w:eastAsia="ja-JP"/>
        </w:rPr>
        <w:lastRenderedPageBreak/>
        <w:t xml:space="preserve">Copyright and disclaimer </w:t>
      </w:r>
    </w:p>
    <w:p w14:paraId="39992816" w14:textId="77777777" w:rsidR="003D338A" w:rsidRPr="00747837" w:rsidRDefault="003D338A" w:rsidP="003D338A">
      <w:pPr>
        <w:pStyle w:val="BodyText"/>
        <w:rPr>
          <w:color w:val="1F3864" w:themeColor="accent5" w:themeShade="80"/>
          <w:sz w:val="20"/>
          <w:szCs w:val="20"/>
        </w:rPr>
      </w:pPr>
      <w:r w:rsidRPr="00747837">
        <w:rPr>
          <w:color w:val="1F3864" w:themeColor="accent5" w:themeShade="80"/>
          <w:sz w:val="20"/>
          <w:szCs w:val="20"/>
        </w:rPr>
        <w:t>© Commonwealth of Australia, 2018</w:t>
      </w:r>
    </w:p>
    <w:p w14:paraId="43A3B985" w14:textId="77777777" w:rsidR="003D338A" w:rsidRPr="003D338A" w:rsidRDefault="003D338A" w:rsidP="003D338A">
      <w:pPr>
        <w:pStyle w:val="BodyText"/>
        <w:rPr>
          <w:b/>
          <w:color w:val="1F3864" w:themeColor="accent5" w:themeShade="80"/>
          <w:sz w:val="20"/>
          <w:szCs w:val="20"/>
          <w:highlight w:val="yellow"/>
        </w:rPr>
      </w:pPr>
    </w:p>
    <w:p w14:paraId="7B1101DF" w14:textId="77777777" w:rsidR="003D338A" w:rsidRPr="003D338A" w:rsidRDefault="003D338A" w:rsidP="003D338A">
      <w:pPr>
        <w:pStyle w:val="BodyText"/>
        <w:rPr>
          <w:b/>
          <w:color w:val="1F3864" w:themeColor="accent5" w:themeShade="80"/>
          <w:sz w:val="20"/>
          <w:szCs w:val="20"/>
          <w:highlight w:val="yellow"/>
        </w:rPr>
      </w:pPr>
      <w:r w:rsidRPr="003D338A">
        <w:rPr>
          <w:b/>
          <w:noProof/>
          <w:color w:val="1F3864" w:themeColor="accent5" w:themeShade="80"/>
          <w:sz w:val="20"/>
          <w:szCs w:val="20"/>
          <w:highlight w:val="yellow"/>
        </w:rPr>
        <mc:AlternateContent>
          <mc:Choice Requires="wpg">
            <w:drawing>
              <wp:inline distT="0" distB="0" distL="0" distR="0" wp14:anchorId="026131F4" wp14:editId="65C6153C">
                <wp:extent cx="706755" cy="247650"/>
                <wp:effectExtent l="5080" t="3175" r="2540" b="635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247650"/>
                          <a:chOff x="0" y="0"/>
                          <a:chExt cx="1113" cy="390"/>
                        </a:xfrm>
                      </wpg:grpSpPr>
                      <wpg:grpSp>
                        <wpg:cNvPr id="44" name="Group 44"/>
                        <wpg:cNvGrpSpPr>
                          <a:grpSpLocks/>
                        </wpg:cNvGrpSpPr>
                        <wpg:grpSpPr bwMode="auto">
                          <a:xfrm>
                            <a:off x="3" y="5"/>
                            <a:ext cx="1106" cy="378"/>
                            <a:chOff x="3" y="5"/>
                            <a:chExt cx="1106" cy="378"/>
                          </a:xfrm>
                        </wpg:grpSpPr>
                        <wps:wsp>
                          <wps:cNvPr id="45" name="Freeform 45"/>
                          <wps:cNvSpPr>
                            <a:spLocks/>
                          </wps:cNvSpPr>
                          <wps:spPr bwMode="auto">
                            <a:xfrm>
                              <a:off x="3" y="5"/>
                              <a:ext cx="1106" cy="378"/>
                            </a:xfrm>
                            <a:custGeom>
                              <a:avLst/>
                              <a:gdLst>
                                <a:gd name="T0" fmla="+- 0 29 3"/>
                                <a:gd name="T1" fmla="*/ T0 w 1106"/>
                                <a:gd name="T2" fmla="+- 0 5 5"/>
                                <a:gd name="T3" fmla="*/ 5 h 378"/>
                                <a:gd name="T4" fmla="+- 0 4 3"/>
                                <a:gd name="T5" fmla="*/ T4 w 1106"/>
                                <a:gd name="T6" fmla="+- 0 5 5"/>
                                <a:gd name="T7" fmla="*/ 5 h 378"/>
                                <a:gd name="T8" fmla="+- 0 3 3"/>
                                <a:gd name="T9" fmla="*/ T8 w 1106"/>
                                <a:gd name="T10" fmla="+- 0 19 5"/>
                                <a:gd name="T11" fmla="*/ 19 h 378"/>
                                <a:gd name="T12" fmla="+- 0 3 3"/>
                                <a:gd name="T13" fmla="*/ T12 w 1106"/>
                                <a:gd name="T14" fmla="+- 0 382 5"/>
                                <a:gd name="T15" fmla="*/ 382 h 378"/>
                                <a:gd name="T16" fmla="+- 0 1107 3"/>
                                <a:gd name="T17" fmla="*/ T16 w 1106"/>
                                <a:gd name="T18" fmla="+- 0 382 5"/>
                                <a:gd name="T19" fmla="*/ 382 h 378"/>
                                <a:gd name="T20" fmla="+- 0 1108 3"/>
                                <a:gd name="T21" fmla="*/ T20 w 1106"/>
                                <a:gd name="T22" fmla="+- 0 29 5"/>
                                <a:gd name="T23" fmla="*/ 29 h 378"/>
                                <a:gd name="T24" fmla="+- 0 1098 3"/>
                                <a:gd name="T25" fmla="*/ T24 w 1106"/>
                                <a:gd name="T26" fmla="+- 0 9 5"/>
                                <a:gd name="T27" fmla="*/ 9 h 378"/>
                                <a:gd name="T28" fmla="+- 0 1080 3"/>
                                <a:gd name="T29" fmla="*/ T28 w 1106"/>
                                <a:gd name="T30" fmla="+- 0 7 5"/>
                                <a:gd name="T31" fmla="*/ 7 h 378"/>
                                <a:gd name="T32" fmla="+- 0 29 3"/>
                                <a:gd name="T33" fmla="*/ T32 w 1106"/>
                                <a:gd name="T34" fmla="+- 0 5 5"/>
                                <a:gd name="T35" fmla="*/ 5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6" h="378">
                                  <a:moveTo>
                                    <a:pt x="26" y="0"/>
                                  </a:moveTo>
                                  <a:lnTo>
                                    <a:pt x="1" y="0"/>
                                  </a:lnTo>
                                  <a:lnTo>
                                    <a:pt x="0" y="14"/>
                                  </a:lnTo>
                                  <a:lnTo>
                                    <a:pt x="0" y="377"/>
                                  </a:lnTo>
                                  <a:lnTo>
                                    <a:pt x="1104" y="377"/>
                                  </a:lnTo>
                                  <a:lnTo>
                                    <a:pt x="1105" y="24"/>
                                  </a:lnTo>
                                  <a:lnTo>
                                    <a:pt x="1095" y="4"/>
                                  </a:lnTo>
                                  <a:lnTo>
                                    <a:pt x="1077" y="2"/>
                                  </a:lnTo>
                                  <a:lnTo>
                                    <a:pt x="26"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46"/>
                        <wpg:cNvGrpSpPr>
                          <a:grpSpLocks/>
                        </wpg:cNvGrpSpPr>
                        <wpg:grpSpPr bwMode="auto">
                          <a:xfrm>
                            <a:off x="0" y="0"/>
                            <a:ext cx="1113" cy="390"/>
                            <a:chOff x="0" y="0"/>
                            <a:chExt cx="1113" cy="390"/>
                          </a:xfrm>
                        </wpg:grpSpPr>
                        <wps:wsp>
                          <wps:cNvPr id="47" name="Freeform 47"/>
                          <wps:cNvSpPr>
                            <a:spLocks/>
                          </wps:cNvSpPr>
                          <wps:spPr bwMode="auto">
                            <a:xfrm>
                              <a:off x="0" y="0"/>
                              <a:ext cx="1113" cy="390"/>
                            </a:xfrm>
                            <a:custGeom>
                              <a:avLst/>
                              <a:gdLst>
                                <a:gd name="T0" fmla="*/ 1103 w 1113"/>
                                <a:gd name="T1" fmla="*/ 0 h 390"/>
                                <a:gd name="T2" fmla="*/ 9 w 1113"/>
                                <a:gd name="T3" fmla="*/ 0 h 390"/>
                                <a:gd name="T4" fmla="*/ 0 w 1113"/>
                                <a:gd name="T5" fmla="*/ 9 h 390"/>
                                <a:gd name="T6" fmla="*/ 0 w 1113"/>
                                <a:gd name="T7" fmla="*/ 387 h 390"/>
                                <a:gd name="T8" fmla="*/ 2 w 1113"/>
                                <a:gd name="T9" fmla="*/ 389 h 390"/>
                                <a:gd name="T10" fmla="*/ 1111 w 1113"/>
                                <a:gd name="T11" fmla="*/ 389 h 390"/>
                                <a:gd name="T12" fmla="*/ 1113 w 1113"/>
                                <a:gd name="T13" fmla="*/ 387 h 390"/>
                                <a:gd name="T14" fmla="*/ 1113 w 1113"/>
                                <a:gd name="T15" fmla="*/ 359 h 390"/>
                                <a:gd name="T16" fmla="*/ 199 w 1113"/>
                                <a:gd name="T17" fmla="*/ 359 h 390"/>
                                <a:gd name="T18" fmla="*/ 176 w 1113"/>
                                <a:gd name="T19" fmla="*/ 357 h 390"/>
                                <a:gd name="T20" fmla="*/ 114 w 1113"/>
                                <a:gd name="T21" fmla="*/ 339 h 390"/>
                                <a:gd name="T22" fmla="*/ 67 w 1113"/>
                                <a:gd name="T23" fmla="*/ 302 h 390"/>
                                <a:gd name="T24" fmla="*/ 55 w 1113"/>
                                <a:gd name="T25" fmla="*/ 286 h 390"/>
                                <a:gd name="T26" fmla="*/ 9 w 1113"/>
                                <a:gd name="T27" fmla="*/ 274 h 390"/>
                                <a:gd name="T28" fmla="*/ 9 w 1113"/>
                                <a:gd name="T29" fmla="*/ 15 h 390"/>
                                <a:gd name="T30" fmla="*/ 15 w 1113"/>
                                <a:gd name="T31" fmla="*/ 9 h 390"/>
                                <a:gd name="T32" fmla="*/ 1113 w 1113"/>
                                <a:gd name="T33" fmla="*/ 9 h 390"/>
                                <a:gd name="T34" fmla="*/ 1103 w 1113"/>
                                <a:gd name="T3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13" h="390">
                                  <a:moveTo>
                                    <a:pt x="1103" y="0"/>
                                  </a:moveTo>
                                  <a:lnTo>
                                    <a:pt x="9" y="0"/>
                                  </a:lnTo>
                                  <a:lnTo>
                                    <a:pt x="0" y="9"/>
                                  </a:lnTo>
                                  <a:lnTo>
                                    <a:pt x="0" y="387"/>
                                  </a:lnTo>
                                  <a:lnTo>
                                    <a:pt x="2" y="389"/>
                                  </a:lnTo>
                                  <a:lnTo>
                                    <a:pt x="1111" y="389"/>
                                  </a:lnTo>
                                  <a:lnTo>
                                    <a:pt x="1113" y="387"/>
                                  </a:lnTo>
                                  <a:lnTo>
                                    <a:pt x="1113" y="359"/>
                                  </a:lnTo>
                                  <a:lnTo>
                                    <a:pt x="199" y="359"/>
                                  </a:lnTo>
                                  <a:lnTo>
                                    <a:pt x="176" y="357"/>
                                  </a:lnTo>
                                  <a:lnTo>
                                    <a:pt x="114" y="339"/>
                                  </a:lnTo>
                                  <a:lnTo>
                                    <a:pt x="67" y="302"/>
                                  </a:lnTo>
                                  <a:lnTo>
                                    <a:pt x="55" y="286"/>
                                  </a:lnTo>
                                  <a:lnTo>
                                    <a:pt x="9" y="274"/>
                                  </a:lnTo>
                                  <a:lnTo>
                                    <a:pt x="9" y="15"/>
                                  </a:lnTo>
                                  <a:lnTo>
                                    <a:pt x="15" y="9"/>
                                  </a:lnTo>
                                  <a:lnTo>
                                    <a:pt x="1113" y="9"/>
                                  </a:lnTo>
                                  <a:lnTo>
                                    <a:pt x="110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8"/>
                          <wps:cNvSpPr>
                            <a:spLocks/>
                          </wps:cNvSpPr>
                          <wps:spPr bwMode="auto">
                            <a:xfrm>
                              <a:off x="0" y="0"/>
                              <a:ext cx="1113" cy="390"/>
                            </a:xfrm>
                            <a:custGeom>
                              <a:avLst/>
                              <a:gdLst>
                                <a:gd name="T0" fmla="*/ 1113 w 1113"/>
                                <a:gd name="T1" fmla="*/ 9 h 390"/>
                                <a:gd name="T2" fmla="*/ 1098 w 1113"/>
                                <a:gd name="T3" fmla="*/ 9 h 390"/>
                                <a:gd name="T4" fmla="*/ 1103 w 1113"/>
                                <a:gd name="T5" fmla="*/ 15 h 390"/>
                                <a:gd name="T6" fmla="*/ 1103 w 1113"/>
                                <a:gd name="T7" fmla="*/ 274 h 390"/>
                                <a:gd name="T8" fmla="*/ 335 w 1113"/>
                                <a:gd name="T9" fmla="*/ 274 h 390"/>
                                <a:gd name="T10" fmla="*/ 324 w 1113"/>
                                <a:gd name="T11" fmla="*/ 291 h 390"/>
                                <a:gd name="T12" fmla="*/ 311 w 1113"/>
                                <a:gd name="T13" fmla="*/ 307 h 390"/>
                                <a:gd name="T14" fmla="*/ 261 w 1113"/>
                                <a:gd name="T15" fmla="*/ 343 h 390"/>
                                <a:gd name="T16" fmla="*/ 199 w 1113"/>
                                <a:gd name="T17" fmla="*/ 359 h 390"/>
                                <a:gd name="T18" fmla="*/ 1113 w 1113"/>
                                <a:gd name="T19" fmla="*/ 359 h 390"/>
                                <a:gd name="T20" fmla="*/ 1113 w 1113"/>
                                <a:gd name="T21" fmla="*/ 9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13" h="390">
                                  <a:moveTo>
                                    <a:pt x="1113" y="9"/>
                                  </a:moveTo>
                                  <a:lnTo>
                                    <a:pt x="1098" y="9"/>
                                  </a:lnTo>
                                  <a:lnTo>
                                    <a:pt x="1103" y="15"/>
                                  </a:lnTo>
                                  <a:lnTo>
                                    <a:pt x="1103" y="274"/>
                                  </a:lnTo>
                                  <a:lnTo>
                                    <a:pt x="335" y="274"/>
                                  </a:lnTo>
                                  <a:lnTo>
                                    <a:pt x="324" y="291"/>
                                  </a:lnTo>
                                  <a:lnTo>
                                    <a:pt x="311" y="307"/>
                                  </a:lnTo>
                                  <a:lnTo>
                                    <a:pt x="261" y="343"/>
                                  </a:lnTo>
                                  <a:lnTo>
                                    <a:pt x="199" y="359"/>
                                  </a:lnTo>
                                  <a:lnTo>
                                    <a:pt x="1113" y="359"/>
                                  </a:lnTo>
                                  <a:lnTo>
                                    <a:pt x="1113"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49"/>
                        <wpg:cNvGrpSpPr>
                          <a:grpSpLocks/>
                        </wpg:cNvGrpSpPr>
                        <wpg:grpSpPr bwMode="auto">
                          <a:xfrm>
                            <a:off x="655" y="304"/>
                            <a:ext cx="52" cy="62"/>
                            <a:chOff x="655" y="304"/>
                            <a:chExt cx="52" cy="62"/>
                          </a:xfrm>
                        </wpg:grpSpPr>
                        <wps:wsp>
                          <wps:cNvPr id="50" name="Freeform 50"/>
                          <wps:cNvSpPr>
                            <a:spLocks/>
                          </wps:cNvSpPr>
                          <wps:spPr bwMode="auto">
                            <a:xfrm>
                              <a:off x="655" y="304"/>
                              <a:ext cx="52" cy="62"/>
                            </a:xfrm>
                            <a:custGeom>
                              <a:avLst/>
                              <a:gdLst>
                                <a:gd name="T0" fmla="+- 0 687 655"/>
                                <a:gd name="T1" fmla="*/ T0 w 52"/>
                                <a:gd name="T2" fmla="+- 0 304 304"/>
                                <a:gd name="T3" fmla="*/ 304 h 62"/>
                                <a:gd name="T4" fmla="+- 0 655 655"/>
                                <a:gd name="T5" fmla="*/ T4 w 52"/>
                                <a:gd name="T6" fmla="+- 0 304 304"/>
                                <a:gd name="T7" fmla="*/ 304 h 62"/>
                                <a:gd name="T8" fmla="+- 0 655 655"/>
                                <a:gd name="T9" fmla="*/ T8 w 52"/>
                                <a:gd name="T10" fmla="+- 0 365 304"/>
                                <a:gd name="T11" fmla="*/ 365 h 62"/>
                                <a:gd name="T12" fmla="+- 0 688 655"/>
                                <a:gd name="T13" fmla="*/ T12 w 52"/>
                                <a:gd name="T14" fmla="+- 0 365 304"/>
                                <a:gd name="T15" fmla="*/ 365 h 62"/>
                                <a:gd name="T16" fmla="+- 0 691 655"/>
                                <a:gd name="T17" fmla="*/ T16 w 52"/>
                                <a:gd name="T18" fmla="+- 0 365 304"/>
                                <a:gd name="T19" fmla="*/ 365 h 62"/>
                                <a:gd name="T20" fmla="+- 0 706 655"/>
                                <a:gd name="T21" fmla="*/ T20 w 52"/>
                                <a:gd name="T22" fmla="+- 0 355 304"/>
                                <a:gd name="T23" fmla="*/ 355 h 62"/>
                                <a:gd name="T24" fmla="+- 0 669 655"/>
                                <a:gd name="T25" fmla="*/ T24 w 52"/>
                                <a:gd name="T26" fmla="+- 0 355 304"/>
                                <a:gd name="T27" fmla="*/ 355 h 62"/>
                                <a:gd name="T28" fmla="+- 0 669 655"/>
                                <a:gd name="T29" fmla="*/ T28 w 52"/>
                                <a:gd name="T30" fmla="+- 0 338 304"/>
                                <a:gd name="T31" fmla="*/ 338 h 62"/>
                                <a:gd name="T32" fmla="+- 0 704 655"/>
                                <a:gd name="T33" fmla="*/ T32 w 52"/>
                                <a:gd name="T34" fmla="+- 0 338 304"/>
                                <a:gd name="T35" fmla="*/ 338 h 62"/>
                                <a:gd name="T36" fmla="+- 0 702 655"/>
                                <a:gd name="T37" fmla="*/ T36 w 52"/>
                                <a:gd name="T38" fmla="+- 0 335 304"/>
                                <a:gd name="T39" fmla="*/ 335 h 62"/>
                                <a:gd name="T40" fmla="+- 0 699 655"/>
                                <a:gd name="T41" fmla="*/ T40 w 52"/>
                                <a:gd name="T42" fmla="+- 0 333 304"/>
                                <a:gd name="T43" fmla="*/ 333 h 62"/>
                                <a:gd name="T44" fmla="+- 0 696 655"/>
                                <a:gd name="T45" fmla="*/ T44 w 52"/>
                                <a:gd name="T46" fmla="+- 0 332 304"/>
                                <a:gd name="T47" fmla="*/ 332 h 62"/>
                                <a:gd name="T48" fmla="+- 0 698 655"/>
                                <a:gd name="T49" fmla="*/ T48 w 52"/>
                                <a:gd name="T50" fmla="+- 0 330 304"/>
                                <a:gd name="T51" fmla="*/ 330 h 62"/>
                                <a:gd name="T52" fmla="+- 0 700 655"/>
                                <a:gd name="T53" fmla="*/ T52 w 52"/>
                                <a:gd name="T54" fmla="+- 0 329 304"/>
                                <a:gd name="T55" fmla="*/ 329 h 62"/>
                                <a:gd name="T56" fmla="+- 0 669 655"/>
                                <a:gd name="T57" fmla="*/ T56 w 52"/>
                                <a:gd name="T58" fmla="+- 0 328 304"/>
                                <a:gd name="T59" fmla="*/ 328 h 62"/>
                                <a:gd name="T60" fmla="+- 0 669 655"/>
                                <a:gd name="T61" fmla="*/ T60 w 52"/>
                                <a:gd name="T62" fmla="+- 0 314 304"/>
                                <a:gd name="T63" fmla="*/ 314 h 62"/>
                                <a:gd name="T64" fmla="+- 0 704 655"/>
                                <a:gd name="T65" fmla="*/ T64 w 52"/>
                                <a:gd name="T66" fmla="+- 0 314 304"/>
                                <a:gd name="T67" fmla="*/ 314 h 62"/>
                                <a:gd name="T68" fmla="+- 0 704 655"/>
                                <a:gd name="T69" fmla="*/ T68 w 52"/>
                                <a:gd name="T70" fmla="+- 0 314 304"/>
                                <a:gd name="T71" fmla="*/ 314 h 62"/>
                                <a:gd name="T72" fmla="+- 0 690 655"/>
                                <a:gd name="T73" fmla="*/ T72 w 52"/>
                                <a:gd name="T74" fmla="+- 0 304 304"/>
                                <a:gd name="T75" fmla="*/ 304 h 62"/>
                                <a:gd name="T76" fmla="+- 0 687 655"/>
                                <a:gd name="T77" fmla="*/ T76 w 52"/>
                                <a:gd name="T78" fmla="+- 0 304 304"/>
                                <a:gd name="T79" fmla="*/ 30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 h="62">
                                  <a:moveTo>
                                    <a:pt x="32" y="0"/>
                                  </a:moveTo>
                                  <a:lnTo>
                                    <a:pt x="0" y="0"/>
                                  </a:lnTo>
                                  <a:lnTo>
                                    <a:pt x="0" y="61"/>
                                  </a:lnTo>
                                  <a:lnTo>
                                    <a:pt x="33" y="61"/>
                                  </a:lnTo>
                                  <a:lnTo>
                                    <a:pt x="36" y="61"/>
                                  </a:lnTo>
                                  <a:lnTo>
                                    <a:pt x="51" y="51"/>
                                  </a:lnTo>
                                  <a:lnTo>
                                    <a:pt x="14" y="51"/>
                                  </a:lnTo>
                                  <a:lnTo>
                                    <a:pt x="14" y="34"/>
                                  </a:lnTo>
                                  <a:lnTo>
                                    <a:pt x="49" y="34"/>
                                  </a:lnTo>
                                  <a:lnTo>
                                    <a:pt x="47" y="31"/>
                                  </a:lnTo>
                                  <a:lnTo>
                                    <a:pt x="44" y="29"/>
                                  </a:lnTo>
                                  <a:lnTo>
                                    <a:pt x="41" y="28"/>
                                  </a:lnTo>
                                  <a:lnTo>
                                    <a:pt x="43" y="26"/>
                                  </a:lnTo>
                                  <a:lnTo>
                                    <a:pt x="45" y="25"/>
                                  </a:lnTo>
                                  <a:lnTo>
                                    <a:pt x="14" y="24"/>
                                  </a:lnTo>
                                  <a:lnTo>
                                    <a:pt x="14" y="10"/>
                                  </a:lnTo>
                                  <a:lnTo>
                                    <a:pt x="49" y="10"/>
                                  </a:lnTo>
                                  <a:lnTo>
                                    <a:pt x="35" y="0"/>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1"/>
                          <wps:cNvSpPr>
                            <a:spLocks/>
                          </wps:cNvSpPr>
                          <wps:spPr bwMode="auto">
                            <a:xfrm>
                              <a:off x="655" y="304"/>
                              <a:ext cx="52" cy="62"/>
                            </a:xfrm>
                            <a:custGeom>
                              <a:avLst/>
                              <a:gdLst>
                                <a:gd name="T0" fmla="+- 0 704 655"/>
                                <a:gd name="T1" fmla="*/ T0 w 52"/>
                                <a:gd name="T2" fmla="+- 0 338 304"/>
                                <a:gd name="T3" fmla="*/ 338 h 62"/>
                                <a:gd name="T4" fmla="+- 0 687 655"/>
                                <a:gd name="T5" fmla="*/ T4 w 52"/>
                                <a:gd name="T6" fmla="+- 0 338 304"/>
                                <a:gd name="T7" fmla="*/ 338 h 62"/>
                                <a:gd name="T8" fmla="+- 0 689 655"/>
                                <a:gd name="T9" fmla="*/ T8 w 52"/>
                                <a:gd name="T10" fmla="+- 0 338 304"/>
                                <a:gd name="T11" fmla="*/ 338 h 62"/>
                                <a:gd name="T12" fmla="+- 0 693 655"/>
                                <a:gd name="T13" fmla="*/ T12 w 52"/>
                                <a:gd name="T14" fmla="+- 0 341 304"/>
                                <a:gd name="T15" fmla="*/ 341 h 62"/>
                                <a:gd name="T16" fmla="+- 0 693 655"/>
                                <a:gd name="T17" fmla="*/ T16 w 52"/>
                                <a:gd name="T18" fmla="+- 0 343 304"/>
                                <a:gd name="T19" fmla="*/ 343 h 62"/>
                                <a:gd name="T20" fmla="+- 0 693 655"/>
                                <a:gd name="T21" fmla="*/ T20 w 52"/>
                                <a:gd name="T22" fmla="+- 0 348 304"/>
                                <a:gd name="T23" fmla="*/ 348 h 62"/>
                                <a:gd name="T24" fmla="+- 0 683 655"/>
                                <a:gd name="T25" fmla="*/ T24 w 52"/>
                                <a:gd name="T26" fmla="+- 0 355 304"/>
                                <a:gd name="T27" fmla="*/ 355 h 62"/>
                                <a:gd name="T28" fmla="+- 0 706 655"/>
                                <a:gd name="T29" fmla="*/ T28 w 52"/>
                                <a:gd name="T30" fmla="+- 0 355 304"/>
                                <a:gd name="T31" fmla="*/ 355 h 62"/>
                                <a:gd name="T32" fmla="+- 0 706 655"/>
                                <a:gd name="T33" fmla="*/ T32 w 52"/>
                                <a:gd name="T34" fmla="+- 0 353 304"/>
                                <a:gd name="T35" fmla="*/ 353 h 62"/>
                                <a:gd name="T36" fmla="+- 0 707 655"/>
                                <a:gd name="T37" fmla="*/ T36 w 52"/>
                                <a:gd name="T38" fmla="+- 0 350 304"/>
                                <a:gd name="T39" fmla="*/ 350 h 62"/>
                                <a:gd name="T40" fmla="+- 0 707 655"/>
                                <a:gd name="T41" fmla="*/ T40 w 52"/>
                                <a:gd name="T42" fmla="+- 0 343 304"/>
                                <a:gd name="T43" fmla="*/ 343 h 62"/>
                                <a:gd name="T44" fmla="+- 0 706 655"/>
                                <a:gd name="T45" fmla="*/ T44 w 52"/>
                                <a:gd name="T46" fmla="+- 0 340 304"/>
                                <a:gd name="T47" fmla="*/ 340 h 62"/>
                                <a:gd name="T48" fmla="+- 0 704 655"/>
                                <a:gd name="T49" fmla="*/ T48 w 52"/>
                                <a:gd name="T50" fmla="+- 0 338 304"/>
                                <a:gd name="T51" fmla="*/ 33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62">
                                  <a:moveTo>
                                    <a:pt x="49" y="34"/>
                                  </a:moveTo>
                                  <a:lnTo>
                                    <a:pt x="32" y="34"/>
                                  </a:lnTo>
                                  <a:lnTo>
                                    <a:pt x="34" y="34"/>
                                  </a:lnTo>
                                  <a:lnTo>
                                    <a:pt x="38" y="37"/>
                                  </a:lnTo>
                                  <a:lnTo>
                                    <a:pt x="38" y="39"/>
                                  </a:lnTo>
                                  <a:lnTo>
                                    <a:pt x="38" y="44"/>
                                  </a:lnTo>
                                  <a:lnTo>
                                    <a:pt x="28" y="51"/>
                                  </a:lnTo>
                                  <a:lnTo>
                                    <a:pt x="51" y="51"/>
                                  </a:lnTo>
                                  <a:lnTo>
                                    <a:pt x="51" y="49"/>
                                  </a:lnTo>
                                  <a:lnTo>
                                    <a:pt x="52" y="46"/>
                                  </a:lnTo>
                                  <a:lnTo>
                                    <a:pt x="52" y="39"/>
                                  </a:lnTo>
                                  <a:lnTo>
                                    <a:pt x="51" y="36"/>
                                  </a:lnTo>
                                  <a:lnTo>
                                    <a:pt x="49"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2"/>
                          <wps:cNvSpPr>
                            <a:spLocks/>
                          </wps:cNvSpPr>
                          <wps:spPr bwMode="auto">
                            <a:xfrm>
                              <a:off x="655" y="304"/>
                              <a:ext cx="52" cy="62"/>
                            </a:xfrm>
                            <a:custGeom>
                              <a:avLst/>
                              <a:gdLst>
                                <a:gd name="T0" fmla="+- 0 704 655"/>
                                <a:gd name="T1" fmla="*/ T0 w 52"/>
                                <a:gd name="T2" fmla="+- 0 314 304"/>
                                <a:gd name="T3" fmla="*/ 314 h 62"/>
                                <a:gd name="T4" fmla="+- 0 669 655"/>
                                <a:gd name="T5" fmla="*/ T4 w 52"/>
                                <a:gd name="T6" fmla="+- 0 314 304"/>
                                <a:gd name="T7" fmla="*/ 314 h 62"/>
                                <a:gd name="T8" fmla="+- 0 684 655"/>
                                <a:gd name="T9" fmla="*/ T8 w 52"/>
                                <a:gd name="T10" fmla="+- 0 314 304"/>
                                <a:gd name="T11" fmla="*/ 314 h 62"/>
                                <a:gd name="T12" fmla="+- 0 686 655"/>
                                <a:gd name="T13" fmla="*/ T12 w 52"/>
                                <a:gd name="T14" fmla="+- 0 315 304"/>
                                <a:gd name="T15" fmla="*/ 315 h 62"/>
                                <a:gd name="T16" fmla="+- 0 691 655"/>
                                <a:gd name="T17" fmla="*/ T16 w 52"/>
                                <a:gd name="T18" fmla="+- 0 320 304"/>
                                <a:gd name="T19" fmla="*/ 320 h 62"/>
                                <a:gd name="T20" fmla="+- 0 691 655"/>
                                <a:gd name="T21" fmla="*/ T20 w 52"/>
                                <a:gd name="T22" fmla="+- 0 324 304"/>
                                <a:gd name="T23" fmla="*/ 324 h 62"/>
                                <a:gd name="T24" fmla="+- 0 690 655"/>
                                <a:gd name="T25" fmla="*/ T24 w 52"/>
                                <a:gd name="T26" fmla="+- 0 326 304"/>
                                <a:gd name="T27" fmla="*/ 326 h 62"/>
                                <a:gd name="T28" fmla="+- 0 687 655"/>
                                <a:gd name="T29" fmla="*/ T28 w 52"/>
                                <a:gd name="T30" fmla="+- 0 328 304"/>
                                <a:gd name="T31" fmla="*/ 328 h 62"/>
                                <a:gd name="T32" fmla="+- 0 685 655"/>
                                <a:gd name="T33" fmla="*/ T32 w 52"/>
                                <a:gd name="T34" fmla="+- 0 328 304"/>
                                <a:gd name="T35" fmla="*/ 328 h 62"/>
                                <a:gd name="T36" fmla="+- 0 701 655"/>
                                <a:gd name="T37" fmla="*/ T36 w 52"/>
                                <a:gd name="T38" fmla="+- 0 328 304"/>
                                <a:gd name="T39" fmla="*/ 328 h 62"/>
                                <a:gd name="T40" fmla="+- 0 703 655"/>
                                <a:gd name="T41" fmla="*/ T40 w 52"/>
                                <a:gd name="T42" fmla="+- 0 325 304"/>
                                <a:gd name="T43" fmla="*/ 325 h 62"/>
                                <a:gd name="T44" fmla="+- 0 704 655"/>
                                <a:gd name="T45" fmla="*/ T44 w 52"/>
                                <a:gd name="T46" fmla="+- 0 322 304"/>
                                <a:gd name="T47" fmla="*/ 322 h 62"/>
                                <a:gd name="T48" fmla="+- 0 704 655"/>
                                <a:gd name="T49" fmla="*/ T48 w 52"/>
                                <a:gd name="T50" fmla="+- 0 315 304"/>
                                <a:gd name="T51" fmla="*/ 315 h 62"/>
                                <a:gd name="T52" fmla="+- 0 704 655"/>
                                <a:gd name="T53" fmla="*/ T52 w 52"/>
                                <a:gd name="T54" fmla="+- 0 314 304"/>
                                <a:gd name="T55" fmla="*/ 31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62">
                                  <a:moveTo>
                                    <a:pt x="49" y="10"/>
                                  </a:moveTo>
                                  <a:lnTo>
                                    <a:pt x="14" y="10"/>
                                  </a:lnTo>
                                  <a:lnTo>
                                    <a:pt x="29" y="10"/>
                                  </a:lnTo>
                                  <a:lnTo>
                                    <a:pt x="31" y="11"/>
                                  </a:lnTo>
                                  <a:lnTo>
                                    <a:pt x="36" y="16"/>
                                  </a:lnTo>
                                  <a:lnTo>
                                    <a:pt x="36" y="20"/>
                                  </a:lnTo>
                                  <a:lnTo>
                                    <a:pt x="35" y="22"/>
                                  </a:lnTo>
                                  <a:lnTo>
                                    <a:pt x="32" y="24"/>
                                  </a:lnTo>
                                  <a:lnTo>
                                    <a:pt x="30" y="24"/>
                                  </a:lnTo>
                                  <a:lnTo>
                                    <a:pt x="46" y="24"/>
                                  </a:lnTo>
                                  <a:lnTo>
                                    <a:pt x="48" y="21"/>
                                  </a:lnTo>
                                  <a:lnTo>
                                    <a:pt x="49" y="18"/>
                                  </a:lnTo>
                                  <a:lnTo>
                                    <a:pt x="49" y="11"/>
                                  </a:lnTo>
                                  <a:lnTo>
                                    <a:pt x="49"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53"/>
                        <wpg:cNvGrpSpPr>
                          <a:grpSpLocks/>
                        </wpg:cNvGrpSpPr>
                        <wpg:grpSpPr bwMode="auto">
                          <a:xfrm>
                            <a:off x="709" y="304"/>
                            <a:ext cx="59" cy="62"/>
                            <a:chOff x="709" y="304"/>
                            <a:chExt cx="59" cy="62"/>
                          </a:xfrm>
                        </wpg:grpSpPr>
                        <wps:wsp>
                          <wps:cNvPr id="54" name="Freeform 54"/>
                          <wps:cNvSpPr>
                            <a:spLocks/>
                          </wps:cNvSpPr>
                          <wps:spPr bwMode="auto">
                            <a:xfrm>
                              <a:off x="709" y="304"/>
                              <a:ext cx="59" cy="62"/>
                            </a:xfrm>
                            <a:custGeom>
                              <a:avLst/>
                              <a:gdLst>
                                <a:gd name="T0" fmla="+- 0 724 709"/>
                                <a:gd name="T1" fmla="*/ T0 w 59"/>
                                <a:gd name="T2" fmla="+- 0 304 304"/>
                                <a:gd name="T3" fmla="*/ 304 h 62"/>
                                <a:gd name="T4" fmla="+- 0 709 709"/>
                                <a:gd name="T5" fmla="*/ T4 w 59"/>
                                <a:gd name="T6" fmla="+- 0 304 304"/>
                                <a:gd name="T7" fmla="*/ 304 h 62"/>
                                <a:gd name="T8" fmla="+- 0 732 709"/>
                                <a:gd name="T9" fmla="*/ T8 w 59"/>
                                <a:gd name="T10" fmla="+- 0 341 304"/>
                                <a:gd name="T11" fmla="*/ 341 h 62"/>
                                <a:gd name="T12" fmla="+- 0 732 709"/>
                                <a:gd name="T13" fmla="*/ T12 w 59"/>
                                <a:gd name="T14" fmla="+- 0 365 304"/>
                                <a:gd name="T15" fmla="*/ 365 h 62"/>
                                <a:gd name="T16" fmla="+- 0 745 709"/>
                                <a:gd name="T17" fmla="*/ T16 w 59"/>
                                <a:gd name="T18" fmla="+- 0 365 304"/>
                                <a:gd name="T19" fmla="*/ 365 h 62"/>
                                <a:gd name="T20" fmla="+- 0 745 709"/>
                                <a:gd name="T21" fmla="*/ T20 w 59"/>
                                <a:gd name="T22" fmla="+- 0 341 304"/>
                                <a:gd name="T23" fmla="*/ 341 h 62"/>
                                <a:gd name="T24" fmla="+- 0 754 709"/>
                                <a:gd name="T25" fmla="*/ T24 w 59"/>
                                <a:gd name="T26" fmla="+- 0 328 304"/>
                                <a:gd name="T27" fmla="*/ 328 h 62"/>
                                <a:gd name="T28" fmla="+- 0 739 709"/>
                                <a:gd name="T29" fmla="*/ T28 w 59"/>
                                <a:gd name="T30" fmla="+- 0 328 304"/>
                                <a:gd name="T31" fmla="*/ 328 h 62"/>
                                <a:gd name="T32" fmla="+- 0 724 709"/>
                                <a:gd name="T33" fmla="*/ T32 w 59"/>
                                <a:gd name="T34" fmla="+- 0 304 304"/>
                                <a:gd name="T35" fmla="*/ 30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62">
                                  <a:moveTo>
                                    <a:pt x="15" y="0"/>
                                  </a:moveTo>
                                  <a:lnTo>
                                    <a:pt x="0" y="0"/>
                                  </a:lnTo>
                                  <a:lnTo>
                                    <a:pt x="23" y="37"/>
                                  </a:lnTo>
                                  <a:lnTo>
                                    <a:pt x="23" y="61"/>
                                  </a:lnTo>
                                  <a:lnTo>
                                    <a:pt x="36" y="61"/>
                                  </a:lnTo>
                                  <a:lnTo>
                                    <a:pt x="36" y="37"/>
                                  </a:lnTo>
                                  <a:lnTo>
                                    <a:pt x="45" y="24"/>
                                  </a:lnTo>
                                  <a:lnTo>
                                    <a:pt x="30" y="24"/>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5"/>
                          <wps:cNvSpPr>
                            <a:spLocks/>
                          </wps:cNvSpPr>
                          <wps:spPr bwMode="auto">
                            <a:xfrm>
                              <a:off x="709" y="304"/>
                              <a:ext cx="59" cy="62"/>
                            </a:xfrm>
                            <a:custGeom>
                              <a:avLst/>
                              <a:gdLst>
                                <a:gd name="T0" fmla="+- 0 768 709"/>
                                <a:gd name="T1" fmla="*/ T0 w 59"/>
                                <a:gd name="T2" fmla="+- 0 304 304"/>
                                <a:gd name="T3" fmla="*/ 304 h 62"/>
                                <a:gd name="T4" fmla="+- 0 753 709"/>
                                <a:gd name="T5" fmla="*/ T4 w 59"/>
                                <a:gd name="T6" fmla="+- 0 304 304"/>
                                <a:gd name="T7" fmla="*/ 304 h 62"/>
                                <a:gd name="T8" fmla="+- 0 739 709"/>
                                <a:gd name="T9" fmla="*/ T8 w 59"/>
                                <a:gd name="T10" fmla="+- 0 328 304"/>
                                <a:gd name="T11" fmla="*/ 328 h 62"/>
                                <a:gd name="T12" fmla="+- 0 754 709"/>
                                <a:gd name="T13" fmla="*/ T12 w 59"/>
                                <a:gd name="T14" fmla="+- 0 328 304"/>
                                <a:gd name="T15" fmla="*/ 328 h 62"/>
                                <a:gd name="T16" fmla="+- 0 768 709"/>
                                <a:gd name="T17" fmla="*/ T16 w 59"/>
                                <a:gd name="T18" fmla="+- 0 304 304"/>
                                <a:gd name="T19" fmla="*/ 304 h 62"/>
                              </a:gdLst>
                              <a:ahLst/>
                              <a:cxnLst>
                                <a:cxn ang="0">
                                  <a:pos x="T1" y="T3"/>
                                </a:cxn>
                                <a:cxn ang="0">
                                  <a:pos x="T5" y="T7"/>
                                </a:cxn>
                                <a:cxn ang="0">
                                  <a:pos x="T9" y="T11"/>
                                </a:cxn>
                                <a:cxn ang="0">
                                  <a:pos x="T13" y="T15"/>
                                </a:cxn>
                                <a:cxn ang="0">
                                  <a:pos x="T17" y="T19"/>
                                </a:cxn>
                              </a:cxnLst>
                              <a:rect l="0" t="0" r="r" b="b"/>
                              <a:pathLst>
                                <a:path w="59" h="62">
                                  <a:moveTo>
                                    <a:pt x="59" y="0"/>
                                  </a:moveTo>
                                  <a:lnTo>
                                    <a:pt x="44" y="0"/>
                                  </a:lnTo>
                                  <a:lnTo>
                                    <a:pt x="30" y="24"/>
                                  </a:lnTo>
                                  <a:lnTo>
                                    <a:pt x="45" y="24"/>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56"/>
                        <wpg:cNvGrpSpPr>
                          <a:grpSpLocks/>
                        </wpg:cNvGrpSpPr>
                        <wpg:grpSpPr bwMode="auto">
                          <a:xfrm>
                            <a:off x="65" y="57"/>
                            <a:ext cx="253" cy="250"/>
                            <a:chOff x="65" y="57"/>
                            <a:chExt cx="253" cy="250"/>
                          </a:xfrm>
                        </wpg:grpSpPr>
                        <wps:wsp>
                          <wps:cNvPr id="57" name="Freeform 57"/>
                          <wps:cNvSpPr>
                            <a:spLocks/>
                          </wps:cNvSpPr>
                          <wps:spPr bwMode="auto">
                            <a:xfrm>
                              <a:off x="65" y="57"/>
                              <a:ext cx="253" cy="250"/>
                            </a:xfrm>
                            <a:custGeom>
                              <a:avLst/>
                              <a:gdLst>
                                <a:gd name="T0" fmla="+- 0 170 65"/>
                                <a:gd name="T1" fmla="*/ T0 w 253"/>
                                <a:gd name="T2" fmla="+- 0 57 57"/>
                                <a:gd name="T3" fmla="*/ 57 h 250"/>
                                <a:gd name="T4" fmla="+- 0 110 65"/>
                                <a:gd name="T5" fmla="*/ T4 w 253"/>
                                <a:gd name="T6" fmla="+- 0 85 57"/>
                                <a:gd name="T7" fmla="*/ 85 h 250"/>
                                <a:gd name="T8" fmla="+- 0 73 65"/>
                                <a:gd name="T9" fmla="*/ T8 w 253"/>
                                <a:gd name="T10" fmla="+- 0 137 57"/>
                                <a:gd name="T11" fmla="*/ 137 h 250"/>
                                <a:gd name="T12" fmla="+- 0 65 65"/>
                                <a:gd name="T13" fmla="*/ T12 w 253"/>
                                <a:gd name="T14" fmla="+- 0 182 57"/>
                                <a:gd name="T15" fmla="*/ 182 h 250"/>
                                <a:gd name="T16" fmla="+- 0 66 65"/>
                                <a:gd name="T17" fmla="*/ T16 w 253"/>
                                <a:gd name="T18" fmla="+- 0 199 57"/>
                                <a:gd name="T19" fmla="*/ 199 h 250"/>
                                <a:gd name="T20" fmla="+- 0 89 65"/>
                                <a:gd name="T21" fmla="*/ T20 w 253"/>
                                <a:gd name="T22" fmla="+- 0 254 57"/>
                                <a:gd name="T23" fmla="*/ 254 h 250"/>
                                <a:gd name="T24" fmla="+- 0 139 65"/>
                                <a:gd name="T25" fmla="*/ T24 w 253"/>
                                <a:gd name="T26" fmla="+- 0 293 57"/>
                                <a:gd name="T27" fmla="*/ 293 h 250"/>
                                <a:gd name="T28" fmla="+- 0 213 65"/>
                                <a:gd name="T29" fmla="*/ T28 w 253"/>
                                <a:gd name="T30" fmla="+- 0 306 57"/>
                                <a:gd name="T31" fmla="*/ 306 h 250"/>
                                <a:gd name="T32" fmla="+- 0 234 65"/>
                                <a:gd name="T33" fmla="*/ T32 w 253"/>
                                <a:gd name="T34" fmla="+- 0 301 57"/>
                                <a:gd name="T35" fmla="*/ 301 h 250"/>
                                <a:gd name="T36" fmla="+- 0 288 65"/>
                                <a:gd name="T37" fmla="*/ T36 w 253"/>
                                <a:gd name="T38" fmla="+- 0 264 57"/>
                                <a:gd name="T39" fmla="*/ 264 h 250"/>
                                <a:gd name="T40" fmla="+- 0 316 65"/>
                                <a:gd name="T41" fmla="*/ T40 w 253"/>
                                <a:gd name="T42" fmla="+- 0 205 57"/>
                                <a:gd name="T43" fmla="*/ 205 h 250"/>
                                <a:gd name="T44" fmla="+- 0 318 65"/>
                                <a:gd name="T45" fmla="*/ T44 w 253"/>
                                <a:gd name="T46" fmla="+- 0 182 57"/>
                                <a:gd name="T47" fmla="*/ 182 h 250"/>
                                <a:gd name="T48" fmla="+- 0 316 65"/>
                                <a:gd name="T49" fmla="*/ T48 w 253"/>
                                <a:gd name="T50" fmla="+- 0 165 57"/>
                                <a:gd name="T51" fmla="*/ 165 h 250"/>
                                <a:gd name="T52" fmla="+- 0 293 65"/>
                                <a:gd name="T53" fmla="*/ T52 w 253"/>
                                <a:gd name="T54" fmla="+- 0 109 57"/>
                                <a:gd name="T55" fmla="*/ 109 h 250"/>
                                <a:gd name="T56" fmla="+- 0 243 65"/>
                                <a:gd name="T57" fmla="*/ T56 w 253"/>
                                <a:gd name="T58" fmla="+- 0 71 57"/>
                                <a:gd name="T59" fmla="*/ 71 h 250"/>
                                <a:gd name="T60" fmla="+- 0 170 65"/>
                                <a:gd name="T61" fmla="*/ T60 w 253"/>
                                <a:gd name="T62" fmla="+- 0 57 57"/>
                                <a:gd name="T63" fmla="*/ 57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3" h="250">
                                  <a:moveTo>
                                    <a:pt x="105" y="0"/>
                                  </a:moveTo>
                                  <a:lnTo>
                                    <a:pt x="45" y="28"/>
                                  </a:lnTo>
                                  <a:lnTo>
                                    <a:pt x="8" y="80"/>
                                  </a:lnTo>
                                  <a:lnTo>
                                    <a:pt x="0" y="125"/>
                                  </a:lnTo>
                                  <a:lnTo>
                                    <a:pt x="1" y="142"/>
                                  </a:lnTo>
                                  <a:lnTo>
                                    <a:pt x="24" y="197"/>
                                  </a:lnTo>
                                  <a:lnTo>
                                    <a:pt x="74" y="236"/>
                                  </a:lnTo>
                                  <a:lnTo>
                                    <a:pt x="148" y="249"/>
                                  </a:lnTo>
                                  <a:lnTo>
                                    <a:pt x="169" y="244"/>
                                  </a:lnTo>
                                  <a:lnTo>
                                    <a:pt x="223" y="207"/>
                                  </a:lnTo>
                                  <a:lnTo>
                                    <a:pt x="251" y="148"/>
                                  </a:lnTo>
                                  <a:lnTo>
                                    <a:pt x="253" y="125"/>
                                  </a:lnTo>
                                  <a:lnTo>
                                    <a:pt x="251" y="108"/>
                                  </a:lnTo>
                                  <a:lnTo>
                                    <a:pt x="228" y="52"/>
                                  </a:lnTo>
                                  <a:lnTo>
                                    <a:pt x="178" y="14"/>
                                  </a:lnTo>
                                  <a:lnTo>
                                    <a:pt x="1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58"/>
                        <wpg:cNvGrpSpPr>
                          <a:grpSpLocks/>
                        </wpg:cNvGrpSpPr>
                        <wpg:grpSpPr bwMode="auto">
                          <a:xfrm>
                            <a:off x="47" y="37"/>
                            <a:ext cx="289" cy="289"/>
                            <a:chOff x="47" y="37"/>
                            <a:chExt cx="289" cy="289"/>
                          </a:xfrm>
                        </wpg:grpSpPr>
                        <wps:wsp>
                          <wps:cNvPr id="59" name="Freeform 59"/>
                          <wps:cNvSpPr>
                            <a:spLocks/>
                          </wps:cNvSpPr>
                          <wps:spPr bwMode="auto">
                            <a:xfrm>
                              <a:off x="47" y="37"/>
                              <a:ext cx="289" cy="289"/>
                            </a:xfrm>
                            <a:custGeom>
                              <a:avLst/>
                              <a:gdLst>
                                <a:gd name="T0" fmla="+- 0 176 47"/>
                                <a:gd name="T1" fmla="*/ T0 w 289"/>
                                <a:gd name="T2" fmla="+- 0 37 37"/>
                                <a:gd name="T3" fmla="*/ 37 h 289"/>
                                <a:gd name="T4" fmla="+- 0 102 47"/>
                                <a:gd name="T5" fmla="*/ T4 w 289"/>
                                <a:gd name="T6" fmla="+- 0 68 37"/>
                                <a:gd name="T7" fmla="*/ 68 h 289"/>
                                <a:gd name="T8" fmla="+- 0 56 47"/>
                                <a:gd name="T9" fmla="*/ T8 w 289"/>
                                <a:gd name="T10" fmla="+- 0 131 37"/>
                                <a:gd name="T11" fmla="*/ 131 h 289"/>
                                <a:gd name="T12" fmla="+- 0 47 47"/>
                                <a:gd name="T13" fmla="*/ T12 w 289"/>
                                <a:gd name="T14" fmla="+- 0 196 37"/>
                                <a:gd name="T15" fmla="*/ 196 h 289"/>
                                <a:gd name="T16" fmla="+- 0 50 47"/>
                                <a:gd name="T17" fmla="*/ T16 w 289"/>
                                <a:gd name="T18" fmla="+- 0 216 37"/>
                                <a:gd name="T19" fmla="*/ 216 h 289"/>
                                <a:gd name="T20" fmla="+- 0 77 47"/>
                                <a:gd name="T21" fmla="*/ T20 w 289"/>
                                <a:gd name="T22" fmla="+- 0 270 37"/>
                                <a:gd name="T23" fmla="*/ 270 h 289"/>
                                <a:gd name="T24" fmla="+- 0 139 47"/>
                                <a:gd name="T25" fmla="*/ T24 w 289"/>
                                <a:gd name="T26" fmla="+- 0 317 37"/>
                                <a:gd name="T27" fmla="*/ 317 h 289"/>
                                <a:gd name="T28" fmla="+- 0 205 47"/>
                                <a:gd name="T29" fmla="*/ T28 w 289"/>
                                <a:gd name="T30" fmla="+- 0 326 37"/>
                                <a:gd name="T31" fmla="*/ 326 h 289"/>
                                <a:gd name="T32" fmla="+- 0 225 47"/>
                                <a:gd name="T33" fmla="*/ T32 w 289"/>
                                <a:gd name="T34" fmla="+- 0 323 37"/>
                                <a:gd name="T35" fmla="*/ 323 h 289"/>
                                <a:gd name="T36" fmla="+- 0 244 47"/>
                                <a:gd name="T37" fmla="*/ T36 w 289"/>
                                <a:gd name="T38" fmla="+- 0 317 37"/>
                                <a:gd name="T39" fmla="*/ 317 h 289"/>
                                <a:gd name="T40" fmla="+- 0 262 47"/>
                                <a:gd name="T41" fmla="*/ T40 w 289"/>
                                <a:gd name="T42" fmla="+- 0 308 37"/>
                                <a:gd name="T43" fmla="*/ 308 h 289"/>
                                <a:gd name="T44" fmla="+- 0 275 47"/>
                                <a:gd name="T45" fmla="*/ T44 w 289"/>
                                <a:gd name="T46" fmla="+- 0 300 37"/>
                                <a:gd name="T47" fmla="*/ 300 h 289"/>
                                <a:gd name="T48" fmla="+- 0 179 47"/>
                                <a:gd name="T49" fmla="*/ T48 w 289"/>
                                <a:gd name="T50" fmla="+- 0 300 37"/>
                                <a:gd name="T51" fmla="*/ 300 h 289"/>
                                <a:gd name="T52" fmla="+- 0 159 47"/>
                                <a:gd name="T53" fmla="*/ T52 w 289"/>
                                <a:gd name="T54" fmla="+- 0 296 37"/>
                                <a:gd name="T55" fmla="*/ 296 h 289"/>
                                <a:gd name="T56" fmla="+- 0 106 47"/>
                                <a:gd name="T57" fmla="*/ T56 w 289"/>
                                <a:gd name="T58" fmla="+- 0 264 37"/>
                                <a:gd name="T59" fmla="*/ 264 h 289"/>
                                <a:gd name="T60" fmla="+- 0 74 47"/>
                                <a:gd name="T61" fmla="*/ T60 w 289"/>
                                <a:gd name="T62" fmla="+- 0 194 37"/>
                                <a:gd name="T63" fmla="*/ 194 h 289"/>
                                <a:gd name="T64" fmla="+- 0 73 47"/>
                                <a:gd name="T65" fmla="*/ T64 w 289"/>
                                <a:gd name="T66" fmla="+- 0 170 37"/>
                                <a:gd name="T67" fmla="*/ 170 h 289"/>
                                <a:gd name="T68" fmla="+- 0 77 47"/>
                                <a:gd name="T69" fmla="*/ T68 w 289"/>
                                <a:gd name="T70" fmla="+- 0 150 37"/>
                                <a:gd name="T71" fmla="*/ 150 h 289"/>
                                <a:gd name="T72" fmla="+- 0 108 47"/>
                                <a:gd name="T73" fmla="*/ T72 w 289"/>
                                <a:gd name="T74" fmla="+- 0 98 37"/>
                                <a:gd name="T75" fmla="*/ 98 h 289"/>
                                <a:gd name="T76" fmla="+- 0 181 47"/>
                                <a:gd name="T77" fmla="*/ T76 w 289"/>
                                <a:gd name="T78" fmla="+- 0 65 37"/>
                                <a:gd name="T79" fmla="*/ 65 h 289"/>
                                <a:gd name="T80" fmla="+- 0 206 47"/>
                                <a:gd name="T81" fmla="*/ T80 w 289"/>
                                <a:gd name="T82" fmla="+- 0 64 37"/>
                                <a:gd name="T83" fmla="*/ 64 h 289"/>
                                <a:gd name="T84" fmla="+- 0 276 47"/>
                                <a:gd name="T85" fmla="*/ T84 w 289"/>
                                <a:gd name="T86" fmla="+- 0 64 37"/>
                                <a:gd name="T87" fmla="*/ 64 h 289"/>
                                <a:gd name="T88" fmla="+- 0 276 47"/>
                                <a:gd name="T89" fmla="*/ T88 w 289"/>
                                <a:gd name="T90" fmla="+- 0 63 37"/>
                                <a:gd name="T91" fmla="*/ 63 h 289"/>
                                <a:gd name="T92" fmla="+- 0 260 47"/>
                                <a:gd name="T93" fmla="*/ T92 w 289"/>
                                <a:gd name="T94" fmla="+- 0 54 37"/>
                                <a:gd name="T95" fmla="*/ 54 h 289"/>
                                <a:gd name="T96" fmla="+- 0 243 47"/>
                                <a:gd name="T97" fmla="*/ T96 w 289"/>
                                <a:gd name="T98" fmla="+- 0 46 37"/>
                                <a:gd name="T99" fmla="*/ 46 h 289"/>
                                <a:gd name="T100" fmla="+- 0 223 47"/>
                                <a:gd name="T101" fmla="*/ T100 w 289"/>
                                <a:gd name="T102" fmla="+- 0 41 37"/>
                                <a:gd name="T103" fmla="*/ 41 h 289"/>
                                <a:gd name="T104" fmla="+- 0 201 47"/>
                                <a:gd name="T105" fmla="*/ T104 w 289"/>
                                <a:gd name="T106" fmla="+- 0 38 37"/>
                                <a:gd name="T107" fmla="*/ 38 h 289"/>
                                <a:gd name="T108" fmla="+- 0 176 47"/>
                                <a:gd name="T109" fmla="*/ T108 w 289"/>
                                <a:gd name="T110" fmla="+- 0 37 37"/>
                                <a:gd name="T111" fmla="*/ 3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89" h="289">
                                  <a:moveTo>
                                    <a:pt x="129" y="0"/>
                                  </a:moveTo>
                                  <a:lnTo>
                                    <a:pt x="55" y="31"/>
                                  </a:lnTo>
                                  <a:lnTo>
                                    <a:pt x="9" y="94"/>
                                  </a:lnTo>
                                  <a:lnTo>
                                    <a:pt x="0" y="159"/>
                                  </a:lnTo>
                                  <a:lnTo>
                                    <a:pt x="3" y="179"/>
                                  </a:lnTo>
                                  <a:lnTo>
                                    <a:pt x="30" y="233"/>
                                  </a:lnTo>
                                  <a:lnTo>
                                    <a:pt x="92" y="280"/>
                                  </a:lnTo>
                                  <a:lnTo>
                                    <a:pt x="158" y="289"/>
                                  </a:lnTo>
                                  <a:lnTo>
                                    <a:pt x="178" y="286"/>
                                  </a:lnTo>
                                  <a:lnTo>
                                    <a:pt x="197" y="280"/>
                                  </a:lnTo>
                                  <a:lnTo>
                                    <a:pt x="215" y="271"/>
                                  </a:lnTo>
                                  <a:lnTo>
                                    <a:pt x="228" y="263"/>
                                  </a:lnTo>
                                  <a:lnTo>
                                    <a:pt x="132" y="263"/>
                                  </a:lnTo>
                                  <a:lnTo>
                                    <a:pt x="112" y="259"/>
                                  </a:lnTo>
                                  <a:lnTo>
                                    <a:pt x="59" y="227"/>
                                  </a:lnTo>
                                  <a:lnTo>
                                    <a:pt x="27" y="157"/>
                                  </a:lnTo>
                                  <a:lnTo>
                                    <a:pt x="26" y="133"/>
                                  </a:lnTo>
                                  <a:lnTo>
                                    <a:pt x="30" y="113"/>
                                  </a:lnTo>
                                  <a:lnTo>
                                    <a:pt x="61" y="61"/>
                                  </a:lnTo>
                                  <a:lnTo>
                                    <a:pt x="134" y="28"/>
                                  </a:lnTo>
                                  <a:lnTo>
                                    <a:pt x="159" y="27"/>
                                  </a:lnTo>
                                  <a:lnTo>
                                    <a:pt x="229" y="27"/>
                                  </a:lnTo>
                                  <a:lnTo>
                                    <a:pt x="229" y="26"/>
                                  </a:lnTo>
                                  <a:lnTo>
                                    <a:pt x="213" y="17"/>
                                  </a:lnTo>
                                  <a:lnTo>
                                    <a:pt x="196" y="9"/>
                                  </a:lnTo>
                                  <a:lnTo>
                                    <a:pt x="176" y="4"/>
                                  </a:lnTo>
                                  <a:lnTo>
                                    <a:pt x="154" y="1"/>
                                  </a:lnTo>
                                  <a:lnTo>
                                    <a:pt x="1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0"/>
                          <wps:cNvSpPr>
                            <a:spLocks/>
                          </wps:cNvSpPr>
                          <wps:spPr bwMode="auto">
                            <a:xfrm>
                              <a:off x="47" y="37"/>
                              <a:ext cx="289" cy="289"/>
                            </a:xfrm>
                            <a:custGeom>
                              <a:avLst/>
                              <a:gdLst>
                                <a:gd name="T0" fmla="+- 0 276 47"/>
                                <a:gd name="T1" fmla="*/ T0 w 289"/>
                                <a:gd name="T2" fmla="+- 0 64 37"/>
                                <a:gd name="T3" fmla="*/ 64 h 289"/>
                                <a:gd name="T4" fmla="+- 0 206 47"/>
                                <a:gd name="T5" fmla="*/ T4 w 289"/>
                                <a:gd name="T6" fmla="+- 0 64 37"/>
                                <a:gd name="T7" fmla="*/ 64 h 289"/>
                                <a:gd name="T8" fmla="+- 0 226 47"/>
                                <a:gd name="T9" fmla="*/ T8 w 289"/>
                                <a:gd name="T10" fmla="+- 0 68 37"/>
                                <a:gd name="T11" fmla="*/ 68 h 289"/>
                                <a:gd name="T12" fmla="+- 0 244 47"/>
                                <a:gd name="T13" fmla="*/ T12 w 289"/>
                                <a:gd name="T14" fmla="+- 0 75 37"/>
                                <a:gd name="T15" fmla="*/ 75 h 289"/>
                                <a:gd name="T16" fmla="+- 0 290 47"/>
                                <a:gd name="T17" fmla="*/ T16 w 289"/>
                                <a:gd name="T18" fmla="+- 0 115 37"/>
                                <a:gd name="T19" fmla="*/ 115 h 289"/>
                                <a:gd name="T20" fmla="+- 0 308 47"/>
                                <a:gd name="T21" fmla="*/ T20 w 289"/>
                                <a:gd name="T22" fmla="+- 0 172 37"/>
                                <a:gd name="T23" fmla="*/ 172 h 289"/>
                                <a:gd name="T24" fmla="+- 0 309 47"/>
                                <a:gd name="T25" fmla="*/ T24 w 289"/>
                                <a:gd name="T26" fmla="+- 0 194 37"/>
                                <a:gd name="T27" fmla="*/ 194 h 289"/>
                                <a:gd name="T28" fmla="+- 0 309 47"/>
                                <a:gd name="T29" fmla="*/ T28 w 289"/>
                                <a:gd name="T30" fmla="+- 0 196 37"/>
                                <a:gd name="T31" fmla="*/ 196 h 289"/>
                                <a:gd name="T32" fmla="+- 0 273 47"/>
                                <a:gd name="T33" fmla="*/ T32 w 289"/>
                                <a:gd name="T34" fmla="+- 0 267 37"/>
                                <a:gd name="T35" fmla="*/ 267 h 289"/>
                                <a:gd name="T36" fmla="+- 0 203 47"/>
                                <a:gd name="T37" fmla="*/ T36 w 289"/>
                                <a:gd name="T38" fmla="+- 0 299 37"/>
                                <a:gd name="T39" fmla="*/ 299 h 289"/>
                                <a:gd name="T40" fmla="+- 0 179 47"/>
                                <a:gd name="T41" fmla="*/ T40 w 289"/>
                                <a:gd name="T42" fmla="+- 0 300 37"/>
                                <a:gd name="T43" fmla="*/ 300 h 289"/>
                                <a:gd name="T44" fmla="+- 0 275 47"/>
                                <a:gd name="T45" fmla="*/ T44 w 289"/>
                                <a:gd name="T46" fmla="+- 0 300 37"/>
                                <a:gd name="T47" fmla="*/ 300 h 289"/>
                                <a:gd name="T48" fmla="+- 0 318 47"/>
                                <a:gd name="T49" fmla="*/ T48 w 289"/>
                                <a:gd name="T50" fmla="+- 0 253 37"/>
                                <a:gd name="T51" fmla="*/ 253 h 289"/>
                                <a:gd name="T52" fmla="+- 0 335 47"/>
                                <a:gd name="T53" fmla="*/ T52 w 289"/>
                                <a:gd name="T54" fmla="+- 0 194 37"/>
                                <a:gd name="T55" fmla="*/ 194 h 289"/>
                                <a:gd name="T56" fmla="+- 0 336 47"/>
                                <a:gd name="T57" fmla="*/ T56 w 289"/>
                                <a:gd name="T58" fmla="+- 0 170 37"/>
                                <a:gd name="T59" fmla="*/ 170 h 289"/>
                                <a:gd name="T60" fmla="+- 0 333 47"/>
                                <a:gd name="T61" fmla="*/ T60 w 289"/>
                                <a:gd name="T62" fmla="+- 0 149 37"/>
                                <a:gd name="T63" fmla="*/ 149 h 289"/>
                                <a:gd name="T64" fmla="+- 0 294 47"/>
                                <a:gd name="T65" fmla="*/ T64 w 289"/>
                                <a:gd name="T66" fmla="+- 0 79 37"/>
                                <a:gd name="T67" fmla="*/ 79 h 289"/>
                                <a:gd name="T68" fmla="+- 0 290 47"/>
                                <a:gd name="T69" fmla="*/ T68 w 289"/>
                                <a:gd name="T70" fmla="+- 0 75 37"/>
                                <a:gd name="T71" fmla="*/ 75 h 289"/>
                                <a:gd name="T72" fmla="+- 0 276 47"/>
                                <a:gd name="T73" fmla="*/ T72 w 289"/>
                                <a:gd name="T74" fmla="+- 0 64 37"/>
                                <a:gd name="T75" fmla="*/ 64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9" h="289">
                                  <a:moveTo>
                                    <a:pt x="229" y="27"/>
                                  </a:moveTo>
                                  <a:lnTo>
                                    <a:pt x="159" y="27"/>
                                  </a:lnTo>
                                  <a:lnTo>
                                    <a:pt x="179" y="31"/>
                                  </a:lnTo>
                                  <a:lnTo>
                                    <a:pt x="197" y="38"/>
                                  </a:lnTo>
                                  <a:lnTo>
                                    <a:pt x="243" y="78"/>
                                  </a:lnTo>
                                  <a:lnTo>
                                    <a:pt x="261" y="135"/>
                                  </a:lnTo>
                                  <a:lnTo>
                                    <a:pt x="262" y="157"/>
                                  </a:lnTo>
                                  <a:lnTo>
                                    <a:pt x="262" y="159"/>
                                  </a:lnTo>
                                  <a:lnTo>
                                    <a:pt x="226" y="230"/>
                                  </a:lnTo>
                                  <a:lnTo>
                                    <a:pt x="156" y="262"/>
                                  </a:lnTo>
                                  <a:lnTo>
                                    <a:pt x="132" y="263"/>
                                  </a:lnTo>
                                  <a:lnTo>
                                    <a:pt x="228" y="263"/>
                                  </a:lnTo>
                                  <a:lnTo>
                                    <a:pt x="271" y="216"/>
                                  </a:lnTo>
                                  <a:lnTo>
                                    <a:pt x="288" y="157"/>
                                  </a:lnTo>
                                  <a:lnTo>
                                    <a:pt x="289" y="133"/>
                                  </a:lnTo>
                                  <a:lnTo>
                                    <a:pt x="286" y="112"/>
                                  </a:lnTo>
                                  <a:lnTo>
                                    <a:pt x="247" y="42"/>
                                  </a:lnTo>
                                  <a:lnTo>
                                    <a:pt x="243" y="38"/>
                                  </a:lnTo>
                                  <a:lnTo>
                                    <a:pt x="229"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1"/>
                          <wps:cNvSpPr>
                            <a:spLocks/>
                          </wps:cNvSpPr>
                          <wps:spPr bwMode="auto">
                            <a:xfrm>
                              <a:off x="47" y="37"/>
                              <a:ext cx="289" cy="289"/>
                            </a:xfrm>
                            <a:custGeom>
                              <a:avLst/>
                              <a:gdLst>
                                <a:gd name="T0" fmla="+- 0 151 47"/>
                                <a:gd name="T1" fmla="*/ T0 w 289"/>
                                <a:gd name="T2" fmla="+- 0 137 37"/>
                                <a:gd name="T3" fmla="*/ 137 h 289"/>
                                <a:gd name="T4" fmla="+- 0 139 47"/>
                                <a:gd name="T5" fmla="*/ T4 w 289"/>
                                <a:gd name="T6" fmla="+- 0 137 37"/>
                                <a:gd name="T7" fmla="*/ 137 h 289"/>
                                <a:gd name="T8" fmla="+- 0 129 47"/>
                                <a:gd name="T9" fmla="*/ T8 w 289"/>
                                <a:gd name="T10" fmla="+- 0 141 37"/>
                                <a:gd name="T11" fmla="*/ 141 h 289"/>
                                <a:gd name="T12" fmla="+- 0 113 47"/>
                                <a:gd name="T13" fmla="*/ T12 w 289"/>
                                <a:gd name="T14" fmla="+- 0 157 37"/>
                                <a:gd name="T15" fmla="*/ 157 h 289"/>
                                <a:gd name="T16" fmla="+- 0 109 47"/>
                                <a:gd name="T17" fmla="*/ T16 w 289"/>
                                <a:gd name="T18" fmla="+- 0 168 37"/>
                                <a:gd name="T19" fmla="*/ 168 h 289"/>
                                <a:gd name="T20" fmla="+- 0 109 47"/>
                                <a:gd name="T21" fmla="*/ T20 w 289"/>
                                <a:gd name="T22" fmla="+- 0 196 37"/>
                                <a:gd name="T23" fmla="*/ 196 h 289"/>
                                <a:gd name="T24" fmla="+- 0 113 47"/>
                                <a:gd name="T25" fmla="*/ T24 w 289"/>
                                <a:gd name="T26" fmla="+- 0 207 37"/>
                                <a:gd name="T27" fmla="*/ 207 h 289"/>
                                <a:gd name="T28" fmla="+- 0 128 47"/>
                                <a:gd name="T29" fmla="*/ T28 w 289"/>
                                <a:gd name="T30" fmla="+- 0 223 37"/>
                                <a:gd name="T31" fmla="*/ 223 h 289"/>
                                <a:gd name="T32" fmla="+- 0 139 47"/>
                                <a:gd name="T33" fmla="*/ T32 w 289"/>
                                <a:gd name="T34" fmla="+- 0 227 37"/>
                                <a:gd name="T35" fmla="*/ 227 h 289"/>
                                <a:gd name="T36" fmla="+- 0 157 47"/>
                                <a:gd name="T37" fmla="*/ T36 w 289"/>
                                <a:gd name="T38" fmla="+- 0 227 37"/>
                                <a:gd name="T39" fmla="*/ 227 h 289"/>
                                <a:gd name="T40" fmla="+- 0 176 47"/>
                                <a:gd name="T41" fmla="*/ T40 w 289"/>
                                <a:gd name="T42" fmla="+- 0 220 37"/>
                                <a:gd name="T43" fmla="*/ 220 h 289"/>
                                <a:gd name="T44" fmla="+- 0 187 47"/>
                                <a:gd name="T45" fmla="*/ T44 w 289"/>
                                <a:gd name="T46" fmla="+- 0 207 37"/>
                                <a:gd name="T47" fmla="*/ 207 h 289"/>
                                <a:gd name="T48" fmla="+- 0 141 47"/>
                                <a:gd name="T49" fmla="*/ T48 w 289"/>
                                <a:gd name="T50" fmla="+- 0 207 37"/>
                                <a:gd name="T51" fmla="*/ 207 h 289"/>
                                <a:gd name="T52" fmla="+- 0 135 47"/>
                                <a:gd name="T53" fmla="*/ T52 w 289"/>
                                <a:gd name="T54" fmla="+- 0 199 37"/>
                                <a:gd name="T55" fmla="*/ 199 h 289"/>
                                <a:gd name="T56" fmla="+- 0 135 47"/>
                                <a:gd name="T57" fmla="*/ T56 w 289"/>
                                <a:gd name="T58" fmla="+- 0 164 37"/>
                                <a:gd name="T59" fmla="*/ 164 h 289"/>
                                <a:gd name="T60" fmla="+- 0 141 47"/>
                                <a:gd name="T61" fmla="*/ T60 w 289"/>
                                <a:gd name="T62" fmla="+- 0 156 37"/>
                                <a:gd name="T63" fmla="*/ 156 h 289"/>
                                <a:gd name="T64" fmla="+- 0 186 47"/>
                                <a:gd name="T65" fmla="*/ T64 w 289"/>
                                <a:gd name="T66" fmla="+- 0 156 37"/>
                                <a:gd name="T67" fmla="*/ 156 h 289"/>
                                <a:gd name="T68" fmla="+- 0 187 47"/>
                                <a:gd name="T69" fmla="*/ T68 w 289"/>
                                <a:gd name="T70" fmla="+- 0 154 37"/>
                                <a:gd name="T71" fmla="*/ 154 h 289"/>
                                <a:gd name="T72" fmla="+- 0 172 47"/>
                                <a:gd name="T73" fmla="*/ T72 w 289"/>
                                <a:gd name="T74" fmla="+- 0 141 37"/>
                                <a:gd name="T75" fmla="*/ 141 h 289"/>
                                <a:gd name="T76" fmla="+- 0 151 47"/>
                                <a:gd name="T77" fmla="*/ T76 w 289"/>
                                <a:gd name="T78" fmla="+- 0 137 37"/>
                                <a:gd name="T79" fmla="*/ 13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 h="289">
                                  <a:moveTo>
                                    <a:pt x="104" y="100"/>
                                  </a:moveTo>
                                  <a:lnTo>
                                    <a:pt x="92" y="100"/>
                                  </a:lnTo>
                                  <a:lnTo>
                                    <a:pt x="82" y="104"/>
                                  </a:lnTo>
                                  <a:lnTo>
                                    <a:pt x="66" y="120"/>
                                  </a:lnTo>
                                  <a:lnTo>
                                    <a:pt x="62" y="131"/>
                                  </a:lnTo>
                                  <a:lnTo>
                                    <a:pt x="62" y="159"/>
                                  </a:lnTo>
                                  <a:lnTo>
                                    <a:pt x="66" y="170"/>
                                  </a:lnTo>
                                  <a:lnTo>
                                    <a:pt x="81" y="186"/>
                                  </a:lnTo>
                                  <a:lnTo>
                                    <a:pt x="92" y="190"/>
                                  </a:lnTo>
                                  <a:lnTo>
                                    <a:pt x="110" y="190"/>
                                  </a:lnTo>
                                  <a:lnTo>
                                    <a:pt x="129" y="183"/>
                                  </a:lnTo>
                                  <a:lnTo>
                                    <a:pt x="140" y="170"/>
                                  </a:lnTo>
                                  <a:lnTo>
                                    <a:pt x="94" y="170"/>
                                  </a:lnTo>
                                  <a:lnTo>
                                    <a:pt x="88" y="162"/>
                                  </a:lnTo>
                                  <a:lnTo>
                                    <a:pt x="88" y="127"/>
                                  </a:lnTo>
                                  <a:lnTo>
                                    <a:pt x="94" y="119"/>
                                  </a:lnTo>
                                  <a:lnTo>
                                    <a:pt x="139" y="119"/>
                                  </a:lnTo>
                                  <a:lnTo>
                                    <a:pt x="140" y="117"/>
                                  </a:lnTo>
                                  <a:lnTo>
                                    <a:pt x="125" y="104"/>
                                  </a:lnTo>
                                  <a:lnTo>
                                    <a:pt x="104"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2"/>
                          <wps:cNvSpPr>
                            <a:spLocks/>
                          </wps:cNvSpPr>
                          <wps:spPr bwMode="auto">
                            <a:xfrm>
                              <a:off x="47" y="37"/>
                              <a:ext cx="289" cy="289"/>
                            </a:xfrm>
                            <a:custGeom>
                              <a:avLst/>
                              <a:gdLst>
                                <a:gd name="T0" fmla="+- 0 235 47"/>
                                <a:gd name="T1" fmla="*/ T0 w 289"/>
                                <a:gd name="T2" fmla="+- 0 137 37"/>
                                <a:gd name="T3" fmla="*/ 137 h 289"/>
                                <a:gd name="T4" fmla="+- 0 223 47"/>
                                <a:gd name="T5" fmla="*/ T4 w 289"/>
                                <a:gd name="T6" fmla="+- 0 137 37"/>
                                <a:gd name="T7" fmla="*/ 137 h 289"/>
                                <a:gd name="T8" fmla="+- 0 213 47"/>
                                <a:gd name="T9" fmla="*/ T8 w 289"/>
                                <a:gd name="T10" fmla="+- 0 141 37"/>
                                <a:gd name="T11" fmla="*/ 141 h 289"/>
                                <a:gd name="T12" fmla="+- 0 197 47"/>
                                <a:gd name="T13" fmla="*/ T12 w 289"/>
                                <a:gd name="T14" fmla="+- 0 157 37"/>
                                <a:gd name="T15" fmla="*/ 157 h 289"/>
                                <a:gd name="T16" fmla="+- 0 193 47"/>
                                <a:gd name="T17" fmla="*/ T16 w 289"/>
                                <a:gd name="T18" fmla="+- 0 168 37"/>
                                <a:gd name="T19" fmla="*/ 168 h 289"/>
                                <a:gd name="T20" fmla="+- 0 193 47"/>
                                <a:gd name="T21" fmla="*/ T20 w 289"/>
                                <a:gd name="T22" fmla="+- 0 196 37"/>
                                <a:gd name="T23" fmla="*/ 196 h 289"/>
                                <a:gd name="T24" fmla="+- 0 197 47"/>
                                <a:gd name="T25" fmla="*/ T24 w 289"/>
                                <a:gd name="T26" fmla="+- 0 207 37"/>
                                <a:gd name="T27" fmla="*/ 207 h 289"/>
                                <a:gd name="T28" fmla="+- 0 212 47"/>
                                <a:gd name="T29" fmla="*/ T28 w 289"/>
                                <a:gd name="T30" fmla="+- 0 223 37"/>
                                <a:gd name="T31" fmla="*/ 223 h 289"/>
                                <a:gd name="T32" fmla="+- 0 223 47"/>
                                <a:gd name="T33" fmla="*/ T32 w 289"/>
                                <a:gd name="T34" fmla="+- 0 227 37"/>
                                <a:gd name="T35" fmla="*/ 227 h 289"/>
                                <a:gd name="T36" fmla="+- 0 240 47"/>
                                <a:gd name="T37" fmla="*/ T36 w 289"/>
                                <a:gd name="T38" fmla="+- 0 227 37"/>
                                <a:gd name="T39" fmla="*/ 227 h 289"/>
                                <a:gd name="T40" fmla="+- 0 260 47"/>
                                <a:gd name="T41" fmla="*/ T40 w 289"/>
                                <a:gd name="T42" fmla="+- 0 220 37"/>
                                <a:gd name="T43" fmla="*/ 220 h 289"/>
                                <a:gd name="T44" fmla="+- 0 271 47"/>
                                <a:gd name="T45" fmla="*/ T44 w 289"/>
                                <a:gd name="T46" fmla="+- 0 207 37"/>
                                <a:gd name="T47" fmla="*/ 207 h 289"/>
                                <a:gd name="T48" fmla="+- 0 225 47"/>
                                <a:gd name="T49" fmla="*/ T48 w 289"/>
                                <a:gd name="T50" fmla="+- 0 207 37"/>
                                <a:gd name="T51" fmla="*/ 207 h 289"/>
                                <a:gd name="T52" fmla="+- 0 218 47"/>
                                <a:gd name="T53" fmla="*/ T52 w 289"/>
                                <a:gd name="T54" fmla="+- 0 199 37"/>
                                <a:gd name="T55" fmla="*/ 199 h 289"/>
                                <a:gd name="T56" fmla="+- 0 218 47"/>
                                <a:gd name="T57" fmla="*/ T56 w 289"/>
                                <a:gd name="T58" fmla="+- 0 164 37"/>
                                <a:gd name="T59" fmla="*/ 164 h 289"/>
                                <a:gd name="T60" fmla="+- 0 225 47"/>
                                <a:gd name="T61" fmla="*/ T60 w 289"/>
                                <a:gd name="T62" fmla="+- 0 156 37"/>
                                <a:gd name="T63" fmla="*/ 156 h 289"/>
                                <a:gd name="T64" fmla="+- 0 269 47"/>
                                <a:gd name="T65" fmla="*/ T64 w 289"/>
                                <a:gd name="T66" fmla="+- 0 156 37"/>
                                <a:gd name="T67" fmla="*/ 156 h 289"/>
                                <a:gd name="T68" fmla="+- 0 271 47"/>
                                <a:gd name="T69" fmla="*/ T68 w 289"/>
                                <a:gd name="T70" fmla="+- 0 154 37"/>
                                <a:gd name="T71" fmla="*/ 154 h 289"/>
                                <a:gd name="T72" fmla="+- 0 256 47"/>
                                <a:gd name="T73" fmla="*/ T72 w 289"/>
                                <a:gd name="T74" fmla="+- 0 141 37"/>
                                <a:gd name="T75" fmla="*/ 141 h 289"/>
                                <a:gd name="T76" fmla="+- 0 235 47"/>
                                <a:gd name="T77" fmla="*/ T76 w 289"/>
                                <a:gd name="T78" fmla="+- 0 137 37"/>
                                <a:gd name="T79" fmla="*/ 13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 h="289">
                                  <a:moveTo>
                                    <a:pt x="188" y="100"/>
                                  </a:moveTo>
                                  <a:lnTo>
                                    <a:pt x="176" y="100"/>
                                  </a:lnTo>
                                  <a:lnTo>
                                    <a:pt x="166" y="104"/>
                                  </a:lnTo>
                                  <a:lnTo>
                                    <a:pt x="150" y="120"/>
                                  </a:lnTo>
                                  <a:lnTo>
                                    <a:pt x="146" y="131"/>
                                  </a:lnTo>
                                  <a:lnTo>
                                    <a:pt x="146" y="159"/>
                                  </a:lnTo>
                                  <a:lnTo>
                                    <a:pt x="150" y="170"/>
                                  </a:lnTo>
                                  <a:lnTo>
                                    <a:pt x="165" y="186"/>
                                  </a:lnTo>
                                  <a:lnTo>
                                    <a:pt x="176" y="190"/>
                                  </a:lnTo>
                                  <a:lnTo>
                                    <a:pt x="193" y="190"/>
                                  </a:lnTo>
                                  <a:lnTo>
                                    <a:pt x="213" y="183"/>
                                  </a:lnTo>
                                  <a:lnTo>
                                    <a:pt x="224" y="170"/>
                                  </a:lnTo>
                                  <a:lnTo>
                                    <a:pt x="178" y="170"/>
                                  </a:lnTo>
                                  <a:lnTo>
                                    <a:pt x="171" y="162"/>
                                  </a:lnTo>
                                  <a:lnTo>
                                    <a:pt x="171" y="127"/>
                                  </a:lnTo>
                                  <a:lnTo>
                                    <a:pt x="178" y="119"/>
                                  </a:lnTo>
                                  <a:lnTo>
                                    <a:pt x="222" y="119"/>
                                  </a:lnTo>
                                  <a:lnTo>
                                    <a:pt x="224" y="117"/>
                                  </a:lnTo>
                                  <a:lnTo>
                                    <a:pt x="209" y="104"/>
                                  </a:lnTo>
                                  <a:lnTo>
                                    <a:pt x="188"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3"/>
                          <wps:cNvSpPr>
                            <a:spLocks/>
                          </wps:cNvSpPr>
                          <wps:spPr bwMode="auto">
                            <a:xfrm>
                              <a:off x="47" y="37"/>
                              <a:ext cx="289" cy="289"/>
                            </a:xfrm>
                            <a:custGeom>
                              <a:avLst/>
                              <a:gdLst>
                                <a:gd name="T0" fmla="+- 0 172 47"/>
                                <a:gd name="T1" fmla="*/ T0 w 289"/>
                                <a:gd name="T2" fmla="+- 0 195 37"/>
                                <a:gd name="T3" fmla="*/ 195 h 289"/>
                                <a:gd name="T4" fmla="+- 0 169 47"/>
                                <a:gd name="T5" fmla="*/ T4 w 289"/>
                                <a:gd name="T6" fmla="+- 0 203 37"/>
                                <a:gd name="T7" fmla="*/ 203 h 289"/>
                                <a:gd name="T8" fmla="+- 0 163 47"/>
                                <a:gd name="T9" fmla="*/ T8 w 289"/>
                                <a:gd name="T10" fmla="+- 0 207 37"/>
                                <a:gd name="T11" fmla="*/ 207 h 289"/>
                                <a:gd name="T12" fmla="+- 0 187 47"/>
                                <a:gd name="T13" fmla="*/ T12 w 289"/>
                                <a:gd name="T14" fmla="+- 0 207 37"/>
                                <a:gd name="T15" fmla="*/ 207 h 289"/>
                                <a:gd name="T16" fmla="+- 0 190 47"/>
                                <a:gd name="T17" fmla="*/ T16 w 289"/>
                                <a:gd name="T18" fmla="+- 0 204 37"/>
                                <a:gd name="T19" fmla="*/ 204 h 289"/>
                                <a:gd name="T20" fmla="+- 0 172 47"/>
                                <a:gd name="T21" fmla="*/ T20 w 289"/>
                                <a:gd name="T22" fmla="+- 0 195 37"/>
                                <a:gd name="T23" fmla="*/ 195 h 289"/>
                              </a:gdLst>
                              <a:ahLst/>
                              <a:cxnLst>
                                <a:cxn ang="0">
                                  <a:pos x="T1" y="T3"/>
                                </a:cxn>
                                <a:cxn ang="0">
                                  <a:pos x="T5" y="T7"/>
                                </a:cxn>
                                <a:cxn ang="0">
                                  <a:pos x="T9" y="T11"/>
                                </a:cxn>
                                <a:cxn ang="0">
                                  <a:pos x="T13" y="T15"/>
                                </a:cxn>
                                <a:cxn ang="0">
                                  <a:pos x="T17" y="T19"/>
                                </a:cxn>
                                <a:cxn ang="0">
                                  <a:pos x="T21" y="T23"/>
                                </a:cxn>
                              </a:cxnLst>
                              <a:rect l="0" t="0" r="r" b="b"/>
                              <a:pathLst>
                                <a:path w="289" h="289">
                                  <a:moveTo>
                                    <a:pt x="125" y="158"/>
                                  </a:moveTo>
                                  <a:lnTo>
                                    <a:pt x="122" y="166"/>
                                  </a:lnTo>
                                  <a:lnTo>
                                    <a:pt x="116" y="170"/>
                                  </a:lnTo>
                                  <a:lnTo>
                                    <a:pt x="140" y="170"/>
                                  </a:lnTo>
                                  <a:lnTo>
                                    <a:pt x="143" y="167"/>
                                  </a:lnTo>
                                  <a:lnTo>
                                    <a:pt x="125" y="1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4"/>
                          <wps:cNvSpPr>
                            <a:spLocks/>
                          </wps:cNvSpPr>
                          <wps:spPr bwMode="auto">
                            <a:xfrm>
                              <a:off x="47" y="37"/>
                              <a:ext cx="289" cy="289"/>
                            </a:xfrm>
                            <a:custGeom>
                              <a:avLst/>
                              <a:gdLst>
                                <a:gd name="T0" fmla="+- 0 256 47"/>
                                <a:gd name="T1" fmla="*/ T0 w 289"/>
                                <a:gd name="T2" fmla="+- 0 195 37"/>
                                <a:gd name="T3" fmla="*/ 195 h 289"/>
                                <a:gd name="T4" fmla="+- 0 252 47"/>
                                <a:gd name="T5" fmla="*/ T4 w 289"/>
                                <a:gd name="T6" fmla="+- 0 203 37"/>
                                <a:gd name="T7" fmla="*/ 203 h 289"/>
                                <a:gd name="T8" fmla="+- 0 246 47"/>
                                <a:gd name="T9" fmla="*/ T8 w 289"/>
                                <a:gd name="T10" fmla="+- 0 207 37"/>
                                <a:gd name="T11" fmla="*/ 207 h 289"/>
                                <a:gd name="T12" fmla="+- 0 271 47"/>
                                <a:gd name="T13" fmla="*/ T12 w 289"/>
                                <a:gd name="T14" fmla="+- 0 207 37"/>
                                <a:gd name="T15" fmla="*/ 207 h 289"/>
                                <a:gd name="T16" fmla="+- 0 274 47"/>
                                <a:gd name="T17" fmla="*/ T16 w 289"/>
                                <a:gd name="T18" fmla="+- 0 204 37"/>
                                <a:gd name="T19" fmla="*/ 204 h 289"/>
                                <a:gd name="T20" fmla="+- 0 256 47"/>
                                <a:gd name="T21" fmla="*/ T20 w 289"/>
                                <a:gd name="T22" fmla="+- 0 195 37"/>
                                <a:gd name="T23" fmla="*/ 195 h 289"/>
                              </a:gdLst>
                              <a:ahLst/>
                              <a:cxnLst>
                                <a:cxn ang="0">
                                  <a:pos x="T1" y="T3"/>
                                </a:cxn>
                                <a:cxn ang="0">
                                  <a:pos x="T5" y="T7"/>
                                </a:cxn>
                                <a:cxn ang="0">
                                  <a:pos x="T9" y="T11"/>
                                </a:cxn>
                                <a:cxn ang="0">
                                  <a:pos x="T13" y="T15"/>
                                </a:cxn>
                                <a:cxn ang="0">
                                  <a:pos x="T17" y="T19"/>
                                </a:cxn>
                                <a:cxn ang="0">
                                  <a:pos x="T21" y="T23"/>
                                </a:cxn>
                              </a:cxnLst>
                              <a:rect l="0" t="0" r="r" b="b"/>
                              <a:pathLst>
                                <a:path w="289" h="289">
                                  <a:moveTo>
                                    <a:pt x="209" y="158"/>
                                  </a:moveTo>
                                  <a:lnTo>
                                    <a:pt x="205" y="166"/>
                                  </a:lnTo>
                                  <a:lnTo>
                                    <a:pt x="199" y="170"/>
                                  </a:lnTo>
                                  <a:lnTo>
                                    <a:pt x="224" y="170"/>
                                  </a:lnTo>
                                  <a:lnTo>
                                    <a:pt x="227" y="167"/>
                                  </a:lnTo>
                                  <a:lnTo>
                                    <a:pt x="209" y="1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5"/>
                          <wps:cNvSpPr>
                            <a:spLocks/>
                          </wps:cNvSpPr>
                          <wps:spPr bwMode="auto">
                            <a:xfrm>
                              <a:off x="47" y="37"/>
                              <a:ext cx="289" cy="289"/>
                            </a:xfrm>
                            <a:custGeom>
                              <a:avLst/>
                              <a:gdLst>
                                <a:gd name="T0" fmla="+- 0 186 47"/>
                                <a:gd name="T1" fmla="*/ T0 w 289"/>
                                <a:gd name="T2" fmla="+- 0 156 37"/>
                                <a:gd name="T3" fmla="*/ 156 h 289"/>
                                <a:gd name="T4" fmla="+- 0 161 47"/>
                                <a:gd name="T5" fmla="*/ T4 w 289"/>
                                <a:gd name="T6" fmla="+- 0 156 37"/>
                                <a:gd name="T7" fmla="*/ 156 h 289"/>
                                <a:gd name="T8" fmla="+- 0 167 47"/>
                                <a:gd name="T9" fmla="*/ T8 w 289"/>
                                <a:gd name="T10" fmla="+- 0 160 37"/>
                                <a:gd name="T11" fmla="*/ 160 h 289"/>
                                <a:gd name="T12" fmla="+- 0 170 47"/>
                                <a:gd name="T13" fmla="*/ T12 w 289"/>
                                <a:gd name="T14" fmla="+- 0 168 37"/>
                                <a:gd name="T15" fmla="*/ 168 h 289"/>
                                <a:gd name="T16" fmla="+- 0 186 47"/>
                                <a:gd name="T17" fmla="*/ T16 w 289"/>
                                <a:gd name="T18" fmla="+- 0 156 37"/>
                                <a:gd name="T19" fmla="*/ 156 h 289"/>
                              </a:gdLst>
                              <a:ahLst/>
                              <a:cxnLst>
                                <a:cxn ang="0">
                                  <a:pos x="T1" y="T3"/>
                                </a:cxn>
                                <a:cxn ang="0">
                                  <a:pos x="T5" y="T7"/>
                                </a:cxn>
                                <a:cxn ang="0">
                                  <a:pos x="T9" y="T11"/>
                                </a:cxn>
                                <a:cxn ang="0">
                                  <a:pos x="T13" y="T15"/>
                                </a:cxn>
                                <a:cxn ang="0">
                                  <a:pos x="T17" y="T19"/>
                                </a:cxn>
                              </a:cxnLst>
                              <a:rect l="0" t="0" r="r" b="b"/>
                              <a:pathLst>
                                <a:path w="289" h="289">
                                  <a:moveTo>
                                    <a:pt x="139" y="119"/>
                                  </a:moveTo>
                                  <a:lnTo>
                                    <a:pt x="114" y="119"/>
                                  </a:lnTo>
                                  <a:lnTo>
                                    <a:pt x="120" y="123"/>
                                  </a:lnTo>
                                  <a:lnTo>
                                    <a:pt x="123" y="131"/>
                                  </a:lnTo>
                                  <a:lnTo>
                                    <a:pt x="139" y="1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6"/>
                          <wps:cNvSpPr>
                            <a:spLocks/>
                          </wps:cNvSpPr>
                          <wps:spPr bwMode="auto">
                            <a:xfrm>
                              <a:off x="47" y="37"/>
                              <a:ext cx="289" cy="289"/>
                            </a:xfrm>
                            <a:custGeom>
                              <a:avLst/>
                              <a:gdLst>
                                <a:gd name="T0" fmla="+- 0 269 47"/>
                                <a:gd name="T1" fmla="*/ T0 w 289"/>
                                <a:gd name="T2" fmla="+- 0 156 37"/>
                                <a:gd name="T3" fmla="*/ 156 h 289"/>
                                <a:gd name="T4" fmla="+- 0 245 47"/>
                                <a:gd name="T5" fmla="*/ T4 w 289"/>
                                <a:gd name="T6" fmla="+- 0 156 37"/>
                                <a:gd name="T7" fmla="*/ 156 h 289"/>
                                <a:gd name="T8" fmla="+- 0 250 47"/>
                                <a:gd name="T9" fmla="*/ T8 w 289"/>
                                <a:gd name="T10" fmla="+- 0 160 37"/>
                                <a:gd name="T11" fmla="*/ 160 h 289"/>
                                <a:gd name="T12" fmla="+- 0 254 47"/>
                                <a:gd name="T13" fmla="*/ T12 w 289"/>
                                <a:gd name="T14" fmla="+- 0 168 37"/>
                                <a:gd name="T15" fmla="*/ 168 h 289"/>
                                <a:gd name="T16" fmla="+- 0 269 47"/>
                                <a:gd name="T17" fmla="*/ T16 w 289"/>
                                <a:gd name="T18" fmla="+- 0 156 37"/>
                                <a:gd name="T19" fmla="*/ 156 h 289"/>
                              </a:gdLst>
                              <a:ahLst/>
                              <a:cxnLst>
                                <a:cxn ang="0">
                                  <a:pos x="T1" y="T3"/>
                                </a:cxn>
                                <a:cxn ang="0">
                                  <a:pos x="T5" y="T7"/>
                                </a:cxn>
                                <a:cxn ang="0">
                                  <a:pos x="T9" y="T11"/>
                                </a:cxn>
                                <a:cxn ang="0">
                                  <a:pos x="T13" y="T15"/>
                                </a:cxn>
                                <a:cxn ang="0">
                                  <a:pos x="T17" y="T19"/>
                                </a:cxn>
                              </a:cxnLst>
                              <a:rect l="0" t="0" r="r" b="b"/>
                              <a:pathLst>
                                <a:path w="289" h="289">
                                  <a:moveTo>
                                    <a:pt x="222" y="119"/>
                                  </a:moveTo>
                                  <a:lnTo>
                                    <a:pt x="198" y="119"/>
                                  </a:lnTo>
                                  <a:lnTo>
                                    <a:pt x="203" y="123"/>
                                  </a:lnTo>
                                  <a:lnTo>
                                    <a:pt x="207" y="131"/>
                                  </a:lnTo>
                                  <a:lnTo>
                                    <a:pt x="222" y="1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67"/>
                        <wpg:cNvGrpSpPr>
                          <a:grpSpLocks/>
                        </wpg:cNvGrpSpPr>
                        <wpg:grpSpPr bwMode="auto">
                          <a:xfrm>
                            <a:off x="608" y="42"/>
                            <a:ext cx="200" cy="200"/>
                            <a:chOff x="608" y="42"/>
                            <a:chExt cx="200" cy="200"/>
                          </a:xfrm>
                        </wpg:grpSpPr>
                        <wps:wsp>
                          <wps:cNvPr id="68" name="Freeform 68"/>
                          <wps:cNvSpPr>
                            <a:spLocks/>
                          </wps:cNvSpPr>
                          <wps:spPr bwMode="auto">
                            <a:xfrm>
                              <a:off x="608" y="42"/>
                              <a:ext cx="200" cy="200"/>
                            </a:xfrm>
                            <a:custGeom>
                              <a:avLst/>
                              <a:gdLst>
                                <a:gd name="T0" fmla="+- 0 707 608"/>
                                <a:gd name="T1" fmla="*/ T0 w 200"/>
                                <a:gd name="T2" fmla="+- 0 42 42"/>
                                <a:gd name="T3" fmla="*/ 42 h 200"/>
                                <a:gd name="T4" fmla="+- 0 644 608"/>
                                <a:gd name="T5" fmla="*/ T4 w 200"/>
                                <a:gd name="T6" fmla="+- 0 65 42"/>
                                <a:gd name="T7" fmla="*/ 65 h 200"/>
                                <a:gd name="T8" fmla="+- 0 610 608"/>
                                <a:gd name="T9" fmla="*/ T8 w 200"/>
                                <a:gd name="T10" fmla="+- 0 120 42"/>
                                <a:gd name="T11" fmla="*/ 120 h 200"/>
                                <a:gd name="T12" fmla="+- 0 608 608"/>
                                <a:gd name="T13" fmla="*/ T12 w 200"/>
                                <a:gd name="T14" fmla="+- 0 143 42"/>
                                <a:gd name="T15" fmla="*/ 143 h 200"/>
                                <a:gd name="T16" fmla="+- 0 611 608"/>
                                <a:gd name="T17" fmla="*/ T16 w 200"/>
                                <a:gd name="T18" fmla="+- 0 166 42"/>
                                <a:gd name="T19" fmla="*/ 166 h 200"/>
                                <a:gd name="T20" fmla="+- 0 646 608"/>
                                <a:gd name="T21" fmla="*/ T20 w 200"/>
                                <a:gd name="T22" fmla="+- 0 219 42"/>
                                <a:gd name="T23" fmla="*/ 219 h 200"/>
                                <a:gd name="T24" fmla="+- 0 709 608"/>
                                <a:gd name="T25" fmla="*/ T24 w 200"/>
                                <a:gd name="T26" fmla="+- 0 241 42"/>
                                <a:gd name="T27" fmla="*/ 241 h 200"/>
                                <a:gd name="T28" fmla="+- 0 731 608"/>
                                <a:gd name="T29" fmla="*/ T28 w 200"/>
                                <a:gd name="T30" fmla="+- 0 238 42"/>
                                <a:gd name="T31" fmla="*/ 238 h 200"/>
                                <a:gd name="T32" fmla="+- 0 785 608"/>
                                <a:gd name="T33" fmla="*/ T32 w 200"/>
                                <a:gd name="T34" fmla="+- 0 203 42"/>
                                <a:gd name="T35" fmla="*/ 203 h 200"/>
                                <a:gd name="T36" fmla="+- 0 807 608"/>
                                <a:gd name="T37" fmla="*/ T36 w 200"/>
                                <a:gd name="T38" fmla="+- 0 140 42"/>
                                <a:gd name="T39" fmla="*/ 140 h 200"/>
                                <a:gd name="T40" fmla="+- 0 804 608"/>
                                <a:gd name="T41" fmla="*/ T40 w 200"/>
                                <a:gd name="T42" fmla="+- 0 118 42"/>
                                <a:gd name="T43" fmla="*/ 118 h 200"/>
                                <a:gd name="T44" fmla="+- 0 769 608"/>
                                <a:gd name="T45" fmla="*/ T44 w 200"/>
                                <a:gd name="T46" fmla="+- 0 63 42"/>
                                <a:gd name="T47" fmla="*/ 63 h 200"/>
                                <a:gd name="T48" fmla="+- 0 707 608"/>
                                <a:gd name="T49" fmla="*/ T48 w 200"/>
                                <a:gd name="T50" fmla="+- 0 42 42"/>
                                <a:gd name="T51" fmla="*/ 4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00">
                                  <a:moveTo>
                                    <a:pt x="99" y="0"/>
                                  </a:moveTo>
                                  <a:lnTo>
                                    <a:pt x="36" y="23"/>
                                  </a:lnTo>
                                  <a:lnTo>
                                    <a:pt x="2" y="78"/>
                                  </a:lnTo>
                                  <a:lnTo>
                                    <a:pt x="0" y="101"/>
                                  </a:lnTo>
                                  <a:lnTo>
                                    <a:pt x="3" y="124"/>
                                  </a:lnTo>
                                  <a:lnTo>
                                    <a:pt x="38" y="177"/>
                                  </a:lnTo>
                                  <a:lnTo>
                                    <a:pt x="101" y="199"/>
                                  </a:lnTo>
                                  <a:lnTo>
                                    <a:pt x="123" y="196"/>
                                  </a:lnTo>
                                  <a:lnTo>
                                    <a:pt x="177" y="161"/>
                                  </a:lnTo>
                                  <a:lnTo>
                                    <a:pt x="199" y="98"/>
                                  </a:lnTo>
                                  <a:lnTo>
                                    <a:pt x="196" y="76"/>
                                  </a:lnTo>
                                  <a:lnTo>
                                    <a:pt x="161" y="21"/>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69"/>
                        <wpg:cNvGrpSpPr>
                          <a:grpSpLocks/>
                        </wpg:cNvGrpSpPr>
                        <wpg:grpSpPr bwMode="auto">
                          <a:xfrm>
                            <a:off x="678" y="105"/>
                            <a:ext cx="58" cy="103"/>
                            <a:chOff x="678" y="105"/>
                            <a:chExt cx="58" cy="103"/>
                          </a:xfrm>
                        </wpg:grpSpPr>
                        <wps:wsp>
                          <wps:cNvPr id="70" name="Freeform 70"/>
                          <wps:cNvSpPr>
                            <a:spLocks/>
                          </wps:cNvSpPr>
                          <wps:spPr bwMode="auto">
                            <a:xfrm>
                              <a:off x="678" y="105"/>
                              <a:ext cx="58" cy="103"/>
                            </a:xfrm>
                            <a:custGeom>
                              <a:avLst/>
                              <a:gdLst>
                                <a:gd name="T0" fmla="+- 0 724 678"/>
                                <a:gd name="T1" fmla="*/ T0 w 58"/>
                                <a:gd name="T2" fmla="+- 0 156 105"/>
                                <a:gd name="T3" fmla="*/ 156 h 103"/>
                                <a:gd name="T4" fmla="+- 0 690 678"/>
                                <a:gd name="T5" fmla="*/ T4 w 58"/>
                                <a:gd name="T6" fmla="+- 0 156 105"/>
                                <a:gd name="T7" fmla="*/ 156 h 103"/>
                                <a:gd name="T8" fmla="+- 0 690 678"/>
                                <a:gd name="T9" fmla="*/ T8 w 58"/>
                                <a:gd name="T10" fmla="+- 0 208 105"/>
                                <a:gd name="T11" fmla="*/ 208 h 103"/>
                                <a:gd name="T12" fmla="+- 0 724 678"/>
                                <a:gd name="T13" fmla="*/ T12 w 58"/>
                                <a:gd name="T14" fmla="+- 0 208 105"/>
                                <a:gd name="T15" fmla="*/ 208 h 103"/>
                                <a:gd name="T16" fmla="+- 0 724 678"/>
                                <a:gd name="T17" fmla="*/ T16 w 58"/>
                                <a:gd name="T18" fmla="+- 0 156 105"/>
                                <a:gd name="T19" fmla="*/ 156 h 103"/>
                              </a:gdLst>
                              <a:ahLst/>
                              <a:cxnLst>
                                <a:cxn ang="0">
                                  <a:pos x="T1" y="T3"/>
                                </a:cxn>
                                <a:cxn ang="0">
                                  <a:pos x="T5" y="T7"/>
                                </a:cxn>
                                <a:cxn ang="0">
                                  <a:pos x="T9" y="T11"/>
                                </a:cxn>
                                <a:cxn ang="0">
                                  <a:pos x="T13" y="T15"/>
                                </a:cxn>
                                <a:cxn ang="0">
                                  <a:pos x="T17" y="T19"/>
                                </a:cxn>
                              </a:cxnLst>
                              <a:rect l="0" t="0" r="r" b="b"/>
                              <a:pathLst>
                                <a:path w="58" h="103">
                                  <a:moveTo>
                                    <a:pt x="46" y="51"/>
                                  </a:moveTo>
                                  <a:lnTo>
                                    <a:pt x="12" y="51"/>
                                  </a:lnTo>
                                  <a:lnTo>
                                    <a:pt x="12" y="103"/>
                                  </a:lnTo>
                                  <a:lnTo>
                                    <a:pt x="46" y="103"/>
                                  </a:lnTo>
                                  <a:lnTo>
                                    <a:pt x="46"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1"/>
                          <wps:cNvSpPr>
                            <a:spLocks/>
                          </wps:cNvSpPr>
                          <wps:spPr bwMode="auto">
                            <a:xfrm>
                              <a:off x="678" y="105"/>
                              <a:ext cx="58" cy="103"/>
                            </a:xfrm>
                            <a:custGeom>
                              <a:avLst/>
                              <a:gdLst>
                                <a:gd name="T0" fmla="+- 0 733 678"/>
                                <a:gd name="T1" fmla="*/ T0 w 58"/>
                                <a:gd name="T2" fmla="+- 0 105 105"/>
                                <a:gd name="T3" fmla="*/ 105 h 103"/>
                                <a:gd name="T4" fmla="+- 0 681 678"/>
                                <a:gd name="T5" fmla="*/ T4 w 58"/>
                                <a:gd name="T6" fmla="+- 0 105 105"/>
                                <a:gd name="T7" fmla="*/ 105 h 103"/>
                                <a:gd name="T8" fmla="+- 0 678 678"/>
                                <a:gd name="T9" fmla="*/ T8 w 58"/>
                                <a:gd name="T10" fmla="+- 0 108 105"/>
                                <a:gd name="T11" fmla="*/ 108 h 103"/>
                                <a:gd name="T12" fmla="+- 0 678 678"/>
                                <a:gd name="T13" fmla="*/ T12 w 58"/>
                                <a:gd name="T14" fmla="+- 0 156 105"/>
                                <a:gd name="T15" fmla="*/ 156 h 103"/>
                                <a:gd name="T16" fmla="+- 0 736 678"/>
                                <a:gd name="T17" fmla="*/ T16 w 58"/>
                                <a:gd name="T18" fmla="+- 0 156 105"/>
                                <a:gd name="T19" fmla="*/ 156 h 103"/>
                                <a:gd name="T20" fmla="+- 0 736 678"/>
                                <a:gd name="T21" fmla="*/ T20 w 58"/>
                                <a:gd name="T22" fmla="+- 0 108 105"/>
                                <a:gd name="T23" fmla="*/ 108 h 103"/>
                                <a:gd name="T24" fmla="+- 0 733 678"/>
                                <a:gd name="T25" fmla="*/ T24 w 58"/>
                                <a:gd name="T26" fmla="+- 0 105 105"/>
                                <a:gd name="T27" fmla="*/ 105 h 103"/>
                              </a:gdLst>
                              <a:ahLst/>
                              <a:cxnLst>
                                <a:cxn ang="0">
                                  <a:pos x="T1" y="T3"/>
                                </a:cxn>
                                <a:cxn ang="0">
                                  <a:pos x="T5" y="T7"/>
                                </a:cxn>
                                <a:cxn ang="0">
                                  <a:pos x="T9" y="T11"/>
                                </a:cxn>
                                <a:cxn ang="0">
                                  <a:pos x="T13" y="T15"/>
                                </a:cxn>
                                <a:cxn ang="0">
                                  <a:pos x="T17" y="T19"/>
                                </a:cxn>
                                <a:cxn ang="0">
                                  <a:pos x="T21" y="T23"/>
                                </a:cxn>
                                <a:cxn ang="0">
                                  <a:pos x="T25" y="T27"/>
                                </a:cxn>
                              </a:cxnLst>
                              <a:rect l="0" t="0" r="r" b="b"/>
                              <a:pathLst>
                                <a:path w="58" h="103">
                                  <a:moveTo>
                                    <a:pt x="55" y="0"/>
                                  </a:moveTo>
                                  <a:lnTo>
                                    <a:pt x="3" y="0"/>
                                  </a:lnTo>
                                  <a:lnTo>
                                    <a:pt x="0" y="3"/>
                                  </a:lnTo>
                                  <a:lnTo>
                                    <a:pt x="0" y="51"/>
                                  </a:lnTo>
                                  <a:lnTo>
                                    <a:pt x="58" y="51"/>
                                  </a:lnTo>
                                  <a:lnTo>
                                    <a:pt x="58" y="3"/>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72"/>
                        <wpg:cNvGrpSpPr>
                          <a:grpSpLocks/>
                        </wpg:cNvGrpSpPr>
                        <wpg:grpSpPr bwMode="auto">
                          <a:xfrm>
                            <a:off x="692" y="69"/>
                            <a:ext cx="31" cy="31"/>
                            <a:chOff x="692" y="69"/>
                            <a:chExt cx="31" cy="31"/>
                          </a:xfrm>
                        </wpg:grpSpPr>
                        <wps:wsp>
                          <wps:cNvPr id="73" name="Freeform 73"/>
                          <wps:cNvSpPr>
                            <a:spLocks/>
                          </wps:cNvSpPr>
                          <wps:spPr bwMode="auto">
                            <a:xfrm>
                              <a:off x="692" y="69"/>
                              <a:ext cx="31" cy="31"/>
                            </a:xfrm>
                            <a:custGeom>
                              <a:avLst/>
                              <a:gdLst>
                                <a:gd name="T0" fmla="+- 0 715 692"/>
                                <a:gd name="T1" fmla="*/ T0 w 31"/>
                                <a:gd name="T2" fmla="+- 0 69 69"/>
                                <a:gd name="T3" fmla="*/ 69 h 31"/>
                                <a:gd name="T4" fmla="+- 0 699 692"/>
                                <a:gd name="T5" fmla="*/ T4 w 31"/>
                                <a:gd name="T6" fmla="+- 0 69 69"/>
                                <a:gd name="T7" fmla="*/ 69 h 31"/>
                                <a:gd name="T8" fmla="+- 0 692 692"/>
                                <a:gd name="T9" fmla="*/ T8 w 31"/>
                                <a:gd name="T10" fmla="+- 0 76 69"/>
                                <a:gd name="T11" fmla="*/ 76 h 31"/>
                                <a:gd name="T12" fmla="+- 0 692 692"/>
                                <a:gd name="T13" fmla="*/ T12 w 31"/>
                                <a:gd name="T14" fmla="+- 0 93 69"/>
                                <a:gd name="T15" fmla="*/ 93 h 31"/>
                                <a:gd name="T16" fmla="+- 0 699 692"/>
                                <a:gd name="T17" fmla="*/ T16 w 31"/>
                                <a:gd name="T18" fmla="+- 0 100 69"/>
                                <a:gd name="T19" fmla="*/ 100 h 31"/>
                                <a:gd name="T20" fmla="+- 0 715 692"/>
                                <a:gd name="T21" fmla="*/ T20 w 31"/>
                                <a:gd name="T22" fmla="+- 0 100 69"/>
                                <a:gd name="T23" fmla="*/ 100 h 31"/>
                                <a:gd name="T24" fmla="+- 0 722 692"/>
                                <a:gd name="T25" fmla="*/ T24 w 31"/>
                                <a:gd name="T26" fmla="+- 0 93 69"/>
                                <a:gd name="T27" fmla="*/ 93 h 31"/>
                                <a:gd name="T28" fmla="+- 0 722 692"/>
                                <a:gd name="T29" fmla="*/ T28 w 31"/>
                                <a:gd name="T30" fmla="+- 0 76 69"/>
                                <a:gd name="T31" fmla="*/ 76 h 31"/>
                                <a:gd name="T32" fmla="+- 0 715 692"/>
                                <a:gd name="T33" fmla="*/ T32 w 31"/>
                                <a:gd name="T34" fmla="+- 0 69 69"/>
                                <a:gd name="T35" fmla="*/ 6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1">
                                  <a:moveTo>
                                    <a:pt x="23" y="0"/>
                                  </a:moveTo>
                                  <a:lnTo>
                                    <a:pt x="7" y="0"/>
                                  </a:lnTo>
                                  <a:lnTo>
                                    <a:pt x="0" y="7"/>
                                  </a:lnTo>
                                  <a:lnTo>
                                    <a:pt x="0" y="24"/>
                                  </a:lnTo>
                                  <a:lnTo>
                                    <a:pt x="7" y="31"/>
                                  </a:lnTo>
                                  <a:lnTo>
                                    <a:pt x="23" y="31"/>
                                  </a:lnTo>
                                  <a:lnTo>
                                    <a:pt x="30" y="24"/>
                                  </a:lnTo>
                                  <a:lnTo>
                                    <a:pt x="30" y="7"/>
                                  </a:lnTo>
                                  <a:lnTo>
                                    <a:pt x="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74"/>
                        <wpg:cNvGrpSpPr>
                          <a:grpSpLocks/>
                        </wpg:cNvGrpSpPr>
                        <wpg:grpSpPr bwMode="auto">
                          <a:xfrm>
                            <a:off x="600" y="31"/>
                            <a:ext cx="215" cy="215"/>
                            <a:chOff x="600" y="31"/>
                            <a:chExt cx="215" cy="215"/>
                          </a:xfrm>
                        </wpg:grpSpPr>
                        <wps:wsp>
                          <wps:cNvPr id="75" name="Freeform 75"/>
                          <wps:cNvSpPr>
                            <a:spLocks/>
                          </wps:cNvSpPr>
                          <wps:spPr bwMode="auto">
                            <a:xfrm>
                              <a:off x="600" y="31"/>
                              <a:ext cx="215" cy="215"/>
                            </a:xfrm>
                            <a:custGeom>
                              <a:avLst/>
                              <a:gdLst>
                                <a:gd name="T0" fmla="+- 0 707 600"/>
                                <a:gd name="T1" fmla="*/ T0 w 215"/>
                                <a:gd name="T2" fmla="+- 0 31 31"/>
                                <a:gd name="T3" fmla="*/ 31 h 215"/>
                                <a:gd name="T4" fmla="+- 0 649 600"/>
                                <a:gd name="T5" fmla="*/ T4 w 215"/>
                                <a:gd name="T6" fmla="+- 0 48 31"/>
                                <a:gd name="T7" fmla="*/ 48 h 215"/>
                                <a:gd name="T8" fmla="+- 0 609 600"/>
                                <a:gd name="T9" fmla="*/ T8 w 215"/>
                                <a:gd name="T10" fmla="+- 0 96 31"/>
                                <a:gd name="T11" fmla="*/ 96 h 215"/>
                                <a:gd name="T12" fmla="+- 0 600 600"/>
                                <a:gd name="T13" fmla="*/ T12 w 215"/>
                                <a:gd name="T14" fmla="+- 0 134 31"/>
                                <a:gd name="T15" fmla="*/ 134 h 215"/>
                                <a:gd name="T16" fmla="+- 0 601 600"/>
                                <a:gd name="T17" fmla="*/ T16 w 215"/>
                                <a:gd name="T18" fmla="+- 0 157 31"/>
                                <a:gd name="T19" fmla="*/ 157 h 215"/>
                                <a:gd name="T20" fmla="+- 0 644 600"/>
                                <a:gd name="T21" fmla="*/ T20 w 215"/>
                                <a:gd name="T22" fmla="+- 0 225 31"/>
                                <a:gd name="T23" fmla="*/ 225 h 215"/>
                                <a:gd name="T24" fmla="+- 0 699 600"/>
                                <a:gd name="T25" fmla="*/ T24 w 215"/>
                                <a:gd name="T26" fmla="+- 0 246 31"/>
                                <a:gd name="T27" fmla="*/ 246 h 215"/>
                                <a:gd name="T28" fmla="+- 0 722 600"/>
                                <a:gd name="T29" fmla="*/ T28 w 215"/>
                                <a:gd name="T30" fmla="+- 0 245 31"/>
                                <a:gd name="T31" fmla="*/ 245 h 215"/>
                                <a:gd name="T32" fmla="+- 0 742 600"/>
                                <a:gd name="T33" fmla="*/ T32 w 215"/>
                                <a:gd name="T34" fmla="+- 0 240 31"/>
                                <a:gd name="T35" fmla="*/ 240 h 215"/>
                                <a:gd name="T36" fmla="+- 0 760 600"/>
                                <a:gd name="T37" fmla="*/ T36 w 215"/>
                                <a:gd name="T38" fmla="+- 0 232 31"/>
                                <a:gd name="T39" fmla="*/ 232 h 215"/>
                                <a:gd name="T40" fmla="+- 0 769 600"/>
                                <a:gd name="T41" fmla="*/ T40 w 215"/>
                                <a:gd name="T42" fmla="+- 0 226 31"/>
                                <a:gd name="T43" fmla="*/ 226 h 215"/>
                                <a:gd name="T44" fmla="+- 0 716 600"/>
                                <a:gd name="T45" fmla="*/ T44 w 215"/>
                                <a:gd name="T46" fmla="+- 0 226 31"/>
                                <a:gd name="T47" fmla="*/ 226 h 215"/>
                                <a:gd name="T48" fmla="+- 0 692 600"/>
                                <a:gd name="T49" fmla="*/ T48 w 215"/>
                                <a:gd name="T50" fmla="+- 0 225 31"/>
                                <a:gd name="T51" fmla="*/ 225 h 215"/>
                                <a:gd name="T52" fmla="+- 0 638 600"/>
                                <a:gd name="T53" fmla="*/ T52 w 215"/>
                                <a:gd name="T54" fmla="+- 0 191 31"/>
                                <a:gd name="T55" fmla="*/ 191 h 215"/>
                                <a:gd name="T56" fmla="+- 0 619 600"/>
                                <a:gd name="T57" fmla="*/ T56 w 215"/>
                                <a:gd name="T58" fmla="+- 0 139 31"/>
                                <a:gd name="T59" fmla="*/ 139 h 215"/>
                                <a:gd name="T60" fmla="+- 0 621 600"/>
                                <a:gd name="T61" fmla="*/ T60 w 215"/>
                                <a:gd name="T62" fmla="+- 0 119 31"/>
                                <a:gd name="T63" fmla="*/ 119 h 215"/>
                                <a:gd name="T64" fmla="+- 0 657 600"/>
                                <a:gd name="T65" fmla="*/ T64 w 215"/>
                                <a:gd name="T66" fmla="+- 0 67 31"/>
                                <a:gd name="T67" fmla="*/ 67 h 215"/>
                                <a:gd name="T68" fmla="+- 0 707 600"/>
                                <a:gd name="T69" fmla="*/ T68 w 215"/>
                                <a:gd name="T70" fmla="+- 0 51 31"/>
                                <a:gd name="T71" fmla="*/ 51 h 215"/>
                                <a:gd name="T72" fmla="+- 0 767 600"/>
                                <a:gd name="T73" fmla="*/ T72 w 215"/>
                                <a:gd name="T74" fmla="+- 0 51 31"/>
                                <a:gd name="T75" fmla="*/ 51 h 215"/>
                                <a:gd name="T76" fmla="+- 0 756 600"/>
                                <a:gd name="T77" fmla="*/ T76 w 215"/>
                                <a:gd name="T78" fmla="+- 0 43 31"/>
                                <a:gd name="T79" fmla="*/ 43 h 215"/>
                                <a:gd name="T80" fmla="+- 0 738 600"/>
                                <a:gd name="T81" fmla="*/ T80 w 215"/>
                                <a:gd name="T82" fmla="+- 0 36 31"/>
                                <a:gd name="T83" fmla="*/ 36 h 215"/>
                                <a:gd name="T84" fmla="+- 0 720 600"/>
                                <a:gd name="T85" fmla="*/ T84 w 215"/>
                                <a:gd name="T86" fmla="+- 0 32 31"/>
                                <a:gd name="T87" fmla="*/ 32 h 215"/>
                                <a:gd name="T88" fmla="+- 0 707 600"/>
                                <a:gd name="T89" fmla="*/ T88 w 215"/>
                                <a:gd name="T90" fmla="+- 0 31 31"/>
                                <a:gd name="T91" fmla="*/ 3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5" h="215">
                                  <a:moveTo>
                                    <a:pt x="107" y="0"/>
                                  </a:moveTo>
                                  <a:lnTo>
                                    <a:pt x="49" y="17"/>
                                  </a:lnTo>
                                  <a:lnTo>
                                    <a:pt x="9" y="65"/>
                                  </a:lnTo>
                                  <a:lnTo>
                                    <a:pt x="0" y="103"/>
                                  </a:lnTo>
                                  <a:lnTo>
                                    <a:pt x="1" y="126"/>
                                  </a:lnTo>
                                  <a:lnTo>
                                    <a:pt x="44" y="194"/>
                                  </a:lnTo>
                                  <a:lnTo>
                                    <a:pt x="99" y="215"/>
                                  </a:lnTo>
                                  <a:lnTo>
                                    <a:pt x="122" y="214"/>
                                  </a:lnTo>
                                  <a:lnTo>
                                    <a:pt x="142" y="209"/>
                                  </a:lnTo>
                                  <a:lnTo>
                                    <a:pt x="160" y="201"/>
                                  </a:lnTo>
                                  <a:lnTo>
                                    <a:pt x="169" y="195"/>
                                  </a:lnTo>
                                  <a:lnTo>
                                    <a:pt x="116" y="195"/>
                                  </a:lnTo>
                                  <a:lnTo>
                                    <a:pt x="92" y="194"/>
                                  </a:lnTo>
                                  <a:lnTo>
                                    <a:pt x="38" y="160"/>
                                  </a:lnTo>
                                  <a:lnTo>
                                    <a:pt x="19" y="108"/>
                                  </a:lnTo>
                                  <a:lnTo>
                                    <a:pt x="21" y="88"/>
                                  </a:lnTo>
                                  <a:lnTo>
                                    <a:pt x="57" y="36"/>
                                  </a:lnTo>
                                  <a:lnTo>
                                    <a:pt x="107" y="20"/>
                                  </a:lnTo>
                                  <a:lnTo>
                                    <a:pt x="167" y="20"/>
                                  </a:lnTo>
                                  <a:lnTo>
                                    <a:pt x="156" y="12"/>
                                  </a:lnTo>
                                  <a:lnTo>
                                    <a:pt x="138" y="5"/>
                                  </a:lnTo>
                                  <a:lnTo>
                                    <a:pt x="120" y="1"/>
                                  </a:lnTo>
                                  <a:lnTo>
                                    <a:pt x="1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6"/>
                          <wps:cNvSpPr>
                            <a:spLocks/>
                          </wps:cNvSpPr>
                          <wps:spPr bwMode="auto">
                            <a:xfrm>
                              <a:off x="600" y="31"/>
                              <a:ext cx="215" cy="215"/>
                            </a:xfrm>
                            <a:custGeom>
                              <a:avLst/>
                              <a:gdLst>
                                <a:gd name="T0" fmla="+- 0 767 600"/>
                                <a:gd name="T1" fmla="*/ T0 w 215"/>
                                <a:gd name="T2" fmla="+- 0 51 31"/>
                                <a:gd name="T3" fmla="*/ 51 h 215"/>
                                <a:gd name="T4" fmla="+- 0 707 600"/>
                                <a:gd name="T5" fmla="*/ T4 w 215"/>
                                <a:gd name="T6" fmla="+- 0 51 31"/>
                                <a:gd name="T7" fmla="*/ 51 h 215"/>
                                <a:gd name="T8" fmla="+- 0 728 600"/>
                                <a:gd name="T9" fmla="*/ T8 w 215"/>
                                <a:gd name="T10" fmla="+- 0 53 31"/>
                                <a:gd name="T11" fmla="*/ 53 h 215"/>
                                <a:gd name="T12" fmla="+- 0 747 600"/>
                                <a:gd name="T13" fmla="*/ T12 w 215"/>
                                <a:gd name="T14" fmla="+- 0 60 31"/>
                                <a:gd name="T15" fmla="*/ 60 h 215"/>
                                <a:gd name="T16" fmla="+- 0 764 600"/>
                                <a:gd name="T17" fmla="*/ T16 w 215"/>
                                <a:gd name="T18" fmla="+- 0 71 31"/>
                                <a:gd name="T19" fmla="*/ 71 h 215"/>
                                <a:gd name="T20" fmla="+- 0 779 600"/>
                                <a:gd name="T21" fmla="*/ T20 w 215"/>
                                <a:gd name="T22" fmla="+- 0 89 31"/>
                                <a:gd name="T23" fmla="*/ 89 h 215"/>
                                <a:gd name="T24" fmla="+- 0 789 600"/>
                                <a:gd name="T25" fmla="*/ T24 w 215"/>
                                <a:gd name="T26" fmla="+- 0 107 31"/>
                                <a:gd name="T27" fmla="*/ 107 h 215"/>
                                <a:gd name="T28" fmla="+- 0 794 600"/>
                                <a:gd name="T29" fmla="*/ T28 w 215"/>
                                <a:gd name="T30" fmla="+- 0 125 31"/>
                                <a:gd name="T31" fmla="*/ 125 h 215"/>
                                <a:gd name="T32" fmla="+- 0 793 600"/>
                                <a:gd name="T33" fmla="*/ T32 w 215"/>
                                <a:gd name="T34" fmla="+- 0 151 31"/>
                                <a:gd name="T35" fmla="*/ 151 h 215"/>
                                <a:gd name="T36" fmla="+- 0 753 600"/>
                                <a:gd name="T37" fmla="*/ T36 w 215"/>
                                <a:gd name="T38" fmla="+- 0 214 31"/>
                                <a:gd name="T39" fmla="*/ 214 h 215"/>
                                <a:gd name="T40" fmla="+- 0 716 600"/>
                                <a:gd name="T41" fmla="*/ T40 w 215"/>
                                <a:gd name="T42" fmla="+- 0 226 31"/>
                                <a:gd name="T43" fmla="*/ 226 h 215"/>
                                <a:gd name="T44" fmla="+- 0 769 600"/>
                                <a:gd name="T45" fmla="*/ T44 w 215"/>
                                <a:gd name="T46" fmla="+- 0 226 31"/>
                                <a:gd name="T47" fmla="*/ 226 h 215"/>
                                <a:gd name="T48" fmla="+- 0 811 600"/>
                                <a:gd name="T49" fmla="*/ T48 w 215"/>
                                <a:gd name="T50" fmla="+- 0 168 31"/>
                                <a:gd name="T51" fmla="*/ 168 h 215"/>
                                <a:gd name="T52" fmla="+- 0 814 600"/>
                                <a:gd name="T53" fmla="*/ T52 w 215"/>
                                <a:gd name="T54" fmla="+- 0 150 31"/>
                                <a:gd name="T55" fmla="*/ 150 h 215"/>
                                <a:gd name="T56" fmla="+- 0 813 600"/>
                                <a:gd name="T57" fmla="*/ T56 w 215"/>
                                <a:gd name="T58" fmla="+- 0 125 31"/>
                                <a:gd name="T59" fmla="*/ 125 h 215"/>
                                <a:gd name="T60" fmla="+- 0 809 600"/>
                                <a:gd name="T61" fmla="*/ T60 w 215"/>
                                <a:gd name="T62" fmla="+- 0 105 31"/>
                                <a:gd name="T63" fmla="*/ 105 h 215"/>
                                <a:gd name="T64" fmla="+- 0 802 600"/>
                                <a:gd name="T65" fmla="*/ T64 w 215"/>
                                <a:gd name="T66" fmla="+- 0 87 31"/>
                                <a:gd name="T67" fmla="*/ 87 h 215"/>
                                <a:gd name="T68" fmla="+- 0 791 600"/>
                                <a:gd name="T69" fmla="*/ T68 w 215"/>
                                <a:gd name="T70" fmla="+- 0 72 31"/>
                                <a:gd name="T71" fmla="*/ 72 h 215"/>
                                <a:gd name="T72" fmla="+- 0 773 600"/>
                                <a:gd name="T73" fmla="*/ T72 w 215"/>
                                <a:gd name="T74" fmla="+- 0 55 31"/>
                                <a:gd name="T75" fmla="*/ 55 h 215"/>
                                <a:gd name="T76" fmla="+- 0 767 600"/>
                                <a:gd name="T77" fmla="*/ T76 w 215"/>
                                <a:gd name="T78" fmla="+- 0 51 31"/>
                                <a:gd name="T79" fmla="*/ 5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5" h="215">
                                  <a:moveTo>
                                    <a:pt x="167" y="20"/>
                                  </a:moveTo>
                                  <a:lnTo>
                                    <a:pt x="107" y="20"/>
                                  </a:lnTo>
                                  <a:lnTo>
                                    <a:pt x="128" y="22"/>
                                  </a:lnTo>
                                  <a:lnTo>
                                    <a:pt x="147" y="29"/>
                                  </a:lnTo>
                                  <a:lnTo>
                                    <a:pt x="164" y="40"/>
                                  </a:lnTo>
                                  <a:lnTo>
                                    <a:pt x="179" y="58"/>
                                  </a:lnTo>
                                  <a:lnTo>
                                    <a:pt x="189" y="76"/>
                                  </a:lnTo>
                                  <a:lnTo>
                                    <a:pt x="194" y="94"/>
                                  </a:lnTo>
                                  <a:lnTo>
                                    <a:pt x="193" y="120"/>
                                  </a:lnTo>
                                  <a:lnTo>
                                    <a:pt x="153" y="183"/>
                                  </a:lnTo>
                                  <a:lnTo>
                                    <a:pt x="116" y="195"/>
                                  </a:lnTo>
                                  <a:lnTo>
                                    <a:pt x="169" y="195"/>
                                  </a:lnTo>
                                  <a:lnTo>
                                    <a:pt x="211" y="137"/>
                                  </a:lnTo>
                                  <a:lnTo>
                                    <a:pt x="214" y="119"/>
                                  </a:lnTo>
                                  <a:lnTo>
                                    <a:pt x="213" y="94"/>
                                  </a:lnTo>
                                  <a:lnTo>
                                    <a:pt x="209" y="74"/>
                                  </a:lnTo>
                                  <a:lnTo>
                                    <a:pt x="202" y="56"/>
                                  </a:lnTo>
                                  <a:lnTo>
                                    <a:pt x="191" y="41"/>
                                  </a:lnTo>
                                  <a:lnTo>
                                    <a:pt x="173" y="24"/>
                                  </a:lnTo>
                                  <a:lnTo>
                                    <a:pt x="167"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669C2C0" id="Group 43" o:spid="_x0000_s1026" style="width:55.65pt;height:19.5pt;mso-position-horizontal-relative:char;mso-position-vertical-relative:line" coordsize="111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3fHqC0AALVvAQAOAAAAZHJzL2Uyb0RvYy54bWzsfdtuI0mS5fsC+w+EHndRJUYEr0JnDbYv&#10;WVigZ6aB5n4AU1KmhFGKWlJZWb2L/fc95pcIM/fjEdHUrTTFeiiqikaPE8c9PMyOmbv/4V9+/Xo3&#10;+eV6f7jd3X84q36cnk2u7y93V7f3Xz6c/a/Nxx9WZ5PD4/b+anu3u7/+cPaP68PZv/z0X//LH74/&#10;XFzXu5vd3dX1foJG7g8X3x8+nN08Pj5cnJ8fLm+uv24PP+4eru/x5efd/uv2Ef+5/3J+td9+R+tf&#10;787r6XRx/n23v3rY7y6vDwf83z/7L89+cu1//nx9+fjvnz8frh8ndx/OgO3R/Xvv/v1J/n3+0x+2&#10;F1/224eb28sAY3sEiq/b23tctG3qz9vH7eTb/jZr6uvt5X532H1+/PFy9/V89/nz7eW1uwfcTTVN&#10;7ubn/e7bg7uXLxffvzy0NIHahKejm738t1/+tp/cXn04mzVnk/vtV/SRu+wE/w1yvj98uYDNz/uH&#10;vz/8be/vEH/+dXf5Hwd8fZ5+L//9xRtPPn3/190V2tt+e9w5cn79vP8qTeC2J7+6PvhH2wfXvz5O&#10;LvE/l9PFcj4/m1ziq3q2XMxDH13eoCOzX13e/CX8rqoq3ID8qlm7n5xvL/z1HMaAyd+Q+4/23uL9&#10;z5L7d62k9yc9/Fz3D7yAO/djMN5/VU0X4T6WK/9Ve+vmB/rWk58Ubx3P2KEbRoenDaO/32wfrt3o&#10;PMgQiTSi7/ww+ri/vpYHdzKr/EhyZnEYHfQYUt98fzhcHDDUBkePIaPIXkvF9uLy2+Hx5+udG4Hb&#10;X/56ePTP/hX+cuP6KuDeYJ74/PUO08B//2EyndTriXsS0POtRRUt/tv5ZDOdfJ+4XgvtxWbqaOSa&#10;mU9CR3et4A78ddDKfHIzaWKHdyYYkwrKLEcCtts2NrMCEgwo1QpBsowGZSSYx1UbTY5kHQ2Ek1UB&#10;SWW5rdY5K5UmFwaUl8qSS+DIbNAxU9UlQJbhZlUTRJpkseCQLMsYEcucpEozvakWJVQJ2xSVJryI&#10;qk4Ir6arHFWtKd/UxQFtSceDkQ3pWrMOA8pUbTmvpmuGSZO+qUtDu7asM0ia8hIiyzdImhKWNOGb&#10;ujTEG8v4Miep0XQvOUdNxnU2CTWa601TGuGNZZs8/Y2mWk1EmDu/xNlxexMnzMtf78OMib8mW/Hz&#10;pu7t/rA7yPt5g7vDa23j8KIJWMn0WjDGpcV4KW+IQWN0gBhjhhhjLTOAM3ejdLBxeTSd+XpU6/LM&#10;iDlG/BgwdbjRetyd1uFWMVTGtC5DQcCgJ5W5v+XQWXu4wqkTvD+bwAn+JL/ZXjxsH6WP45+T73Dn&#10;nS9yA5cKbyb54uvul+vNzpk8Sl/L04frRn+r+/ruXpt5qqJV/C5+Prim8NSgpWoWbiB+GT+1UbOM&#10;JMZv46e3AmyMebQ2wtB3C2Ykz1tsKH6GBqdrbzdkBmBy3bq3tYS0eKnLu93h2qOQrnCPQ9sn0pXK&#10;fTns7m6vPt7e3UlXHPZfPv3pbj/5ZYsY549/+uNf/hSZNmZ37jG838nP4s3Kz+E6hW4XJ8rFLP93&#10;XdWz6R/r9Q8fF6vlD7OPs/kP6+V09cO0Wv9xvZjO1rM/f/x/MiKq2cXN7dXV9f1fb++vY/xUzcY5&#10;liGS85GPi6Bk0K3neFbcfRVvcur+CSSbm0TAdH+Fu9te3Fxvr/4S/n7c3t75v88tYkcybjt+OiIQ&#10;L3gXVCKEw8Wn3dU/4I7udz52RKyLP252+/9zNvmOuPHD2eF/f9vur88md//zHh71uprNMJYf3X/M&#10;5kt5Ae/1N5/0N9v7SzT14ezxDDOp/PmnRx+cfnvY3365wZUqx8X97n8giPp8Kz6rw+dRhf+AU+/+&#10;CqFXX5CDB9YEeW6ovmSQ459rNyLdWHNBXhasYXg/W3z3GkEOnvM0yHHvARkwiIWeLcgZxx5mhxha&#10;61liXJADdx0TZuM8Ubwy3cPTBSDaVZmKq+KDax0MtZ4KWloXmtGuSqGZ1k1BM94DzdFgFm59eufK&#10;5Whaf7CnGe0RNivngeUNtS4hGvK+VY5He4TNqoCoi3nQEkZ+VeDIBD7l1jTd8hyVWtOUF28S79uO&#10;0b7WNPPNvHSnmvxqXRoMJggqN6Y7oFr6UCnvgsr0wbzQmV0Y5PrARxN5YyYQaprCbda6CxbLQgeY&#10;UKiZuqgxH2VdLARg83mpLU1/vVoUHkRNf4l8OKBdj9fLWaEpTX6xKU195QKH/Aa7cEiYL92gCYkK&#10;tHchkX+OSiPfxEWltuy4L05/JjRSExdm3GNCIz+dI0LyDlh/aIRRBl9yZByF+xFj4/8Xgy6MEzGO&#10;XnQ/DIwEMR4XFclcJ9ZjQ7Rwj/5J9PGKOG+FYFFmK9f6uNuswn1ivhnDdxXuFDPKGHOZUgQM5oxR&#10;5uFWx8aL4VbhC49qPdzq2PAy3CrCzDGtyzMstzo2Go0jd1xoLAKFa93cqh8MTwpeMaomErxiUpJB&#10;1UWnbZjow+YYLnUGMSbzhj4Wj1bxu/jpbTxDkc74XfzUNngXB9Ljt/HTW3ny8P7vtRI/wtE2wtDf&#10;5dB15e3vW5wPXHrtCcGbux/i0g/KZt5/w1V4rPG+7W1v4YNrvEp7zSR5hOGEt2Svmb8HvABHWFVx&#10;ZMaeip++x/C1XLEffUvvkNnUDsp4qeeRB+qm+oiJyz/0JnI+yQOOFCNoRFkgfr5neUAi05dP/uG9&#10;ksbF7gF7r3FxObxSXnTBx8RE3garLschacI85sDj3poVWsILsjXpidV1kFByxzElj2lqVJCAzm7b&#10;apqSa6+DhGK8YWLkpi7FZyZErtcVD1665CAChaYcb2vmG2TrqLphIuR6UQzeNfnNrCk0Zuh/1gC5&#10;RwnQPVAMt5MIuTjwTYisxuspIipkw37vEdFrOPLBc42uVcmRl1l4lKsWfLAhvw+yqfc1B7xITI7j&#10;7EQNEt91HWPK6P3FT+9wYk5zdpi0er1XTFfeztdyoSdiO/EzOLBjPfrRIUI0jD0Sr3fyYu+RNjol&#10;uV42yYUXnklyufDtJZNcixB0Nkg8I4zoEl1zOIFSk7hwMavKcmW/6Mr57G/w0PIyxldw51F7mbnz&#10;Lqp+bnc+YyPW8xW4AJEqGz4uz+Wq8JDOnsjFXCfxLJer58N1E5PWm3ftoKMnbWd37ViPUrT12PGd&#10;TevMe0DQ/Akg7U26sr4cUOtK9gHSfrxgZoBaN74PkPYhXXVfDqjz4T2ixZxRZFz4BjYMUufBe0yr&#10;FSNJ3vptALJxJX4EleVbrkg6TiSctqkiKkv5AvEH6TqT3fIlfgSVJb2ESrNeQtU57o4r1E8zVMZt&#10;9yV+OaouseV7EGOTcGUTW7BhPdjltXwPLtYUlabdF/kRVJb2poDKDPUSKkv7ooBK0+4L/XJUXV7L&#10;c9WghjHO/t3DbvJaDWwYV11iK/TgjHFl0lq+3I+gSkZ7AZWmvYjK0r5EBpOM9kbTvmkkS0tQWdpF&#10;K2BcadrFhnEltTX+QfXjCjE0QYWK8+5x3syknCBHNUum9AZVxHkPwnXummpgQ1FZ2hdr+gzONO2b&#10;mYgcBJWlvUFdJ0OlaRcbisrSvkCZLeNK076ZSVlrjko8AUV706A+NudqrmkXG4YKjeumltMpQzXX&#10;tG/mUoBBUFnaGynVJ6g07WJDUVnaCzMDMhndYNjM+WifW9obVAozVJp2sWGoFpb2AiqJ8tqX12bB&#10;RzscEU17U1EHZqFpFxuKytK+hF9BxtVC075Z8NG+sLSXUGnai6gs7SVUmvbNgo/2paW9gGqpaS+h&#10;WlraF2s62pea9s2Sj3aIDKYHuQu61LRj3NEelMycepwLXrFUs3bjylXg5M8gKoN1U3JFMtqXmnaN&#10;6kjZENQjqhpZGwFGxDhqJf3lDgAqxnBTXT5ooHw9CE+bVinqb/w/X415sVZDHAPXRVEC6mdG3thi&#10;3ipVA+ahT2fjOnUWehUvqDG9Ki8fAeMDRS9g9pSlyFvBmY+71SDKbTDXjgEj86i0jvT3KPNwq5id&#10;xpjLzCOtY9oYZR5uFc+zMvcMPaFWQ3wCVGrgHcUKNcQ/BsaYti6pu5i0lVVUHOOnVzq9DXrAo49f&#10;xs8gr3pOhqwwh+J6A1biEsGqHXjxSvEzCLCY2kdboV6mD30Y60NWviPbip6IJ356XDOPqy0Tit/G&#10;z2Dl77F2y1UxFuK38TNYeVax+qEXvR/tbdlTbCN+Gr6Glm149NAleq/oH5gBq6Dg9zeVDNSI+XlE&#10;74/un3Arp9INv8rjd7Gy41VKN2SiSks33Bvn3Wq9hQgA99k5tTxWsj67CCTEpcV01rZT0lCsx15w&#10;szHjtQ2N03o5IMzobTslQNZZX2DJAoncMCG2DY3Uejkiq/XChkWTqda7bhimo7TeWcU6zmq9sKGo&#10;kgipgEpzPlbrRXEIGU52HYMrIMlzB4nWu+CojtJ6IfwQVFbrhQ3jKtV6V7QHZQVsN6xqrgcky7mf&#10;Uest6eJmsLtF3XmMm2q9XIG2Wm9Bgc60XqoUHqX1zum4MisYGtiwHmzsaF+iGIrMC0dpvXOqFKLU&#10;txsMDWwYqkTrLaA6Suvlz6DVegvPoPjEfhwHtZ724FFaL4Rq8gwixlVcwYZyZWf2wrtPYoPuGRyr&#10;9dKZQfyFtin9ujkpOj1SgUzNCPR+y7sGvGdF54WFiDS0LikRIQ4cCMHDupchKzzYGDGYe/uC2CZY&#10;RVkmhp7x04fNwQozWF9biONHiBHjhI1gBeL6rijyD+5x1i8NBKuBVSLhinij9V0x7cnI0ylUP9Wn&#10;PWUThtcJ1fG4pKG6095OoTrPappQvZDUtF5dIdNqQhgewVhPupQ61L5TAZB16BYrmmQ1/hxPZqZl&#10;WZwiG6oXIKWhOhaikzDhqFAd61WI62tDdbemJQ+KZZmvcsifsywLW6ExVJr1BjbMIc9CdVosdlSo&#10;jtiZoLKhOmwoqmSY83T0UaF6vaCoTPACG4oqHes0/JQ9sdqIY2xZFi++sKF6ofgiCdUXK1qpeVSo&#10;XkClp5dSSUgWqtNxdVSoXkClaS+hykJ1KgEdFarXdGawoTps2LjKQnU6hx4VqtcjyrJgQ1HZ0f6c&#10;oTqfRW2oXphFxbtWs2gB1VFlWfyNIyXz7eOsy2dOAsJJQMDegpt3UBLyOnpDm5ou6Q1hA4XWLkaz&#10;8dNH//L+RJQ9YCWvRrEaKJGAzyVW/VG2vKtgBVeoLxaPi+P6t3UImspAyj/sVDJgBaHB4erXQWZe&#10;B4GL1oc+KAnYPGaM1bi2Ur5OqsRJlXiKKtHtgN+zNaS82s2qOafZveSqueXUz0htMNOu+sL/p6vm&#10;sl+oVXPmN5iY327VHGKsRJ7xhxg8tzyTscH5a7k4etXcEtGkXAwznN74UWeA/Kq5zMQ6lehoFiMa&#10;eaZQsWzjVoBhgLRH6SspMkBWKygAMjFrAVDixGMJBmEIY7J1cX0lRQYolWcKNQua66ZUs2DZXnJM&#10;TJ7JUVm+S+vTNOGl9WmJPLOczRlTbNVcjsqSXkKlWS+hSuSZAiomz2So0lVzvAetPFPowaSSYjmn&#10;zx2TZ3JUyUjnwb3ZDbIU3EtCSIeG2BeTjHUmz2So0koKjuoYeaYwRzF5JkeVjPbCNGVGu5oWTgHr&#10;+w5Ynx7FYcYpl6+LiI0oKDr1pSBuTPm6TCJoaiAZHKwGKtNDcDbOauCKIqFJoNcfUI0LzhK6Ygx7&#10;ioFOMdBTYqDXycziOUhdfxfyv1/XH0skycteu6Ov7PqjhJEA0u/m13b9qTukndCRrj93hmxmFjYs&#10;p5BkZguO41GufwGVJrzkOKauf2Es6XArFFFnLppszqx80ELgZouoTy6ao9G7N24PUyyqfMoqvV43&#10;B7sBj3FzwpKy6A3F13v89FL1OE9hnNeR4IoXOvkTJ3/iKf7EOE0VQbjWVP3SgpfUVMNqYb/ldrcP&#10;WS3qrjtSNTtPNflFp6imv2l1xO7W5UTY13Gs8I5IHasXOXAnYSMqqkUujtZUq6XsBDEoqcqFE9nV&#10;qnw48SR2ttp2KL4s5VAR2di2jt3e2VjNA9sKEzj6Je+8KgLH6kwoksnh6Bc8DCgc+35fSv1IeuOZ&#10;S0XQJHJq1TB6jEslJhRR4lNh47AcEvGoGKiEaznO09VzGzVdk125U0ZJryUu1UIq8FKeiJbKQFnG&#10;5bgeAkpzLiaUqURMdasKU1BESiWgEi21hgCagzJSqphwUAnpUC1zqoiUylDZMV5j2R1BpUe5mHBU&#10;lvUa+ywTVJp1X+lGUKVaKjZ+y1FZKRUmFFVS6lY3UiiV9iCRUhkqS3szrRgqPdbFhKNKaHe7AGao&#10;NO1+AzKGKqEd2xERrjTtNUwoqqTUrcEhvjlXpNKNoEp2IKunbPI0lW5iwlEltFcrhkrT7jcgY6gs&#10;7TIV5VyZRWnF2UpKKHTUxrnStPsNyAiqZAeyCtNxjspUuokJ5SopdZNnNe9BUunGUFnascE0Q6Vp&#10;FxOOytJeY/khQWVGu9uAjKGytC/ZIyhhUZubhAXFlOw/xn0WKMhdS377MYIp2X+Mui1m9zHtt5wy&#10;LO87w/Ke1xQWscsMgaTHq+4S9eRUlTyZkqsS11LGVJeN8spLNcVkNSJbFbWX/rI3zENoa9Uv9vjE&#10;VwVXrK+CDpMMmqrwyuyzkgS6mK37l0vKVnowqwdWCVaxBHBg/WK1wGQq7Q2trAyZuXpo3/6wiFGu&#10;33u3YQgOcVfH9qYD7cWln/0kV7Lnn+uMXnTpUDopb/W0mp6fDrp+jYOuZRNWo7y51PRLKm/iEeOh&#10;8JlypbzhID+vvPkT/fA6iSddJ79QylvymzdV3gA/Vd7cTP3cKc2EjVZ5K3HxBOVtMcHFElXNOLGy&#10;LVQd+6uTzKzyBt0odnZngrdr61V7YSlvJo0ZagJHhwxeecvbsQEDkms5HB0uwABOft6MDRYQU+Tk&#10;6FjBJTNJM5nyhs2XcpY1zVXjwo4cUaK8zZYEElPeSEsJ19iYm4DSZFcwoTQlyhv2rMl5YsobAWUZ&#10;rxEVE1CaczGhoBLlbcmYYspbDipV3iBP56Cs8gYTDiohHcpbThVT3ggqO8abij1ztogRJhxVwjqU&#10;FIJKsx6UtxxVqrzJ0tdsqFvlza18JU9NqrxhJWOOiilvBJWlvamxH1SOSo91MaFcJYtM4dcyVHpy&#10;CcobQWVp5z1ot4Mq9WCivNULNnEy5S1HlShvzZRNnkZ5ExPKVbLItF6yHiRrTMlgkHVJWi7D1vh5&#10;D2J4qFcMTDgqS3u1ZM+grF1q31ZBecu5SpS3hqIyypuYUFSJ8lbNGSqmvBFUdrTXdGY3a0zFhKOy&#10;tFdQyfNnEGKj4sorbwSVpV1E5LwHjfQWdOa8qUR7W7JHkElvpCXrt1RrBspob2JCqVpY1pGmy5mC&#10;aqmYchv/k7Ge7Pwv0mLOlBz53A5QMeGgLOn0JSgRetuS3/efgEo2/q9k87psCjX7/osJBZVs/F9h&#10;+sipIvv+M1SWdBzjQUBp0mHBMSUDfVUxTJrzjdv1n2GynMupSjlRmnMvxueDE+JQ6Bi3nV5NH76V&#10;dhs3q4J7vrLjnD57K+2g+xQPwWQJr0FC3ncrzfgG27PQkAGnkOvb45g040VMlvACJs34Bvkyimlt&#10;KV8wPwEnUHbPCyzoeFpbwmscPZLztNaMb9ZytgUZT2tLOZK6+Xhaa8Z92jfvu7UlXNIoBJNmfIP3&#10;AsdkKZ8xL09OzmznFVhQnqqpZbyG35WDqqaa8w1+xGFVU0u7rDfKnj13NGkHrBRo4bQcPTwhUFFg&#10;mngAK4x1vDhNa7IpMAGmuXd7ApPhgOnSNFXRRxC5tGiFQhcAKwx4FLdEOzfJ0MgdZ3NHIzk2WkUR&#10;p+zTKfv0TjakKCer8NRBndzA9/QZhf7zVcSxFPP/PGeUFJkR30JuFZ7BGGbkte/M3czm83E9jwde&#10;UM68PdG5n3d5WUrreNWNAYM0lzcf16vuDSPNy9thTPsxhYMfjLtdNyO7K7QbiLgbfnreUoiUvCU+&#10;ad4y7G4SU41dXjOmnXx+UyJC4IM44+8/fhs/vZXvNPgkfUZ4p6AlxLC9Vr5DEX/3W/nGaig9fZcU&#10;hwvXrAcyqpVkP5xd/1VjIq+Gl9p3WUmnjrluHdbu1e3hQ5HW+OnprUOesW6nl/h9/AzJ6Ljpy5Cd&#10;CMZyvwN9IYG3mEEw7Ltd0RNhVvn6IgzdiCp+hruAtyNmA30W1jLIieh9Fw0zLj76rKqwaTAI7DWL&#10;dzpwo+GhGeIjmvWPEtQyekL6LwqB3ZkNDU1v1f8IVnP4r9IH/Wwkc0PsxudZAlI31UfI8L47Tufy&#10;nM7luTg/P1zeXH/dHn78enu53x12nx9/vNx9Pd99/nx7eX3+fbe/OnelAPLXw353eX043N5/+fvN&#10;9uEaL7eQWP3bfnJ7hfPF8GZI86/uOXy3+VcuXejgy60oJVGhjXuplqLFhpKUksa8TN0xEW8h3rXR&#10;LoWDN0kbhJfg2Ei3RqYo1wbw4mrbGZmApflgE+OWEsJJ+pVnf47KvyI3QhQBzTUsuIRiya6xcW3O&#10;0lHp10o2zXSvLLMaQzMuJhRVkn6VHFGO6qj8a4VDYHNUJv8qJhyVHeANKo4JKs26P3qdPXGWdp46&#10;MPnXYuog2UWmgErTPjb/Kin7nCuTfy1m9dP8K81oHJV/rRcsV22O4xET2oNp/nXK9ELcspoU3NHr&#10;pAflzAc/dXh9HWt4CFea9tov88ml1ST/Wsgpmokcp9VQaTXLv7JES5J/LSRa3kX+tcF6jPwZPCr/&#10;igpe0oMm/yomdFwl+demYbnqo/KvfGYw+dfizDC3k0yDoZxzdVT+lWcVJThq36blrGKiGTfsGTwu&#10;ATtjz6BNwMKE9mCSgK2RqM25OioDiwqBfGIwCVhYcEzpFMPezUclYKm/YPKvJX8hSb9yn/Oo9Cv3&#10;8/TbVDt6p9xBjzgqnhGi99NpWF9kezAh6mF3mLhUA8aTMOOf7UGVOWxCvMFbwOsQ/SpzWDbwqitX&#10;ivq7TFZyq695vvmLy9F1lMyiFlbSo0U+ltsfkOBEPxazAd06CrVw+vrkQSTFXWtYx9FrFjTJCk5r&#10;v52XX4cF02jXr/0hBPacQDrtu24ljoNw58+EKQq11UgZeawsLfK2uy5Kgvvw1Ssvww/yEpJEQ0qy&#10;yPRy3QoBeu91MWuI3eBaKT8KhgZLOpRP8ulpHc/Z49lk+8R1PK+ycYxMYal86ubkdyufVnNao6NC&#10;mnHyqex7kjv8Wj8NO6MQISBezEkKFa3v1w7xuAUsHJAWOYqAbABS1Uzw0kHfSAm14qVVWuEQExoU&#10;JSIq0n8kUDtKRMXrhHScOSpNTDgqG2rLZgR5+HicjMr1Zs16VRKcExmVozpORqXSoJVRS2XhyWbc&#10;vAePWsaC9b+kB42MKia0BxMZtcL2jHkPyiu7VTjGyqhSlUgmBD3axYSiSmRUPiUcJ6PWjCsro8KE&#10;o0pGO56KnCvcsuJqrIzKUWnaUWXAUWUyKpO7jlrGUst5hVkqw8ioYkK5SmTUasW4OmoZCx/t4qO2&#10;Q7Q42pMNZGS2zXvwOBmVPoNWRi09g4mMiviIoDpSRmUqXCKjFmS4REYtoNK0b0YuY6mo5mVlVC16&#10;6URasoyF9+BxMirQ56PdyqgwoaM9kVErnGSaj6ujZFQEpQyVpl1MOKrEj6HP4FFCKgplCCqjpIoJ&#10;RZVIqZJ2zLk6Skrl/tVSu45F/2qZzu1sZlhq2seuZSn4oXpuN47oSeI9Sbyn8vD7nkHwFhJvUW+W&#10;OQHi2KatyH2lAmVZaiPiHdYCefGuJAmHIt/OMApu8dOXn8pqN9def4mkrLMUs7ZEMbYSP31rsj2b&#10;mA0IzNEM7/4+BTJeFOsp+8xC6T3evr1mkRCsW+trza3ykXsYsguCZtVW/Ecq4meoPhZHXdobuAtZ&#10;ujbCLIrBA2J1NBtICMSLYsf7Xk5kZb2AG7KL94rYv7c9iXelPYzmXrtstEduT0W3p33Xn7Lv+uuo&#10;xpgNU9XY5crerWpc0xhVazuvrBrzNbDa9X9l1Vi2Ys7jGu31v4FqvGYqzJurxtgwN2fqzVVjiurN&#10;VWPag2+tGtcVi+HfWjXmU8Jbq8Y1aljz0f7WqjHfa+GtVWNURhCu3lo1rummWm+tGte0JPitVeMC&#10;KqOjQb6kRd2y6lSVmj+jasx78K1V43rBsqdvrRrzZ/CtVeMagyafRd9aNeZe8Uk1/sNgxWlY67tB&#10;2YHXAforTsU5hGywaWWIfvNTYfAFCEKF1akw+HULg39zqnGUAwdVY+yQFJS5AZU0arNDCp5s+yhK&#10;34BwXMmmlWI3oBy3dgPSMTbU8+0NqK443cXbDYjHLS9DqnDYemVIPW53ORhQj+t4FMHQfcTN9Aft&#10;INYIzwP6cRWKk6sBATnu/TGkDNeyMbBct526o5IbP8NuGPF+BxTkWvbskvaGxl828uP1TgrySUH+&#10;7SvIKKRNFWSXqnm3CjKv+zhCQV6z9fam7hgWtBLFrmvHqSskpPjnFeQaq6vzOiId8YoFBZQGvEwX&#10;PUJB5hVzZu+GYsVcWndMa4iOUpALqDThZVRJtc7zbd9QYzfKvPfwstLVhYXKprTumFY2Hakgs0Ge&#10;1B2rUX6qIeopH+HRoA9Rn3CcuWyW0L+lXPAwoWv5GLdUsVFFHwm+dW9WXM6QEN9nyNeL2fhBO7+C&#10;q2rXTkYfKX6GSoaYtW/vJH5/8qVOvtRv35fCez/xpVBVjAft3fpSXA19Q1+qnrOEoH61j8vGP5sv&#10;VWMv7Vwv1m/1kdn4gteiuS57LQh9VUKDK+tv7UvV9GSIo7Lxz+hL8RF+8qV+m8r6i/tSrerTeiAl&#10;XwonXAeda8CXkp33R/hSY3U42RTWtTfgS+V3cvKlTuvhzx7fy3p4PF2pL+U2jXm3vhRfu6Xf7yMr&#10;G+nCLaNLldZtpboUK4L5530pvpJM61LFhWSpLsWqCI/wpSoc8EK0Fs21mFCpLNWlcJhT7t8d5UvJ&#10;snKCShNeXHmeHOpYGEua8w2OYqTVL1VCOh1ORpcy3XdSgH4KvtFLSjrZcoiSG1JVeKhHpL0kPers&#10;oO31Sj+i/Ul7Q2nSDOHJvTi5F+/HvYDAmboXbrOqd+te8CI//cp7ZfeintHdBqJSIQdhjdqv/Nnc&#10;i5oehfy27kWNxey/PfeiMJZO7oXXH3pSQM9SbvjyKkfMA7W1MkX3Yg1vcYR7AT11lHsBCXOUe1Gu&#10;5jllgk6ZoKdkgs6/P3y5+LJ/+PuD5GXMn5f/9ks8zASj1LsHP+933x4m/lwnMYfNz/Ljv+1lFnDt&#10;/HV3+R8H8anT79vm0eqn7/+6u7r+cLb99rhzO+j++nn/VZrAYSuyk+5CDpLEg+b3wtxeXP/6OLnE&#10;/6/lSM5LfCF/4CIo/Lz5d/6Ty5u/FH6ECcVfrrt5wS++zvfDw+TXr3f3+Ovh8OHs5vHx4ZnPhcF9&#10;pZ6WW5P93J7WWAZbMkDlt8Pjz9c71w/bXxDPOYK/XIXI7stVQL5BH6j8yhL7LcnVgnU0yn2t2GVd&#10;QzZRM0Myy3mdeiMireTAACJF3owVchazGcOjhQXvauUN2XIXnH2c49FvfX84ct6MlRQW1ZThyT2t&#10;vKHkAFRErQSRKTASE8pRIuSgwxgopuQQWJbwSg7rzTrO7mwIEw4robyqKCzNepByCCzLe7VALjKH&#10;pXkXEworKTFaIK1JhjjLi+WwxLtQj0tdof4tg2VqjMSEw7LEL7EPJINlhnrtwgoCyzJfyx5tOSxN&#10;vJhwWJb4ZUM7ka1TzWHJuXuaLRw1nMOCGhOMEDfV/jRi0pQlfrmaM7bYQlXSlmVeEuYEliY+VB+S&#10;pizxKz59QhrtbnHj9zckbVnmK1n0mnWiaFOeUrAlJrQTpXhJEb9CgR4ZW2ypag4LGHRblayZzGCZ&#10;DQ7FhMOyxC9RPcpgaeY3eAFA6yWwLPM4H52g0rz7E9RJQ5b2whuQLVXN25KFE4p3+hI0+xvqtyDe&#10;3u37eXsTX9lYhBTe2YXlSHh84ENtovbZv6oL1Ipx3GGm3xhDTYztMbLF5TnPEh8WW+cFiGXzcKPt&#10;Coz+Ow3bEW1aZbjfXKYZx/m4lXfy+DvzuFFQf+vyWIo5nilxvd099sTlsrTbmY/rVH5Ohb9KGGj7&#10;68vHyZ2chzF5dP/efzjbn00+fTj75B3Dh+2jjE8BJX9Ovgdn/sZ/yv/vom5f/xhKBeLCqO7rqK17&#10;Mzl1CzczoORjRoLRwNEJQA8jOW/ZsxgvFD/DBb0VVs70WmGOkMawLLXPLB7uXOFue+1iJgLnsPba&#10;hY3SKiyz7rUL7ELR6Dfz7GKZWq+ZLOqWTui/aNKjkdbnETE+un8CzNOJrr+jE127OL5PxMCryYgY&#10;biJORYpnFTHiGkHURuHh6VQM2XFBRIxwnjtm61bESH/SqRjJj9q4vbv5VxMxUN+eiRhufnh2ESOl&#10;I+pAJTJA5ZEiBsKkhX87aPVBxxkuYeQL4bRJ4uqifqCK/d0JHVrF8PUDbd93RtbTXWCxDUFkHV34&#10;uTki6+XK5Qgi7eYWEVk3t4BIRxeuujdHlOgYNcQHAskIGWJzAyvn0Gi+EyFjWeg4zfgG+yYxoqRY&#10;QLneJVia8jIsy3oJlqbdCxmELUt7oQNJTUpg6xQURBf4Cc4pukVWGQmlzDcNy+fbk9tKzqmMVsz0&#10;rV10eeKn9yiDVdd/8ev46c3imn3/UKCb49fx05hl13weN6tuqo+Qx7w3eHKzfkdu1qskSGQfhDRB&#10;4iKod+xb4Axa8ib/532L6Zy9NvWbDm9V/ta0b7rFCgpt7u3oF51LkeTvJvuWk8uRF7l+yRUR2Zcc&#10;0DBE/7xvUY3wLcRmjG9RAEWSJDlRiW9ReolryotuWFLuuoQaTHqPrB0isCztJVia9yKsJElSgEWS&#10;JDmsJEdS6ESTJCl2YnIA1JI/fWQvTwJr1HCXJSidvq6fwJMnJr4TpEu2J9azyLNgGM2/nJ8nZ/jA&#10;f4v+TsnN8+JutIruWPz0bpkXF6NAG7+Ln9om89ysEcbpCJ8yWPVfL7m9eJ2Tp3iqKnrxqiI5oMgI&#10;cmGr9hesKgpHUmBXTaPHSTpZ9DifytFyXPKDTo2zP8Es9GYVRbIZZ+owv8iWRYuEjKjFFag4Xoqr&#10;kKfHtVwXdepY5i7H3upMrBQnmeLQ0Z2JdpZhcDPJW0lc5bU0k6HRfptzlfN2rO9A0WjHoYDG+mtA&#10;wtBod81JcDmaRIJbwoXMyDECHCwYO4n8VgBEXGQCyTKNjeAJJE00LCiklGnaY8Q9JpAs3TjMh2HS&#10;dIsJA5U6x3xQE+c4B5U5xwxU4hsXQFnGlzUdTcQ1JqAs6bTzjGNc6LzkYNQSJE25Pxk1h5SUDtEh&#10;jl91vnphiCenoi5515G6IQLJEk4nAXMoqpoFTsHDSwcP5dAEww3+wNNqO54cmshYhQSND6ZAh3qA&#10;GHOUIhO8YlT8Eh38+Kmjjv46BR+9DNQ8+Iv5xwC3H68SP/3VAvABK3mYAXzggsGqH3rCVERzCnJO&#10;Qc7LBzl4Aeggx28N96JVBygxlCfHP19d0UEtBdlu6YTf/F2HOclPujAn/dGbBjrAnwQ6SBYgSnj2&#10;zEBCRwx0imQcH+q42l83hZsUt/JR/DLV2GVdIGNjHVRcx/7uTHSsAwOU1+bNJP7JTKprMzzaB/dL&#10;J/KGrDs4WxE8OtqBAcVj/e+FK3DP8BhncCW1vjmeJN5Z43hnN1gMz9oZhAVFlAY8EhLkFJGAh4Gy&#10;dFcNNkHNUWm6xYTDsoQvplJznzFFgh4Gy7JezZcMlmZdTCisJOzxa3EyWCTsIbCSuEdOk8nZMnGP&#10;mHBYlviFBPU5WyTwYbAs87LlHYGlB7uYcFiWeBf8EFiaeR/8EFhJ9CPrzXNY+D9d+CMmFFYaAKHi&#10;nLBFAiAGyzIvx3IRWHrIiwmHZYlfYs8aBkszHxZO5NNDY5mvm5rB0sSLCYWVLJzwKxSyIc8WTuSw&#10;koUTdc3Gllk4ISYcliV+iQ1wCFvskC8CyzJfgKWJL8OyxDv9KB/ybOlEDitZOsEnCCRT1JAvTRBz&#10;+z5dYE0RYYsd80VgWearNXs5S+alSxrChHbi3BK/wMIwBkszv0G9H30jSkJIVbtVzZoMeRzzoWDB&#10;hMLCPq66qUVNXz7soK+cLTmbWsPCLeYTBFYcK1h+eRxpyhK/wEuKsMVO+iJtJcyzVyL2HOxQLQpv&#10;xIWl3a8VyqYHKJ9dUxtsjUW7UApvFVdzNrCkgKYdWLCgHSi5F9XQEuAJU+ycr5yppWWdg9KjvQjK&#10;Ur7EQGagNOkbSHicKcs6lp/mgwpHyXdM+QWq+d2tLOVLPjHIkegt6ZvVlIOSs98V6yjjyEHhfJqu&#10;JVjQ7ltZypdY9EuYWmnSNyu3KI7coGWdvghXmvPSe1BOflF3Vxjosnu7Yqow0HHqj26LhjdrzbmO&#10;b07C6fsWTouy7DtYFFfELq6DSMp47/vS2f4FfXM8cc7cJem8lNzTq2H51cbvzDFsjplBWm83ze0H&#10;Iy8nMfdyy2Dr8tpw5uNuNSxY22A6HsOMTLXSenuQVz92mQSdedSIB8zDrWJyUWD8LT+hykgCI3do&#10;BT6ZmF+FjYCcX4CrldT8sBITYb1HF7Xs+OkVdn8P8HP6jDDDgpehknNPdlX3L/+b4X0kja37l0SG&#10;5X8hSsRtRtjx08OP53LUqKHsu4NKoiVcVvZ27rUTd9XZxU6N14uf4bphnFfrfuaqeB7IgF2olxhi&#10;RUJRIc8fjlBmxfcqyh57bzZU1eFl3EdJmF6wdLbPKo5KiDq9ZuIHO377zSSYkRt1xRTl+wx8DPSB&#10;CE3SWP8lk8cq9vcp9XNK/Twl9fM6KyHwuKT5DvfovON8B48ztSM/Lt9Bg0wdOZVizCRw4vkXEzcV&#10;wiYbNVE8Omgq4UlipprKTpj5VcjEY8sk3zFnAa+p74IFjS2TfMdyRqWBo/Idsg95f7rDb0OeB6np&#10;CoiFbE6TiShHZTuWTEQxiythQZlKch3LJRXnjsp1rJgIZlIdsOCgkhEOO8LUUZkOuAOk/0yRl5hw&#10;WMlAX9MOZFtE5YMhyXRUNC+EgdY9NGJCYaWZDiljy8fVUZmOis4JpthLTDgsO7ss8awyWHqCGZ3p&#10;qFjO0WwRBb+bw0ozHYWUgmZ+g2QOFeheMNMhVXZ5J751pmPltrbL5qyjMh3u7IRsJjWZjnB2Qv70&#10;JJmOFTqbsHVcpgNbSucTvM10wIQO+STTsarokJe4pXsVjs100AnCZjpKE0SS6VjxgoTjMh1YKZaz&#10;ZTMdbjEZyaou7Cy/mtIM7VGZDpw8S1Bp3mFBuzDNdCCpRUbWUZkOHPGagzKZDlhQUGmmY0nH1XGZ&#10;DtZ/S+08zguvHeympOXtUvpFkz4200HfOibToV86iMJP+8e96ALFoiD8u98/rsjMSSovjUguleMh&#10;hqj9kup0KvCV5OmxgqEs+hDBcEAJxFEQzmxI3vXqM7zTXpVSJkFc1K/yLsuPkqCE2dCGd5C6xWxA&#10;8a7WPhci5w31ggtjvmqzGlGqjJ9Boh4pPVcjpexaJAHcRuVP4iqyIlK8s2uPSIi44qfHV4suMExL&#10;PI0RpQN9rNRTL/DDN+wzQ4GNuyhKrHrNQl5qYEmBnMott5D12Ek0PonGTxGNu436wuEI37/g0AXx&#10;wPbbh5vbyz9vH7f6v53VxXW9u9ndXV3vf/r/AgAAAP//AwBQSwMEFAAGAAgAAAAhABpC2yjbAAAA&#10;BAEAAA8AAABkcnMvZG93bnJldi54bWxMj0FLw0AQhe+C/2EZwZvdrEHRNJtSinoqgq0gvU2z0yQ0&#10;Oxuy2yT992692MvA4z3e+yZfTLYVA/W+caxBzRIQxKUzDVcavrfvDy8gfEA22DomDWfysChub3LM&#10;jBv5i4ZNqEQsYZ+hhjqELpPSlzVZ9DPXEUfv4HqLIcq+kqbHMZbbVj4mybO02HBcqLGjVU3lcXOy&#10;Gj5GHJepehvWx8PqvNs+ff6sFWl9fzct5yACTeE/DBf8iA5FZNq7ExsvWg3xkfB3L55SKYi9hvQ1&#10;AVnk8hq++AUAAP//AwBQSwECLQAUAAYACAAAACEAtoM4kv4AAADhAQAAEwAAAAAAAAAAAAAAAAAA&#10;AAAAW0NvbnRlbnRfVHlwZXNdLnhtbFBLAQItABQABgAIAAAAIQA4/SH/1gAAAJQBAAALAAAAAAAA&#10;AAAAAAAAAC8BAABfcmVscy8ucmVsc1BLAQItABQABgAIAAAAIQAt03fHqC0AALVvAQAOAAAAAAAA&#10;AAAAAAAAAC4CAABkcnMvZTJvRG9jLnhtbFBLAQItABQABgAIAAAAIQAaQtso2wAAAAQBAAAPAAAA&#10;AAAAAAAAAAAAAAIwAABkcnMvZG93bnJldi54bWxQSwUGAAAAAAQABADzAAAACjEAAAAA&#10;">
                <v:group id="Group 40" o:spid="_x0000_s1027" style="position:absolute;left:3;top:5;width:1106;height:378" coordorigin="3,5" coordsize="1106,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41" o:spid="_x0000_s1028" style="position:absolute;left:3;top:5;width:1106;height:378;visibility:visible;mso-wrap-style:square;v-text-anchor:top" coordsize="110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Nfn8EA&#10;AADbAAAADwAAAGRycy9kb3ducmV2LnhtbESPQWsCMRSE7wX/Q3iCt5qtuEW3RhEh4FVbEG+Pzetm&#10;6eZl3USN/94UCj0OM/MNs9ok14kbDaH1rOBtWoAgrr1puVHw9alfFyBCRDbYeSYFDwqwWY9eVlgZ&#10;f+cD3Y6xERnCoUIFNsa+kjLUlhyGqe+Js/ftB4cxy6GRZsB7hrtOzoriXTpsOS9Y7Glnqf45Xp2C&#10;JZVan5Mu3eFyvujtiZO0rNRknLYfICKl+B/+a++NgnkJv1/y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jX5/BAAAA2wAAAA8AAAAAAAAAAAAAAAAAmAIAAGRycy9kb3du&#10;cmV2LnhtbFBLBQYAAAAABAAEAPUAAACGAwAAAAA=&#10;" path="m26,l1,,,14,,377r1104,l1105,24,1095,4,1077,2,26,xe" fillcolor="#bcbec0" stroked="f">
                    <v:path arrowok="t" o:connecttype="custom" o:connectlocs="26,5;1,5;0,19;0,382;1104,382;1105,29;1095,9;1077,7;26,5" o:connectangles="0,0,0,0,0,0,0,0,0"/>
                  </v:shape>
                </v:group>
                <v:group id="Group 42" o:spid="_x0000_s1029" style="position:absolute;width:1113;height:390" coordsize="111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43" o:spid="_x0000_s1030" style="position:absolute;width:1113;height:390;visibility:visible;mso-wrap-style:square;v-text-anchor:top" coordsize="111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6psQA&#10;AADbAAAADwAAAGRycy9kb3ducmV2LnhtbESPS2sCQRCE74H8h6GF3OKMIb5WRwkBiZCTr4O3Zqfd&#10;XdzpWXY6uvrrM4GAx6KqvqLmy87X6kJtrAJbGPQNKOI8uIoLC/vd6nUCKgqywzowWbhRhOXi+WmO&#10;mQtX3tBlK4VKEI4ZWihFmkzrmJfkMfZDQ5y8U2g9SpJtoV2L1wT3tX4zZqQ9VpwWSmzos6T8vP3x&#10;FqYbM9RmFAci968J8fFw+N6vrH3pdR8zUEKdPML/7bWz8D6Gvy/pB+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2+qbEAAAA2wAAAA8AAAAAAAAAAAAAAAAAmAIAAGRycy9k&#10;b3ducmV2LnhtbFBLBQYAAAAABAAEAPUAAACJAwAAAAA=&#10;" path="m1103,l9,,,9,,387r2,2l1111,389r2,-2l1113,359r-914,l176,357,114,339,67,302,55,286,9,274,9,15,15,9r1098,l1103,xe" fillcolor="#231f20" stroked="f">
                    <v:path arrowok="t" o:connecttype="custom" o:connectlocs="1103,0;9,0;0,9;0,387;2,389;1111,389;1113,387;1113,359;199,359;176,357;114,339;67,302;55,286;9,274;9,15;15,9;1113,9;1103,0" o:connectangles="0,0,0,0,0,0,0,0,0,0,0,0,0,0,0,0,0,0"/>
                  </v:shape>
                  <v:shape id="Freeform 44" o:spid="_x0000_s1031" style="position:absolute;width:1113;height:390;visibility:visible;mso-wrap-style:square;v-text-anchor:top" coordsize="111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1MAA&#10;AADbAAAADwAAAGRycy9kb3ducmV2LnhtbERPS2sCMRC+F/wPYQRvNbFY0dUoUhCFnnwdvA2bcXdx&#10;M1k2o6799c2h0OPH916sOl+rB7WxCmxhNDSgiPPgKi4snI6b9ymoKMgO68Bk4UURVsve2wIzF568&#10;p8dBCpVCOGZooRRpMq1jXpLHOAwNceKuofUoCbaFdi0+U7iv9YcxE+2x4tRQYkNfJeW3w91bmO3N&#10;pzaTOBL52U6JL+fz92lj7aDfreeghDr5F/+5d87COI1NX9IP0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u1MAAAADbAAAADwAAAAAAAAAAAAAAAACYAgAAZHJzL2Rvd25y&#10;ZXYueG1sUEsFBgAAAAAEAAQA9QAAAIUDAAAAAA==&#10;" path="m1113,9r-15,l1103,15r,259l335,274r-11,17l311,307r-50,36l199,359r914,l1113,9xe" fillcolor="#231f20" stroked="f">
                    <v:path arrowok="t" o:connecttype="custom" o:connectlocs="1113,9;1098,9;1103,15;1103,274;335,274;324,291;311,307;261,343;199,359;1113,359;1113,9" o:connectangles="0,0,0,0,0,0,0,0,0,0,0"/>
                  </v:shape>
                </v:group>
                <v:group id="Group 45" o:spid="_x0000_s1032" style="position:absolute;left:655;top:304;width:52;height:62" coordorigin="655,304"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6" o:spid="_x0000_s1033" style="position:absolute;left:655;top:30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D0L8A&#10;AADbAAAADwAAAGRycy9kb3ducmV2LnhtbERPy4rCMBTdC/MP4Q7MTtMRKtIxigpDXSho9QMuze2D&#10;aW5CE23n781CcHk479VmNJ14UO9bywq+ZwkI4tLqlmsFt+vvdAnCB2SNnWVS8E8eNuuPyQozbQe+&#10;0KMItYgh7DNU0ITgMil92ZBBP7OOOHKV7Q2GCPta6h6HGG46OU+ShTTYcmxo0NG+ofKvuBsFfr+o&#10;dq51+ZBXw/mUYno/5qlSX5/j9gdEoDG8xS/3QStI4/r4Jf4A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YAPQvwAAANsAAAAPAAAAAAAAAAAAAAAAAJgCAABkcnMvZG93bnJl&#10;di54bWxQSwUGAAAAAAQABAD1AAAAhAMAAAAA&#10;" path="m32,l,,,61r33,l36,61,51,51r-37,l14,34r35,l47,31,44,29,41,28r2,-2l45,25,14,24r,-14l49,10,35,,32,xe" stroked="f">
                    <v:path arrowok="t" o:connecttype="custom" o:connectlocs="32,304;0,304;0,365;33,365;36,365;51,355;14,355;14,338;49,338;47,335;44,333;41,332;43,330;45,329;14,328;14,314;49,314;49,314;35,304;32,304" o:connectangles="0,0,0,0,0,0,0,0,0,0,0,0,0,0,0,0,0,0,0,0"/>
                  </v:shape>
                  <v:shape id="Freeform 47" o:spid="_x0000_s1034" style="position:absolute;left:655;top:30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mS8MA&#10;AADbAAAADwAAAGRycy9kb3ducmV2LnhtbESPzWrDMBCE74W8g9hAbrWcgE1xo4Q2EJxDC63bB1is&#10;9Q+1VsJSbOfto0Khx2FmvmH2x8UMYqLR95YVbJMUBHFtdc+tgu+v8+MTCB+QNQ6WScGNPBwPq4c9&#10;FtrO/ElTFVoRIewLVNCF4Aopfd2RQZ9YRxy9xo4GQ5RjK/WIc4SbQe7SNJcGe44LHTo6dVT/VFej&#10;wJ/y5tX1rpzLZv54zzC7vpWZUpv18vIMItAS/sN/7YtWkG3h90v8AfJ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ymS8MAAADbAAAADwAAAAAAAAAAAAAAAACYAgAAZHJzL2Rv&#10;d25yZXYueG1sUEsFBgAAAAAEAAQA9QAAAIgDAAAAAA==&#10;" path="m49,34r-17,l34,34r4,3l38,39r,5l28,51r23,l51,49r1,-3l52,39,51,36,49,34xe" stroked="f">
                    <v:path arrowok="t" o:connecttype="custom" o:connectlocs="49,338;32,338;34,338;38,341;38,343;38,348;28,355;51,355;51,353;52,350;52,343;51,340;49,338" o:connectangles="0,0,0,0,0,0,0,0,0,0,0,0,0"/>
                  </v:shape>
                  <v:shape id="Freeform 48" o:spid="_x0000_s1035" style="position:absolute;left:655;top:30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44PMIA&#10;AADbAAAADwAAAGRycy9kb3ducmV2LnhtbESP3YrCMBSE74V9h3AWvNN0hYpUo6iw1AsFdfcBDs3p&#10;DzYnoYm2+/YbQfBymJlvmNVmMK14UOcbywq+pgkI4sLqhisFvz/fkwUIH5A1tpZJwR952Kw/RivM&#10;tO35Qo9rqESEsM9QQR2Cy6T0RU0G/dQ64uiVtjMYouwqqTvsI9y0cpYkc2mw4bhQo6N9TcXtejcK&#10;/H5e7lzj8j4v+/MpxfR+zFOlxp/Ddgki0BDe4Vf7oBWkM3h+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g8wgAAANsAAAAPAAAAAAAAAAAAAAAAAJgCAABkcnMvZG93&#10;bnJldi54bWxQSwUGAAAAAAQABAD1AAAAhwMAAAAA&#10;" path="m49,10r-35,l29,10r2,1l36,16r,4l35,22r-3,2l30,24r16,l48,21r1,-3l49,11r,-1xe" stroked="f">
                    <v:path arrowok="t" o:connecttype="custom" o:connectlocs="49,314;14,314;29,314;31,315;36,320;36,324;35,326;32,328;30,328;46,328;48,325;49,322;49,315;49,314" o:connectangles="0,0,0,0,0,0,0,0,0,0,0,0,0,0"/>
                  </v:shape>
                </v:group>
                <v:group id="Group 49" o:spid="_x0000_s1036" style="position:absolute;left:709;top:304;width:59;height:62" coordorigin="709,304" coordsize="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50" o:spid="_x0000_s1037" style="position:absolute;left:709;top:304;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MtMUA&#10;AADbAAAADwAAAGRycy9kb3ducmV2LnhtbESPT2sCMRTE74LfITyhN80qbdHVKKIUe+mhKv65PZPn&#10;7uLmZbuJuv32jVDwOMzMb5jJrLGluFHtC8cK+r0EBLF2puBMwXbz0R2C8AHZYOmYFPySh9m03Zpg&#10;atydv+m2DpmIEPYpKshDqFIpvc7Jou+5ijh6Z1dbDFHWmTQ13iPclnKQJO/SYsFxIceKFjnpy/pq&#10;FdjTaP+1PPw0stJyuNXz3eq4s0q9dJr5GESgJjzD/+1Po+DtFR5f4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Qy0xQAAANsAAAAPAAAAAAAAAAAAAAAAAJgCAABkcnMv&#10;ZG93bnJldi54bWxQSwUGAAAAAAQABAD1AAAAigMAAAAA&#10;" path="m15,l,,23,37r,24l36,61r,-24l45,24r-15,l15,xe" stroked="f">
                    <v:path arrowok="t" o:connecttype="custom" o:connectlocs="15,304;0,304;23,341;23,365;36,365;36,341;45,328;30,328;15,304" o:connectangles="0,0,0,0,0,0,0,0,0"/>
                  </v:shape>
                  <v:shape id="Freeform 51" o:spid="_x0000_s1038" style="position:absolute;left:709;top:304;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pL8UA&#10;AADbAAAADwAAAGRycy9kb3ducmV2LnhtbESPT2sCMRTE74LfITyhN81aUHRrFFHEXnrwD9v29kye&#10;u4ubl+0m1fXbN0LB4zAzv2Fmi9ZW4kqNLx0rGA4SEMTamZJzBcfDpj8B4QOywcoxKbiTh8W825lh&#10;atyNd3Tdh1xECPsUFRQh1KmUXhdk0Q9cTRy9s2sshiibXJoGbxFuK/maJGNpseS4UGBNq4L0Zf9r&#10;FdjT9PNj/fXTylrLyVEvs+13ZpV66bXLNxCB2vAM/7ffjYLRCB5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akvxQAAANsAAAAPAAAAAAAAAAAAAAAAAJgCAABkcnMv&#10;ZG93bnJldi54bWxQSwUGAAAAAAQABAD1AAAAigMAAAAA&#10;" path="m59,l44,,30,24r15,l59,xe" stroked="f">
                    <v:path arrowok="t" o:connecttype="custom" o:connectlocs="59,304;44,304;30,328;45,328;59,304" o:connectangles="0,0,0,0,0"/>
                  </v:shape>
                </v:group>
                <v:group id="Group 52" o:spid="_x0000_s1039" style="position:absolute;left:65;top:57;width:253;height:250" coordorigin="65,57" coordsize="25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3" o:spid="_x0000_s1040" style="position:absolute;left:65;top:57;width:253;height:250;visibility:visible;mso-wrap-style:square;v-text-anchor:top" coordsize="25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jxcUA&#10;AADbAAAADwAAAGRycy9kb3ducmV2LnhtbESPT2sCMRTE7wW/Q3iF3jRbZbVsjVKKUluU4p9DvT02&#10;z83i5mVJUt1++6Yg9DjMzG+Y6byzjbiQD7VjBY+DDARx6XTNlYLDftl/AhEissbGMSn4oQDzWe9u&#10;ioV2V97SZRcrkSAcClRgYmwLKUNpyGIYuJY4eSfnLcYkfSW1x2uC20YOs2wsLdacFgy29GqoPO++&#10;rYLjhtef+Zdf5Cs0o/c3+ZFtcazUw3338gwiUhf/w7f2SivIJ/D3Jf0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iPFxQAAANsAAAAPAAAAAAAAAAAAAAAAAJgCAABkcnMv&#10;ZG93bnJldi54bWxQSwUGAAAAAAQABAD1AAAAigMAAAAA&#10;" path="m105,l45,28,8,80,,125r1,17l24,197r50,39l148,249r21,-5l223,207r28,-59l253,125r-2,-17l228,52,178,14,105,xe" stroked="f">
                    <v:path arrowok="t" o:connecttype="custom" o:connectlocs="105,57;45,85;8,137;0,182;1,199;24,254;74,293;148,306;169,301;223,264;251,205;253,182;251,165;228,109;178,71;105,57" o:connectangles="0,0,0,0,0,0,0,0,0,0,0,0,0,0,0,0"/>
                  </v:shape>
                </v:group>
                <v:group id="Group 54" o:spid="_x0000_s1041" style="position:absolute;left:47;top:37;width:289;height:289" coordorigin="47,37" coordsize="289,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5" o:spid="_x0000_s1042"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QusYA&#10;AADbAAAADwAAAGRycy9kb3ducmV2LnhtbESPQWsCMRSE7wX/Q3iCF6lZpdp2NUopLZSKlFopeHts&#10;npvFzctuEnX775uC0OMwM98wi1Vna3EmHyrHCsajDARx4XTFpYLd1+vtA4gQkTXWjknBDwVYLXs3&#10;C8y1u/AnnbexFAnCIUcFJsYmlzIUhiyGkWuIk3dw3mJM0pdSe7wkuK3lJMtm0mLFacFgQ8+GiuP2&#10;ZBVk5v6ufVnT5rTD/fH7Y/Pu22Gr1KDfPc1BROrif/jaftMKpo/w9yX9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gQusYAAADbAAAADwAAAAAAAAAAAAAAAACYAgAAZHJz&#10;L2Rvd25yZXYueG1sUEsFBgAAAAAEAAQA9QAAAIsDAAAAAA==&#10;" path="m129,l55,31,9,94,,159r3,20l30,233r62,47l158,289r20,-3l197,280r18,-9l228,263r-96,l112,259,59,227,27,157,26,133r4,-20l61,61,134,28r25,-1l229,27r,-1l213,17,196,9,176,4,154,1,129,xe" fillcolor="#231f20" stroked="f">
                    <v:path arrowok="t" o:connecttype="custom" o:connectlocs="129,37;55,68;9,131;0,196;3,216;30,270;92,317;158,326;178,323;197,317;215,308;228,300;132,300;112,296;59,264;27,194;26,170;30,150;61,98;134,65;159,64;229,64;229,63;213,54;196,46;176,41;154,38;129,37" o:connectangles="0,0,0,0,0,0,0,0,0,0,0,0,0,0,0,0,0,0,0,0,0,0,0,0,0,0,0,0"/>
                  </v:shape>
                  <v:shape id="Freeform 56" o:spid="_x0000_s1043"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5zmsIA&#10;AADbAAAADwAAAGRycy9kb3ducmV2LnhtbERPTWsCMRC9C/0PYYReimZbxMpqlFJaKBWRqgjehs24&#10;WdxMdpOo6783h4LHx/ueLTpbiwv5UDlW8DrMQBAXTldcKthtvwcTECEia6wdk4IbBVjMn3ozzLW7&#10;8h9dNrEUKYRDjgpMjE0uZSgMWQxD1xAn7ui8xZigL6X2eE3htpZvWTaWFitODQYb+jRUnDZnqyAz&#10;76P2a0mr8w4Pp/169evbl1ap5373MQURqYsP8b/7RysYp/XpS/o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nOawgAAANsAAAAPAAAAAAAAAAAAAAAAAJgCAABkcnMvZG93&#10;bnJldi54bWxQSwUGAAAAAAQABAD1AAAAhwMAAAAA&#10;" path="m229,27r-70,l179,31r18,7l243,78r18,57l262,157r,2l226,230r-70,32l132,263r96,l271,216r17,-59l289,133r-3,-21l247,42r-4,-4l229,27xe" fillcolor="#231f20" stroked="f">
                    <v:path arrowok="t" o:connecttype="custom" o:connectlocs="229,64;159,64;179,68;197,75;243,115;261,172;262,194;262,196;226,267;156,299;132,300;228,300;271,253;288,194;289,170;286,149;247,79;243,75;229,64" o:connectangles="0,0,0,0,0,0,0,0,0,0,0,0,0,0,0,0,0,0,0"/>
                  </v:shape>
                  <v:shape id="Freeform 57" o:spid="_x0000_s1044"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LWAcYA&#10;AADbAAAADwAAAGRycy9kb3ducmV2LnhtbESP3WoCMRSE7wu+QzhCb0rNKkVlaxQpFUpFxB8KvTts&#10;jpvFzcluEnV9+6ZQ6OUwM98ws0Vna3ElHyrHCoaDDARx4XTFpYLjYfU8BREissbaMSm4U4DFvPcw&#10;w1y7G+/ouo+lSBAOOSowMTa5lKEwZDEMXEOcvJPzFmOSvpTa4y3BbS1HWTaWFitOCwYbejNUnPcX&#10;qyAzk5f2fU2byxG/z1/bzadvn1qlHvvd8hVEpC7+h//aH1rBeAi/X9IP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LWAcYAAADbAAAADwAAAAAAAAAAAAAAAACYAgAAZHJz&#10;L2Rvd25yZXYueG1sUEsFBgAAAAAEAAQA9QAAAIsDAAAAAA==&#10;" path="m104,100r-12,l82,104,66,120r-4,11l62,159r4,11l81,186r11,4l110,190r19,-7l140,170r-46,l88,162r,-35l94,119r45,l140,117,125,104r-21,-4xe" fillcolor="#231f20" stroked="f">
                    <v:path arrowok="t" o:connecttype="custom" o:connectlocs="104,137;92,137;82,141;66,157;62,168;62,196;66,207;81,223;92,227;110,227;129,220;140,207;94,207;88,199;88,164;94,156;139,156;140,154;125,141;104,137" o:connectangles="0,0,0,0,0,0,0,0,0,0,0,0,0,0,0,0,0,0,0,0"/>
                  </v:shape>
                  <v:shape id="Freeform 58" o:spid="_x0000_s1045"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IdsYA&#10;AADbAAAADwAAAGRycy9kb3ducmV2LnhtbESP3WoCMRSE7wu+QziCN6VmK0VlaxQpLUhFxB8KvTts&#10;jpvFzcluEnV9+6ZQ6OUwM98ws0Vna3ElHyrHCp6HGQjiwumKSwXHw8fTFESIyBprx6TgTgEW897D&#10;DHPtbryj6z6WIkE45KjAxNjkUobCkMUwdA1x8k7OW4xJ+lJqj7cEt7UcZdlYWqw4LRhs6M1Qcd5f&#10;rILMTF7a9zVtLkf8Pn9tN5++fWyVGvS75SuISF38D/+1V1rBeAS/X9IP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BIdsYAAADbAAAADwAAAAAAAAAAAAAAAACYAgAAZHJz&#10;L2Rvd25yZXYueG1sUEsFBgAAAAAEAAQA9QAAAIsDAAAAAA==&#10;" path="m188,100r-12,l166,104r-16,16l146,131r,28l150,170r15,16l176,190r17,l213,183r11,-13l178,170r-7,-8l171,127r7,-8l222,119r2,-2l209,104r-21,-4xe" fillcolor="#231f20" stroked="f">
                    <v:path arrowok="t" o:connecttype="custom" o:connectlocs="188,137;176,137;166,141;150,157;146,168;146,196;150,207;165,223;176,227;193,227;213,220;224,207;178,207;171,199;171,164;178,156;222,156;224,154;209,141;188,137" o:connectangles="0,0,0,0,0,0,0,0,0,0,0,0,0,0,0,0,0,0,0,0"/>
                  </v:shape>
                  <v:shape id="Freeform 59" o:spid="_x0000_s1046"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t7cYA&#10;AADbAAAADwAAAGRycy9kb3ducmV2LnhtbESPQWsCMRSE7wX/Q3iFXopma4uV1ShSLBSLlKoI3h6b&#10;183i5mU3ibr++0Yo9DjMzDfMdN7ZWpzJh8qxgqdBBoK4cLriUsFu+94fgwgRWWPtmBRcKcB81rub&#10;Yq7dhb/pvImlSBAOOSowMTa5lKEwZDEMXEOcvB/nLcYkfSm1x0uC21oOs2wkLVacFgw29GaoOG5O&#10;VkFmXl/a5SetTzs8HPdf65VvH1ulHu67xQREpC7+h//aH1rB6BluX9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zt7cYAAADbAAAADwAAAAAAAAAAAAAAAACYAgAAZHJz&#10;L2Rvd25yZXYueG1sUEsFBgAAAAAEAAQA9QAAAIsDAAAAAA==&#10;" path="m125,158r-3,8l116,170r24,l143,167r-18,-9xe" fillcolor="#231f20" stroked="f">
                    <v:path arrowok="t" o:connecttype="custom" o:connectlocs="125,195;122,203;116,207;140,207;143,204;125,195" o:connectangles="0,0,0,0,0,0"/>
                  </v:shape>
                  <v:shape id="Freeform 60" o:spid="_x0000_s1047"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V1mcUA&#10;AADbAAAADwAAAGRycy9kb3ducmV2LnhtbESPQWsCMRSE70L/Q3hCL1KzFtGyNUqRFkpFRCuF3h6b&#10;52Zx87KbRF3/fVMQPA4z8w0zW3S2FmfyoXKsYDTMQBAXTldcKth/fzy9gAgRWWPtmBRcKcBi/tCb&#10;Ya7dhbd03sVSJAiHHBWYGJtcylAYshiGriFO3sF5izFJX0rt8ZLgtpbPWTaRFitOCwYbWhoqjruT&#10;VZCZ6bh9X9H6tMff489m/eXbQavUY797ewURqYv38K39qRVMxvD/Jf0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XWZxQAAANsAAAAPAAAAAAAAAAAAAAAAAJgCAABkcnMv&#10;ZG93bnJldi54bWxQSwUGAAAAAAQABAD1AAAAigMAAAAA&#10;" path="m209,158r-4,8l199,170r25,l227,167r-18,-9xe" fillcolor="#231f20" stroked="f">
                    <v:path arrowok="t" o:connecttype="custom" o:connectlocs="209,195;205,203;199,207;224,207;227,204;209,195" o:connectangles="0,0,0,0,0,0"/>
                  </v:shape>
                  <v:shape id="Freeform 61" o:spid="_x0000_s1048"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QAsYA&#10;AADbAAAADwAAAGRycy9kb3ducmV2LnhtbESPQWsCMRSE7wX/Q3iFXopmK62V1ShSLBSLlKoI3h6b&#10;183i5mU3ibr++0Yo9DjMzDfMdN7ZWpzJh8qxgqdBBoK4cLriUsFu+94fgwgRWWPtmBRcKcB81rub&#10;Yq7dhb/pvImlSBAOOSowMTa5lKEwZDEMXEOcvB/nLcYkfSm1x0uC21oOs2wkLVacFgw29GaoOG5O&#10;VkFmXp/b5SetTzs8HPdf65VvH1ulHu67xQREpC7+h//aH1rB6AVuX9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nQAsYAAADbAAAADwAAAAAAAAAAAAAAAACYAgAAZHJz&#10;L2Rvd25yZXYueG1sUEsFBgAAAAAEAAQA9QAAAIsDAAAAAA==&#10;" path="m139,119r-25,l120,123r3,8l139,119xe" fillcolor="#231f20" stroked="f">
                    <v:path arrowok="t" o:connecttype="custom" o:connectlocs="139,156;114,156;120,160;123,168;139,156" o:connectangles="0,0,0,0,0"/>
                  </v:shape>
                  <v:shape id="Freeform 62" o:spid="_x0000_s1049"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OdcYA&#10;AADbAAAADwAAAGRycy9kb3ducmV2LnhtbESPQWsCMRSE7wX/Q3hCL6VmK2Utq1FEKpQWKVUp9PbY&#10;PDeLm5fdJOr23xuh0OMwM98ws0VvG3EmH2rHCp5GGQji0umaKwX73frxBUSIyBobx6TglwIs5oO7&#10;GRbaXfiLzttYiQThUKACE2NbSBlKQxbDyLXEyTs4bzEm6SupPV4S3DZynGW5tFhzWjDY0spQedye&#10;rILMTJ671w/anPb4c/z+3Lz77qFT6n7YL6cgIvXxP/zXftMK8hxuX9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tOdcYAAADbAAAADwAAAAAAAAAAAAAAAACYAgAAZHJz&#10;L2Rvd25yZXYueG1sUEsFBgAAAAAEAAQA9QAAAIsDAAAAAA==&#10;" path="m222,119r-24,l203,123r4,8l222,119xe" fillcolor="#231f20" stroked="f">
                    <v:path arrowok="t" o:connecttype="custom" o:connectlocs="222,156;198,156;203,160;207,168;222,156" o:connectangles="0,0,0,0,0"/>
                  </v:shape>
                </v:group>
                <v:group id="Group 63" o:spid="_x0000_s1050" style="position:absolute;left:608;top:42;width:200;height:200" coordorigin="608,4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4" o:spid="_x0000_s1051" style="position:absolute;left:608;top:4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TwMAA&#10;AADbAAAADwAAAGRycy9kb3ducmV2LnhtbERPu27CMBTdK/EP1kViKw4ZKAoYRGlBTK14SKy38W0S&#10;1b6ObJOEv6+HSh2Pznu1GawRHfnQOFYwm2YgiEunG64UXC/75wWIEJE1Gsek4EEBNuvR0woL7Xo+&#10;UXeOlUghHApUUMfYFlKGsiaLYepa4sR9O28xJugrqT32KdwamWfZXFpsODXU2NKupvLnfLcKjOH8&#10;67Jd3A7X15zM+8vnx5uRSk3Gw3YJItIQ/8V/7qNWME9j05f0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PTwMAAAADbAAAADwAAAAAAAAAAAAAAAACYAgAAZHJzL2Rvd25y&#10;ZXYueG1sUEsFBgAAAAAEAAQA9QAAAIUDAAAAAA==&#10;" path="m99,l36,23,2,78,,101r3,23l38,177r63,22l123,196r54,-35l199,98,196,76,161,21,99,xe" stroked="f">
                    <v:path arrowok="t" o:connecttype="custom" o:connectlocs="99,42;36,65;2,120;0,143;3,166;38,219;101,241;123,238;177,203;199,140;196,118;161,63;99,42" o:connectangles="0,0,0,0,0,0,0,0,0,0,0,0,0"/>
                  </v:shape>
                </v:group>
                <v:group id="Group 65" o:spid="_x0000_s1052" style="position:absolute;left:678;top:105;width:58;height:103" coordorigin="678,105" coordsize="58,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66" o:spid="_x0000_s1053" style="position:absolute;left:678;top:105;width:58;height:103;visibility:visible;mso-wrap-style:square;v-text-anchor:top" coordsize="5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r3r8A&#10;AADbAAAADwAAAGRycy9kb3ducmV2LnhtbERPy2oCMRTdF/oP4Ra6q4kuWpkaRVsF6crXB1yS28kw&#10;k5shiTr+vVkILg/nPVsMvhMXiqkJrGE8UiCITbAN1xpOx83HFETKyBa7wKThRgkW89eXGVY2XHlP&#10;l0OuRQnhVKEGl3NfSZmMI49pFHriwv2H6DEXGGtpI15LuO/kRKlP6bHh0uCwpx9Hpj2cvYad+mvM&#10;uNusTDs57tcutr9xq7R+fxuW3yAyDfkpfri3VsNXWV++lB8g5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3KvevwAAANsAAAAPAAAAAAAAAAAAAAAAAJgCAABkcnMvZG93bnJl&#10;di54bWxQSwUGAAAAAAQABAD1AAAAhAMAAAAA&#10;" path="m46,51r-34,l12,103r34,l46,51xe" fillcolor="#231f20" stroked="f">
                    <v:path arrowok="t" o:connecttype="custom" o:connectlocs="46,156;12,156;12,208;46,208;46,156" o:connectangles="0,0,0,0,0"/>
                  </v:shape>
                  <v:shape id="Freeform 67" o:spid="_x0000_s1054" style="position:absolute;left:678;top:105;width:58;height:103;visibility:visible;mso-wrap-style:square;v-text-anchor:top" coordsize="5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AORcMA&#10;AADbAAAADwAAAGRycy9kb3ducmV2LnhtbESPzWrDMBCE74W+g9hCbo3kHJrgRglt00DIKT99gEXa&#10;WsbWykhK4rx9VSj0OMzMN8xyPfpeXCmmNrCGaqpAEJtgW240fJ23zwsQKSNb7AOThjslWK8eH5ZY&#10;23DjI11PuREFwqlGDS7noZYyGUce0zQMxMX7DtFjLjI20ka8Fbjv5UypF+mx5bLgcKAPR6Y7XbyG&#10;g9q3puq376abnY+fLnabuFNaT57Gt1cQmcb8H/5r76yGeQW/X8o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AORcMAAADbAAAADwAAAAAAAAAAAAAAAACYAgAAZHJzL2Rv&#10;d25yZXYueG1sUEsFBgAAAAAEAAQA9QAAAIgDAAAAAA==&#10;" path="m55,l3,,,3,,51r58,l58,3,55,xe" fillcolor="#231f20" stroked="f">
                    <v:path arrowok="t" o:connecttype="custom" o:connectlocs="55,105;3,105;0,108;0,156;58,156;58,108;55,105" o:connectangles="0,0,0,0,0,0,0"/>
                  </v:shape>
                </v:group>
                <v:group id="Group 68" o:spid="_x0000_s1055" style="position:absolute;left:692;top:69;width:31;height:31" coordorigin="692,69" coordsize="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69" o:spid="_x0000_s1056" style="position:absolute;left:692;top:69;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0ycQA&#10;AADbAAAADwAAAGRycy9kb3ducmV2LnhtbESP0WoCMRRE3wv+Q7hC32rSKlpWo2hLqS8VXPsBl811&#10;d+vmZknSdevXm4Lg4zAzZ5jFqreN6MiH2rGG55ECQVw4U3Op4fvw8fQKIkRkg41j0vBHAVbLwcMC&#10;M+POvKcuj6VIEA4ZaqhibDMpQ1GRxTByLXHyjs5bjEn6UhqP5wS3jXxRaiot1pwWKmzpraLilP9a&#10;DZv33c+n6vg0u3wdxo5zt1d+ovXjsF/PQUTq4z18a2+NhtkY/r+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YdMnEAAAA2wAAAA8AAAAAAAAAAAAAAAAAmAIAAGRycy9k&#10;b3ducmV2LnhtbFBLBQYAAAAABAAEAPUAAACJAwAAAAA=&#10;" path="m23,l7,,,7,,24r7,7l23,31r7,-7l30,7,23,xe" fillcolor="#231f20" stroked="f">
                    <v:path arrowok="t" o:connecttype="custom" o:connectlocs="23,69;7,69;0,76;0,93;7,100;23,100;30,93;30,76;23,69" o:connectangles="0,0,0,0,0,0,0,0,0"/>
                  </v:shape>
                </v:group>
                <v:group id="Group 70" o:spid="_x0000_s1057" style="position:absolute;left:600;top:31;width:215;height:215" coordorigin="600,31" coordsize="21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71" o:spid="_x0000_s1058" style="position:absolute;left:600;top:31;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ZLsUA&#10;AADbAAAADwAAAGRycy9kb3ducmV2LnhtbESPS4vCQBCE74L/YWjBm05W1gdZRxFxxcfBxy54bTJt&#10;Es30hMyo8d87wsIei6r6ihpPa1OIO1Uut6zgoxuBIE6szjlV8Pvz3RmBcB5ZY2GZFDzJwXTSbIwx&#10;1vbBB7offSoChF2MCjLvy1hKl2Rk0HVtSRy8s60M+iCrVOoKHwFuCtmLooE0mHNYyLCkeUbJ9Xgz&#10;Cjbr0W6B++EF96fPwfJkzvKw3SnVbtWzLxCeav8f/muvtIJhH95fwg+Qk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9kuxQAAANsAAAAPAAAAAAAAAAAAAAAAAJgCAABkcnMv&#10;ZG93bnJldi54bWxQSwUGAAAAAAQABAD1AAAAigMAAAAA&#10;" path="m107,l49,17,9,65,,103r1,23l44,194r55,21l122,214r20,-5l160,201r9,-6l116,195,92,194,38,160,19,108,21,88,57,36,107,20r60,l156,12,138,5,120,1,107,xe" fillcolor="#231f20" stroked="f">
                    <v:path arrowok="t" o:connecttype="custom" o:connectlocs="107,31;49,48;9,96;0,134;1,157;44,225;99,246;122,245;142,240;160,232;169,226;116,226;92,225;38,191;19,139;21,119;57,67;107,51;167,51;156,43;138,36;120,32;107,31" o:connectangles="0,0,0,0,0,0,0,0,0,0,0,0,0,0,0,0,0,0,0,0,0,0,0"/>
                  </v:shape>
                  <v:shape id="Freeform 72" o:spid="_x0000_s1059" style="position:absolute;left:600;top:31;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HWcQA&#10;AADbAAAADwAAAGRycy9kb3ducmV2LnhtbESPS4vCQBCE74L/YWjBm04UiZJ1lGVZxcfB14LXJtMm&#10;WTM9ITNq/PfOwoLHoqq+oqbzxpTiTrUrLCsY9CMQxKnVBWcKfk6L3gSE88gaS8uk4EkO5rN2a4qJ&#10;tg8+0P3oMxEg7BJUkHtfJVK6NCeDrm8r4uBdbG3QB1lnUtf4CHBTymEUxdJgwWEhx4q+ckqvx5tR&#10;sFlPdt+4H//i/jyKl2dzkYftTqlup/n8AOGp8e/wf3ulFYxj+PsSf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FR1nEAAAA2wAAAA8AAAAAAAAAAAAAAAAAmAIAAGRycy9k&#10;b3ducmV2LnhtbFBLBQYAAAAABAAEAPUAAACJAwAAAAA=&#10;" path="m167,20r-60,l128,22r19,7l164,40r15,18l189,76r5,18l193,120r-40,63l116,195r53,l211,137r3,-18l213,94,209,74,202,56,191,41,173,24r-6,-4xe" fillcolor="#231f20" stroked="f">
                    <v:path arrowok="t" o:connecttype="custom" o:connectlocs="167,51;107,51;128,53;147,60;164,71;179,89;189,107;194,125;193,151;153,214;116,226;169,226;211,168;214,150;213,125;209,105;202,87;191,72;173,55;167,51" o:connectangles="0,0,0,0,0,0,0,0,0,0,0,0,0,0,0,0,0,0,0,0"/>
                  </v:shape>
                </v:group>
                <w10:anchorlock/>
              </v:group>
            </w:pict>
          </mc:Fallback>
        </mc:AlternateContent>
      </w:r>
    </w:p>
    <w:p w14:paraId="5681D10E" w14:textId="77777777" w:rsidR="003D338A" w:rsidRPr="003D338A" w:rsidRDefault="003D338A" w:rsidP="003D338A">
      <w:pPr>
        <w:pStyle w:val="BodyText"/>
        <w:rPr>
          <w:b/>
          <w:color w:val="1F3864" w:themeColor="accent5" w:themeShade="80"/>
          <w:sz w:val="20"/>
          <w:szCs w:val="20"/>
          <w:highlight w:val="yellow"/>
        </w:rPr>
      </w:pPr>
    </w:p>
    <w:p w14:paraId="4D3DE877" w14:textId="5DC76EE9" w:rsidR="003D338A" w:rsidRPr="003D338A" w:rsidRDefault="003D338A" w:rsidP="003D338A">
      <w:pPr>
        <w:pStyle w:val="BodyText"/>
        <w:rPr>
          <w:sz w:val="20"/>
          <w:szCs w:val="20"/>
        </w:rPr>
      </w:pPr>
      <w:r w:rsidRPr="003D338A">
        <w:rPr>
          <w:i/>
          <w:sz w:val="20"/>
          <w:szCs w:val="20"/>
        </w:rPr>
        <w:t>Explanatory Note, Uncertainty Analysis in Groundwater Modelling</w:t>
      </w:r>
      <w:r w:rsidRPr="003D338A">
        <w:rPr>
          <w:sz w:val="20"/>
          <w:szCs w:val="20"/>
        </w:rPr>
        <w:t xml:space="preserve"> is licensed by the Commonwealth of Australia for us</w:t>
      </w:r>
      <w:r w:rsidR="00A44B0E">
        <w:rPr>
          <w:sz w:val="20"/>
          <w:szCs w:val="20"/>
        </w:rPr>
        <w:t>e</w:t>
      </w:r>
      <w:r w:rsidRPr="003D338A">
        <w:rPr>
          <w:sz w:val="20"/>
          <w:szCs w:val="20"/>
        </w:rPr>
        <w:t xml:space="preserv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5" w:history="1">
        <w:r w:rsidRPr="003D338A">
          <w:rPr>
            <w:rStyle w:val="Hyperlink"/>
            <w:color w:val="auto"/>
            <w:szCs w:val="20"/>
          </w:rPr>
          <w:t>http://creativecommons.org/licenses/by/3.0/au/</w:t>
        </w:r>
      </w:hyperlink>
      <w:r w:rsidRPr="003D338A">
        <w:rPr>
          <w:sz w:val="20"/>
          <w:szCs w:val="20"/>
        </w:rPr>
        <w:t xml:space="preserve">. </w:t>
      </w:r>
    </w:p>
    <w:p w14:paraId="5B0C0A06" w14:textId="77777777" w:rsidR="003D338A" w:rsidRPr="003D338A" w:rsidRDefault="003D338A" w:rsidP="003D338A">
      <w:pPr>
        <w:pStyle w:val="BodyText"/>
        <w:rPr>
          <w:sz w:val="20"/>
          <w:szCs w:val="20"/>
        </w:rPr>
      </w:pPr>
    </w:p>
    <w:p w14:paraId="77E97E7D" w14:textId="77777777" w:rsidR="003D338A" w:rsidRPr="003D338A" w:rsidRDefault="003D338A" w:rsidP="003D338A">
      <w:pPr>
        <w:pStyle w:val="BodyText"/>
        <w:rPr>
          <w:sz w:val="20"/>
          <w:szCs w:val="20"/>
        </w:rPr>
      </w:pPr>
      <w:r w:rsidRPr="003D338A">
        <w:rPr>
          <w:sz w:val="20"/>
          <w:szCs w:val="20"/>
        </w:rPr>
        <w:t>This report should be attributed as ‘</w:t>
      </w:r>
      <w:r w:rsidRPr="003D338A">
        <w:rPr>
          <w:i/>
          <w:sz w:val="20"/>
          <w:szCs w:val="20"/>
        </w:rPr>
        <w:t>Independent Expert Scientific Committee on Coal Seam Gas and Large Coal Mining Development: Explanatory Note, Uncertainty Analysis in Groundwater Modelling, Commonwealth of Australia, 2018’.</w:t>
      </w:r>
      <w:r w:rsidRPr="003D338A">
        <w:rPr>
          <w:sz w:val="20"/>
          <w:szCs w:val="20"/>
        </w:rPr>
        <w:t xml:space="preserve"> </w:t>
      </w:r>
    </w:p>
    <w:p w14:paraId="53A67A58" w14:textId="77777777" w:rsidR="003D338A" w:rsidRPr="003D338A" w:rsidRDefault="003D338A" w:rsidP="003D338A">
      <w:pPr>
        <w:pStyle w:val="BodyText"/>
        <w:rPr>
          <w:sz w:val="20"/>
          <w:szCs w:val="20"/>
        </w:rPr>
      </w:pPr>
    </w:p>
    <w:p w14:paraId="34B06267" w14:textId="77777777" w:rsidR="003D338A" w:rsidRPr="003D338A" w:rsidRDefault="003D338A" w:rsidP="003D338A">
      <w:pPr>
        <w:pStyle w:val="BodyText"/>
        <w:rPr>
          <w:sz w:val="20"/>
          <w:szCs w:val="20"/>
        </w:rPr>
      </w:pPr>
      <w:r w:rsidRPr="003D338A">
        <w:rPr>
          <w:sz w:val="20"/>
          <w:szCs w:val="20"/>
        </w:rPr>
        <w:t>This publication is funded by the Australian Government Department of the Environment and Energy. The views and opinions expressed in this publication are those of the authors and do not necessarily reflect those of the Australian Government or the Minister for the Environment and Energy.</w:t>
      </w:r>
    </w:p>
    <w:p w14:paraId="6DBBDA7D" w14:textId="77777777" w:rsidR="003D338A" w:rsidRPr="003D338A" w:rsidRDefault="003D338A" w:rsidP="003D338A">
      <w:pPr>
        <w:pStyle w:val="BodyText"/>
        <w:rPr>
          <w:sz w:val="20"/>
          <w:szCs w:val="20"/>
          <w:highlight w:val="yellow"/>
        </w:rPr>
      </w:pPr>
    </w:p>
    <w:p w14:paraId="5AB9DBC7" w14:textId="77777777" w:rsidR="003D338A" w:rsidRPr="003D338A" w:rsidRDefault="003D338A" w:rsidP="003D338A">
      <w:pPr>
        <w:pStyle w:val="BodyText"/>
        <w:rPr>
          <w:rFonts w:ascii="Calibri" w:eastAsiaTheme="minorEastAsia" w:hAnsi="Calibri" w:cs="Calibri"/>
          <w:b/>
          <w:bCs/>
          <w:color w:val="1F487C"/>
          <w:sz w:val="28"/>
          <w:szCs w:val="28"/>
          <w:lang w:eastAsia="ja-JP"/>
        </w:rPr>
      </w:pPr>
      <w:r w:rsidRPr="003D338A">
        <w:rPr>
          <w:rFonts w:ascii="Calibri" w:eastAsiaTheme="minorEastAsia" w:hAnsi="Calibri" w:cs="Calibri"/>
          <w:b/>
          <w:bCs/>
          <w:color w:val="1F487C"/>
          <w:sz w:val="28"/>
          <w:szCs w:val="28"/>
          <w:lang w:eastAsia="ja-JP"/>
        </w:rPr>
        <w:t xml:space="preserve">Citation </w:t>
      </w:r>
    </w:p>
    <w:p w14:paraId="27315090" w14:textId="70BD5FF7" w:rsidR="003D338A" w:rsidRPr="003D338A" w:rsidRDefault="003D338A" w:rsidP="003D338A">
      <w:pPr>
        <w:pStyle w:val="BodyText"/>
        <w:rPr>
          <w:sz w:val="20"/>
          <w:szCs w:val="20"/>
        </w:rPr>
      </w:pPr>
      <w:r w:rsidRPr="003D338A">
        <w:rPr>
          <w:sz w:val="20"/>
          <w:szCs w:val="20"/>
        </w:rPr>
        <w:t>Middlemis H and Peeters LJM (2018) Explanatory Note, Uncertainty Analysis in Groundwater Modelling. A report prepared for the Independent Expert Scientific Committee on Coal Seam Gas and Large Coal Mining Development through the Department of the Environment</w:t>
      </w:r>
      <w:r w:rsidR="00062FB5">
        <w:rPr>
          <w:sz w:val="20"/>
          <w:szCs w:val="20"/>
        </w:rPr>
        <w:t xml:space="preserve"> and Energy</w:t>
      </w:r>
      <w:r w:rsidRPr="003D338A">
        <w:rPr>
          <w:sz w:val="20"/>
          <w:szCs w:val="20"/>
        </w:rPr>
        <w:t xml:space="preserve">. </w:t>
      </w:r>
    </w:p>
    <w:p w14:paraId="29EC740A" w14:textId="77777777" w:rsidR="003D338A" w:rsidRPr="003D338A" w:rsidRDefault="003D338A" w:rsidP="003D338A">
      <w:pPr>
        <w:pStyle w:val="BodyText"/>
        <w:rPr>
          <w:b/>
          <w:color w:val="1F3864" w:themeColor="accent5" w:themeShade="80"/>
          <w:sz w:val="20"/>
          <w:szCs w:val="20"/>
        </w:rPr>
      </w:pPr>
    </w:p>
    <w:p w14:paraId="6F2C614C" w14:textId="77777777" w:rsidR="003D338A" w:rsidRPr="003D338A" w:rsidRDefault="003D338A" w:rsidP="003D338A">
      <w:pPr>
        <w:pStyle w:val="BodyText"/>
        <w:rPr>
          <w:rFonts w:ascii="Calibri" w:eastAsiaTheme="minorEastAsia" w:hAnsi="Calibri" w:cs="Calibri"/>
          <w:b/>
          <w:bCs/>
          <w:color w:val="1F487C"/>
          <w:sz w:val="28"/>
          <w:szCs w:val="28"/>
          <w:lang w:eastAsia="ja-JP"/>
        </w:rPr>
      </w:pPr>
      <w:r w:rsidRPr="003D338A">
        <w:rPr>
          <w:rFonts w:ascii="Calibri" w:eastAsiaTheme="minorEastAsia" w:hAnsi="Calibri" w:cs="Calibri"/>
          <w:b/>
          <w:bCs/>
          <w:color w:val="1F487C"/>
          <w:sz w:val="28"/>
          <w:szCs w:val="28"/>
          <w:lang w:eastAsia="ja-JP"/>
        </w:rPr>
        <w:t xml:space="preserve">Acknowledgements </w:t>
      </w:r>
    </w:p>
    <w:p w14:paraId="149D8D42" w14:textId="6CD2B95B" w:rsidR="003D338A" w:rsidRPr="003D338A" w:rsidRDefault="003D338A" w:rsidP="003D338A">
      <w:pPr>
        <w:pStyle w:val="Default"/>
        <w:rPr>
          <w:color w:val="auto"/>
          <w:sz w:val="20"/>
          <w:szCs w:val="20"/>
        </w:rPr>
      </w:pPr>
      <w:r w:rsidRPr="003D338A">
        <w:rPr>
          <w:color w:val="auto"/>
          <w:sz w:val="20"/>
          <w:szCs w:val="20"/>
        </w:rPr>
        <w:t xml:space="preserve">This report was finalised by the Independent Expert Scientific Committee on Coal Seam Gas and Large Coal Mining Development (IESC) based on consideration of work commissioned by the Office of Water Science on behalf of the Independent Expert Scientific Committee on Coal Seam Gas and </w:t>
      </w:r>
      <w:r w:rsidR="00A44B0E">
        <w:rPr>
          <w:color w:val="auto"/>
          <w:sz w:val="20"/>
          <w:szCs w:val="20"/>
        </w:rPr>
        <w:t xml:space="preserve">Large </w:t>
      </w:r>
      <w:r w:rsidRPr="003D338A">
        <w:rPr>
          <w:color w:val="auto"/>
          <w:sz w:val="20"/>
          <w:szCs w:val="20"/>
        </w:rPr>
        <w:t xml:space="preserve">Coal Mining </w:t>
      </w:r>
      <w:r w:rsidR="00A44B0E">
        <w:rPr>
          <w:color w:val="auto"/>
          <w:sz w:val="20"/>
          <w:szCs w:val="20"/>
        </w:rPr>
        <w:t xml:space="preserve">Development </w:t>
      </w:r>
      <w:r w:rsidRPr="003D338A">
        <w:rPr>
          <w:color w:val="auto"/>
          <w:sz w:val="20"/>
          <w:szCs w:val="20"/>
        </w:rPr>
        <w:t xml:space="preserve">(IESC) in January 2018 through the Department of the Environment and Energy. </w:t>
      </w:r>
    </w:p>
    <w:p w14:paraId="7B40DF23" w14:textId="77777777" w:rsidR="003D338A" w:rsidRPr="003D338A" w:rsidRDefault="003D338A" w:rsidP="003D338A">
      <w:pPr>
        <w:pStyle w:val="Default"/>
        <w:rPr>
          <w:color w:val="auto"/>
          <w:sz w:val="20"/>
          <w:szCs w:val="20"/>
        </w:rPr>
      </w:pPr>
    </w:p>
    <w:p w14:paraId="02BD2A78" w14:textId="77777777" w:rsidR="003D338A" w:rsidRPr="003D338A" w:rsidRDefault="003D338A" w:rsidP="003D338A">
      <w:pPr>
        <w:pStyle w:val="Default"/>
        <w:rPr>
          <w:color w:val="auto"/>
          <w:sz w:val="20"/>
          <w:szCs w:val="20"/>
        </w:rPr>
      </w:pPr>
      <w:r w:rsidRPr="003D338A">
        <w:rPr>
          <w:color w:val="auto"/>
          <w:sz w:val="20"/>
          <w:szCs w:val="20"/>
        </w:rPr>
        <w:t>Main contributors of scientific input to this work were Glen Walker (IESC), Peter Baker (OWS), XXXX and XXXX</w:t>
      </w:r>
    </w:p>
    <w:p w14:paraId="2E12EEAC" w14:textId="77777777" w:rsidR="003D338A" w:rsidRPr="003D338A" w:rsidRDefault="003D338A" w:rsidP="003D338A">
      <w:pPr>
        <w:pStyle w:val="Default"/>
        <w:rPr>
          <w:color w:val="auto"/>
          <w:sz w:val="20"/>
          <w:szCs w:val="20"/>
        </w:rPr>
      </w:pPr>
    </w:p>
    <w:p w14:paraId="275B155A" w14:textId="77777777" w:rsidR="003D338A" w:rsidRPr="003D338A" w:rsidRDefault="003D338A" w:rsidP="003D338A">
      <w:pPr>
        <w:pStyle w:val="BodyText"/>
        <w:rPr>
          <w:rFonts w:ascii="Calibri" w:eastAsiaTheme="minorEastAsia" w:hAnsi="Calibri" w:cs="Calibri"/>
          <w:b/>
          <w:bCs/>
          <w:color w:val="1F487C"/>
          <w:sz w:val="28"/>
          <w:szCs w:val="28"/>
          <w:lang w:eastAsia="ja-JP"/>
        </w:rPr>
      </w:pPr>
      <w:r w:rsidRPr="003D338A">
        <w:rPr>
          <w:rFonts w:ascii="Calibri" w:eastAsiaTheme="minorEastAsia" w:hAnsi="Calibri" w:cs="Calibri"/>
          <w:b/>
          <w:bCs/>
          <w:color w:val="1F487C"/>
          <w:sz w:val="28"/>
          <w:szCs w:val="28"/>
          <w:lang w:eastAsia="ja-JP"/>
        </w:rPr>
        <w:t>Contact details</w:t>
      </w:r>
    </w:p>
    <w:p w14:paraId="6C4EF882" w14:textId="77777777" w:rsidR="003D338A" w:rsidRPr="003D338A" w:rsidRDefault="003D338A" w:rsidP="003D338A">
      <w:pPr>
        <w:pStyle w:val="BodyText"/>
        <w:rPr>
          <w:sz w:val="20"/>
          <w:szCs w:val="20"/>
          <w:lang w:val="en-US"/>
        </w:rPr>
      </w:pPr>
      <w:r w:rsidRPr="003D338A">
        <w:rPr>
          <w:sz w:val="20"/>
          <w:szCs w:val="20"/>
          <w:lang w:val="en-US"/>
        </w:rPr>
        <w:t>For information about this report or about the work of the IESC please contact:</w:t>
      </w:r>
    </w:p>
    <w:p w14:paraId="2CA072C3" w14:textId="77777777" w:rsidR="003D338A" w:rsidRPr="003D338A" w:rsidRDefault="003D338A" w:rsidP="00747837">
      <w:pPr>
        <w:pStyle w:val="BodyText"/>
        <w:spacing w:after="0"/>
        <w:rPr>
          <w:sz w:val="20"/>
          <w:szCs w:val="20"/>
          <w:lang w:val="en-US"/>
        </w:rPr>
      </w:pPr>
      <w:r w:rsidRPr="003D338A">
        <w:rPr>
          <w:sz w:val="20"/>
          <w:szCs w:val="20"/>
          <w:lang w:val="en-US"/>
        </w:rPr>
        <w:t>IESC Secretariat</w:t>
      </w:r>
    </w:p>
    <w:p w14:paraId="225F6D19" w14:textId="77777777" w:rsidR="003D338A" w:rsidRPr="003D338A" w:rsidRDefault="003D338A" w:rsidP="00747837">
      <w:pPr>
        <w:pStyle w:val="BodyText"/>
        <w:spacing w:after="0"/>
        <w:rPr>
          <w:sz w:val="20"/>
          <w:szCs w:val="20"/>
          <w:lang w:val="en-US"/>
        </w:rPr>
      </w:pPr>
      <w:r w:rsidRPr="003D338A">
        <w:rPr>
          <w:sz w:val="20"/>
          <w:szCs w:val="20"/>
          <w:lang w:val="en-US"/>
        </w:rPr>
        <w:t>Office of Water Science</w:t>
      </w:r>
    </w:p>
    <w:p w14:paraId="41E90BC8" w14:textId="77777777" w:rsidR="003D338A" w:rsidRPr="003D338A" w:rsidRDefault="003D338A" w:rsidP="00747837">
      <w:pPr>
        <w:pStyle w:val="BodyText"/>
        <w:spacing w:after="0"/>
        <w:rPr>
          <w:sz w:val="20"/>
          <w:szCs w:val="20"/>
          <w:lang w:val="en-US"/>
        </w:rPr>
      </w:pPr>
      <w:r w:rsidRPr="003D338A">
        <w:rPr>
          <w:sz w:val="20"/>
          <w:szCs w:val="20"/>
          <w:lang w:val="en-US"/>
        </w:rPr>
        <w:t>Department of the Environment and Energy</w:t>
      </w:r>
    </w:p>
    <w:p w14:paraId="2475DE3C" w14:textId="77777777" w:rsidR="003D338A" w:rsidRPr="003D338A" w:rsidRDefault="003D338A" w:rsidP="00747837">
      <w:pPr>
        <w:pStyle w:val="BodyText"/>
        <w:spacing w:after="0"/>
        <w:rPr>
          <w:sz w:val="20"/>
          <w:szCs w:val="20"/>
          <w:lang w:val="en-US"/>
        </w:rPr>
      </w:pPr>
      <w:r w:rsidRPr="003D338A">
        <w:rPr>
          <w:sz w:val="20"/>
          <w:szCs w:val="20"/>
          <w:lang w:val="en-US"/>
        </w:rPr>
        <w:t>GPO Box 787</w:t>
      </w:r>
    </w:p>
    <w:p w14:paraId="58DB70D2" w14:textId="77777777" w:rsidR="003D338A" w:rsidRPr="003D338A" w:rsidRDefault="003D338A" w:rsidP="00747837">
      <w:pPr>
        <w:pStyle w:val="BodyText"/>
        <w:spacing w:after="0"/>
        <w:rPr>
          <w:sz w:val="20"/>
          <w:szCs w:val="20"/>
          <w:lang w:val="en-US"/>
        </w:rPr>
      </w:pPr>
      <w:r w:rsidRPr="003D338A">
        <w:rPr>
          <w:sz w:val="20"/>
          <w:szCs w:val="20"/>
          <w:lang w:val="en-US"/>
        </w:rPr>
        <w:t>CANBERRA  ACT  2601</w:t>
      </w:r>
    </w:p>
    <w:p w14:paraId="75841E00" w14:textId="77777777" w:rsidR="003D338A" w:rsidRPr="003D338A" w:rsidRDefault="003D338A" w:rsidP="00747837">
      <w:pPr>
        <w:pStyle w:val="BodyText"/>
        <w:spacing w:after="0"/>
        <w:rPr>
          <w:b/>
          <w:color w:val="1F3864" w:themeColor="accent5" w:themeShade="80"/>
          <w:sz w:val="20"/>
          <w:szCs w:val="20"/>
          <w:lang w:val="en-US"/>
        </w:rPr>
      </w:pPr>
      <w:r w:rsidRPr="003D338A">
        <w:rPr>
          <w:sz w:val="20"/>
          <w:szCs w:val="20"/>
          <w:lang w:val="en-US"/>
        </w:rPr>
        <w:t>This report can be accessed at</w:t>
      </w:r>
      <w:r w:rsidRPr="003D338A">
        <w:rPr>
          <w:b/>
          <w:sz w:val="20"/>
          <w:szCs w:val="20"/>
          <w:lang w:val="en-US"/>
        </w:rPr>
        <w:t xml:space="preserve"> </w:t>
      </w:r>
      <w:hyperlink r:id="rId16" w:history="1">
        <w:r w:rsidRPr="003D338A">
          <w:rPr>
            <w:rStyle w:val="Hyperlink"/>
            <w:szCs w:val="20"/>
            <w:lang w:val="en-US"/>
          </w:rPr>
          <w:t>http://www.iesc.environment.gov.au/</w:t>
        </w:r>
      </w:hyperlink>
    </w:p>
    <w:p w14:paraId="687FCD8C" w14:textId="77777777" w:rsidR="00E773DF" w:rsidRDefault="003D338A" w:rsidP="00E773DF">
      <w:pPr>
        <w:pStyle w:val="BodyText"/>
        <w:rPr>
          <w:b/>
          <w:bCs/>
          <w:sz w:val="40"/>
          <w:szCs w:val="44"/>
        </w:rPr>
        <w:sectPr w:rsidR="00E773DF" w:rsidSect="00D252D1">
          <w:headerReference w:type="first" r:id="rId17"/>
          <w:pgSz w:w="11910" w:h="16840"/>
          <w:pgMar w:top="2572" w:right="1021" w:bottom="709" w:left="1298" w:header="283" w:footer="170" w:gutter="0"/>
          <w:pgNumType w:start="1"/>
          <w:cols w:space="720"/>
          <w:noEndnote/>
          <w:titlePg/>
          <w:docGrid w:linePitch="326"/>
        </w:sectPr>
      </w:pPr>
      <w:r w:rsidRPr="00972F0F">
        <w:rPr>
          <w:b/>
          <w:color w:val="1F3864" w:themeColor="accent5" w:themeShade="80"/>
          <w:sz w:val="20"/>
          <w:szCs w:val="20"/>
          <w:lang w:val="en-US"/>
        </w:rPr>
        <w:br w:type="page"/>
      </w:r>
    </w:p>
    <w:p w14:paraId="09FD7544" w14:textId="77777777" w:rsidR="0008424B" w:rsidRPr="00367E03" w:rsidRDefault="0008424B" w:rsidP="008869EF">
      <w:pPr>
        <w:pStyle w:val="BodyText"/>
        <w:rPr>
          <w:b/>
          <w:bCs/>
          <w:color w:val="1F3864" w:themeColor="accent5" w:themeShade="80"/>
          <w:sz w:val="36"/>
          <w:szCs w:val="36"/>
        </w:rPr>
      </w:pPr>
      <w:bookmarkStart w:id="1" w:name="_Hlk506236079"/>
      <w:r w:rsidRPr="00367E03">
        <w:rPr>
          <w:b/>
          <w:bCs/>
          <w:color w:val="1F3864" w:themeColor="accent5" w:themeShade="80"/>
          <w:sz w:val="36"/>
          <w:szCs w:val="36"/>
        </w:rPr>
        <w:lastRenderedPageBreak/>
        <w:t>EXECUTIVE SUMMARY</w:t>
      </w:r>
    </w:p>
    <w:p w14:paraId="5B88596A" w14:textId="77777777" w:rsidR="00AD51B5" w:rsidRDefault="00AD51B5" w:rsidP="0008424B">
      <w:pPr>
        <w:pStyle w:val="BodyText"/>
        <w:rPr>
          <w:b/>
        </w:rPr>
      </w:pPr>
    </w:p>
    <w:p w14:paraId="18DB1BB1" w14:textId="77777777" w:rsidR="0008424B" w:rsidRPr="001A07EC" w:rsidRDefault="0008424B" w:rsidP="00DC4EC3">
      <w:pPr>
        <w:pStyle w:val="BodyText"/>
        <w:tabs>
          <w:tab w:val="center" w:pos="4795"/>
        </w:tabs>
        <w:rPr>
          <w:b/>
        </w:rPr>
      </w:pPr>
      <w:r>
        <w:rPr>
          <w:b/>
        </w:rPr>
        <w:t>Context</w:t>
      </w:r>
    </w:p>
    <w:p w14:paraId="6E08623A" w14:textId="0443DB87" w:rsidR="00335FE6" w:rsidRPr="0077676B" w:rsidRDefault="00335FE6" w:rsidP="00335FE6">
      <w:pPr>
        <w:widowControl/>
        <w:autoSpaceDE/>
        <w:autoSpaceDN/>
        <w:adjustRightInd/>
        <w:spacing w:after="160" w:line="259" w:lineRule="auto"/>
        <w:rPr>
          <w:rFonts w:eastAsiaTheme="minorHAnsi"/>
          <w:sz w:val="22"/>
          <w:szCs w:val="22"/>
          <w:lang w:eastAsia="en-US"/>
        </w:rPr>
      </w:pPr>
      <w:r w:rsidRPr="0077676B">
        <w:rPr>
          <w:rFonts w:eastAsiaTheme="minorHAnsi"/>
          <w:sz w:val="22"/>
          <w:szCs w:val="22"/>
          <w:lang w:eastAsia="en-US"/>
        </w:rPr>
        <w:t xml:space="preserve">The complexities and inherent uncertainties associated with conceptualising and estimating hydraulic characteristics (i.e. parameterisation) of groundwater systems indicates that predictive uncertainty analysis should be an important part of the groundwater modelling process. Currently observed in environmental impact assessments is the development of a single numerical groundwater model without any uncertainty analysis. When considered in a risk management context, this approach is not sufficient to predict the range of potential impacts and their likelihood. A quantitative uncertainty analysis delivers the range of model prediction scenarios, each plausible in that they are consistent with all available information and data. Uncertainty analysis also provides insight into what are the main sources of uncertainty and how much the uncertainty in model outcomes is reduced by data. </w:t>
      </w:r>
    </w:p>
    <w:p w14:paraId="323A7D11" w14:textId="3F0BFCA3" w:rsidR="00335FE6" w:rsidRPr="0077676B" w:rsidRDefault="00335FE6" w:rsidP="00335FE6">
      <w:pPr>
        <w:pStyle w:val="BodyText"/>
      </w:pPr>
      <w:r w:rsidRPr="0077676B">
        <w:rPr>
          <w:rFonts w:eastAsiaTheme="minorHAnsi"/>
          <w:lang w:eastAsia="en-US"/>
        </w:rPr>
        <w:t>The Explanatory Note is intended to</w:t>
      </w:r>
      <w:r w:rsidR="00A44B0E">
        <w:rPr>
          <w:rFonts w:eastAsiaTheme="minorHAnsi"/>
          <w:lang w:eastAsia="en-US"/>
        </w:rPr>
        <w:t xml:space="preserve"> support the IESC Information Guidelines and </w:t>
      </w:r>
      <w:r w:rsidRPr="0077676B">
        <w:rPr>
          <w:rFonts w:eastAsiaTheme="minorHAnsi"/>
          <w:lang w:eastAsia="en-US"/>
        </w:rPr>
        <w:t xml:space="preserve">complement the Australian Groundwater Modelling Guidelines (AGMG). A robust uncertainty analysis is important for regulatory decision-making, as it will inform and ensure management options and approaches are commensurate with the level of risk and its likelihood for any particular impact. </w:t>
      </w:r>
    </w:p>
    <w:p w14:paraId="28C20329" w14:textId="5467EEA1" w:rsidR="0008424B" w:rsidRPr="0077676B" w:rsidRDefault="00297857" w:rsidP="00335FE6">
      <w:pPr>
        <w:pStyle w:val="BodyText"/>
      </w:pPr>
      <w:r w:rsidRPr="0077676B">
        <w:t>Uncertainty</w:t>
      </w:r>
      <w:r w:rsidR="0008424B" w:rsidRPr="0077676B">
        <w:t xml:space="preserve"> is often lumped into two main types: deficiency in our knowledge of the natural world (including effects of error in measurements); and failure to capture the complexity of the natural world (or what we know about it) in a modelling tool. </w:t>
      </w:r>
    </w:p>
    <w:p w14:paraId="35FFF5AA" w14:textId="77777777" w:rsidR="0008424B" w:rsidRPr="0077676B" w:rsidRDefault="0008424B" w:rsidP="0008424B">
      <w:pPr>
        <w:pStyle w:val="BodyText"/>
      </w:pPr>
      <w:r w:rsidRPr="0077676B">
        <w:t>The IESC Information Guidelines set the context for this Explanatory Note on groundwater model uncertainty analysis. The Information Guidelines require that:</w:t>
      </w:r>
    </w:p>
    <w:p w14:paraId="37805652" w14:textId="77777777" w:rsidR="0008424B" w:rsidRPr="0077676B" w:rsidRDefault="0008424B" w:rsidP="0008424B">
      <w:pPr>
        <w:pStyle w:val="Bulletdot"/>
      </w:pPr>
      <w:r w:rsidRPr="0077676B">
        <w:t>modelling results should be presented to show a range of possible outcomes based on uncertainty analysis;</w:t>
      </w:r>
    </w:p>
    <w:p w14:paraId="517C6047" w14:textId="77777777" w:rsidR="0008424B" w:rsidRPr="0077676B" w:rsidRDefault="0008424B" w:rsidP="0008424B">
      <w:pPr>
        <w:pStyle w:val="Bulletdot"/>
      </w:pPr>
      <w:r w:rsidRPr="0077676B">
        <w:t>assessment of potential impacts should outline the quality of, and risks and uncertainty inherent in, the background data and the modelling, particularly with respect to predicted potential scenarios;</w:t>
      </w:r>
    </w:p>
    <w:p w14:paraId="2B86717D" w14:textId="77777777" w:rsidR="0008424B" w:rsidRPr="0077676B" w:rsidRDefault="0008424B" w:rsidP="0008424B">
      <w:pPr>
        <w:pStyle w:val="Bulletdot"/>
      </w:pPr>
      <w:r w:rsidRPr="0077676B">
        <w:t>the assessment should acknowledge uncertainties in the modelling, identify the sources of errors (e.g. conceptual model and parameter uncertainty) and quantify the level of uncertainty.</w:t>
      </w:r>
    </w:p>
    <w:p w14:paraId="5FBC9F40" w14:textId="55D592F7" w:rsidR="0008424B" w:rsidRPr="0077676B" w:rsidRDefault="00514FC7" w:rsidP="0008424B">
      <w:pPr>
        <w:pStyle w:val="BodyText"/>
      </w:pPr>
      <w:r w:rsidRPr="0077676B">
        <w:t>This</w:t>
      </w:r>
      <w:r w:rsidR="0008424B" w:rsidRPr="0077676B">
        <w:t xml:space="preserve"> Explanatory Note provides detailed information on undertaking uncertainty analyses, and establishes some key guiding principles:</w:t>
      </w:r>
    </w:p>
    <w:p w14:paraId="62364818" w14:textId="30B95631" w:rsidR="0008424B" w:rsidRPr="0077676B" w:rsidRDefault="0008424B" w:rsidP="0008424B">
      <w:pPr>
        <w:pStyle w:val="Bulletdot"/>
      </w:pPr>
      <w:r w:rsidRPr="0077676B">
        <w:t xml:space="preserve">the model must be designed to be specifically fit for the purpose to provide information about uncertainty in a way that allows decision makers </w:t>
      </w:r>
      <w:r w:rsidR="00A44B0E">
        <w:t xml:space="preserve">to </w:t>
      </w:r>
      <w:r w:rsidRPr="0077676B">
        <w:t>understand the effects of uncertainty on project objectives, and the effects of potential bias;</w:t>
      </w:r>
    </w:p>
    <w:p w14:paraId="5778A57F" w14:textId="77777777" w:rsidR="0008424B" w:rsidRPr="0077676B" w:rsidRDefault="0008424B" w:rsidP="0008424B">
      <w:pPr>
        <w:pStyle w:val="Bulletdot"/>
      </w:pPr>
      <w:r w:rsidRPr="0077676B">
        <w:t>uncertainty must be considered/addressed at problem definition and at each subsequent stage of the workflow;</w:t>
      </w:r>
    </w:p>
    <w:p w14:paraId="4A71DEBD" w14:textId="77777777" w:rsidR="0008424B" w:rsidRPr="0077676B" w:rsidRDefault="0008424B" w:rsidP="0008424B">
      <w:pPr>
        <w:pStyle w:val="Bulletdot"/>
      </w:pPr>
      <w:r w:rsidRPr="0077676B">
        <w:t>collaborative engagement with regulatory agencies is required at all stages, to discuss and agree the methodologies and understand the implications of the results.</w:t>
      </w:r>
    </w:p>
    <w:p w14:paraId="0D7ADE31" w14:textId="77777777" w:rsidR="0008424B" w:rsidRPr="00B82690" w:rsidRDefault="0008424B" w:rsidP="00C509BD">
      <w:pPr>
        <w:pStyle w:val="BodyText"/>
        <w:tabs>
          <w:tab w:val="center" w:pos="4795"/>
        </w:tabs>
        <w:rPr>
          <w:b/>
        </w:rPr>
      </w:pPr>
      <w:r w:rsidRPr="00B82690">
        <w:rPr>
          <w:b/>
        </w:rPr>
        <w:t xml:space="preserve">Risk Management </w:t>
      </w:r>
      <w:r>
        <w:rPr>
          <w:b/>
        </w:rPr>
        <w:t>Framework</w:t>
      </w:r>
      <w:r w:rsidR="00C509BD">
        <w:rPr>
          <w:b/>
        </w:rPr>
        <w:tab/>
      </w:r>
    </w:p>
    <w:p w14:paraId="3DAAB5FF" w14:textId="77777777" w:rsidR="0008424B" w:rsidRDefault="0008424B" w:rsidP="0008424B">
      <w:pPr>
        <w:pStyle w:val="BodyText"/>
      </w:pPr>
      <w:r>
        <w:t>A well-executed groundwater model uncertainty analysis provides estimates of the probabilities of the predicted water-related impacts of proposed developments for input to environmental assessments and management planning, embedded within a risk management framework (i.e. probability and consequence are quantified). It also provides information on the effect of uncertainties in the data, knowledge or modelling on the predicted outcomes, such that decision-making can have a robust foundation.</w:t>
      </w:r>
    </w:p>
    <w:p w14:paraId="5914DA51" w14:textId="37132189" w:rsidR="0008424B" w:rsidRDefault="0008424B" w:rsidP="0008424B">
      <w:pPr>
        <w:pStyle w:val="BodyText"/>
      </w:pPr>
      <w:r>
        <w:lastRenderedPageBreak/>
        <w:t xml:space="preserve">A quantitative uncertainty analysis delivers the range of model prediction scenarios or outcomes that are each equally plausible in that they are consistent with all available information and observations/data. Uncertainty analysis also </w:t>
      </w:r>
      <w:r w:rsidR="00514FC7">
        <w:t>reveals</w:t>
      </w:r>
      <w:r>
        <w:t xml:space="preserve"> the main sources of uncertainty and how much the uncertainty in model outcomes is reduced by the observations/data. It is important to emphasise that uncertainty analysis pertains to the model outcomes (scenarios), not the model itself. It is entirely possible that a model (with its particular set of parameters) that has a small uncertainty in reproducing historical groundwater level observations can produce drawdown predictions with a much greater uncertainty (than the history match). </w:t>
      </w:r>
    </w:p>
    <w:p w14:paraId="100837BC" w14:textId="77777777" w:rsidR="0008424B" w:rsidRDefault="0008424B" w:rsidP="0008424B">
      <w:pPr>
        <w:pStyle w:val="BodyText"/>
      </w:pPr>
      <w:r>
        <w:t xml:space="preserve">An uncertainty analysis must therefore be carried out within a risk management context that identifies which model outcomes are relevant for decision making for that project. In the ISO 31000:2009 risk management standard, </w:t>
      </w:r>
      <w:r w:rsidRPr="00B82690">
        <w:rPr>
          <w:b/>
        </w:rPr>
        <w:t>risk is defined as the effect of uncertainty on project objectives</w:t>
      </w:r>
      <w:r>
        <w:t xml:space="preserve">, and it is characterised as a function of the probability and consequence of an outcome. Hence predictions of the consequences (impacts) of development or management options should quantify or characterise the related uncertainties. This means that groundwater models should be designed to systematically investigate the causal pathways for potential impacts on water resources and water-dependent assets arising from a proposed development. </w:t>
      </w:r>
    </w:p>
    <w:p w14:paraId="264EE6C3" w14:textId="77777777" w:rsidR="0008424B" w:rsidRPr="001A07EC" w:rsidRDefault="0008424B" w:rsidP="0008424B">
      <w:pPr>
        <w:pStyle w:val="BodyText"/>
        <w:rPr>
          <w:b/>
        </w:rPr>
      </w:pPr>
      <w:r w:rsidRPr="001A07EC">
        <w:rPr>
          <w:b/>
        </w:rPr>
        <w:t>Early and Ongoing Engagement and Consultation to select the best methods</w:t>
      </w:r>
    </w:p>
    <w:p w14:paraId="3BF79AE9" w14:textId="055D91D0" w:rsidR="0008424B" w:rsidRDefault="0008424B" w:rsidP="0008424B">
      <w:pPr>
        <w:pStyle w:val="BodyText"/>
      </w:pPr>
      <w:r>
        <w:t xml:space="preserve">As there are many complex issues involved in uncertainty analysis, early (and ongoing) dialogue between the proponent and regulator (and their technical experts) </w:t>
      </w:r>
      <w:r w:rsidR="00CC0F50">
        <w:t>is needed about</w:t>
      </w:r>
      <w:r>
        <w:t xml:space="preserve"> what model outcomes are needed (given the risk context), what approaches to groundwater modelling and uncertainty analysis are appropriate and to what extent the analysis needs to be conservative. </w:t>
      </w:r>
    </w:p>
    <w:p w14:paraId="24FEAED8" w14:textId="1A275107" w:rsidR="0008424B" w:rsidRDefault="0008424B" w:rsidP="0008424B">
      <w:pPr>
        <w:pStyle w:val="BodyText"/>
      </w:pPr>
      <w:r>
        <w:t xml:space="preserve">Within the resources available for the impact assessment, there is a trade-off between the complexity of the uncertainty analysis and the complexity of the groundwater model. More complex groundwater models tend to take longer to run, while more comprehensive uncertainty analysis approaches require more model runs. This requires a balance between model simplicity and complexity for an uncertainty evaluation such that </w:t>
      </w:r>
      <w:r w:rsidR="002B30BD">
        <w:t xml:space="preserve">it </w:t>
      </w:r>
      <w:r>
        <w:t xml:space="preserve">is commensurate with the risk/consequence profile of the project. In selecting the appropriate level of complexity, the Explanatory Note emphasises the need to fully and transparently document the choices made and the consultations and risk assessments involved. </w:t>
      </w:r>
    </w:p>
    <w:p w14:paraId="598651E9" w14:textId="3CA28DFC" w:rsidR="0008424B" w:rsidRDefault="0008424B" w:rsidP="0008424B">
      <w:pPr>
        <w:pStyle w:val="BodyText"/>
      </w:pPr>
      <w:r>
        <w:t xml:space="preserve">As well as constraints on the available data and resources (time and budget), and the technical challenges, a major factor in justifying choices in groundwater modelling and uncertainty analysis is the effect on the model outcomes. From a precautionary viewpoint, it is often justified to make conservative choices, i.e. choices that will overestimate hydrological changes rather than underestimate (e.g. an uncertainty analysis with conservative assumptions may require less complex modelling approaches and yet may provide acceptable outcomes). Whether model choices are conservative and to what extent </w:t>
      </w:r>
      <w:r w:rsidR="00CC0F50">
        <w:t xml:space="preserve">again </w:t>
      </w:r>
      <w:r>
        <w:t xml:space="preserve">needs </w:t>
      </w:r>
      <w:r w:rsidR="00CC0F50">
        <w:t xml:space="preserve">to </w:t>
      </w:r>
      <w:r>
        <w:t>be discussed between the proponent and regulator.</w:t>
      </w:r>
    </w:p>
    <w:p w14:paraId="11012F64" w14:textId="77777777" w:rsidR="0008424B" w:rsidRPr="00675576" w:rsidRDefault="0008424B" w:rsidP="0008424B">
      <w:pPr>
        <w:pStyle w:val="BodyText"/>
        <w:rPr>
          <w:b/>
        </w:rPr>
      </w:pPr>
      <w:r w:rsidRPr="00675576">
        <w:rPr>
          <w:b/>
        </w:rPr>
        <w:t>Uncertainty Methods</w:t>
      </w:r>
    </w:p>
    <w:p w14:paraId="7583B756" w14:textId="432DD470" w:rsidR="0008424B" w:rsidRDefault="0008424B" w:rsidP="0008424B">
      <w:pPr>
        <w:pStyle w:val="BodyText"/>
      </w:pPr>
      <w:r>
        <w:t>Th</w:t>
      </w:r>
      <w:r w:rsidR="00CC0F50">
        <w:t>is</w:t>
      </w:r>
      <w:r>
        <w:t xml:space="preserve"> Explanatory Note outlines three general approaches to uncertainty analysis (listed here in increasing order of complexity and thus resources required); (1) scenario analysis with subjective probability, (2) deterministic modelling with linear probability quantification and (3) stochastic modelling with Bayesian probability. The Explanatory Note outlines how the technical and practical challenges are surmountable, even when considering the resource limitations of practical impact assessment studies.</w:t>
      </w:r>
    </w:p>
    <w:p w14:paraId="591D5E4B" w14:textId="4DBA9521" w:rsidR="0008424B" w:rsidRDefault="0008424B" w:rsidP="0008424B">
      <w:pPr>
        <w:pStyle w:val="BodyText"/>
      </w:pPr>
      <w:r>
        <w:t xml:space="preserve">The first method can be described as a sensitivity style of uncertainty analysis. It consists of running the model a limited number of times for different scenarios of parameter or input values (usually previously identified from sensitivity testing). The main advantage of this kind of ‘what-if’ analysis is that it is straight forward to implement and communicate and that it is not computationally demanding. The main drawback is that the selection of scenarios is subjective and </w:t>
      </w:r>
      <w:r w:rsidR="002B30BD">
        <w:t>t</w:t>
      </w:r>
      <w:r>
        <w:t>he likelihood of a scenario therefore is also subjective.</w:t>
      </w:r>
    </w:p>
    <w:p w14:paraId="56B74D6B" w14:textId="77777777" w:rsidR="0008424B" w:rsidRDefault="0008424B" w:rsidP="0008424B">
      <w:pPr>
        <w:pStyle w:val="BodyText"/>
      </w:pPr>
      <w:r>
        <w:lastRenderedPageBreak/>
        <w:t>The second approach, deterministic modelling with linear probability quantification, assumes the model behaves linearly for parameter values in the vicinity of the adopted history-match (conditional) calibration, and that the uncertainty in parameters and observations can be approximated by normal or lognormal distributions. The main advantage is that this method provides an objective and repeatable estimate of the likelihood for the model outcomes through confidence intervals. The drawbacks are that it is computationally more demanding, the interpretation and communication is more complex than a scenario analysis and, most importantly, the assumptions on normality and linearity need to be justified.</w:t>
      </w:r>
    </w:p>
    <w:p w14:paraId="5121EA78" w14:textId="77777777" w:rsidR="0008424B" w:rsidRDefault="0008424B" w:rsidP="0008424B">
      <w:pPr>
        <w:pStyle w:val="BodyText"/>
      </w:pPr>
      <w:r>
        <w:t xml:space="preserve">In the third approach, stochastic modelling with Bayesian probability, the model is evaluated repeatedly to create an ensemble of model outcomes, with each individual model performance fitting the history-match observations within specified criteria. Based on such an ensemble of model outcomes, the likelihood of any particular model outcome can be computed. The main advantage is that it does not require assumptions on linear model behaviour or normally distributed parameters. The drawbacks are that it is even more computationally demanding than the second approach and, while the assumptions on normality and linearity are relaxed, there are other assumptions involved in the analysis, such as the method for generating the ensemble of model runs or the way the fit with observations is calculated. </w:t>
      </w:r>
    </w:p>
    <w:p w14:paraId="1D2CED50" w14:textId="77777777" w:rsidR="0008424B" w:rsidRDefault="0008424B" w:rsidP="0008424B">
      <w:pPr>
        <w:pStyle w:val="BodyText"/>
      </w:pPr>
      <w:r>
        <w:t xml:space="preserve">While the technical approaches are very different, the common principles are that uncertainty analysis needs to be an integral part of the modelling workflow from the start, focussed on well-defined model outcomes, and that early and ongoing engagement, consultation and dialogue is required between the proponent and regulator (and their technical experts). </w:t>
      </w:r>
    </w:p>
    <w:p w14:paraId="5F98E93B" w14:textId="3F8FF0BE" w:rsidR="0008424B" w:rsidRDefault="0008424B" w:rsidP="0008424B">
      <w:pPr>
        <w:pStyle w:val="BodyText"/>
      </w:pPr>
      <w:r>
        <w:t xml:space="preserve">Each method requires </w:t>
      </w:r>
      <w:r w:rsidR="003202E6">
        <w:t xml:space="preserve">all information to be presented by the proponent in their assessment, with </w:t>
      </w:r>
      <w:r w:rsidR="005A78A0">
        <w:t>a formal</w:t>
      </w:r>
      <w:r>
        <w:t xml:space="preserve"> discussion on which parameters are included in the analysis and why</w:t>
      </w:r>
      <w:r w:rsidR="003202E6">
        <w:t>. A</w:t>
      </w:r>
      <w:r>
        <w:t xml:space="preserve"> formal examination of the uncertainty in these parameters and of the uncertainty in the observations/data, and a formal description of what is an acceptable level of model-to-observation-misfit (to objectively evaluate model performance)</w:t>
      </w:r>
      <w:r w:rsidR="003202E6">
        <w:t xml:space="preserve"> should </w:t>
      </w:r>
      <w:r w:rsidR="007575FC">
        <w:t xml:space="preserve">also </w:t>
      </w:r>
      <w:r w:rsidR="003202E6">
        <w:t>be undertaken</w:t>
      </w:r>
      <w:r>
        <w:t>. In the context of groundwater modelling, a crucial practical requirement is a stable groundwater model that converges over a wide range of parameter values, which requires careful design, testing and review of the groundwater model(s).</w:t>
      </w:r>
    </w:p>
    <w:p w14:paraId="08386E1B" w14:textId="038C4AEF" w:rsidR="00AD51B5" w:rsidRDefault="0008424B" w:rsidP="0008424B">
      <w:pPr>
        <w:pStyle w:val="BodyText"/>
        <w:sectPr w:rsidR="00AD51B5" w:rsidSect="00C62440">
          <w:headerReference w:type="first" r:id="rId18"/>
          <w:footerReference w:type="first" r:id="rId19"/>
          <w:pgSz w:w="11910" w:h="16840"/>
          <w:pgMar w:top="1418" w:right="1021" w:bottom="1560" w:left="1298" w:header="283" w:footer="728" w:gutter="0"/>
          <w:pgNumType w:fmt="lowerRoman" w:start="1"/>
          <w:cols w:space="720"/>
          <w:noEndnote/>
          <w:docGrid w:linePitch="326"/>
        </w:sectPr>
      </w:pPr>
      <w:r>
        <w:t>The Explanatory Note provides a fatal</w:t>
      </w:r>
      <w:r w:rsidR="00BB56E1">
        <w:t>-</w:t>
      </w:r>
      <w:r>
        <w:t xml:space="preserve">flaws </w:t>
      </w:r>
      <w:r w:rsidR="00BB56E1">
        <w:t>check</w:t>
      </w:r>
      <w:r>
        <w:t>list for reviewers to assess an uncertainty analysis (most questions need specialist skills). The main foc</w:t>
      </w:r>
      <w:r w:rsidR="00BB56E1">
        <w:t>i are</w:t>
      </w:r>
      <w:r>
        <w:t>: the clear definition of the model outcomes required; the justification of the methods and assumptions applied; the open, transparent and logical documentation of methods and results that is amenable to scrutiny; and the level of consultation and communication between proponent and regulator</w:t>
      </w:r>
      <w:bookmarkEnd w:id="1"/>
      <w:r>
        <w:t>.</w:t>
      </w:r>
      <w:r w:rsidR="00AD51B5">
        <w:t xml:space="preserve"> </w:t>
      </w:r>
    </w:p>
    <w:p w14:paraId="77E4A3F9" w14:textId="77777777" w:rsidR="0008424B" w:rsidRPr="00367E03" w:rsidRDefault="00AD51B5" w:rsidP="00AD51B5">
      <w:pPr>
        <w:pStyle w:val="BodyText"/>
        <w:rPr>
          <w:b/>
          <w:bCs/>
          <w:color w:val="1F3864" w:themeColor="accent5" w:themeShade="80"/>
          <w:sz w:val="40"/>
          <w:szCs w:val="44"/>
        </w:rPr>
      </w:pPr>
      <w:r w:rsidRPr="00367E03">
        <w:rPr>
          <w:b/>
          <w:bCs/>
          <w:color w:val="1F3864" w:themeColor="accent5" w:themeShade="80"/>
          <w:sz w:val="40"/>
          <w:szCs w:val="44"/>
        </w:rPr>
        <w:lastRenderedPageBreak/>
        <w:t>Table of Contents</w:t>
      </w:r>
    </w:p>
    <w:bookmarkStart w:id="2" w:name="IESC_INFORMATION_GUIDELINES" w:displacedByCustomXml="next"/>
    <w:bookmarkEnd w:id="2" w:displacedByCustomXml="next"/>
    <w:sdt>
      <w:sdtPr>
        <w:rPr>
          <w:rFonts w:ascii="Arial" w:eastAsia="Times New Roman" w:hAnsi="Arial" w:cs="Arial"/>
          <w:b w:val="0"/>
          <w:noProof/>
          <w:color w:val="auto"/>
          <w:sz w:val="20"/>
          <w:szCs w:val="24"/>
          <w:u w:val="none"/>
          <w:lang w:val="en-AU" w:eastAsia="en-AU"/>
        </w:rPr>
        <w:id w:val="-204796426"/>
        <w:docPartObj>
          <w:docPartGallery w:val="Table of Contents"/>
          <w:docPartUnique/>
        </w:docPartObj>
      </w:sdtPr>
      <w:sdtEndPr/>
      <w:sdtContent>
        <w:p w14:paraId="19738111" w14:textId="77777777" w:rsidR="000975D4" w:rsidRDefault="000975D4" w:rsidP="009263FE">
          <w:pPr>
            <w:pStyle w:val="TOCHeading"/>
          </w:pPr>
        </w:p>
        <w:p w14:paraId="7F2B3B85" w14:textId="1E6A42CD" w:rsidR="00DC4EC3" w:rsidRDefault="000975D4">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505681231" w:history="1">
            <w:r w:rsidR="00DC4EC3" w:rsidRPr="00ED03C3">
              <w:rPr>
                <w:rStyle w:val="Hyperlink"/>
              </w:rPr>
              <w:t>1</w:t>
            </w:r>
            <w:r w:rsidR="00DC4EC3">
              <w:rPr>
                <w:rFonts w:asciiTheme="minorHAnsi" w:eastAsiaTheme="minorEastAsia" w:hAnsiTheme="minorHAnsi" w:cstheme="minorBidi"/>
                <w:sz w:val="22"/>
                <w:szCs w:val="22"/>
              </w:rPr>
              <w:tab/>
            </w:r>
            <w:r w:rsidR="00DC4EC3" w:rsidRPr="00ED03C3">
              <w:rPr>
                <w:rStyle w:val="Hyperlink"/>
              </w:rPr>
              <w:t>EXPLANATORY NOTE CONTEXT</w:t>
            </w:r>
            <w:r w:rsidR="00DC4EC3">
              <w:rPr>
                <w:webHidden/>
              </w:rPr>
              <w:tab/>
            </w:r>
            <w:r w:rsidR="00DC4EC3">
              <w:rPr>
                <w:webHidden/>
              </w:rPr>
              <w:fldChar w:fldCharType="begin"/>
            </w:r>
            <w:r w:rsidR="00DC4EC3">
              <w:rPr>
                <w:webHidden/>
              </w:rPr>
              <w:instrText xml:space="preserve"> PAGEREF _Toc505681231 \h </w:instrText>
            </w:r>
            <w:r w:rsidR="00DC4EC3">
              <w:rPr>
                <w:webHidden/>
              </w:rPr>
            </w:r>
            <w:r w:rsidR="00DC4EC3">
              <w:rPr>
                <w:webHidden/>
              </w:rPr>
              <w:fldChar w:fldCharType="separate"/>
            </w:r>
            <w:r w:rsidR="007950E7">
              <w:rPr>
                <w:webHidden/>
              </w:rPr>
              <w:t>1</w:t>
            </w:r>
            <w:r w:rsidR="00DC4EC3">
              <w:rPr>
                <w:webHidden/>
              </w:rPr>
              <w:fldChar w:fldCharType="end"/>
            </w:r>
          </w:hyperlink>
        </w:p>
        <w:p w14:paraId="38974F0F" w14:textId="2379B545" w:rsidR="00DC4EC3" w:rsidRDefault="00F65CC6">
          <w:pPr>
            <w:pStyle w:val="TOC1"/>
            <w:rPr>
              <w:rFonts w:asciiTheme="minorHAnsi" w:eastAsiaTheme="minorEastAsia" w:hAnsiTheme="minorHAnsi" w:cstheme="minorBidi"/>
              <w:sz w:val="22"/>
              <w:szCs w:val="22"/>
            </w:rPr>
          </w:pPr>
          <w:hyperlink w:anchor="_Toc505681232" w:history="1">
            <w:r w:rsidR="00DC4EC3" w:rsidRPr="00ED03C3">
              <w:rPr>
                <w:rStyle w:val="Hyperlink"/>
              </w:rPr>
              <w:t>2</w:t>
            </w:r>
            <w:r w:rsidR="00DC4EC3">
              <w:rPr>
                <w:rFonts w:asciiTheme="minorHAnsi" w:eastAsiaTheme="minorEastAsia" w:hAnsiTheme="minorHAnsi" w:cstheme="minorBidi"/>
                <w:sz w:val="22"/>
                <w:szCs w:val="22"/>
              </w:rPr>
              <w:tab/>
            </w:r>
            <w:r w:rsidR="00DC4EC3" w:rsidRPr="00ED03C3">
              <w:rPr>
                <w:rStyle w:val="Hyperlink"/>
              </w:rPr>
              <w:t>SOURCES OF UNCERTAINTY</w:t>
            </w:r>
            <w:r w:rsidR="00DC4EC3">
              <w:rPr>
                <w:webHidden/>
              </w:rPr>
              <w:tab/>
            </w:r>
            <w:r w:rsidR="00DC4EC3">
              <w:rPr>
                <w:webHidden/>
              </w:rPr>
              <w:fldChar w:fldCharType="begin"/>
            </w:r>
            <w:r w:rsidR="00DC4EC3">
              <w:rPr>
                <w:webHidden/>
              </w:rPr>
              <w:instrText xml:space="preserve"> PAGEREF _Toc505681232 \h </w:instrText>
            </w:r>
            <w:r w:rsidR="00DC4EC3">
              <w:rPr>
                <w:webHidden/>
              </w:rPr>
            </w:r>
            <w:r w:rsidR="00DC4EC3">
              <w:rPr>
                <w:webHidden/>
              </w:rPr>
              <w:fldChar w:fldCharType="separate"/>
            </w:r>
            <w:r w:rsidR="007950E7">
              <w:rPr>
                <w:webHidden/>
              </w:rPr>
              <w:t>2</w:t>
            </w:r>
            <w:r w:rsidR="00DC4EC3">
              <w:rPr>
                <w:webHidden/>
              </w:rPr>
              <w:fldChar w:fldCharType="end"/>
            </w:r>
          </w:hyperlink>
        </w:p>
        <w:p w14:paraId="1FC0C21A" w14:textId="788C3DF5" w:rsidR="00DC4EC3" w:rsidRDefault="00F65CC6">
          <w:pPr>
            <w:pStyle w:val="TOC1"/>
            <w:rPr>
              <w:rFonts w:asciiTheme="minorHAnsi" w:eastAsiaTheme="minorEastAsia" w:hAnsiTheme="minorHAnsi" w:cstheme="minorBidi"/>
              <w:sz w:val="22"/>
              <w:szCs w:val="22"/>
            </w:rPr>
          </w:pPr>
          <w:hyperlink w:anchor="_Toc505681233" w:history="1">
            <w:r w:rsidR="00DC4EC3" w:rsidRPr="00ED03C3">
              <w:rPr>
                <w:rStyle w:val="Hyperlink"/>
              </w:rPr>
              <w:t>3</w:t>
            </w:r>
            <w:r w:rsidR="00DC4EC3">
              <w:rPr>
                <w:rFonts w:asciiTheme="minorHAnsi" w:eastAsiaTheme="minorEastAsia" w:hAnsiTheme="minorHAnsi" w:cstheme="minorBidi"/>
                <w:sz w:val="22"/>
                <w:szCs w:val="22"/>
              </w:rPr>
              <w:tab/>
            </w:r>
            <w:r w:rsidR="00DC4EC3" w:rsidRPr="00ED03C3">
              <w:rPr>
                <w:rStyle w:val="Hyperlink"/>
              </w:rPr>
              <w:t>RISK CONTEXT, CAUSAL PATHWAYS AND ADAPTIVE MANAGEMENT</w:t>
            </w:r>
            <w:r w:rsidR="00DC4EC3">
              <w:rPr>
                <w:webHidden/>
              </w:rPr>
              <w:tab/>
            </w:r>
            <w:r w:rsidR="00DC4EC3">
              <w:rPr>
                <w:webHidden/>
              </w:rPr>
              <w:fldChar w:fldCharType="begin"/>
            </w:r>
            <w:r w:rsidR="00DC4EC3">
              <w:rPr>
                <w:webHidden/>
              </w:rPr>
              <w:instrText xml:space="preserve"> PAGEREF _Toc505681233 \h </w:instrText>
            </w:r>
            <w:r w:rsidR="00DC4EC3">
              <w:rPr>
                <w:webHidden/>
              </w:rPr>
            </w:r>
            <w:r w:rsidR="00DC4EC3">
              <w:rPr>
                <w:webHidden/>
              </w:rPr>
              <w:fldChar w:fldCharType="separate"/>
            </w:r>
            <w:r w:rsidR="007950E7">
              <w:rPr>
                <w:webHidden/>
              </w:rPr>
              <w:t>3</w:t>
            </w:r>
            <w:r w:rsidR="00DC4EC3">
              <w:rPr>
                <w:webHidden/>
              </w:rPr>
              <w:fldChar w:fldCharType="end"/>
            </w:r>
          </w:hyperlink>
        </w:p>
        <w:p w14:paraId="40E31625" w14:textId="6546859E" w:rsidR="00DC4EC3" w:rsidRDefault="00F65CC6">
          <w:pPr>
            <w:pStyle w:val="TOC2"/>
            <w:rPr>
              <w:rFonts w:asciiTheme="minorHAnsi" w:eastAsiaTheme="minorEastAsia" w:hAnsiTheme="minorHAnsi" w:cstheme="minorBidi"/>
              <w:sz w:val="22"/>
              <w:szCs w:val="22"/>
            </w:rPr>
          </w:pPr>
          <w:hyperlink w:anchor="_Toc505681234" w:history="1">
            <w:r w:rsidR="00DC4EC3" w:rsidRPr="00ED03C3">
              <w:rPr>
                <w:rStyle w:val="Hyperlink"/>
              </w:rPr>
              <w:t>3.1</w:t>
            </w:r>
            <w:r w:rsidR="00DC4EC3">
              <w:rPr>
                <w:rFonts w:asciiTheme="minorHAnsi" w:eastAsiaTheme="minorEastAsia" w:hAnsiTheme="minorHAnsi" w:cstheme="minorBidi"/>
                <w:sz w:val="22"/>
                <w:szCs w:val="22"/>
              </w:rPr>
              <w:tab/>
            </w:r>
            <w:r w:rsidR="00DC4EC3" w:rsidRPr="00ED03C3">
              <w:rPr>
                <w:rStyle w:val="Hyperlink"/>
              </w:rPr>
              <w:t>Uncertainty is integral to Risk Management</w:t>
            </w:r>
            <w:r w:rsidR="00DC4EC3">
              <w:rPr>
                <w:webHidden/>
              </w:rPr>
              <w:tab/>
            </w:r>
            <w:r w:rsidR="00DC4EC3">
              <w:rPr>
                <w:webHidden/>
              </w:rPr>
              <w:fldChar w:fldCharType="begin"/>
            </w:r>
            <w:r w:rsidR="00DC4EC3">
              <w:rPr>
                <w:webHidden/>
              </w:rPr>
              <w:instrText xml:space="preserve"> PAGEREF _Toc505681234 \h </w:instrText>
            </w:r>
            <w:r w:rsidR="00DC4EC3">
              <w:rPr>
                <w:webHidden/>
              </w:rPr>
            </w:r>
            <w:r w:rsidR="00DC4EC3">
              <w:rPr>
                <w:webHidden/>
              </w:rPr>
              <w:fldChar w:fldCharType="separate"/>
            </w:r>
            <w:r w:rsidR="007950E7">
              <w:rPr>
                <w:webHidden/>
              </w:rPr>
              <w:t>3</w:t>
            </w:r>
            <w:r w:rsidR="00DC4EC3">
              <w:rPr>
                <w:webHidden/>
              </w:rPr>
              <w:fldChar w:fldCharType="end"/>
            </w:r>
          </w:hyperlink>
        </w:p>
        <w:p w14:paraId="62D553D8" w14:textId="73B4D46D" w:rsidR="00DC4EC3" w:rsidRDefault="00F65CC6">
          <w:pPr>
            <w:pStyle w:val="TOC2"/>
            <w:rPr>
              <w:rFonts w:asciiTheme="minorHAnsi" w:eastAsiaTheme="minorEastAsia" w:hAnsiTheme="minorHAnsi" w:cstheme="minorBidi"/>
              <w:sz w:val="22"/>
              <w:szCs w:val="22"/>
            </w:rPr>
          </w:pPr>
          <w:hyperlink w:anchor="_Toc505681235" w:history="1">
            <w:r w:rsidR="00DC4EC3" w:rsidRPr="00ED03C3">
              <w:rPr>
                <w:rStyle w:val="Hyperlink"/>
              </w:rPr>
              <w:t>3.2</w:t>
            </w:r>
            <w:r w:rsidR="00DC4EC3">
              <w:rPr>
                <w:rFonts w:asciiTheme="minorHAnsi" w:eastAsiaTheme="minorEastAsia" w:hAnsiTheme="minorHAnsi" w:cstheme="minorBidi"/>
                <w:sz w:val="22"/>
                <w:szCs w:val="22"/>
              </w:rPr>
              <w:tab/>
            </w:r>
            <w:r w:rsidR="00DC4EC3" w:rsidRPr="00ED03C3">
              <w:rPr>
                <w:rStyle w:val="Hyperlink"/>
              </w:rPr>
              <w:t>Causal Pathways</w:t>
            </w:r>
            <w:r w:rsidR="00DC4EC3">
              <w:rPr>
                <w:webHidden/>
              </w:rPr>
              <w:tab/>
            </w:r>
            <w:r w:rsidR="00DC4EC3">
              <w:rPr>
                <w:webHidden/>
              </w:rPr>
              <w:fldChar w:fldCharType="begin"/>
            </w:r>
            <w:r w:rsidR="00DC4EC3">
              <w:rPr>
                <w:webHidden/>
              </w:rPr>
              <w:instrText xml:space="preserve"> PAGEREF _Toc505681235 \h </w:instrText>
            </w:r>
            <w:r w:rsidR="00DC4EC3">
              <w:rPr>
                <w:webHidden/>
              </w:rPr>
            </w:r>
            <w:r w:rsidR="00DC4EC3">
              <w:rPr>
                <w:webHidden/>
              </w:rPr>
              <w:fldChar w:fldCharType="separate"/>
            </w:r>
            <w:r w:rsidR="007950E7">
              <w:rPr>
                <w:webHidden/>
              </w:rPr>
              <w:t>4</w:t>
            </w:r>
            <w:r w:rsidR="00DC4EC3">
              <w:rPr>
                <w:webHidden/>
              </w:rPr>
              <w:fldChar w:fldCharType="end"/>
            </w:r>
          </w:hyperlink>
        </w:p>
        <w:p w14:paraId="2CFE6D79" w14:textId="03A893E2" w:rsidR="00DC4EC3" w:rsidRDefault="00F65CC6">
          <w:pPr>
            <w:pStyle w:val="TOC2"/>
            <w:rPr>
              <w:rFonts w:asciiTheme="minorHAnsi" w:eastAsiaTheme="minorEastAsia" w:hAnsiTheme="minorHAnsi" w:cstheme="minorBidi"/>
              <w:sz w:val="22"/>
              <w:szCs w:val="22"/>
            </w:rPr>
          </w:pPr>
          <w:hyperlink w:anchor="_Toc505681236" w:history="1">
            <w:r w:rsidR="00DC4EC3" w:rsidRPr="00ED03C3">
              <w:rPr>
                <w:rStyle w:val="Hyperlink"/>
              </w:rPr>
              <w:t>3.3</w:t>
            </w:r>
            <w:r w:rsidR="00DC4EC3">
              <w:rPr>
                <w:rFonts w:asciiTheme="minorHAnsi" w:eastAsiaTheme="minorEastAsia" w:hAnsiTheme="minorHAnsi" w:cstheme="minorBidi"/>
                <w:sz w:val="22"/>
                <w:szCs w:val="22"/>
              </w:rPr>
              <w:tab/>
            </w:r>
            <w:r w:rsidR="00DC4EC3" w:rsidRPr="00ED03C3">
              <w:rPr>
                <w:rStyle w:val="Hyperlink"/>
              </w:rPr>
              <w:t>Adaptive Management</w:t>
            </w:r>
            <w:r w:rsidR="00DC4EC3">
              <w:rPr>
                <w:webHidden/>
              </w:rPr>
              <w:tab/>
            </w:r>
            <w:r w:rsidR="00DC4EC3">
              <w:rPr>
                <w:webHidden/>
              </w:rPr>
              <w:fldChar w:fldCharType="begin"/>
            </w:r>
            <w:r w:rsidR="00DC4EC3">
              <w:rPr>
                <w:webHidden/>
              </w:rPr>
              <w:instrText xml:space="preserve"> PAGEREF _Toc505681236 \h </w:instrText>
            </w:r>
            <w:r w:rsidR="00DC4EC3">
              <w:rPr>
                <w:webHidden/>
              </w:rPr>
            </w:r>
            <w:r w:rsidR="00DC4EC3">
              <w:rPr>
                <w:webHidden/>
              </w:rPr>
              <w:fldChar w:fldCharType="separate"/>
            </w:r>
            <w:r w:rsidR="007950E7">
              <w:rPr>
                <w:webHidden/>
              </w:rPr>
              <w:t>5</w:t>
            </w:r>
            <w:r w:rsidR="00DC4EC3">
              <w:rPr>
                <w:webHidden/>
              </w:rPr>
              <w:fldChar w:fldCharType="end"/>
            </w:r>
          </w:hyperlink>
        </w:p>
        <w:p w14:paraId="37BA72EE" w14:textId="2F8EBD24" w:rsidR="00DC4EC3" w:rsidRDefault="00F65CC6">
          <w:pPr>
            <w:pStyle w:val="TOC1"/>
            <w:rPr>
              <w:rFonts w:asciiTheme="minorHAnsi" w:eastAsiaTheme="minorEastAsia" w:hAnsiTheme="minorHAnsi" w:cstheme="minorBidi"/>
              <w:sz w:val="22"/>
              <w:szCs w:val="22"/>
            </w:rPr>
          </w:pPr>
          <w:hyperlink w:anchor="_Toc505681237" w:history="1">
            <w:r w:rsidR="00DC4EC3" w:rsidRPr="00ED03C3">
              <w:rPr>
                <w:rStyle w:val="Hyperlink"/>
              </w:rPr>
              <w:t>4</w:t>
            </w:r>
            <w:r w:rsidR="00DC4EC3">
              <w:rPr>
                <w:rFonts w:asciiTheme="minorHAnsi" w:eastAsiaTheme="minorEastAsia" w:hAnsiTheme="minorHAnsi" w:cstheme="minorBidi"/>
                <w:sz w:val="22"/>
                <w:szCs w:val="22"/>
              </w:rPr>
              <w:tab/>
            </w:r>
            <w:r w:rsidR="00DC4EC3" w:rsidRPr="00ED03C3">
              <w:rPr>
                <w:rStyle w:val="Hyperlink"/>
              </w:rPr>
              <w:t>GUIDING PRINCIPLES FOR UNCERTAINTY ANALYSIS</w:t>
            </w:r>
            <w:r w:rsidR="00DC4EC3">
              <w:rPr>
                <w:webHidden/>
              </w:rPr>
              <w:tab/>
            </w:r>
            <w:r w:rsidR="00DC4EC3">
              <w:rPr>
                <w:webHidden/>
              </w:rPr>
              <w:fldChar w:fldCharType="begin"/>
            </w:r>
            <w:r w:rsidR="00DC4EC3">
              <w:rPr>
                <w:webHidden/>
              </w:rPr>
              <w:instrText xml:space="preserve"> PAGEREF _Toc505681237 \h </w:instrText>
            </w:r>
            <w:r w:rsidR="00DC4EC3">
              <w:rPr>
                <w:webHidden/>
              </w:rPr>
            </w:r>
            <w:r w:rsidR="00DC4EC3">
              <w:rPr>
                <w:webHidden/>
              </w:rPr>
              <w:fldChar w:fldCharType="separate"/>
            </w:r>
            <w:r w:rsidR="007950E7">
              <w:rPr>
                <w:webHidden/>
              </w:rPr>
              <w:t>5</w:t>
            </w:r>
            <w:r w:rsidR="00DC4EC3">
              <w:rPr>
                <w:webHidden/>
              </w:rPr>
              <w:fldChar w:fldCharType="end"/>
            </w:r>
          </w:hyperlink>
        </w:p>
        <w:p w14:paraId="06D7E23E" w14:textId="04247615" w:rsidR="00DC4EC3" w:rsidRDefault="00F65CC6">
          <w:pPr>
            <w:pStyle w:val="TOC1"/>
            <w:rPr>
              <w:rFonts w:asciiTheme="minorHAnsi" w:eastAsiaTheme="minorEastAsia" w:hAnsiTheme="minorHAnsi" w:cstheme="minorBidi"/>
              <w:sz w:val="22"/>
              <w:szCs w:val="22"/>
            </w:rPr>
          </w:pPr>
          <w:hyperlink w:anchor="_Toc505681238" w:history="1">
            <w:r w:rsidR="00DC4EC3" w:rsidRPr="00ED03C3">
              <w:rPr>
                <w:rStyle w:val="Hyperlink"/>
              </w:rPr>
              <w:t>5</w:t>
            </w:r>
            <w:r w:rsidR="00DC4EC3">
              <w:rPr>
                <w:rFonts w:asciiTheme="minorHAnsi" w:eastAsiaTheme="minorEastAsia" w:hAnsiTheme="minorHAnsi" w:cstheme="minorBidi"/>
                <w:sz w:val="22"/>
                <w:szCs w:val="22"/>
              </w:rPr>
              <w:tab/>
            </w:r>
            <w:r w:rsidR="00DC4EC3" w:rsidRPr="00ED03C3">
              <w:rPr>
                <w:rStyle w:val="Hyperlink"/>
              </w:rPr>
              <w:t>IMPORTANCE OF AVOIDING BIAS</w:t>
            </w:r>
            <w:r w:rsidR="00DC4EC3">
              <w:rPr>
                <w:webHidden/>
              </w:rPr>
              <w:tab/>
            </w:r>
            <w:r w:rsidR="00DC4EC3">
              <w:rPr>
                <w:webHidden/>
              </w:rPr>
              <w:fldChar w:fldCharType="begin"/>
            </w:r>
            <w:r w:rsidR="00DC4EC3">
              <w:rPr>
                <w:webHidden/>
              </w:rPr>
              <w:instrText xml:space="preserve"> PAGEREF _Toc505681238 \h </w:instrText>
            </w:r>
            <w:r w:rsidR="00DC4EC3">
              <w:rPr>
                <w:webHidden/>
              </w:rPr>
            </w:r>
            <w:r w:rsidR="00DC4EC3">
              <w:rPr>
                <w:webHidden/>
              </w:rPr>
              <w:fldChar w:fldCharType="separate"/>
            </w:r>
            <w:r w:rsidR="007950E7">
              <w:rPr>
                <w:webHidden/>
              </w:rPr>
              <w:t>6</w:t>
            </w:r>
            <w:r w:rsidR="00DC4EC3">
              <w:rPr>
                <w:webHidden/>
              </w:rPr>
              <w:fldChar w:fldCharType="end"/>
            </w:r>
          </w:hyperlink>
        </w:p>
        <w:p w14:paraId="230F0678" w14:textId="023F188B" w:rsidR="00DC4EC3" w:rsidRDefault="00F65CC6">
          <w:pPr>
            <w:pStyle w:val="TOC1"/>
            <w:rPr>
              <w:rFonts w:asciiTheme="minorHAnsi" w:eastAsiaTheme="minorEastAsia" w:hAnsiTheme="minorHAnsi" w:cstheme="minorBidi"/>
              <w:sz w:val="22"/>
              <w:szCs w:val="22"/>
            </w:rPr>
          </w:pPr>
          <w:hyperlink w:anchor="_Toc505681239" w:history="1">
            <w:r w:rsidR="00DC4EC3" w:rsidRPr="00ED03C3">
              <w:rPr>
                <w:rStyle w:val="Hyperlink"/>
              </w:rPr>
              <w:t>6</w:t>
            </w:r>
            <w:r w:rsidR="00DC4EC3">
              <w:rPr>
                <w:rFonts w:asciiTheme="minorHAnsi" w:eastAsiaTheme="minorEastAsia" w:hAnsiTheme="minorHAnsi" w:cstheme="minorBidi"/>
                <w:sz w:val="22"/>
                <w:szCs w:val="22"/>
              </w:rPr>
              <w:tab/>
            </w:r>
            <w:r w:rsidR="00DC4EC3" w:rsidRPr="00ED03C3">
              <w:rPr>
                <w:rStyle w:val="Hyperlink"/>
              </w:rPr>
              <w:t>MODELLING WORKFLOW FOR UNCERTAINTY ANALYSIS</w:t>
            </w:r>
            <w:r w:rsidR="00DC4EC3">
              <w:rPr>
                <w:webHidden/>
              </w:rPr>
              <w:tab/>
            </w:r>
            <w:r w:rsidR="00DC4EC3">
              <w:rPr>
                <w:webHidden/>
              </w:rPr>
              <w:fldChar w:fldCharType="begin"/>
            </w:r>
            <w:r w:rsidR="00DC4EC3">
              <w:rPr>
                <w:webHidden/>
              </w:rPr>
              <w:instrText xml:space="preserve"> PAGEREF _Toc505681239 \h </w:instrText>
            </w:r>
            <w:r w:rsidR="00DC4EC3">
              <w:rPr>
                <w:webHidden/>
              </w:rPr>
            </w:r>
            <w:r w:rsidR="00DC4EC3">
              <w:rPr>
                <w:webHidden/>
              </w:rPr>
              <w:fldChar w:fldCharType="separate"/>
            </w:r>
            <w:r w:rsidR="007950E7">
              <w:rPr>
                <w:webHidden/>
              </w:rPr>
              <w:t>7</w:t>
            </w:r>
            <w:r w:rsidR="00DC4EC3">
              <w:rPr>
                <w:webHidden/>
              </w:rPr>
              <w:fldChar w:fldCharType="end"/>
            </w:r>
          </w:hyperlink>
        </w:p>
        <w:p w14:paraId="1277E7F0" w14:textId="7FFE028E" w:rsidR="00DC4EC3" w:rsidRDefault="00F65CC6">
          <w:pPr>
            <w:pStyle w:val="TOC1"/>
            <w:rPr>
              <w:rFonts w:asciiTheme="minorHAnsi" w:eastAsiaTheme="minorEastAsia" w:hAnsiTheme="minorHAnsi" w:cstheme="minorBidi"/>
              <w:sz w:val="22"/>
              <w:szCs w:val="22"/>
            </w:rPr>
          </w:pPr>
          <w:hyperlink w:anchor="_Toc505681240" w:history="1">
            <w:r w:rsidR="00DC4EC3" w:rsidRPr="00ED03C3">
              <w:rPr>
                <w:rStyle w:val="Hyperlink"/>
              </w:rPr>
              <w:t>7</w:t>
            </w:r>
            <w:r w:rsidR="00DC4EC3">
              <w:rPr>
                <w:rFonts w:asciiTheme="minorHAnsi" w:eastAsiaTheme="minorEastAsia" w:hAnsiTheme="minorHAnsi" w:cstheme="minorBidi"/>
                <w:sz w:val="22"/>
                <w:szCs w:val="22"/>
              </w:rPr>
              <w:tab/>
            </w:r>
            <w:r w:rsidR="00DC4EC3" w:rsidRPr="00ED03C3">
              <w:rPr>
                <w:rStyle w:val="Hyperlink"/>
              </w:rPr>
              <w:t>MODELLING WORKFLOW, CONFIDENCE LEVEL, CONDITIONAL CALIBRATION</w:t>
            </w:r>
            <w:r w:rsidR="00DC4EC3">
              <w:rPr>
                <w:webHidden/>
              </w:rPr>
              <w:tab/>
            </w:r>
            <w:r w:rsidR="00DC4EC3">
              <w:rPr>
                <w:webHidden/>
              </w:rPr>
              <w:fldChar w:fldCharType="begin"/>
            </w:r>
            <w:r w:rsidR="00DC4EC3">
              <w:rPr>
                <w:webHidden/>
              </w:rPr>
              <w:instrText xml:space="preserve"> PAGEREF _Toc505681240 \h </w:instrText>
            </w:r>
            <w:r w:rsidR="00DC4EC3">
              <w:rPr>
                <w:webHidden/>
              </w:rPr>
            </w:r>
            <w:r w:rsidR="00DC4EC3">
              <w:rPr>
                <w:webHidden/>
              </w:rPr>
              <w:fldChar w:fldCharType="separate"/>
            </w:r>
            <w:r w:rsidR="007950E7">
              <w:rPr>
                <w:webHidden/>
              </w:rPr>
              <w:t>10</w:t>
            </w:r>
            <w:r w:rsidR="00DC4EC3">
              <w:rPr>
                <w:webHidden/>
              </w:rPr>
              <w:fldChar w:fldCharType="end"/>
            </w:r>
          </w:hyperlink>
        </w:p>
        <w:p w14:paraId="1D099A76" w14:textId="3300B07B" w:rsidR="00DC4EC3" w:rsidRDefault="00F65CC6">
          <w:pPr>
            <w:pStyle w:val="TOC2"/>
            <w:rPr>
              <w:rFonts w:asciiTheme="minorHAnsi" w:eastAsiaTheme="minorEastAsia" w:hAnsiTheme="minorHAnsi" w:cstheme="minorBidi"/>
              <w:sz w:val="22"/>
              <w:szCs w:val="22"/>
            </w:rPr>
          </w:pPr>
          <w:hyperlink w:anchor="_Toc505681241" w:history="1">
            <w:r w:rsidR="00DC4EC3" w:rsidRPr="00ED03C3">
              <w:rPr>
                <w:rStyle w:val="Hyperlink"/>
              </w:rPr>
              <w:t>7.1</w:t>
            </w:r>
            <w:r w:rsidR="00DC4EC3">
              <w:rPr>
                <w:rFonts w:asciiTheme="minorHAnsi" w:eastAsiaTheme="minorEastAsia" w:hAnsiTheme="minorHAnsi" w:cstheme="minorBidi"/>
                <w:sz w:val="22"/>
                <w:szCs w:val="22"/>
              </w:rPr>
              <w:tab/>
            </w:r>
            <w:r w:rsidR="00DC4EC3" w:rsidRPr="00ED03C3">
              <w:rPr>
                <w:rStyle w:val="Hyperlink"/>
              </w:rPr>
              <w:t>Modelling Workflow (conceptual viewpoints)</w:t>
            </w:r>
            <w:r w:rsidR="00DC4EC3">
              <w:rPr>
                <w:webHidden/>
              </w:rPr>
              <w:tab/>
            </w:r>
            <w:r w:rsidR="00DC4EC3">
              <w:rPr>
                <w:webHidden/>
              </w:rPr>
              <w:fldChar w:fldCharType="begin"/>
            </w:r>
            <w:r w:rsidR="00DC4EC3">
              <w:rPr>
                <w:webHidden/>
              </w:rPr>
              <w:instrText xml:space="preserve"> PAGEREF _Toc505681241 \h </w:instrText>
            </w:r>
            <w:r w:rsidR="00DC4EC3">
              <w:rPr>
                <w:webHidden/>
              </w:rPr>
            </w:r>
            <w:r w:rsidR="00DC4EC3">
              <w:rPr>
                <w:webHidden/>
              </w:rPr>
              <w:fldChar w:fldCharType="separate"/>
            </w:r>
            <w:r w:rsidR="007950E7">
              <w:rPr>
                <w:webHidden/>
              </w:rPr>
              <w:t>10</w:t>
            </w:r>
            <w:r w:rsidR="00DC4EC3">
              <w:rPr>
                <w:webHidden/>
              </w:rPr>
              <w:fldChar w:fldCharType="end"/>
            </w:r>
          </w:hyperlink>
        </w:p>
        <w:p w14:paraId="14776428" w14:textId="401011AB" w:rsidR="00DC4EC3" w:rsidRDefault="00F65CC6">
          <w:pPr>
            <w:pStyle w:val="TOC2"/>
            <w:rPr>
              <w:rFonts w:asciiTheme="minorHAnsi" w:eastAsiaTheme="minorEastAsia" w:hAnsiTheme="minorHAnsi" w:cstheme="minorBidi"/>
              <w:sz w:val="22"/>
              <w:szCs w:val="22"/>
            </w:rPr>
          </w:pPr>
          <w:hyperlink w:anchor="_Toc505681242" w:history="1">
            <w:r w:rsidR="00DC4EC3" w:rsidRPr="00ED03C3">
              <w:rPr>
                <w:rStyle w:val="Hyperlink"/>
              </w:rPr>
              <w:t>7.2</w:t>
            </w:r>
            <w:r w:rsidR="00DC4EC3">
              <w:rPr>
                <w:rFonts w:asciiTheme="minorHAnsi" w:eastAsiaTheme="minorEastAsia" w:hAnsiTheme="minorHAnsi" w:cstheme="minorBidi"/>
                <w:sz w:val="22"/>
                <w:szCs w:val="22"/>
              </w:rPr>
              <w:tab/>
            </w:r>
            <w:r w:rsidR="00DC4EC3" w:rsidRPr="00ED03C3">
              <w:rPr>
                <w:rStyle w:val="Hyperlink"/>
              </w:rPr>
              <w:t>AGMG Model Confidence Level Classification</w:t>
            </w:r>
            <w:r w:rsidR="00DC4EC3">
              <w:rPr>
                <w:webHidden/>
              </w:rPr>
              <w:tab/>
            </w:r>
            <w:r w:rsidR="00DC4EC3">
              <w:rPr>
                <w:webHidden/>
              </w:rPr>
              <w:fldChar w:fldCharType="begin"/>
            </w:r>
            <w:r w:rsidR="00DC4EC3">
              <w:rPr>
                <w:webHidden/>
              </w:rPr>
              <w:instrText xml:space="preserve"> PAGEREF _Toc505681242 \h </w:instrText>
            </w:r>
            <w:r w:rsidR="00DC4EC3">
              <w:rPr>
                <w:webHidden/>
              </w:rPr>
            </w:r>
            <w:r w:rsidR="00DC4EC3">
              <w:rPr>
                <w:webHidden/>
              </w:rPr>
              <w:fldChar w:fldCharType="separate"/>
            </w:r>
            <w:r w:rsidR="007950E7">
              <w:rPr>
                <w:webHidden/>
              </w:rPr>
              <w:t>11</w:t>
            </w:r>
            <w:r w:rsidR="00DC4EC3">
              <w:rPr>
                <w:webHidden/>
              </w:rPr>
              <w:fldChar w:fldCharType="end"/>
            </w:r>
          </w:hyperlink>
        </w:p>
        <w:p w14:paraId="434A0A5A" w14:textId="7E86F2D7" w:rsidR="00DC4EC3" w:rsidRDefault="00F65CC6">
          <w:pPr>
            <w:pStyle w:val="TOC2"/>
            <w:rPr>
              <w:rFonts w:asciiTheme="minorHAnsi" w:eastAsiaTheme="minorEastAsia" w:hAnsiTheme="minorHAnsi" w:cstheme="minorBidi"/>
              <w:sz w:val="22"/>
              <w:szCs w:val="22"/>
            </w:rPr>
          </w:pPr>
          <w:hyperlink w:anchor="_Toc505681243" w:history="1">
            <w:r w:rsidR="00DC4EC3" w:rsidRPr="00ED03C3">
              <w:rPr>
                <w:rStyle w:val="Hyperlink"/>
              </w:rPr>
              <w:t>7.3</w:t>
            </w:r>
            <w:r w:rsidR="00DC4EC3">
              <w:rPr>
                <w:rFonts w:asciiTheme="minorHAnsi" w:eastAsiaTheme="minorEastAsia" w:hAnsiTheme="minorHAnsi" w:cstheme="minorBidi"/>
                <w:sz w:val="22"/>
                <w:szCs w:val="22"/>
              </w:rPr>
              <w:tab/>
            </w:r>
            <w:r w:rsidR="00DC4EC3" w:rsidRPr="00ED03C3">
              <w:rPr>
                <w:rStyle w:val="Hyperlink"/>
              </w:rPr>
              <w:t>Conditional Calibration</w:t>
            </w:r>
            <w:r w:rsidR="00DC4EC3">
              <w:rPr>
                <w:webHidden/>
              </w:rPr>
              <w:tab/>
            </w:r>
            <w:r w:rsidR="00DC4EC3">
              <w:rPr>
                <w:webHidden/>
              </w:rPr>
              <w:fldChar w:fldCharType="begin"/>
            </w:r>
            <w:r w:rsidR="00DC4EC3">
              <w:rPr>
                <w:webHidden/>
              </w:rPr>
              <w:instrText xml:space="preserve"> PAGEREF _Toc505681243 \h </w:instrText>
            </w:r>
            <w:r w:rsidR="00DC4EC3">
              <w:rPr>
                <w:webHidden/>
              </w:rPr>
            </w:r>
            <w:r w:rsidR="00DC4EC3">
              <w:rPr>
                <w:webHidden/>
              </w:rPr>
              <w:fldChar w:fldCharType="separate"/>
            </w:r>
            <w:r w:rsidR="007950E7">
              <w:rPr>
                <w:webHidden/>
              </w:rPr>
              <w:t>11</w:t>
            </w:r>
            <w:r w:rsidR="00DC4EC3">
              <w:rPr>
                <w:webHidden/>
              </w:rPr>
              <w:fldChar w:fldCharType="end"/>
            </w:r>
          </w:hyperlink>
        </w:p>
        <w:p w14:paraId="0A7C04E7" w14:textId="35D096EA" w:rsidR="00DC4EC3" w:rsidRDefault="00F65CC6">
          <w:pPr>
            <w:pStyle w:val="TOC1"/>
            <w:rPr>
              <w:rFonts w:asciiTheme="minorHAnsi" w:eastAsiaTheme="minorEastAsia" w:hAnsiTheme="minorHAnsi" w:cstheme="minorBidi"/>
              <w:sz w:val="22"/>
              <w:szCs w:val="22"/>
            </w:rPr>
          </w:pPr>
          <w:hyperlink w:anchor="_Toc505681244" w:history="1">
            <w:r w:rsidR="00DC4EC3" w:rsidRPr="00ED03C3">
              <w:rPr>
                <w:rStyle w:val="Hyperlink"/>
              </w:rPr>
              <w:t>8</w:t>
            </w:r>
            <w:r w:rsidR="00DC4EC3">
              <w:rPr>
                <w:rFonts w:asciiTheme="minorHAnsi" w:eastAsiaTheme="minorEastAsia" w:hAnsiTheme="minorHAnsi" w:cstheme="minorBidi"/>
                <w:sz w:val="22"/>
                <w:szCs w:val="22"/>
              </w:rPr>
              <w:tab/>
            </w:r>
            <w:r w:rsidR="00DC4EC3" w:rsidRPr="00ED03C3">
              <w:rPr>
                <w:rStyle w:val="Hyperlink"/>
              </w:rPr>
              <w:t>MODEL COMPLEXITY / SIMPLICITY</w:t>
            </w:r>
            <w:r w:rsidR="00DC4EC3">
              <w:rPr>
                <w:webHidden/>
              </w:rPr>
              <w:tab/>
            </w:r>
            <w:r w:rsidR="00DC4EC3">
              <w:rPr>
                <w:webHidden/>
              </w:rPr>
              <w:fldChar w:fldCharType="begin"/>
            </w:r>
            <w:r w:rsidR="00DC4EC3">
              <w:rPr>
                <w:webHidden/>
              </w:rPr>
              <w:instrText xml:space="preserve"> PAGEREF _Toc505681244 \h </w:instrText>
            </w:r>
            <w:r w:rsidR="00DC4EC3">
              <w:rPr>
                <w:webHidden/>
              </w:rPr>
            </w:r>
            <w:r w:rsidR="00DC4EC3">
              <w:rPr>
                <w:webHidden/>
              </w:rPr>
              <w:fldChar w:fldCharType="separate"/>
            </w:r>
            <w:r w:rsidR="007950E7">
              <w:rPr>
                <w:webHidden/>
              </w:rPr>
              <w:t>13</w:t>
            </w:r>
            <w:r w:rsidR="00DC4EC3">
              <w:rPr>
                <w:webHidden/>
              </w:rPr>
              <w:fldChar w:fldCharType="end"/>
            </w:r>
          </w:hyperlink>
        </w:p>
        <w:p w14:paraId="52D4BC1A" w14:textId="2289A247" w:rsidR="00DC4EC3" w:rsidRDefault="00F65CC6">
          <w:pPr>
            <w:pStyle w:val="TOC2"/>
            <w:rPr>
              <w:rFonts w:asciiTheme="minorHAnsi" w:eastAsiaTheme="minorEastAsia" w:hAnsiTheme="minorHAnsi" w:cstheme="minorBidi"/>
              <w:sz w:val="22"/>
              <w:szCs w:val="22"/>
            </w:rPr>
          </w:pPr>
          <w:hyperlink w:anchor="_Toc505681245" w:history="1">
            <w:r w:rsidR="00DC4EC3" w:rsidRPr="00ED03C3">
              <w:rPr>
                <w:rStyle w:val="Hyperlink"/>
              </w:rPr>
              <w:t>8.1</w:t>
            </w:r>
            <w:r w:rsidR="00DC4EC3">
              <w:rPr>
                <w:rFonts w:asciiTheme="minorHAnsi" w:eastAsiaTheme="minorEastAsia" w:hAnsiTheme="minorHAnsi" w:cstheme="minorBidi"/>
                <w:sz w:val="22"/>
                <w:szCs w:val="22"/>
              </w:rPr>
              <w:tab/>
            </w:r>
            <w:r w:rsidR="00DC4EC3" w:rsidRPr="00ED03C3">
              <w:rPr>
                <w:rStyle w:val="Hyperlink"/>
              </w:rPr>
              <w:t>Geological Complexity</w:t>
            </w:r>
            <w:r w:rsidR="00DC4EC3">
              <w:rPr>
                <w:webHidden/>
              </w:rPr>
              <w:tab/>
            </w:r>
            <w:r w:rsidR="00DC4EC3">
              <w:rPr>
                <w:webHidden/>
              </w:rPr>
              <w:fldChar w:fldCharType="begin"/>
            </w:r>
            <w:r w:rsidR="00DC4EC3">
              <w:rPr>
                <w:webHidden/>
              </w:rPr>
              <w:instrText xml:space="preserve"> PAGEREF _Toc505681245 \h </w:instrText>
            </w:r>
            <w:r w:rsidR="00DC4EC3">
              <w:rPr>
                <w:webHidden/>
              </w:rPr>
            </w:r>
            <w:r w:rsidR="00DC4EC3">
              <w:rPr>
                <w:webHidden/>
              </w:rPr>
              <w:fldChar w:fldCharType="separate"/>
            </w:r>
            <w:r w:rsidR="007950E7">
              <w:rPr>
                <w:webHidden/>
              </w:rPr>
              <w:t>13</w:t>
            </w:r>
            <w:r w:rsidR="00DC4EC3">
              <w:rPr>
                <w:webHidden/>
              </w:rPr>
              <w:fldChar w:fldCharType="end"/>
            </w:r>
          </w:hyperlink>
        </w:p>
        <w:p w14:paraId="46411566" w14:textId="4BDA2E2A" w:rsidR="00DC4EC3" w:rsidRDefault="00F65CC6">
          <w:pPr>
            <w:pStyle w:val="TOC2"/>
            <w:rPr>
              <w:rFonts w:asciiTheme="minorHAnsi" w:eastAsiaTheme="minorEastAsia" w:hAnsiTheme="minorHAnsi" w:cstheme="minorBidi"/>
              <w:sz w:val="22"/>
              <w:szCs w:val="22"/>
            </w:rPr>
          </w:pPr>
          <w:hyperlink w:anchor="_Toc505681246" w:history="1">
            <w:r w:rsidR="00DC4EC3" w:rsidRPr="00ED03C3">
              <w:rPr>
                <w:rStyle w:val="Hyperlink"/>
              </w:rPr>
              <w:t>8.2</w:t>
            </w:r>
            <w:r w:rsidR="00DC4EC3">
              <w:rPr>
                <w:rFonts w:asciiTheme="minorHAnsi" w:eastAsiaTheme="minorEastAsia" w:hAnsiTheme="minorHAnsi" w:cstheme="minorBidi"/>
                <w:sz w:val="22"/>
                <w:szCs w:val="22"/>
              </w:rPr>
              <w:tab/>
            </w:r>
            <w:r w:rsidR="00DC4EC3" w:rsidRPr="00ED03C3">
              <w:rPr>
                <w:rStyle w:val="Hyperlink"/>
              </w:rPr>
              <w:t>Model Complexity Overheads</w:t>
            </w:r>
            <w:r w:rsidR="00DC4EC3">
              <w:rPr>
                <w:webHidden/>
              </w:rPr>
              <w:tab/>
            </w:r>
            <w:r w:rsidR="00DC4EC3">
              <w:rPr>
                <w:webHidden/>
              </w:rPr>
              <w:fldChar w:fldCharType="begin"/>
            </w:r>
            <w:r w:rsidR="00DC4EC3">
              <w:rPr>
                <w:webHidden/>
              </w:rPr>
              <w:instrText xml:space="preserve"> PAGEREF _Toc505681246 \h </w:instrText>
            </w:r>
            <w:r w:rsidR="00DC4EC3">
              <w:rPr>
                <w:webHidden/>
              </w:rPr>
            </w:r>
            <w:r w:rsidR="00DC4EC3">
              <w:rPr>
                <w:webHidden/>
              </w:rPr>
              <w:fldChar w:fldCharType="separate"/>
            </w:r>
            <w:r w:rsidR="007950E7">
              <w:rPr>
                <w:webHidden/>
              </w:rPr>
              <w:t>13</w:t>
            </w:r>
            <w:r w:rsidR="00DC4EC3">
              <w:rPr>
                <w:webHidden/>
              </w:rPr>
              <w:fldChar w:fldCharType="end"/>
            </w:r>
          </w:hyperlink>
        </w:p>
        <w:p w14:paraId="49DECFBB" w14:textId="4D512903" w:rsidR="00DC4EC3" w:rsidRDefault="00F65CC6">
          <w:pPr>
            <w:pStyle w:val="TOC1"/>
            <w:rPr>
              <w:rFonts w:asciiTheme="minorHAnsi" w:eastAsiaTheme="minorEastAsia" w:hAnsiTheme="minorHAnsi" w:cstheme="minorBidi"/>
              <w:sz w:val="22"/>
              <w:szCs w:val="22"/>
            </w:rPr>
          </w:pPr>
          <w:hyperlink w:anchor="_Toc505681247" w:history="1">
            <w:r w:rsidR="00DC4EC3" w:rsidRPr="00ED03C3">
              <w:rPr>
                <w:rStyle w:val="Hyperlink"/>
              </w:rPr>
              <w:t>9</w:t>
            </w:r>
            <w:r w:rsidR="00DC4EC3">
              <w:rPr>
                <w:rFonts w:asciiTheme="minorHAnsi" w:eastAsiaTheme="minorEastAsia" w:hAnsiTheme="minorHAnsi" w:cstheme="minorBidi"/>
                <w:sz w:val="22"/>
                <w:szCs w:val="22"/>
              </w:rPr>
              <w:tab/>
            </w:r>
            <w:r w:rsidR="00DC4EC3" w:rsidRPr="00ED03C3">
              <w:rPr>
                <w:rStyle w:val="Hyperlink"/>
              </w:rPr>
              <w:t>UNCERTAINTY QUANTIFICATION TECHNIQUES</w:t>
            </w:r>
            <w:r w:rsidR="00DC4EC3">
              <w:rPr>
                <w:webHidden/>
              </w:rPr>
              <w:tab/>
            </w:r>
            <w:r w:rsidR="00DC4EC3">
              <w:rPr>
                <w:webHidden/>
              </w:rPr>
              <w:fldChar w:fldCharType="begin"/>
            </w:r>
            <w:r w:rsidR="00DC4EC3">
              <w:rPr>
                <w:webHidden/>
              </w:rPr>
              <w:instrText xml:space="preserve"> PAGEREF _Toc505681247 \h </w:instrText>
            </w:r>
            <w:r w:rsidR="00DC4EC3">
              <w:rPr>
                <w:webHidden/>
              </w:rPr>
            </w:r>
            <w:r w:rsidR="00DC4EC3">
              <w:rPr>
                <w:webHidden/>
              </w:rPr>
              <w:fldChar w:fldCharType="separate"/>
            </w:r>
            <w:r w:rsidR="007950E7">
              <w:rPr>
                <w:webHidden/>
              </w:rPr>
              <w:t>14</w:t>
            </w:r>
            <w:r w:rsidR="00DC4EC3">
              <w:rPr>
                <w:webHidden/>
              </w:rPr>
              <w:fldChar w:fldCharType="end"/>
            </w:r>
          </w:hyperlink>
        </w:p>
        <w:p w14:paraId="03D4256F" w14:textId="140B6C35" w:rsidR="00DC4EC3" w:rsidRDefault="00F65CC6">
          <w:pPr>
            <w:pStyle w:val="TOC1"/>
            <w:rPr>
              <w:rFonts w:asciiTheme="minorHAnsi" w:eastAsiaTheme="minorEastAsia" w:hAnsiTheme="minorHAnsi" w:cstheme="minorBidi"/>
              <w:sz w:val="22"/>
              <w:szCs w:val="22"/>
            </w:rPr>
          </w:pPr>
          <w:hyperlink w:anchor="_Toc505681248" w:history="1">
            <w:r w:rsidR="00DC4EC3" w:rsidRPr="00ED03C3">
              <w:rPr>
                <w:rStyle w:val="Hyperlink"/>
              </w:rPr>
              <w:t>10</w:t>
            </w:r>
            <w:r w:rsidR="00DC4EC3">
              <w:rPr>
                <w:rFonts w:asciiTheme="minorHAnsi" w:eastAsiaTheme="minorEastAsia" w:hAnsiTheme="minorHAnsi" w:cstheme="minorBidi"/>
                <w:sz w:val="22"/>
                <w:szCs w:val="22"/>
              </w:rPr>
              <w:tab/>
            </w:r>
            <w:r w:rsidR="00DC4EC3" w:rsidRPr="00ED03C3">
              <w:rPr>
                <w:rStyle w:val="Hyperlink"/>
              </w:rPr>
              <w:t>MODEL PREREQUISITES FOR UNCERTAINTY QUANTIFICATION</w:t>
            </w:r>
            <w:r w:rsidR="00DC4EC3">
              <w:rPr>
                <w:webHidden/>
              </w:rPr>
              <w:tab/>
            </w:r>
            <w:r w:rsidR="00DC4EC3">
              <w:rPr>
                <w:webHidden/>
              </w:rPr>
              <w:fldChar w:fldCharType="begin"/>
            </w:r>
            <w:r w:rsidR="00DC4EC3">
              <w:rPr>
                <w:webHidden/>
              </w:rPr>
              <w:instrText xml:space="preserve"> PAGEREF _Toc505681248 \h </w:instrText>
            </w:r>
            <w:r w:rsidR="00DC4EC3">
              <w:rPr>
                <w:webHidden/>
              </w:rPr>
            </w:r>
            <w:r w:rsidR="00DC4EC3">
              <w:rPr>
                <w:webHidden/>
              </w:rPr>
              <w:fldChar w:fldCharType="separate"/>
            </w:r>
            <w:r w:rsidR="007950E7">
              <w:rPr>
                <w:webHidden/>
              </w:rPr>
              <w:t>15</w:t>
            </w:r>
            <w:r w:rsidR="00DC4EC3">
              <w:rPr>
                <w:webHidden/>
              </w:rPr>
              <w:fldChar w:fldCharType="end"/>
            </w:r>
          </w:hyperlink>
        </w:p>
        <w:p w14:paraId="7CACC765" w14:textId="006E2CED" w:rsidR="00DC4EC3" w:rsidRDefault="00F65CC6">
          <w:pPr>
            <w:pStyle w:val="TOC2"/>
            <w:rPr>
              <w:rFonts w:asciiTheme="minorHAnsi" w:eastAsiaTheme="minorEastAsia" w:hAnsiTheme="minorHAnsi" w:cstheme="minorBidi"/>
              <w:sz w:val="22"/>
              <w:szCs w:val="22"/>
            </w:rPr>
          </w:pPr>
          <w:hyperlink w:anchor="_Toc505681249" w:history="1">
            <w:r w:rsidR="00DC4EC3" w:rsidRPr="00ED03C3">
              <w:rPr>
                <w:rStyle w:val="Hyperlink"/>
              </w:rPr>
              <w:t>10.1</w:t>
            </w:r>
            <w:r w:rsidR="00DC4EC3">
              <w:rPr>
                <w:rFonts w:asciiTheme="minorHAnsi" w:eastAsiaTheme="minorEastAsia" w:hAnsiTheme="minorHAnsi" w:cstheme="minorBidi"/>
                <w:sz w:val="22"/>
                <w:szCs w:val="22"/>
              </w:rPr>
              <w:tab/>
            </w:r>
            <w:r w:rsidR="00DC4EC3" w:rsidRPr="00ED03C3">
              <w:rPr>
                <w:rStyle w:val="Hyperlink"/>
              </w:rPr>
              <w:t>Clearly defined model outcomes in space and time</w:t>
            </w:r>
            <w:r w:rsidR="00DC4EC3">
              <w:rPr>
                <w:webHidden/>
              </w:rPr>
              <w:tab/>
            </w:r>
            <w:r w:rsidR="00DC4EC3">
              <w:rPr>
                <w:webHidden/>
              </w:rPr>
              <w:fldChar w:fldCharType="begin"/>
            </w:r>
            <w:r w:rsidR="00DC4EC3">
              <w:rPr>
                <w:webHidden/>
              </w:rPr>
              <w:instrText xml:space="preserve"> PAGEREF _Toc505681249 \h </w:instrText>
            </w:r>
            <w:r w:rsidR="00DC4EC3">
              <w:rPr>
                <w:webHidden/>
              </w:rPr>
            </w:r>
            <w:r w:rsidR="00DC4EC3">
              <w:rPr>
                <w:webHidden/>
              </w:rPr>
              <w:fldChar w:fldCharType="separate"/>
            </w:r>
            <w:r w:rsidR="007950E7">
              <w:rPr>
                <w:webHidden/>
              </w:rPr>
              <w:t>15</w:t>
            </w:r>
            <w:r w:rsidR="00DC4EC3">
              <w:rPr>
                <w:webHidden/>
              </w:rPr>
              <w:fldChar w:fldCharType="end"/>
            </w:r>
          </w:hyperlink>
        </w:p>
        <w:p w14:paraId="0B6A771D" w14:textId="05BE4FD8" w:rsidR="00DC4EC3" w:rsidRDefault="00F65CC6">
          <w:pPr>
            <w:pStyle w:val="TOC2"/>
            <w:rPr>
              <w:rFonts w:asciiTheme="minorHAnsi" w:eastAsiaTheme="minorEastAsia" w:hAnsiTheme="minorHAnsi" w:cstheme="minorBidi"/>
              <w:sz w:val="22"/>
              <w:szCs w:val="22"/>
            </w:rPr>
          </w:pPr>
          <w:hyperlink w:anchor="_Toc505681250" w:history="1">
            <w:r w:rsidR="00DC4EC3" w:rsidRPr="00ED03C3">
              <w:rPr>
                <w:rStyle w:val="Hyperlink"/>
              </w:rPr>
              <w:t>10.2</w:t>
            </w:r>
            <w:r w:rsidR="00DC4EC3">
              <w:rPr>
                <w:rFonts w:asciiTheme="minorHAnsi" w:eastAsiaTheme="minorEastAsia" w:hAnsiTheme="minorHAnsi" w:cstheme="minorBidi"/>
                <w:sz w:val="22"/>
                <w:szCs w:val="22"/>
              </w:rPr>
              <w:tab/>
            </w:r>
            <w:r w:rsidR="00DC4EC3" w:rsidRPr="00ED03C3">
              <w:rPr>
                <w:rStyle w:val="Hyperlink"/>
              </w:rPr>
              <w:t>A list of parameters or model features that are included in the uncertainty analysis</w:t>
            </w:r>
            <w:r w:rsidR="00DC4EC3">
              <w:rPr>
                <w:webHidden/>
              </w:rPr>
              <w:tab/>
            </w:r>
            <w:r w:rsidR="00DC4EC3">
              <w:rPr>
                <w:webHidden/>
              </w:rPr>
              <w:fldChar w:fldCharType="begin"/>
            </w:r>
            <w:r w:rsidR="00DC4EC3">
              <w:rPr>
                <w:webHidden/>
              </w:rPr>
              <w:instrText xml:space="preserve"> PAGEREF _Toc505681250 \h </w:instrText>
            </w:r>
            <w:r w:rsidR="00DC4EC3">
              <w:rPr>
                <w:webHidden/>
              </w:rPr>
            </w:r>
            <w:r w:rsidR="00DC4EC3">
              <w:rPr>
                <w:webHidden/>
              </w:rPr>
              <w:fldChar w:fldCharType="separate"/>
            </w:r>
            <w:r w:rsidR="007950E7">
              <w:rPr>
                <w:webHidden/>
              </w:rPr>
              <w:t>15</w:t>
            </w:r>
            <w:r w:rsidR="00DC4EC3">
              <w:rPr>
                <w:webHidden/>
              </w:rPr>
              <w:fldChar w:fldCharType="end"/>
            </w:r>
          </w:hyperlink>
        </w:p>
        <w:p w14:paraId="0E684C1C" w14:textId="38B613B8" w:rsidR="00DC4EC3" w:rsidRDefault="00F65CC6">
          <w:pPr>
            <w:pStyle w:val="TOC2"/>
            <w:rPr>
              <w:rFonts w:asciiTheme="minorHAnsi" w:eastAsiaTheme="minorEastAsia" w:hAnsiTheme="minorHAnsi" w:cstheme="minorBidi"/>
              <w:sz w:val="22"/>
              <w:szCs w:val="22"/>
            </w:rPr>
          </w:pPr>
          <w:hyperlink w:anchor="_Toc505681251" w:history="1">
            <w:r w:rsidR="00DC4EC3" w:rsidRPr="00ED03C3">
              <w:rPr>
                <w:rStyle w:val="Hyperlink"/>
              </w:rPr>
              <w:t>10.3</w:t>
            </w:r>
            <w:r w:rsidR="00DC4EC3">
              <w:rPr>
                <w:rFonts w:asciiTheme="minorHAnsi" w:eastAsiaTheme="minorEastAsia" w:hAnsiTheme="minorHAnsi" w:cstheme="minorBidi"/>
                <w:sz w:val="22"/>
                <w:szCs w:val="22"/>
              </w:rPr>
              <w:tab/>
            </w:r>
            <w:r w:rsidR="00DC4EC3" w:rsidRPr="00ED03C3">
              <w:rPr>
                <w:rStyle w:val="Hyperlink"/>
              </w:rPr>
              <w:t>Probability distributions for each of the parameters included in the uncertainty analysis and a description of the covariance between parameters</w:t>
            </w:r>
            <w:r w:rsidR="00DC4EC3">
              <w:rPr>
                <w:webHidden/>
              </w:rPr>
              <w:tab/>
            </w:r>
            <w:r w:rsidR="00DC4EC3">
              <w:rPr>
                <w:webHidden/>
              </w:rPr>
              <w:fldChar w:fldCharType="begin"/>
            </w:r>
            <w:r w:rsidR="00DC4EC3">
              <w:rPr>
                <w:webHidden/>
              </w:rPr>
              <w:instrText xml:space="preserve"> PAGEREF _Toc505681251 \h </w:instrText>
            </w:r>
            <w:r w:rsidR="00DC4EC3">
              <w:rPr>
                <w:webHidden/>
              </w:rPr>
            </w:r>
            <w:r w:rsidR="00DC4EC3">
              <w:rPr>
                <w:webHidden/>
              </w:rPr>
              <w:fldChar w:fldCharType="separate"/>
            </w:r>
            <w:r w:rsidR="007950E7">
              <w:rPr>
                <w:webHidden/>
              </w:rPr>
              <w:t>15</w:t>
            </w:r>
            <w:r w:rsidR="00DC4EC3">
              <w:rPr>
                <w:webHidden/>
              </w:rPr>
              <w:fldChar w:fldCharType="end"/>
            </w:r>
          </w:hyperlink>
        </w:p>
        <w:p w14:paraId="523C86F7" w14:textId="6272652A" w:rsidR="00DC4EC3" w:rsidRDefault="00F65CC6">
          <w:pPr>
            <w:pStyle w:val="TOC2"/>
            <w:rPr>
              <w:rFonts w:asciiTheme="minorHAnsi" w:eastAsiaTheme="minorEastAsia" w:hAnsiTheme="minorHAnsi" w:cstheme="minorBidi"/>
              <w:sz w:val="22"/>
              <w:szCs w:val="22"/>
            </w:rPr>
          </w:pPr>
          <w:hyperlink w:anchor="_Toc505681252" w:history="1">
            <w:r w:rsidR="00DC4EC3" w:rsidRPr="00ED03C3">
              <w:rPr>
                <w:rStyle w:val="Hyperlink"/>
              </w:rPr>
              <w:t>10.4</w:t>
            </w:r>
            <w:r w:rsidR="00DC4EC3">
              <w:rPr>
                <w:rFonts w:asciiTheme="minorHAnsi" w:eastAsiaTheme="minorEastAsia" w:hAnsiTheme="minorHAnsi" w:cstheme="minorBidi"/>
                <w:sz w:val="22"/>
                <w:szCs w:val="22"/>
              </w:rPr>
              <w:tab/>
            </w:r>
            <w:r w:rsidR="00DC4EC3" w:rsidRPr="00ED03C3">
              <w:rPr>
                <w:rStyle w:val="Hyperlink"/>
              </w:rPr>
              <w:t>A converging groundwater model over the entire plausible range of model parameters</w:t>
            </w:r>
            <w:r w:rsidR="00DC4EC3">
              <w:rPr>
                <w:webHidden/>
              </w:rPr>
              <w:tab/>
            </w:r>
            <w:r w:rsidR="00DC4EC3">
              <w:rPr>
                <w:webHidden/>
              </w:rPr>
              <w:fldChar w:fldCharType="begin"/>
            </w:r>
            <w:r w:rsidR="00DC4EC3">
              <w:rPr>
                <w:webHidden/>
              </w:rPr>
              <w:instrText xml:space="preserve"> PAGEREF _Toc505681252 \h </w:instrText>
            </w:r>
            <w:r w:rsidR="00DC4EC3">
              <w:rPr>
                <w:webHidden/>
              </w:rPr>
            </w:r>
            <w:r w:rsidR="00DC4EC3">
              <w:rPr>
                <w:webHidden/>
              </w:rPr>
              <w:fldChar w:fldCharType="separate"/>
            </w:r>
            <w:r w:rsidR="007950E7">
              <w:rPr>
                <w:webHidden/>
              </w:rPr>
              <w:t>16</w:t>
            </w:r>
            <w:r w:rsidR="00DC4EC3">
              <w:rPr>
                <w:webHidden/>
              </w:rPr>
              <w:fldChar w:fldCharType="end"/>
            </w:r>
          </w:hyperlink>
        </w:p>
        <w:p w14:paraId="7712A5CB" w14:textId="06987AEA" w:rsidR="00DC4EC3" w:rsidRDefault="00F65CC6">
          <w:pPr>
            <w:pStyle w:val="TOC2"/>
            <w:rPr>
              <w:rFonts w:asciiTheme="minorHAnsi" w:eastAsiaTheme="minorEastAsia" w:hAnsiTheme="minorHAnsi" w:cstheme="minorBidi"/>
              <w:sz w:val="22"/>
              <w:szCs w:val="22"/>
            </w:rPr>
          </w:pPr>
          <w:hyperlink w:anchor="_Toc505681253" w:history="1">
            <w:r w:rsidR="00DC4EC3" w:rsidRPr="00ED03C3">
              <w:rPr>
                <w:rStyle w:val="Hyperlink"/>
              </w:rPr>
              <w:t>10.5</w:t>
            </w:r>
            <w:r w:rsidR="00DC4EC3">
              <w:rPr>
                <w:rFonts w:asciiTheme="minorHAnsi" w:eastAsiaTheme="minorEastAsia" w:hAnsiTheme="minorHAnsi" w:cstheme="minorBidi"/>
                <w:sz w:val="22"/>
                <w:szCs w:val="22"/>
              </w:rPr>
              <w:tab/>
            </w:r>
            <w:r w:rsidR="00DC4EC3" w:rsidRPr="00ED03C3">
              <w:rPr>
                <w:rStyle w:val="Hyperlink"/>
              </w:rPr>
              <w:t>The measurement uncertainty of each observation and/or a project-specific assessment of acceptable model to measurement misfit</w:t>
            </w:r>
            <w:r w:rsidR="00DC4EC3">
              <w:rPr>
                <w:webHidden/>
              </w:rPr>
              <w:tab/>
            </w:r>
            <w:r w:rsidR="00DC4EC3">
              <w:rPr>
                <w:webHidden/>
              </w:rPr>
              <w:fldChar w:fldCharType="begin"/>
            </w:r>
            <w:r w:rsidR="00DC4EC3">
              <w:rPr>
                <w:webHidden/>
              </w:rPr>
              <w:instrText xml:space="preserve"> PAGEREF _Toc505681253 \h </w:instrText>
            </w:r>
            <w:r w:rsidR="00DC4EC3">
              <w:rPr>
                <w:webHidden/>
              </w:rPr>
            </w:r>
            <w:r w:rsidR="00DC4EC3">
              <w:rPr>
                <w:webHidden/>
              </w:rPr>
              <w:fldChar w:fldCharType="separate"/>
            </w:r>
            <w:r w:rsidR="007950E7">
              <w:rPr>
                <w:webHidden/>
              </w:rPr>
              <w:t>16</w:t>
            </w:r>
            <w:r w:rsidR="00DC4EC3">
              <w:rPr>
                <w:webHidden/>
              </w:rPr>
              <w:fldChar w:fldCharType="end"/>
            </w:r>
          </w:hyperlink>
        </w:p>
        <w:p w14:paraId="216F4473" w14:textId="76548037" w:rsidR="00DC4EC3" w:rsidRDefault="00F65CC6">
          <w:pPr>
            <w:pStyle w:val="TOC1"/>
            <w:rPr>
              <w:rFonts w:asciiTheme="minorHAnsi" w:eastAsiaTheme="minorEastAsia" w:hAnsiTheme="minorHAnsi" w:cstheme="minorBidi"/>
              <w:sz w:val="22"/>
              <w:szCs w:val="22"/>
            </w:rPr>
          </w:pPr>
          <w:hyperlink w:anchor="_Toc505681254" w:history="1">
            <w:r w:rsidR="00DC4EC3" w:rsidRPr="00ED03C3">
              <w:rPr>
                <w:rStyle w:val="Hyperlink"/>
              </w:rPr>
              <w:t>11</w:t>
            </w:r>
            <w:r w:rsidR="00DC4EC3">
              <w:rPr>
                <w:rFonts w:asciiTheme="minorHAnsi" w:eastAsiaTheme="minorEastAsia" w:hAnsiTheme="minorHAnsi" w:cstheme="minorBidi"/>
                <w:sz w:val="22"/>
                <w:szCs w:val="22"/>
              </w:rPr>
              <w:tab/>
            </w:r>
            <w:r w:rsidR="00DC4EC3" w:rsidRPr="00ED03C3">
              <w:rPr>
                <w:rStyle w:val="Hyperlink"/>
              </w:rPr>
              <w:t>UNCERTAINTY QUANTIFICATION APPROACHES</w:t>
            </w:r>
            <w:r w:rsidR="00DC4EC3">
              <w:rPr>
                <w:webHidden/>
              </w:rPr>
              <w:tab/>
            </w:r>
            <w:r w:rsidR="00DC4EC3">
              <w:rPr>
                <w:webHidden/>
              </w:rPr>
              <w:fldChar w:fldCharType="begin"/>
            </w:r>
            <w:r w:rsidR="00DC4EC3">
              <w:rPr>
                <w:webHidden/>
              </w:rPr>
              <w:instrText xml:space="preserve"> PAGEREF _Toc505681254 \h </w:instrText>
            </w:r>
            <w:r w:rsidR="00DC4EC3">
              <w:rPr>
                <w:webHidden/>
              </w:rPr>
            </w:r>
            <w:r w:rsidR="00DC4EC3">
              <w:rPr>
                <w:webHidden/>
              </w:rPr>
              <w:fldChar w:fldCharType="separate"/>
            </w:r>
            <w:r w:rsidR="007950E7">
              <w:rPr>
                <w:webHidden/>
              </w:rPr>
              <w:t>16</w:t>
            </w:r>
            <w:r w:rsidR="00DC4EC3">
              <w:rPr>
                <w:webHidden/>
              </w:rPr>
              <w:fldChar w:fldCharType="end"/>
            </w:r>
          </w:hyperlink>
        </w:p>
        <w:p w14:paraId="44A1B23D" w14:textId="1D271587" w:rsidR="00DC4EC3" w:rsidRDefault="00F65CC6">
          <w:pPr>
            <w:pStyle w:val="TOC2"/>
            <w:rPr>
              <w:rFonts w:asciiTheme="minorHAnsi" w:eastAsiaTheme="minorEastAsia" w:hAnsiTheme="minorHAnsi" w:cstheme="minorBidi"/>
              <w:sz w:val="22"/>
              <w:szCs w:val="22"/>
            </w:rPr>
          </w:pPr>
          <w:hyperlink w:anchor="_Toc505681255" w:history="1">
            <w:r w:rsidR="00DC4EC3" w:rsidRPr="00ED03C3">
              <w:rPr>
                <w:rStyle w:val="Hyperlink"/>
              </w:rPr>
              <w:t>11.1</w:t>
            </w:r>
            <w:r w:rsidR="00DC4EC3">
              <w:rPr>
                <w:rFonts w:asciiTheme="minorHAnsi" w:eastAsiaTheme="minorEastAsia" w:hAnsiTheme="minorHAnsi" w:cstheme="minorBidi"/>
                <w:sz w:val="22"/>
                <w:szCs w:val="22"/>
              </w:rPr>
              <w:tab/>
            </w:r>
            <w:r w:rsidR="00DC4EC3" w:rsidRPr="00ED03C3">
              <w:rPr>
                <w:rStyle w:val="Hyperlink"/>
              </w:rPr>
              <w:t>Deterministic Scenario Analysis with Subjective Probability</w:t>
            </w:r>
            <w:r w:rsidR="00DC4EC3">
              <w:rPr>
                <w:webHidden/>
              </w:rPr>
              <w:tab/>
            </w:r>
            <w:r w:rsidR="00DC4EC3">
              <w:rPr>
                <w:webHidden/>
              </w:rPr>
              <w:fldChar w:fldCharType="begin"/>
            </w:r>
            <w:r w:rsidR="00DC4EC3">
              <w:rPr>
                <w:webHidden/>
              </w:rPr>
              <w:instrText xml:space="preserve"> PAGEREF _Toc505681255 \h </w:instrText>
            </w:r>
            <w:r w:rsidR="00DC4EC3">
              <w:rPr>
                <w:webHidden/>
              </w:rPr>
            </w:r>
            <w:r w:rsidR="00DC4EC3">
              <w:rPr>
                <w:webHidden/>
              </w:rPr>
              <w:fldChar w:fldCharType="separate"/>
            </w:r>
            <w:r w:rsidR="007950E7">
              <w:rPr>
                <w:webHidden/>
              </w:rPr>
              <w:t>16</w:t>
            </w:r>
            <w:r w:rsidR="00DC4EC3">
              <w:rPr>
                <w:webHidden/>
              </w:rPr>
              <w:fldChar w:fldCharType="end"/>
            </w:r>
          </w:hyperlink>
        </w:p>
        <w:p w14:paraId="0A3FAC6C" w14:textId="6973BEA8" w:rsidR="00DC4EC3" w:rsidRDefault="00F65CC6">
          <w:pPr>
            <w:pStyle w:val="TOC2"/>
            <w:rPr>
              <w:rFonts w:asciiTheme="minorHAnsi" w:eastAsiaTheme="minorEastAsia" w:hAnsiTheme="minorHAnsi" w:cstheme="minorBidi"/>
              <w:sz w:val="22"/>
              <w:szCs w:val="22"/>
            </w:rPr>
          </w:pPr>
          <w:hyperlink w:anchor="_Toc505681256" w:history="1">
            <w:r w:rsidR="00DC4EC3" w:rsidRPr="00ED03C3">
              <w:rPr>
                <w:rStyle w:val="Hyperlink"/>
              </w:rPr>
              <w:t>11.2</w:t>
            </w:r>
            <w:r w:rsidR="00DC4EC3">
              <w:rPr>
                <w:rFonts w:asciiTheme="minorHAnsi" w:eastAsiaTheme="minorEastAsia" w:hAnsiTheme="minorHAnsi" w:cstheme="minorBidi"/>
                <w:sz w:val="22"/>
                <w:szCs w:val="22"/>
              </w:rPr>
              <w:tab/>
            </w:r>
            <w:r w:rsidR="00DC4EC3" w:rsidRPr="00ED03C3">
              <w:rPr>
                <w:rStyle w:val="Hyperlink"/>
              </w:rPr>
              <w:t>Deterministic Modelling with Linear Probability Quantification</w:t>
            </w:r>
            <w:r w:rsidR="00DC4EC3">
              <w:rPr>
                <w:webHidden/>
              </w:rPr>
              <w:tab/>
            </w:r>
            <w:r w:rsidR="00DC4EC3">
              <w:rPr>
                <w:webHidden/>
              </w:rPr>
              <w:fldChar w:fldCharType="begin"/>
            </w:r>
            <w:r w:rsidR="00DC4EC3">
              <w:rPr>
                <w:webHidden/>
              </w:rPr>
              <w:instrText xml:space="preserve"> PAGEREF _Toc505681256 \h </w:instrText>
            </w:r>
            <w:r w:rsidR="00DC4EC3">
              <w:rPr>
                <w:webHidden/>
              </w:rPr>
            </w:r>
            <w:r w:rsidR="00DC4EC3">
              <w:rPr>
                <w:webHidden/>
              </w:rPr>
              <w:fldChar w:fldCharType="separate"/>
            </w:r>
            <w:r w:rsidR="007950E7">
              <w:rPr>
                <w:webHidden/>
              </w:rPr>
              <w:t>17</w:t>
            </w:r>
            <w:r w:rsidR="00DC4EC3">
              <w:rPr>
                <w:webHidden/>
              </w:rPr>
              <w:fldChar w:fldCharType="end"/>
            </w:r>
          </w:hyperlink>
        </w:p>
        <w:p w14:paraId="47C6720B" w14:textId="5C136CA5" w:rsidR="00DC4EC3" w:rsidRDefault="00F65CC6">
          <w:pPr>
            <w:pStyle w:val="TOC2"/>
            <w:rPr>
              <w:rFonts w:asciiTheme="minorHAnsi" w:eastAsiaTheme="minorEastAsia" w:hAnsiTheme="minorHAnsi" w:cstheme="minorBidi"/>
              <w:sz w:val="22"/>
              <w:szCs w:val="22"/>
            </w:rPr>
          </w:pPr>
          <w:hyperlink w:anchor="_Toc505681257" w:history="1">
            <w:r w:rsidR="00DC4EC3" w:rsidRPr="00ED03C3">
              <w:rPr>
                <w:rStyle w:val="Hyperlink"/>
              </w:rPr>
              <w:t>11.3</w:t>
            </w:r>
            <w:r w:rsidR="00DC4EC3">
              <w:rPr>
                <w:rFonts w:asciiTheme="minorHAnsi" w:eastAsiaTheme="minorEastAsia" w:hAnsiTheme="minorHAnsi" w:cstheme="minorBidi"/>
                <w:sz w:val="22"/>
                <w:szCs w:val="22"/>
              </w:rPr>
              <w:tab/>
            </w:r>
            <w:r w:rsidR="00DC4EC3" w:rsidRPr="00ED03C3">
              <w:rPr>
                <w:rStyle w:val="Hyperlink"/>
              </w:rPr>
              <w:t>Stochastic Modelling with Bayesian Probability</w:t>
            </w:r>
            <w:r w:rsidR="00DC4EC3">
              <w:rPr>
                <w:webHidden/>
              </w:rPr>
              <w:tab/>
            </w:r>
            <w:r w:rsidR="00DC4EC3">
              <w:rPr>
                <w:webHidden/>
              </w:rPr>
              <w:fldChar w:fldCharType="begin"/>
            </w:r>
            <w:r w:rsidR="00DC4EC3">
              <w:rPr>
                <w:webHidden/>
              </w:rPr>
              <w:instrText xml:space="preserve"> PAGEREF _Toc505681257 \h </w:instrText>
            </w:r>
            <w:r w:rsidR="00DC4EC3">
              <w:rPr>
                <w:webHidden/>
              </w:rPr>
            </w:r>
            <w:r w:rsidR="00DC4EC3">
              <w:rPr>
                <w:webHidden/>
              </w:rPr>
              <w:fldChar w:fldCharType="separate"/>
            </w:r>
            <w:r w:rsidR="007950E7">
              <w:rPr>
                <w:webHidden/>
              </w:rPr>
              <w:t>18</w:t>
            </w:r>
            <w:r w:rsidR="00DC4EC3">
              <w:rPr>
                <w:webHidden/>
              </w:rPr>
              <w:fldChar w:fldCharType="end"/>
            </w:r>
          </w:hyperlink>
        </w:p>
        <w:p w14:paraId="2311DC6D" w14:textId="03515460" w:rsidR="00DC4EC3" w:rsidRDefault="00F65CC6">
          <w:pPr>
            <w:pStyle w:val="TOC2"/>
            <w:rPr>
              <w:rFonts w:asciiTheme="minorHAnsi" w:eastAsiaTheme="minorEastAsia" w:hAnsiTheme="minorHAnsi" w:cstheme="minorBidi"/>
              <w:sz w:val="22"/>
              <w:szCs w:val="22"/>
            </w:rPr>
          </w:pPr>
          <w:hyperlink w:anchor="_Toc505681258" w:history="1">
            <w:r w:rsidR="00DC4EC3" w:rsidRPr="00ED03C3">
              <w:rPr>
                <w:rStyle w:val="Hyperlink"/>
              </w:rPr>
              <w:t>11.4</w:t>
            </w:r>
            <w:r w:rsidR="00DC4EC3">
              <w:rPr>
                <w:rFonts w:asciiTheme="minorHAnsi" w:eastAsiaTheme="minorEastAsia" w:hAnsiTheme="minorHAnsi" w:cstheme="minorBidi"/>
                <w:sz w:val="22"/>
                <w:szCs w:val="22"/>
              </w:rPr>
              <w:tab/>
            </w:r>
            <w:r w:rsidR="00DC4EC3" w:rsidRPr="00ED03C3">
              <w:rPr>
                <w:rStyle w:val="Hyperlink"/>
              </w:rPr>
              <w:t>Qualitative Uncertainty Analysis (Assumption Hunting)</w:t>
            </w:r>
            <w:r w:rsidR="00DC4EC3">
              <w:rPr>
                <w:webHidden/>
              </w:rPr>
              <w:tab/>
            </w:r>
            <w:r w:rsidR="00DC4EC3">
              <w:rPr>
                <w:webHidden/>
              </w:rPr>
              <w:fldChar w:fldCharType="begin"/>
            </w:r>
            <w:r w:rsidR="00DC4EC3">
              <w:rPr>
                <w:webHidden/>
              </w:rPr>
              <w:instrText xml:space="preserve"> PAGEREF _Toc505681258 \h </w:instrText>
            </w:r>
            <w:r w:rsidR="00DC4EC3">
              <w:rPr>
                <w:webHidden/>
              </w:rPr>
            </w:r>
            <w:r w:rsidR="00DC4EC3">
              <w:rPr>
                <w:webHidden/>
              </w:rPr>
              <w:fldChar w:fldCharType="separate"/>
            </w:r>
            <w:r w:rsidR="007950E7">
              <w:rPr>
                <w:webHidden/>
              </w:rPr>
              <w:t>20</w:t>
            </w:r>
            <w:r w:rsidR="00DC4EC3">
              <w:rPr>
                <w:webHidden/>
              </w:rPr>
              <w:fldChar w:fldCharType="end"/>
            </w:r>
          </w:hyperlink>
        </w:p>
        <w:p w14:paraId="7F41FF8F" w14:textId="083139B8" w:rsidR="00DC4EC3" w:rsidRDefault="00F65CC6">
          <w:pPr>
            <w:pStyle w:val="TOC2"/>
            <w:rPr>
              <w:rFonts w:asciiTheme="minorHAnsi" w:eastAsiaTheme="minorEastAsia" w:hAnsiTheme="minorHAnsi" w:cstheme="minorBidi"/>
              <w:sz w:val="22"/>
              <w:szCs w:val="22"/>
            </w:rPr>
          </w:pPr>
          <w:hyperlink w:anchor="_Toc505681259" w:history="1">
            <w:r w:rsidR="00DC4EC3" w:rsidRPr="00ED03C3">
              <w:rPr>
                <w:rStyle w:val="Hyperlink"/>
              </w:rPr>
              <w:t>11.5</w:t>
            </w:r>
            <w:r w:rsidR="00DC4EC3">
              <w:rPr>
                <w:rFonts w:asciiTheme="minorHAnsi" w:eastAsiaTheme="minorEastAsia" w:hAnsiTheme="minorHAnsi" w:cstheme="minorBidi"/>
                <w:sz w:val="22"/>
                <w:szCs w:val="22"/>
              </w:rPr>
              <w:tab/>
            </w:r>
            <w:r w:rsidR="00DC4EC3" w:rsidRPr="00ED03C3">
              <w:rPr>
                <w:rStyle w:val="Hyperlink"/>
              </w:rPr>
              <w:t>Sensitivity Analysis</w:t>
            </w:r>
            <w:r w:rsidR="00DC4EC3">
              <w:rPr>
                <w:webHidden/>
              </w:rPr>
              <w:tab/>
            </w:r>
            <w:r w:rsidR="00DC4EC3">
              <w:rPr>
                <w:webHidden/>
              </w:rPr>
              <w:fldChar w:fldCharType="begin"/>
            </w:r>
            <w:r w:rsidR="00DC4EC3">
              <w:rPr>
                <w:webHidden/>
              </w:rPr>
              <w:instrText xml:space="preserve"> PAGEREF _Toc505681259 \h </w:instrText>
            </w:r>
            <w:r w:rsidR="00DC4EC3">
              <w:rPr>
                <w:webHidden/>
              </w:rPr>
            </w:r>
            <w:r w:rsidR="00DC4EC3">
              <w:rPr>
                <w:webHidden/>
              </w:rPr>
              <w:fldChar w:fldCharType="separate"/>
            </w:r>
            <w:r w:rsidR="007950E7">
              <w:rPr>
                <w:webHidden/>
              </w:rPr>
              <w:t>21</w:t>
            </w:r>
            <w:r w:rsidR="00DC4EC3">
              <w:rPr>
                <w:webHidden/>
              </w:rPr>
              <w:fldChar w:fldCharType="end"/>
            </w:r>
          </w:hyperlink>
        </w:p>
        <w:p w14:paraId="21F61979" w14:textId="6447004F" w:rsidR="00DC4EC3" w:rsidRDefault="00F65CC6">
          <w:pPr>
            <w:pStyle w:val="TOC1"/>
            <w:rPr>
              <w:rFonts w:asciiTheme="minorHAnsi" w:eastAsiaTheme="minorEastAsia" w:hAnsiTheme="minorHAnsi" w:cstheme="minorBidi"/>
              <w:sz w:val="22"/>
              <w:szCs w:val="22"/>
            </w:rPr>
          </w:pPr>
          <w:hyperlink w:anchor="_Toc505681260" w:history="1">
            <w:r w:rsidR="00DC4EC3" w:rsidRPr="00ED03C3">
              <w:rPr>
                <w:rStyle w:val="Hyperlink"/>
              </w:rPr>
              <w:t>12</w:t>
            </w:r>
            <w:r w:rsidR="00DC4EC3">
              <w:rPr>
                <w:rFonts w:asciiTheme="minorHAnsi" w:eastAsiaTheme="minorEastAsia" w:hAnsiTheme="minorHAnsi" w:cstheme="minorBidi"/>
                <w:sz w:val="22"/>
                <w:szCs w:val="22"/>
              </w:rPr>
              <w:tab/>
            </w:r>
            <w:r w:rsidR="00DC4EC3" w:rsidRPr="00ED03C3">
              <w:rPr>
                <w:rStyle w:val="Hyperlink"/>
              </w:rPr>
              <w:t>ENGAGEMENT AND COMMUNICATION</w:t>
            </w:r>
            <w:r w:rsidR="00DC4EC3">
              <w:rPr>
                <w:webHidden/>
              </w:rPr>
              <w:tab/>
            </w:r>
            <w:r w:rsidR="00DC4EC3">
              <w:rPr>
                <w:webHidden/>
              </w:rPr>
              <w:fldChar w:fldCharType="begin"/>
            </w:r>
            <w:r w:rsidR="00DC4EC3">
              <w:rPr>
                <w:webHidden/>
              </w:rPr>
              <w:instrText xml:space="preserve"> PAGEREF _Toc505681260 \h </w:instrText>
            </w:r>
            <w:r w:rsidR="00DC4EC3">
              <w:rPr>
                <w:webHidden/>
              </w:rPr>
            </w:r>
            <w:r w:rsidR="00DC4EC3">
              <w:rPr>
                <w:webHidden/>
              </w:rPr>
              <w:fldChar w:fldCharType="separate"/>
            </w:r>
            <w:r w:rsidR="007950E7">
              <w:rPr>
                <w:webHidden/>
              </w:rPr>
              <w:t>21</w:t>
            </w:r>
            <w:r w:rsidR="00DC4EC3">
              <w:rPr>
                <w:webHidden/>
              </w:rPr>
              <w:fldChar w:fldCharType="end"/>
            </w:r>
          </w:hyperlink>
        </w:p>
        <w:p w14:paraId="793BE8A2" w14:textId="0A9F146F" w:rsidR="00DC4EC3" w:rsidRDefault="00F65CC6">
          <w:pPr>
            <w:pStyle w:val="TOC2"/>
            <w:rPr>
              <w:rFonts w:asciiTheme="minorHAnsi" w:eastAsiaTheme="minorEastAsia" w:hAnsiTheme="minorHAnsi" w:cstheme="minorBidi"/>
              <w:sz w:val="22"/>
              <w:szCs w:val="22"/>
            </w:rPr>
          </w:pPr>
          <w:hyperlink w:anchor="_Toc505681261" w:history="1">
            <w:r w:rsidR="00DC4EC3" w:rsidRPr="00ED03C3">
              <w:rPr>
                <w:rStyle w:val="Hyperlink"/>
              </w:rPr>
              <w:t>12.1</w:t>
            </w:r>
            <w:r w:rsidR="00DC4EC3">
              <w:rPr>
                <w:rFonts w:asciiTheme="minorHAnsi" w:eastAsiaTheme="minorEastAsia" w:hAnsiTheme="minorHAnsi" w:cstheme="minorBidi"/>
                <w:sz w:val="22"/>
                <w:szCs w:val="22"/>
              </w:rPr>
              <w:tab/>
            </w:r>
            <w:r w:rsidR="00DC4EC3" w:rsidRPr="00ED03C3">
              <w:rPr>
                <w:rStyle w:val="Hyperlink"/>
              </w:rPr>
              <w:t>Engagement</w:t>
            </w:r>
            <w:r w:rsidR="00DC4EC3">
              <w:rPr>
                <w:webHidden/>
              </w:rPr>
              <w:tab/>
            </w:r>
            <w:r w:rsidR="00DC4EC3">
              <w:rPr>
                <w:webHidden/>
              </w:rPr>
              <w:fldChar w:fldCharType="begin"/>
            </w:r>
            <w:r w:rsidR="00DC4EC3">
              <w:rPr>
                <w:webHidden/>
              </w:rPr>
              <w:instrText xml:space="preserve"> PAGEREF _Toc505681261 \h </w:instrText>
            </w:r>
            <w:r w:rsidR="00DC4EC3">
              <w:rPr>
                <w:webHidden/>
              </w:rPr>
            </w:r>
            <w:r w:rsidR="00DC4EC3">
              <w:rPr>
                <w:webHidden/>
              </w:rPr>
              <w:fldChar w:fldCharType="separate"/>
            </w:r>
            <w:r w:rsidR="007950E7">
              <w:rPr>
                <w:webHidden/>
              </w:rPr>
              <w:t>22</w:t>
            </w:r>
            <w:r w:rsidR="00DC4EC3">
              <w:rPr>
                <w:webHidden/>
              </w:rPr>
              <w:fldChar w:fldCharType="end"/>
            </w:r>
          </w:hyperlink>
        </w:p>
        <w:p w14:paraId="0A58791A" w14:textId="228F98B9" w:rsidR="00DC4EC3" w:rsidRDefault="00F65CC6">
          <w:pPr>
            <w:pStyle w:val="TOC2"/>
            <w:rPr>
              <w:rFonts w:asciiTheme="minorHAnsi" w:eastAsiaTheme="minorEastAsia" w:hAnsiTheme="minorHAnsi" w:cstheme="minorBidi"/>
              <w:sz w:val="22"/>
              <w:szCs w:val="22"/>
            </w:rPr>
          </w:pPr>
          <w:hyperlink w:anchor="_Toc505681262" w:history="1">
            <w:r w:rsidR="00DC4EC3" w:rsidRPr="00ED03C3">
              <w:rPr>
                <w:rStyle w:val="Hyperlink"/>
              </w:rPr>
              <w:t>12.2</w:t>
            </w:r>
            <w:r w:rsidR="00DC4EC3">
              <w:rPr>
                <w:rFonts w:asciiTheme="minorHAnsi" w:eastAsiaTheme="minorEastAsia" w:hAnsiTheme="minorHAnsi" w:cstheme="minorBidi"/>
                <w:sz w:val="22"/>
                <w:szCs w:val="22"/>
              </w:rPr>
              <w:tab/>
            </w:r>
            <w:r w:rsidR="00DC4EC3" w:rsidRPr="00ED03C3">
              <w:rPr>
                <w:rStyle w:val="Hyperlink"/>
              </w:rPr>
              <w:t>Calibrated Language</w:t>
            </w:r>
            <w:r w:rsidR="00DC4EC3">
              <w:rPr>
                <w:webHidden/>
              </w:rPr>
              <w:tab/>
            </w:r>
            <w:r w:rsidR="00DC4EC3">
              <w:rPr>
                <w:webHidden/>
              </w:rPr>
              <w:fldChar w:fldCharType="begin"/>
            </w:r>
            <w:r w:rsidR="00DC4EC3">
              <w:rPr>
                <w:webHidden/>
              </w:rPr>
              <w:instrText xml:space="preserve"> PAGEREF _Toc505681262 \h </w:instrText>
            </w:r>
            <w:r w:rsidR="00DC4EC3">
              <w:rPr>
                <w:webHidden/>
              </w:rPr>
            </w:r>
            <w:r w:rsidR="00DC4EC3">
              <w:rPr>
                <w:webHidden/>
              </w:rPr>
              <w:fldChar w:fldCharType="separate"/>
            </w:r>
            <w:r w:rsidR="007950E7">
              <w:rPr>
                <w:webHidden/>
              </w:rPr>
              <w:t>22</w:t>
            </w:r>
            <w:r w:rsidR="00DC4EC3">
              <w:rPr>
                <w:webHidden/>
              </w:rPr>
              <w:fldChar w:fldCharType="end"/>
            </w:r>
          </w:hyperlink>
        </w:p>
        <w:p w14:paraId="7F2AA3CC" w14:textId="3D7B6CAF" w:rsidR="00DC4EC3" w:rsidRDefault="00F65CC6">
          <w:pPr>
            <w:pStyle w:val="TOC1"/>
            <w:rPr>
              <w:rFonts w:asciiTheme="minorHAnsi" w:eastAsiaTheme="minorEastAsia" w:hAnsiTheme="minorHAnsi" w:cstheme="minorBidi"/>
              <w:sz w:val="22"/>
              <w:szCs w:val="22"/>
            </w:rPr>
          </w:pPr>
          <w:hyperlink w:anchor="_Toc505681263" w:history="1">
            <w:r w:rsidR="00DC4EC3" w:rsidRPr="00ED03C3">
              <w:rPr>
                <w:rStyle w:val="Hyperlink"/>
              </w:rPr>
              <w:t>13</w:t>
            </w:r>
            <w:r w:rsidR="00DC4EC3">
              <w:rPr>
                <w:rFonts w:asciiTheme="minorHAnsi" w:eastAsiaTheme="minorEastAsia" w:hAnsiTheme="minorHAnsi" w:cstheme="minorBidi"/>
                <w:sz w:val="22"/>
                <w:szCs w:val="22"/>
              </w:rPr>
              <w:tab/>
            </w:r>
            <w:r w:rsidR="00DC4EC3" w:rsidRPr="00ED03C3">
              <w:rPr>
                <w:rStyle w:val="Hyperlink"/>
              </w:rPr>
              <w:t>CASE STUDY – MINING AREA C SOUTHERN FLANK VALLEY</w:t>
            </w:r>
            <w:r w:rsidR="00DC4EC3">
              <w:rPr>
                <w:webHidden/>
              </w:rPr>
              <w:tab/>
            </w:r>
            <w:r w:rsidR="00DC4EC3">
              <w:rPr>
                <w:webHidden/>
              </w:rPr>
              <w:fldChar w:fldCharType="begin"/>
            </w:r>
            <w:r w:rsidR="00DC4EC3">
              <w:rPr>
                <w:webHidden/>
              </w:rPr>
              <w:instrText xml:space="preserve"> PAGEREF _Toc505681263 \h </w:instrText>
            </w:r>
            <w:r w:rsidR="00DC4EC3">
              <w:rPr>
                <w:webHidden/>
              </w:rPr>
            </w:r>
            <w:r w:rsidR="00DC4EC3">
              <w:rPr>
                <w:webHidden/>
              </w:rPr>
              <w:fldChar w:fldCharType="separate"/>
            </w:r>
            <w:r w:rsidR="007950E7">
              <w:rPr>
                <w:webHidden/>
              </w:rPr>
              <w:t>23</w:t>
            </w:r>
            <w:r w:rsidR="00DC4EC3">
              <w:rPr>
                <w:webHidden/>
              </w:rPr>
              <w:fldChar w:fldCharType="end"/>
            </w:r>
          </w:hyperlink>
        </w:p>
        <w:p w14:paraId="21DAC2A5" w14:textId="63D7E916" w:rsidR="00DC4EC3" w:rsidRDefault="00F65CC6">
          <w:pPr>
            <w:pStyle w:val="TOC1"/>
            <w:rPr>
              <w:rFonts w:asciiTheme="minorHAnsi" w:eastAsiaTheme="minorEastAsia" w:hAnsiTheme="minorHAnsi" w:cstheme="minorBidi"/>
              <w:sz w:val="22"/>
              <w:szCs w:val="22"/>
            </w:rPr>
          </w:pPr>
          <w:hyperlink w:anchor="_Toc505681264" w:history="1">
            <w:r w:rsidR="00DC4EC3" w:rsidRPr="00ED03C3">
              <w:rPr>
                <w:rStyle w:val="Hyperlink"/>
              </w:rPr>
              <w:t>14</w:t>
            </w:r>
            <w:r w:rsidR="00DC4EC3">
              <w:rPr>
                <w:rFonts w:asciiTheme="minorHAnsi" w:eastAsiaTheme="minorEastAsia" w:hAnsiTheme="minorHAnsi" w:cstheme="minorBidi"/>
                <w:sz w:val="22"/>
                <w:szCs w:val="22"/>
              </w:rPr>
              <w:tab/>
            </w:r>
            <w:r w:rsidR="00DC4EC3" w:rsidRPr="00ED03C3">
              <w:rPr>
                <w:rStyle w:val="Hyperlink"/>
              </w:rPr>
              <w:t>FATAL FLAWS CHECKLIST</w:t>
            </w:r>
            <w:r w:rsidR="00DC4EC3">
              <w:rPr>
                <w:webHidden/>
              </w:rPr>
              <w:tab/>
            </w:r>
            <w:r w:rsidR="00DC4EC3">
              <w:rPr>
                <w:webHidden/>
              </w:rPr>
              <w:fldChar w:fldCharType="begin"/>
            </w:r>
            <w:r w:rsidR="00DC4EC3">
              <w:rPr>
                <w:webHidden/>
              </w:rPr>
              <w:instrText xml:space="preserve"> PAGEREF _Toc505681264 \h </w:instrText>
            </w:r>
            <w:r w:rsidR="00DC4EC3">
              <w:rPr>
                <w:webHidden/>
              </w:rPr>
            </w:r>
            <w:r w:rsidR="00DC4EC3">
              <w:rPr>
                <w:webHidden/>
              </w:rPr>
              <w:fldChar w:fldCharType="separate"/>
            </w:r>
            <w:r w:rsidR="007950E7">
              <w:rPr>
                <w:webHidden/>
              </w:rPr>
              <w:t>24</w:t>
            </w:r>
            <w:r w:rsidR="00DC4EC3">
              <w:rPr>
                <w:webHidden/>
              </w:rPr>
              <w:fldChar w:fldCharType="end"/>
            </w:r>
          </w:hyperlink>
        </w:p>
        <w:p w14:paraId="6069FF64" w14:textId="419CB224" w:rsidR="00DC4EC3" w:rsidRDefault="00F65CC6">
          <w:pPr>
            <w:pStyle w:val="TOC1"/>
            <w:rPr>
              <w:rFonts w:asciiTheme="minorHAnsi" w:eastAsiaTheme="minorEastAsia" w:hAnsiTheme="minorHAnsi" w:cstheme="minorBidi"/>
              <w:sz w:val="22"/>
              <w:szCs w:val="22"/>
            </w:rPr>
          </w:pPr>
          <w:hyperlink w:anchor="_Toc505681265" w:history="1">
            <w:r w:rsidR="00DC4EC3" w:rsidRPr="00ED03C3">
              <w:rPr>
                <w:rStyle w:val="Hyperlink"/>
              </w:rPr>
              <w:t>15</w:t>
            </w:r>
            <w:r w:rsidR="00DC4EC3">
              <w:rPr>
                <w:rFonts w:asciiTheme="minorHAnsi" w:eastAsiaTheme="minorEastAsia" w:hAnsiTheme="minorHAnsi" w:cstheme="minorBidi"/>
                <w:sz w:val="22"/>
                <w:szCs w:val="22"/>
              </w:rPr>
              <w:tab/>
            </w:r>
            <w:r w:rsidR="00DC4EC3" w:rsidRPr="00ED03C3">
              <w:rPr>
                <w:rStyle w:val="Hyperlink"/>
              </w:rPr>
              <w:t>SUPPORTING DOCUMENTS</w:t>
            </w:r>
            <w:r w:rsidR="00DC4EC3">
              <w:rPr>
                <w:webHidden/>
              </w:rPr>
              <w:tab/>
            </w:r>
            <w:r w:rsidR="00DC4EC3">
              <w:rPr>
                <w:webHidden/>
              </w:rPr>
              <w:fldChar w:fldCharType="begin"/>
            </w:r>
            <w:r w:rsidR="00DC4EC3">
              <w:rPr>
                <w:webHidden/>
              </w:rPr>
              <w:instrText xml:space="preserve"> PAGEREF _Toc505681265 \h </w:instrText>
            </w:r>
            <w:r w:rsidR="00DC4EC3">
              <w:rPr>
                <w:webHidden/>
              </w:rPr>
            </w:r>
            <w:r w:rsidR="00DC4EC3">
              <w:rPr>
                <w:webHidden/>
              </w:rPr>
              <w:fldChar w:fldCharType="separate"/>
            </w:r>
            <w:r w:rsidR="007950E7">
              <w:rPr>
                <w:webHidden/>
              </w:rPr>
              <w:t>28</w:t>
            </w:r>
            <w:r w:rsidR="00DC4EC3">
              <w:rPr>
                <w:webHidden/>
              </w:rPr>
              <w:fldChar w:fldCharType="end"/>
            </w:r>
          </w:hyperlink>
        </w:p>
        <w:p w14:paraId="5D779C28" w14:textId="77777777" w:rsidR="000975D4" w:rsidRDefault="000975D4" w:rsidP="009263FE">
          <w:pPr>
            <w:pStyle w:val="TOC1"/>
          </w:pPr>
          <w:r>
            <w:fldChar w:fldCharType="end"/>
          </w:r>
        </w:p>
      </w:sdtContent>
    </w:sdt>
    <w:p w14:paraId="50AE9BE6" w14:textId="77777777" w:rsidR="00AD51B5" w:rsidRDefault="00AD51B5" w:rsidP="000C47FE">
      <w:pPr>
        <w:pStyle w:val="BodyText"/>
        <w:sectPr w:rsidR="00AD51B5" w:rsidSect="0077320D">
          <w:pgSz w:w="11910" w:h="16840"/>
          <w:pgMar w:top="1418" w:right="1021" w:bottom="1560" w:left="1298" w:header="283" w:footer="459" w:gutter="0"/>
          <w:pgNumType w:fmt="lowerRoman"/>
          <w:cols w:space="720"/>
          <w:noEndnote/>
          <w:titlePg/>
          <w:docGrid w:linePitch="326"/>
        </w:sectPr>
      </w:pPr>
    </w:p>
    <w:p w14:paraId="559F9993" w14:textId="77777777" w:rsidR="00FB7F92" w:rsidRDefault="009263FE" w:rsidP="009263FE">
      <w:pPr>
        <w:pStyle w:val="Heading1"/>
      </w:pPr>
      <w:bookmarkStart w:id="3" w:name="_Toc505681231"/>
      <w:r>
        <w:lastRenderedPageBreak/>
        <w:t>EXPLANATORY NOTE CONTEXT</w:t>
      </w:r>
      <w:bookmarkEnd w:id="3"/>
    </w:p>
    <w:p w14:paraId="66D38021" w14:textId="77777777" w:rsidR="00FB7F92" w:rsidRPr="00B1219A" w:rsidRDefault="00FB7F92" w:rsidP="00EA0C55">
      <w:pPr>
        <w:pStyle w:val="BodyText"/>
        <w:rPr>
          <w:rStyle w:val="BodyTextChar"/>
        </w:rPr>
      </w:pPr>
      <w:bookmarkStart w:id="4" w:name="The_role_of_the_IESC"/>
      <w:bookmarkEnd w:id="4"/>
      <w:r>
        <w:t>The Independent Expert Scientific Committee on Coal Seam Gas</w:t>
      </w:r>
      <w:r w:rsidR="000759C5">
        <w:t xml:space="preserve"> </w:t>
      </w:r>
      <w:r>
        <w:t xml:space="preserve">and Large Coal Mining Development (IESC) is a statutory body </w:t>
      </w:r>
      <w:r w:rsidRPr="00200422">
        <w:t xml:space="preserve">under the </w:t>
      </w:r>
      <w:r w:rsidRPr="000140B6">
        <w:rPr>
          <w:i/>
          <w:iCs/>
        </w:rPr>
        <w:t xml:space="preserve">Environment Protection and Biodiversity Conservation Act 1999 </w:t>
      </w:r>
      <w:r w:rsidRPr="00200422">
        <w:t>(Cth) (EPBC Act).</w:t>
      </w:r>
      <w:r w:rsidR="00EA0C55" w:rsidRPr="00200422">
        <w:t xml:space="preserve"> </w:t>
      </w:r>
      <w:r w:rsidRPr="00200422">
        <w:t>Further</w:t>
      </w:r>
      <w:r>
        <w:t xml:space="preserve"> </w:t>
      </w:r>
      <w:r w:rsidRPr="00EA0C55">
        <w:t>information</w:t>
      </w:r>
      <w:r>
        <w:t xml:space="preserve"> is available on the </w:t>
      </w:r>
      <w:hyperlink r:id="rId20" w:history="1">
        <w:r>
          <w:rPr>
            <w:color w:val="0000FF"/>
            <w:u w:val="single"/>
          </w:rPr>
          <w:t>IESC website</w:t>
        </w:r>
      </w:hyperlink>
      <w:r w:rsidRPr="00B1219A">
        <w:rPr>
          <w:rStyle w:val="BodyTextChar"/>
        </w:rPr>
        <w:t>.</w:t>
      </w:r>
    </w:p>
    <w:p w14:paraId="5AE7691F" w14:textId="14F0B744" w:rsidR="000759C5" w:rsidRDefault="005301FC" w:rsidP="005301FC">
      <w:pPr>
        <w:pStyle w:val="BodyText"/>
      </w:pPr>
      <w:r>
        <w:t xml:space="preserve">The IESC Information Guidelines </w:t>
      </w:r>
      <w:r w:rsidR="000558CF">
        <w:t>(Cth, 201</w:t>
      </w:r>
      <w:r w:rsidR="007575FC">
        <w:t>8)</w:t>
      </w:r>
      <w:r w:rsidR="000558CF">
        <w:t xml:space="preserve"> </w:t>
      </w:r>
      <w:r>
        <w:t>set the context for this Explanatory Note. They outline</w:t>
      </w:r>
      <w:r w:rsidR="006506DE" w:rsidRPr="006506DE">
        <w:t xml:space="preserve"> </w:t>
      </w:r>
      <w:r w:rsidR="006506DE">
        <w:t>the</w:t>
      </w:r>
      <w:r w:rsidR="006506DE" w:rsidRPr="006506DE">
        <w:t xml:space="preserve"> information</w:t>
      </w:r>
      <w:r w:rsidR="0075586C">
        <w:t xml:space="preserve"> needed</w:t>
      </w:r>
      <w:r w:rsidR="006506DE">
        <w:t xml:space="preserve"> </w:t>
      </w:r>
      <w:r w:rsidR="00A86A9F">
        <w:t>from proponents of</w:t>
      </w:r>
      <w:r w:rsidR="00A86A9F" w:rsidRPr="00B81773">
        <w:t xml:space="preserve"> coal seam gas (CSG) and large coal mining proposals</w:t>
      </w:r>
      <w:r w:rsidR="00A86A9F" w:rsidRPr="006506DE" w:rsidDel="00A86A9F">
        <w:t xml:space="preserve"> </w:t>
      </w:r>
      <w:r w:rsidR="006506DE" w:rsidRPr="006506DE">
        <w:t>to enable the IESC to provide advice</w:t>
      </w:r>
      <w:r w:rsidR="006506DE">
        <w:t xml:space="preserve"> to decision makers</w:t>
      </w:r>
      <w:r w:rsidR="0075586C">
        <w:t>. This</w:t>
      </w:r>
      <w:r w:rsidR="006506DE">
        <w:t xml:space="preserve"> includ</w:t>
      </w:r>
      <w:r w:rsidR="0075586C">
        <w:t>es</w:t>
      </w:r>
      <w:r>
        <w:t xml:space="preserve"> the fundamental requirements for groundwater model</w:t>
      </w:r>
      <w:r w:rsidR="006506DE">
        <w:t xml:space="preserve">ling approaches </w:t>
      </w:r>
      <w:r>
        <w:t>for water-related cumulative impact and risk assessment</w:t>
      </w:r>
      <w:r w:rsidR="000759C5">
        <w:t>s</w:t>
      </w:r>
      <w:r>
        <w:t xml:space="preserve">. </w:t>
      </w:r>
    </w:p>
    <w:p w14:paraId="7AB8C31E" w14:textId="77777777" w:rsidR="00A3709D" w:rsidRDefault="009777F4" w:rsidP="005301FC">
      <w:pPr>
        <w:pStyle w:val="BodyText"/>
      </w:pPr>
      <w:r>
        <w:t>T</w:t>
      </w:r>
      <w:r w:rsidR="005301FC">
        <w:t>he key guiding principles</w:t>
      </w:r>
      <w:r>
        <w:t xml:space="preserve"> </w:t>
      </w:r>
      <w:r w:rsidR="00120FDF">
        <w:t xml:space="preserve">of </w:t>
      </w:r>
      <w:r>
        <w:t>the Information Guidelines include</w:t>
      </w:r>
      <w:r w:rsidR="005301FC">
        <w:t xml:space="preserve">: </w:t>
      </w:r>
    </w:p>
    <w:p w14:paraId="1D225594" w14:textId="77777777" w:rsidR="00A3709D" w:rsidRDefault="00120FDF" w:rsidP="00A3709D">
      <w:pPr>
        <w:pStyle w:val="ListParagraph"/>
      </w:pPr>
      <w:r>
        <w:t xml:space="preserve">the importance of </w:t>
      </w:r>
      <w:r w:rsidR="005301FC">
        <w:t xml:space="preserve">identifying water-dependent environmental assets and potential impact </w:t>
      </w:r>
      <w:r w:rsidR="009777F4">
        <w:t xml:space="preserve">causal </w:t>
      </w:r>
      <w:r w:rsidR="005301FC">
        <w:t xml:space="preserve">pathways; </w:t>
      </w:r>
    </w:p>
    <w:p w14:paraId="4939D606" w14:textId="77777777" w:rsidR="00A3709D" w:rsidRDefault="0051169F" w:rsidP="00A3709D">
      <w:pPr>
        <w:pStyle w:val="ListParagraph"/>
      </w:pPr>
      <w:r>
        <w:t xml:space="preserve">impact </w:t>
      </w:r>
      <w:r w:rsidR="00120FDF">
        <w:t xml:space="preserve">assessments based on </w:t>
      </w:r>
      <w:r w:rsidR="005301FC">
        <w:t>conceptual, analytical and numerical modelling</w:t>
      </w:r>
      <w:r w:rsidR="00120FDF">
        <w:t xml:space="preserve"> and related</w:t>
      </w:r>
      <w:r w:rsidR="005301FC">
        <w:t xml:space="preserve"> water and salt balances</w:t>
      </w:r>
      <w:r w:rsidR="00120FDF">
        <w:t xml:space="preserve"> and other</w:t>
      </w:r>
      <w:r w:rsidR="005301FC">
        <w:t xml:space="preserve"> data</w:t>
      </w:r>
      <w:r w:rsidR="00120FDF">
        <w:t xml:space="preserve"> needs;</w:t>
      </w:r>
      <w:r w:rsidR="005301FC">
        <w:t xml:space="preserve"> </w:t>
      </w:r>
      <w:r w:rsidR="00712606">
        <w:t>and</w:t>
      </w:r>
      <w:r w:rsidR="00A3709D">
        <w:t>,</w:t>
      </w:r>
      <w:r w:rsidR="00712606">
        <w:t xml:space="preserve"> </w:t>
      </w:r>
    </w:p>
    <w:p w14:paraId="4AD4740E" w14:textId="77777777" w:rsidR="00712606" w:rsidRDefault="00120FDF" w:rsidP="00753F54">
      <w:pPr>
        <w:pStyle w:val="ListParagraph"/>
      </w:pPr>
      <w:r>
        <w:t xml:space="preserve">adaptive </w:t>
      </w:r>
      <w:r w:rsidR="005301FC">
        <w:t xml:space="preserve">management </w:t>
      </w:r>
      <w:r>
        <w:t xml:space="preserve">based on </w:t>
      </w:r>
      <w:r w:rsidR="005301FC">
        <w:t>monitoring</w:t>
      </w:r>
      <w:r>
        <w:t xml:space="preserve"> and evaluation of mitigation measure performance</w:t>
      </w:r>
      <w:r w:rsidR="005301FC">
        <w:t xml:space="preserve">. </w:t>
      </w:r>
    </w:p>
    <w:p w14:paraId="537508B0" w14:textId="77777777" w:rsidR="00990E6D" w:rsidRDefault="00990E6D" w:rsidP="005301FC">
      <w:pPr>
        <w:pStyle w:val="BodyText"/>
      </w:pPr>
    </w:p>
    <w:p w14:paraId="4BDB2C57" w14:textId="77777777" w:rsidR="005301FC" w:rsidRPr="00FD2F50" w:rsidRDefault="005301FC" w:rsidP="005301FC">
      <w:pPr>
        <w:pStyle w:val="BodyText"/>
      </w:pPr>
      <w:r>
        <w:t>The</w:t>
      </w:r>
      <w:r w:rsidR="00621488">
        <w:t xml:space="preserve"> Information Guidelines</w:t>
      </w:r>
      <w:r>
        <w:t xml:space="preserve"> </w:t>
      </w:r>
      <w:r w:rsidR="0051169F">
        <w:t xml:space="preserve">require </w:t>
      </w:r>
      <w:r>
        <w:t>that:</w:t>
      </w:r>
    </w:p>
    <w:p w14:paraId="3240EEBB" w14:textId="77777777" w:rsidR="005301FC" w:rsidRPr="005F0439" w:rsidRDefault="005301FC" w:rsidP="000970C2">
      <w:pPr>
        <w:pStyle w:val="ListParagraph"/>
      </w:pPr>
      <w:r w:rsidRPr="005F0439">
        <w:t>modelling results should be presented to show a range of possible outcomes based on uncertainty analysis;</w:t>
      </w:r>
    </w:p>
    <w:p w14:paraId="00134FB5" w14:textId="77777777" w:rsidR="005301FC" w:rsidRPr="004328AA" w:rsidRDefault="005301FC" w:rsidP="000970C2">
      <w:pPr>
        <w:pStyle w:val="ListParagraph"/>
        <w:rPr>
          <w:szCs w:val="22"/>
        </w:rPr>
      </w:pPr>
      <w:r w:rsidRPr="005F0439">
        <w:t>assessment of potential impacts should outline the quality of, and risks and uncertainty inherent in, the background data and the modelling, particularly with respect to predicted potential scenarios;</w:t>
      </w:r>
    </w:p>
    <w:p w14:paraId="7FE58913" w14:textId="77777777" w:rsidR="00335527" w:rsidRPr="005301FC" w:rsidRDefault="00B94A58" w:rsidP="000970C2">
      <w:pPr>
        <w:pStyle w:val="ListParagraph"/>
      </w:pPr>
      <w:r>
        <w:t xml:space="preserve">the </w:t>
      </w:r>
      <w:r w:rsidR="005301FC" w:rsidRPr="005301FC">
        <w:t xml:space="preserve">assessment should acknowledge uncertainties in the modelling, identify the sources </w:t>
      </w:r>
      <w:r w:rsidR="005301FC" w:rsidRPr="005301FC">
        <w:rPr>
          <w:rStyle w:val="ListParagraphChar"/>
        </w:rPr>
        <w:t>of</w:t>
      </w:r>
      <w:r w:rsidR="005301FC" w:rsidRPr="005301FC">
        <w:t xml:space="preserve"> errors (e.g. conceptual model and parameter uncertainty) and quantify the level of uncertainty.</w:t>
      </w:r>
    </w:p>
    <w:p w14:paraId="23C89232" w14:textId="77777777" w:rsidR="00990E6D" w:rsidRDefault="00990E6D" w:rsidP="009C2B3F">
      <w:pPr>
        <w:pStyle w:val="BodyText"/>
      </w:pPr>
    </w:p>
    <w:p w14:paraId="609D45D4" w14:textId="30463133" w:rsidR="00EA0C55" w:rsidRDefault="009C2B3F" w:rsidP="009C2B3F">
      <w:pPr>
        <w:pStyle w:val="BodyText"/>
      </w:pPr>
      <w:r>
        <w:t xml:space="preserve">This Explanatory Note </w:t>
      </w:r>
      <w:r w:rsidR="00EA0C55">
        <w:t xml:space="preserve">supports the </w:t>
      </w:r>
      <w:r w:rsidR="00EA0C55" w:rsidRPr="00EA0C55">
        <w:t>Information Guidelines</w:t>
      </w:r>
      <w:r w:rsidR="00EA0C55">
        <w:t xml:space="preserve"> by providing specific </w:t>
      </w:r>
      <w:r w:rsidR="00B1219A">
        <w:t xml:space="preserve">and </w:t>
      </w:r>
      <w:r w:rsidR="00EA0C55">
        <w:t>detailed guidance on</w:t>
      </w:r>
      <w:r w:rsidR="00E658CF">
        <w:t xml:space="preserve"> </w:t>
      </w:r>
      <w:r w:rsidR="00E210EA" w:rsidRPr="00E210EA">
        <w:t xml:space="preserve">uncertainty analysis </w:t>
      </w:r>
      <w:r w:rsidR="00716D00">
        <w:t>for</w:t>
      </w:r>
      <w:r w:rsidR="00E658CF">
        <w:t xml:space="preserve"> groundwater modelling </w:t>
      </w:r>
      <w:r w:rsidR="00E00617">
        <w:t xml:space="preserve">methods </w:t>
      </w:r>
      <w:r w:rsidR="00E210EA" w:rsidRPr="00E210EA">
        <w:t xml:space="preserve">of impact and risk assessments </w:t>
      </w:r>
      <w:r w:rsidR="00E658CF">
        <w:t>for</w:t>
      </w:r>
      <w:r w:rsidR="00E210EA" w:rsidRPr="00E210EA">
        <w:t xml:space="preserve"> CSG and large coal mine developments</w:t>
      </w:r>
      <w:r w:rsidR="00E658CF">
        <w:t>.</w:t>
      </w:r>
      <w:r w:rsidR="00E210EA">
        <w:t xml:space="preserve"> </w:t>
      </w:r>
      <w:r w:rsidR="00E658CF">
        <w:t>G</w:t>
      </w:r>
      <w:r w:rsidR="00E210EA">
        <w:t xml:space="preserve">uidance is also provided on </w:t>
      </w:r>
      <w:r w:rsidR="00B1219A">
        <w:t xml:space="preserve">the </w:t>
      </w:r>
      <w:r w:rsidR="00E210EA">
        <w:t xml:space="preserve">engagement </w:t>
      </w:r>
      <w:r w:rsidR="00B1219A">
        <w:t xml:space="preserve">process </w:t>
      </w:r>
      <w:r w:rsidR="00E210EA">
        <w:t>with agencies</w:t>
      </w:r>
      <w:r w:rsidR="00B1219A">
        <w:t>,</w:t>
      </w:r>
      <w:r w:rsidR="00E210EA">
        <w:t xml:space="preserve"> and communication</w:t>
      </w:r>
      <w:r w:rsidR="00B94A58">
        <w:t xml:space="preserve"> o</w:t>
      </w:r>
      <w:r w:rsidR="00716D00">
        <w:t>n</w:t>
      </w:r>
      <w:r w:rsidR="00B1219A">
        <w:t xml:space="preserve"> uncertainty issues</w:t>
      </w:r>
      <w:r w:rsidR="00E210EA">
        <w:t>.</w:t>
      </w:r>
    </w:p>
    <w:p w14:paraId="0C8CC2AA" w14:textId="7E4172CB" w:rsidR="008C2922" w:rsidRDefault="001635C4" w:rsidP="00A847CC">
      <w:pPr>
        <w:pStyle w:val="BodyText"/>
      </w:pPr>
      <w:r>
        <w:t>T</w:t>
      </w:r>
      <w:r w:rsidR="009C2B3F">
        <w:t xml:space="preserve">his Explanatory Note </w:t>
      </w:r>
      <w:r w:rsidR="00B45515">
        <w:t>is brief</w:t>
      </w:r>
      <w:r w:rsidR="00A847CC">
        <w:t>, with a</w:t>
      </w:r>
      <w:r w:rsidR="009C2B3F">
        <w:t xml:space="preserve"> focus on </w:t>
      </w:r>
      <w:r w:rsidR="008C2922">
        <w:t xml:space="preserve">practical </w:t>
      </w:r>
      <w:r w:rsidR="009C2B3F">
        <w:t>uncertainty methods</w:t>
      </w:r>
      <w:r w:rsidR="00EC7CB7">
        <w:t>. It is designed to provide specific guidance for applica</w:t>
      </w:r>
      <w:r w:rsidR="00CA1519">
        <w:t>tion to CSG and large coal mine proposals</w:t>
      </w:r>
      <w:r w:rsidR="00EC7CB7">
        <w:t>, with reference to other documents on methodologies for groundwater modelling and uncertainty assessments.</w:t>
      </w:r>
      <w:r w:rsidR="00B1219A">
        <w:t xml:space="preserve"> </w:t>
      </w:r>
      <w:r w:rsidR="008C2922">
        <w:t xml:space="preserve">This </w:t>
      </w:r>
      <w:r w:rsidR="00712606" w:rsidRPr="00E00617">
        <w:t xml:space="preserve">Explanatory </w:t>
      </w:r>
      <w:r w:rsidR="008C2922">
        <w:t xml:space="preserve">Note </w:t>
      </w:r>
      <w:r w:rsidR="0028139C">
        <w:t>is not designed or presented as a comprehensive treatise on uncertainty methods.</w:t>
      </w:r>
    </w:p>
    <w:p w14:paraId="0F14B5C6" w14:textId="588EC074" w:rsidR="001876EF" w:rsidRDefault="003E28AC" w:rsidP="00A847CC">
      <w:pPr>
        <w:pStyle w:val="BodyText"/>
      </w:pPr>
      <w:r>
        <w:t>T</w:t>
      </w:r>
      <w:r w:rsidR="00B1219A">
        <w:t xml:space="preserve">his </w:t>
      </w:r>
      <w:bookmarkStart w:id="5" w:name="Purpose_of_these_Guidelines"/>
      <w:bookmarkEnd w:id="5"/>
      <w:r w:rsidR="001876EF" w:rsidRPr="00E00617">
        <w:t xml:space="preserve">Explanatory Note </w:t>
      </w:r>
      <w:r>
        <w:t xml:space="preserve">draws from and </w:t>
      </w:r>
      <w:r w:rsidR="001876EF" w:rsidRPr="00E00617">
        <w:t>m</w:t>
      </w:r>
      <w:r w:rsidR="001876EF">
        <w:t>ust be read in conjunction with:</w:t>
      </w:r>
    </w:p>
    <w:p w14:paraId="288E2162" w14:textId="777A11C8" w:rsidR="001876EF" w:rsidRPr="00A847CC" w:rsidRDefault="001876EF" w:rsidP="000970C2">
      <w:pPr>
        <w:pStyle w:val="ListParagraph"/>
      </w:pPr>
      <w:r w:rsidRPr="00A847CC">
        <w:t xml:space="preserve">IESC Information </w:t>
      </w:r>
      <w:r w:rsidRPr="000970C2">
        <w:t>Guidelines</w:t>
      </w:r>
      <w:r w:rsidR="000558CF">
        <w:t xml:space="preserve"> (Cth, 201</w:t>
      </w:r>
      <w:r w:rsidR="007575FC">
        <w:t>8</w:t>
      </w:r>
      <w:r w:rsidR="000558CF">
        <w:t>)</w:t>
      </w:r>
      <w:r w:rsidRPr="00A847CC">
        <w:t>;</w:t>
      </w:r>
    </w:p>
    <w:p w14:paraId="6FA365C5" w14:textId="77777777" w:rsidR="001876EF" w:rsidRPr="00A847CC" w:rsidRDefault="001876EF" w:rsidP="000970C2">
      <w:pPr>
        <w:pStyle w:val="ListParagraph"/>
      </w:pPr>
      <w:r w:rsidRPr="00A847CC">
        <w:t>Australian Groundwater Modelling Guidelines (</w:t>
      </w:r>
      <w:r w:rsidR="005F2526">
        <w:t xml:space="preserve">“AGMG”; </w:t>
      </w:r>
      <w:r w:rsidRPr="00A847CC">
        <w:t>Barnett et al</w:t>
      </w:r>
      <w:r w:rsidR="00D54FCC">
        <w:t>.</w:t>
      </w:r>
      <w:r w:rsidRPr="00A847CC">
        <w:t xml:space="preserve"> 2012);</w:t>
      </w:r>
    </w:p>
    <w:p w14:paraId="6A84271B" w14:textId="77777777" w:rsidR="001876EF" w:rsidRPr="00A847CC" w:rsidRDefault="001876EF" w:rsidP="000970C2">
      <w:pPr>
        <w:pStyle w:val="ListParagraph"/>
      </w:pPr>
      <w:r w:rsidRPr="00A847CC">
        <w:t>Modelling water-related ecological responses to coal seam gas extraction and coal mining (C</w:t>
      </w:r>
      <w:r w:rsidR="00B1219A">
        <w:t>th</w:t>
      </w:r>
      <w:r w:rsidRPr="00A847CC">
        <w:t>, 2015);</w:t>
      </w:r>
    </w:p>
    <w:p w14:paraId="6ADD306A" w14:textId="77777777" w:rsidR="001876EF" w:rsidRDefault="001876EF" w:rsidP="000970C2">
      <w:pPr>
        <w:pStyle w:val="ListParagraph"/>
      </w:pPr>
      <w:r w:rsidRPr="00A847CC">
        <w:t>Coal seam gas extraction modelling groundwater impacts (Cth, 2014</w:t>
      </w:r>
      <w:r w:rsidR="00B2294D">
        <w:t>a</w:t>
      </w:r>
      <w:r w:rsidRPr="00A847CC">
        <w:t>)</w:t>
      </w:r>
      <w:r w:rsidR="00B5433A">
        <w:t>;</w:t>
      </w:r>
    </w:p>
    <w:p w14:paraId="42974B24" w14:textId="77777777" w:rsidR="00B5433A" w:rsidRDefault="00B5433A" w:rsidP="000970C2">
      <w:pPr>
        <w:pStyle w:val="ListParagraph"/>
      </w:pPr>
      <w:r>
        <w:t>Subsidence from coal seam gas extraction in Australia (Cth, 2014</w:t>
      </w:r>
      <w:r w:rsidR="00B2294D">
        <w:t>b</w:t>
      </w:r>
      <w:r>
        <w:t>);</w:t>
      </w:r>
    </w:p>
    <w:p w14:paraId="412A8F00" w14:textId="77777777" w:rsidR="00B5433A" w:rsidRPr="00A847CC" w:rsidRDefault="00B5433A" w:rsidP="000970C2">
      <w:pPr>
        <w:pStyle w:val="ListParagraph"/>
      </w:pPr>
      <w:r>
        <w:t>Subsidence from coal mining activities, background review (Cth, 2014</w:t>
      </w:r>
      <w:r w:rsidR="00B2294D">
        <w:t>c</w:t>
      </w:r>
      <w:r>
        <w:t>);</w:t>
      </w:r>
    </w:p>
    <w:p w14:paraId="18BCD48F" w14:textId="77777777" w:rsidR="005F4D9E" w:rsidRDefault="005F4D9E" w:rsidP="000970C2">
      <w:pPr>
        <w:pStyle w:val="ListParagraph"/>
      </w:pPr>
      <w:r>
        <w:t>Significant Impact Guidelines</w:t>
      </w:r>
      <w:r w:rsidR="00200422">
        <w:t xml:space="preserve"> </w:t>
      </w:r>
      <w:r>
        <w:t>1.3</w:t>
      </w:r>
      <w:r w:rsidR="00CC60E6">
        <w:t xml:space="preserve"> (water trigger)</w:t>
      </w:r>
      <w:r>
        <w:t>: Coal seam gas and large coal mining developments - impacts on water resources (Cth, 2013)</w:t>
      </w:r>
      <w:r w:rsidR="00B5433A">
        <w:t>;</w:t>
      </w:r>
    </w:p>
    <w:p w14:paraId="1F333876" w14:textId="77777777" w:rsidR="000970C2" w:rsidRDefault="00EC7CB7" w:rsidP="000970C2">
      <w:pPr>
        <w:pStyle w:val="ListParagraph"/>
      </w:pPr>
      <w:r w:rsidRPr="00A847CC">
        <w:lastRenderedPageBreak/>
        <w:t>NCGRT National Groundwater Modelling Uncertainty Workshop 2017 (</w:t>
      </w:r>
      <w:r w:rsidR="00D54FCC">
        <w:t xml:space="preserve">Middlemis et al. </w:t>
      </w:r>
      <w:r w:rsidR="005F311E">
        <w:t>2018</w:t>
      </w:r>
      <w:r w:rsidRPr="00A847CC">
        <w:t>)</w:t>
      </w:r>
      <w:r w:rsidR="00B5433A">
        <w:t>;</w:t>
      </w:r>
      <w:r w:rsidR="00200422">
        <w:t xml:space="preserve"> and</w:t>
      </w:r>
    </w:p>
    <w:p w14:paraId="0B09B76D" w14:textId="21091839" w:rsidR="0065182C" w:rsidRDefault="000970C2" w:rsidP="000970C2">
      <w:pPr>
        <w:pStyle w:val="ListParagraph"/>
      </w:pPr>
      <w:r w:rsidRPr="000970C2">
        <w:t>Methodology for bioregional assessments of the impacts of coal seam gas and coal mining development on water resources (</w:t>
      </w:r>
      <w:r w:rsidR="00B2294D">
        <w:t>Barre</w:t>
      </w:r>
      <w:r w:rsidR="00C952EC">
        <w:t>t</w:t>
      </w:r>
      <w:r w:rsidR="00B2294D">
        <w:t>t et al.</w:t>
      </w:r>
      <w:r w:rsidRPr="000970C2">
        <w:t xml:space="preserve"> 2013).</w:t>
      </w:r>
    </w:p>
    <w:p w14:paraId="0ECE78B0" w14:textId="77777777" w:rsidR="00EC7CB7" w:rsidRDefault="009263FE" w:rsidP="009263FE">
      <w:pPr>
        <w:pStyle w:val="Heading1"/>
      </w:pPr>
      <w:bookmarkStart w:id="6" w:name="_Ref505518915"/>
      <w:bookmarkStart w:id="7" w:name="_Toc505681232"/>
      <w:r w:rsidRPr="000970C2">
        <w:t>SOURCES OF UNCERTAINTY</w:t>
      </w:r>
      <w:bookmarkEnd w:id="6"/>
      <w:bookmarkEnd w:id="7"/>
    </w:p>
    <w:p w14:paraId="21F8B23C" w14:textId="77777777" w:rsidR="00017525" w:rsidRDefault="008D7D37" w:rsidP="00142545">
      <w:pPr>
        <w:pStyle w:val="BodyText"/>
      </w:pPr>
      <w:r w:rsidRPr="008D7D37">
        <w:t xml:space="preserve">The subsurface environment is </w:t>
      </w:r>
      <w:r w:rsidR="00DB04ED">
        <w:t xml:space="preserve">complex and </w:t>
      </w:r>
      <w:r w:rsidRPr="008D7D37">
        <w:t xml:space="preserve">heterogenous, </w:t>
      </w:r>
      <w:r w:rsidR="001F682F">
        <w:t xml:space="preserve">and </w:t>
      </w:r>
      <w:r w:rsidRPr="008D7D37">
        <w:t xml:space="preserve">difficult to directly observe, characterise or measure. </w:t>
      </w:r>
      <w:r w:rsidR="00DB04ED">
        <w:t>Contrary to engineering systems which are generally closed, relatively simple and well defined or measured, hydrogeologic systems are open, complex and partially defined (Neuman and Wi</w:t>
      </w:r>
      <w:r w:rsidR="000E7CB0">
        <w:t>e</w:t>
      </w:r>
      <w:r w:rsidR="00DB04ED">
        <w:t>renga, 2003). As g</w:t>
      </w:r>
      <w:r w:rsidRPr="008D7D37">
        <w:t>roundwater systems are open</w:t>
      </w:r>
      <w:r w:rsidR="00DB04ED">
        <w:t xml:space="preserve"> to influence</w:t>
      </w:r>
      <w:r w:rsidR="004D336E">
        <w:t xml:space="preserve"> by</w:t>
      </w:r>
      <w:r w:rsidRPr="008D7D37">
        <w:t xml:space="preserve"> </w:t>
      </w:r>
      <w:r w:rsidR="004D336E">
        <w:t xml:space="preserve">geology, </w:t>
      </w:r>
      <w:r w:rsidRPr="008D7D37">
        <w:t xml:space="preserve">topography, vegetation, </w:t>
      </w:r>
      <w:r w:rsidR="004D336E" w:rsidRPr="008D7D37">
        <w:t xml:space="preserve">climate, </w:t>
      </w:r>
      <w:r w:rsidRPr="008D7D37">
        <w:t>hydrology and human activities</w:t>
      </w:r>
      <w:r w:rsidR="00DB04ED">
        <w:t>, u</w:t>
      </w:r>
      <w:r w:rsidRPr="008D7D37">
        <w:t xml:space="preserve">ncertainty affects our ability to accurately </w:t>
      </w:r>
      <w:r>
        <w:t xml:space="preserve">measure or </w:t>
      </w:r>
      <w:r w:rsidRPr="008D7D37">
        <w:t xml:space="preserve">describe </w:t>
      </w:r>
      <w:r w:rsidR="00DB04ED">
        <w:t xml:space="preserve">the </w:t>
      </w:r>
      <w:r w:rsidRPr="008D7D37">
        <w:t xml:space="preserve">existing or </w:t>
      </w:r>
      <w:r w:rsidR="00C55062">
        <w:t xml:space="preserve">predicted </w:t>
      </w:r>
      <w:r w:rsidRPr="008D7D37">
        <w:t xml:space="preserve">future states of </w:t>
      </w:r>
      <w:r w:rsidR="00DB04ED">
        <w:t xml:space="preserve">these </w:t>
      </w:r>
      <w:r w:rsidRPr="008D7D37">
        <w:t xml:space="preserve">systems. </w:t>
      </w:r>
    </w:p>
    <w:p w14:paraId="5CDA6769" w14:textId="77777777" w:rsidR="00894689" w:rsidRDefault="008D7D37" w:rsidP="0080681E">
      <w:pPr>
        <w:pStyle w:val="BodyText"/>
      </w:pPr>
      <w:r w:rsidRPr="008D7D37">
        <w:t xml:space="preserve">Simulation modelling is used to investigate </w:t>
      </w:r>
      <w:r w:rsidR="00B83F22">
        <w:t xml:space="preserve">current and future system states </w:t>
      </w:r>
      <w:r w:rsidRPr="008D7D37">
        <w:t xml:space="preserve">and </w:t>
      </w:r>
      <w:r w:rsidR="00B83F22">
        <w:t xml:space="preserve">thus </w:t>
      </w:r>
      <w:r w:rsidRPr="008D7D37">
        <w:t>support decisions for groundwater resource assessment, management and policy</w:t>
      </w:r>
      <w:r w:rsidR="002879A5">
        <w:t>. T</w:t>
      </w:r>
      <w:r w:rsidR="00E36E60">
        <w:t xml:space="preserve">he Australian Groundwater Modelling Guidelines (AGMG) provide information on simulation modelling </w:t>
      </w:r>
      <w:r w:rsidR="00200422">
        <w:t>(</w:t>
      </w:r>
      <w:r w:rsidR="00E36E60">
        <w:t>Barnett et al</w:t>
      </w:r>
      <w:r w:rsidR="008A12D3">
        <w:t>.</w:t>
      </w:r>
      <w:r w:rsidR="00E36E60">
        <w:t xml:space="preserve"> 2012)</w:t>
      </w:r>
      <w:r w:rsidRPr="008D7D37">
        <w:t xml:space="preserve">. </w:t>
      </w:r>
      <w:r w:rsidR="00DB04ED">
        <w:t>Groundwater models are simplified scientific constructs</w:t>
      </w:r>
      <w:r w:rsidR="00B83F22">
        <w:t xml:space="preserve"> that are </w:t>
      </w:r>
      <w:r w:rsidR="001E1B4B">
        <w:t>continuous</w:t>
      </w:r>
      <w:r w:rsidR="00B83F22">
        <w:t>ly</w:t>
      </w:r>
      <w:r w:rsidR="001E1B4B">
        <w:t xml:space="preserve"> </w:t>
      </w:r>
      <w:r w:rsidR="00DB04ED">
        <w:t>refine</w:t>
      </w:r>
      <w:r w:rsidR="00B83F22">
        <w:t>d</w:t>
      </w:r>
      <w:r w:rsidR="00DB04ED">
        <w:t xml:space="preserve"> </w:t>
      </w:r>
      <w:r w:rsidR="001E1B4B">
        <w:t xml:space="preserve">to investigate </w:t>
      </w:r>
      <w:r w:rsidR="00DB04ED">
        <w:t>new evidence</w:t>
      </w:r>
      <w:r w:rsidR="001E1B4B">
        <w:t>,</w:t>
      </w:r>
      <w:r w:rsidR="00DB04ED">
        <w:t xml:space="preserve"> conceptualisations</w:t>
      </w:r>
      <w:r w:rsidR="001E1B4B">
        <w:t xml:space="preserve"> and uncertainties</w:t>
      </w:r>
      <w:r w:rsidR="00894689">
        <w:t>, and the effects of management options on future eventualities. While m</w:t>
      </w:r>
      <w:r w:rsidR="00894689" w:rsidRPr="00C1605A">
        <w:t>odels cannot predict the future with total (100%) confidence</w:t>
      </w:r>
      <w:r w:rsidR="00894689">
        <w:t xml:space="preserve">, </w:t>
      </w:r>
      <w:r w:rsidR="00894689" w:rsidRPr="00C1605A">
        <w:t xml:space="preserve">decision makers and stakeholders </w:t>
      </w:r>
      <w:r w:rsidR="00894689">
        <w:t xml:space="preserve">use model results </w:t>
      </w:r>
      <w:r w:rsidR="00797FED" w:rsidRPr="00797FED">
        <w:t>to inform decisions on</w:t>
      </w:r>
      <w:r w:rsidR="00894689" w:rsidRPr="00C1605A">
        <w:t xml:space="preserve"> what level of risk is acceptable for a specific context. </w:t>
      </w:r>
      <w:r w:rsidR="00894689">
        <w:t>Model results must therefore be accompanied by u</w:t>
      </w:r>
      <w:r w:rsidR="00894689" w:rsidRPr="00C1605A">
        <w:t>ncertainty analys</w:t>
      </w:r>
      <w:r w:rsidR="00894689">
        <w:t>e</w:t>
      </w:r>
      <w:r w:rsidR="00894689" w:rsidRPr="00C1605A">
        <w:t xml:space="preserve">s </w:t>
      </w:r>
      <w:r w:rsidR="00894689">
        <w:t xml:space="preserve">that </w:t>
      </w:r>
      <w:r w:rsidR="00894689" w:rsidRPr="00C1605A">
        <w:t>quantify or qualify the confidence we have in the modelled outcomes</w:t>
      </w:r>
      <w:r w:rsidR="00894689">
        <w:t xml:space="preserve"> </w:t>
      </w:r>
      <w:r w:rsidR="00894689" w:rsidRPr="00C1605A">
        <w:t>for specified courses of action.</w:t>
      </w:r>
    </w:p>
    <w:p w14:paraId="41BE0927" w14:textId="77777777" w:rsidR="00712606" w:rsidRDefault="002879A5" w:rsidP="0080681E">
      <w:pPr>
        <w:pStyle w:val="BodyText"/>
      </w:pPr>
      <w:r>
        <w:t>There are different ways to categorise uncertainty</w:t>
      </w:r>
      <w:r w:rsidR="00797FED">
        <w:t>, but it</w:t>
      </w:r>
      <w:r w:rsidR="0080681E">
        <w:t xml:space="preserve"> </w:t>
      </w:r>
      <w:r w:rsidR="00A85FE2">
        <w:t xml:space="preserve">is often </w:t>
      </w:r>
      <w:r w:rsidR="0080681E">
        <w:t>lumped into two main types (Barnett et al</w:t>
      </w:r>
      <w:r w:rsidR="00976EA7">
        <w:t>.</w:t>
      </w:r>
      <w:r w:rsidR="0080681E">
        <w:t xml:space="preserve"> 2012): </w:t>
      </w:r>
    </w:p>
    <w:p w14:paraId="3271E720" w14:textId="77777777" w:rsidR="00712606" w:rsidRDefault="00712606" w:rsidP="00712606">
      <w:pPr>
        <w:pStyle w:val="Bulletdot"/>
      </w:pPr>
      <w:r w:rsidRPr="00712606">
        <w:t xml:space="preserve">deficiency in our knowledge of the natural world (including </w:t>
      </w:r>
      <w:r w:rsidR="00C952EC">
        <w:t xml:space="preserve">the </w:t>
      </w:r>
      <w:r w:rsidR="0080681E">
        <w:t>effects of error in measurements</w:t>
      </w:r>
      <w:r>
        <w:t>),</w:t>
      </w:r>
      <w:r w:rsidR="0080681E">
        <w:t xml:space="preserve"> and </w:t>
      </w:r>
    </w:p>
    <w:p w14:paraId="56BC74D0" w14:textId="77777777" w:rsidR="00712606" w:rsidRDefault="0080681E" w:rsidP="00712606">
      <w:pPr>
        <w:pStyle w:val="Bulletdot"/>
      </w:pPr>
      <w:r>
        <w:t>failure to capture the complexity of the natural world</w:t>
      </w:r>
      <w:r w:rsidR="005D1929">
        <w:t xml:space="preserve"> (or what we know about it)</w:t>
      </w:r>
      <w:r w:rsidR="00A85FE2">
        <w:t xml:space="preserve">. </w:t>
      </w:r>
    </w:p>
    <w:p w14:paraId="16DA46A0" w14:textId="77777777" w:rsidR="00EF6F5F" w:rsidRDefault="00EF6F5F" w:rsidP="00712606">
      <w:pPr>
        <w:pStyle w:val="BodyText"/>
      </w:pPr>
      <w:r>
        <w:t xml:space="preserve">Beven and Young (2013) </w:t>
      </w:r>
      <w:r w:rsidR="00D33743">
        <w:t xml:space="preserve">provide a rigorous </w:t>
      </w:r>
      <w:r w:rsidR="002879A5">
        <w:t>categoris</w:t>
      </w:r>
      <w:r w:rsidR="00D33743">
        <w:t>ation of</w:t>
      </w:r>
      <w:r w:rsidR="002879A5">
        <w:t xml:space="preserve"> uncertainty </w:t>
      </w:r>
      <w:r w:rsidR="00C952EC">
        <w:t>as either epistemic or aleatory</w:t>
      </w:r>
      <w:r>
        <w:t>:</w:t>
      </w:r>
    </w:p>
    <w:p w14:paraId="4ED433A7" w14:textId="77777777" w:rsidR="00EF6F5F" w:rsidRDefault="00EF6F5F" w:rsidP="00EF6F5F">
      <w:pPr>
        <w:pStyle w:val="Bulletdot"/>
      </w:pPr>
      <w:r>
        <w:t xml:space="preserve">deficiencies in data/measurements or knowledge/understanding </w:t>
      </w:r>
      <w:r w:rsidR="00797FED">
        <w:t xml:space="preserve">that </w:t>
      </w:r>
      <w:r w:rsidR="00A85FE2">
        <w:t xml:space="preserve">are each a type of epistemic uncertainty (i.e. uncertainty that could be reduced with </w:t>
      </w:r>
      <w:r w:rsidR="005335EF">
        <w:t xml:space="preserve">improved </w:t>
      </w:r>
      <w:r w:rsidR="006C750D">
        <w:t xml:space="preserve">data and/or </w:t>
      </w:r>
      <w:r w:rsidR="00A85FE2">
        <w:t>scien</w:t>
      </w:r>
      <w:r w:rsidR="006C750D">
        <w:t>tific understanding</w:t>
      </w:r>
      <w:r w:rsidR="00A85FE2">
        <w:t>)</w:t>
      </w:r>
      <w:r w:rsidR="001402BC">
        <w:t>;</w:t>
      </w:r>
    </w:p>
    <w:p w14:paraId="3DCE6B1B" w14:textId="77777777" w:rsidR="00EF6F5F" w:rsidRDefault="00EF6F5F" w:rsidP="00EF6F5F">
      <w:pPr>
        <w:pStyle w:val="Bulletdot"/>
      </w:pPr>
      <w:r>
        <w:t>b</w:t>
      </w:r>
      <w:r w:rsidR="00A85FE2">
        <w:t>y comparison, aleatory uncertainty arises from apparent random probability, which is often considered to be irreducible</w:t>
      </w:r>
      <w:r w:rsidR="00C55062">
        <w:t xml:space="preserve"> (part of the inherent randomness of natural systems)</w:t>
      </w:r>
      <w:r w:rsidR="00A85FE2">
        <w:t>,</w:t>
      </w:r>
      <w:r>
        <w:t xml:space="preserve"> but which can be treated in probabilistic/statistical terms</w:t>
      </w:r>
      <w:r w:rsidR="00A85FE2">
        <w:t>.</w:t>
      </w:r>
      <w:r w:rsidR="004D336E">
        <w:t xml:space="preserve"> </w:t>
      </w:r>
    </w:p>
    <w:p w14:paraId="32EFB1B1" w14:textId="77777777" w:rsidR="0080681E" w:rsidRDefault="001402BC" w:rsidP="0080681E">
      <w:pPr>
        <w:pStyle w:val="BodyText"/>
      </w:pPr>
      <w:r>
        <w:t>For the purpose of this</w:t>
      </w:r>
      <w:r w:rsidR="00712606" w:rsidRPr="00712606">
        <w:t xml:space="preserve"> </w:t>
      </w:r>
      <w:r w:rsidR="00712606" w:rsidRPr="00E00617">
        <w:t>Explanatory</w:t>
      </w:r>
      <w:r>
        <w:t xml:space="preserve"> Note, </w:t>
      </w:r>
      <w:r w:rsidR="004D336E">
        <w:t>it is helpful to consider</w:t>
      </w:r>
      <w:r w:rsidR="0080681E">
        <w:t xml:space="preserve"> </w:t>
      </w:r>
      <w:r w:rsidR="00D244FD">
        <w:t>four sources</w:t>
      </w:r>
      <w:r w:rsidR="0080681E">
        <w:t xml:space="preserve"> of </w:t>
      </w:r>
      <w:r w:rsidR="00E577A4">
        <w:t xml:space="preserve">scientific </w:t>
      </w:r>
      <w:r w:rsidR="0080681E">
        <w:t>uncertainty</w:t>
      </w:r>
      <w:r w:rsidR="00797FED">
        <w:t xml:space="preserve"> affecting groundwater model simulations</w:t>
      </w:r>
      <w:r w:rsidR="0080681E">
        <w:t>:</w:t>
      </w:r>
    </w:p>
    <w:p w14:paraId="3080A6B2" w14:textId="77777777" w:rsidR="0080681E" w:rsidRDefault="0080681E" w:rsidP="0072154B">
      <w:pPr>
        <w:pStyle w:val="Bulletdot"/>
      </w:pPr>
      <w:r w:rsidRPr="0065182C">
        <w:t>St</w:t>
      </w:r>
      <w:r w:rsidR="00FD44E6" w:rsidRPr="0065182C">
        <w:t>ructural</w:t>
      </w:r>
      <w:r w:rsidR="00FD44E6">
        <w:t>/Conceptual</w:t>
      </w:r>
      <w:r w:rsidR="0066529F">
        <w:t xml:space="preserve"> -</w:t>
      </w:r>
      <w:r w:rsidR="00FD44E6">
        <w:t xml:space="preserve"> </w:t>
      </w:r>
      <w:r>
        <w:t xml:space="preserve">geological structure and </w:t>
      </w:r>
      <w:r w:rsidR="00FD44E6">
        <w:t xml:space="preserve">hydrogeological </w:t>
      </w:r>
      <w:r>
        <w:t xml:space="preserve">conceptualisation </w:t>
      </w:r>
      <w:r w:rsidR="002E3B93" w:rsidRPr="008D7D37">
        <w:t xml:space="preserve">assumptions </w:t>
      </w:r>
      <w:r w:rsidR="002E3B93">
        <w:t xml:space="preserve">applied to derive a </w:t>
      </w:r>
      <w:r w:rsidR="002E3B93" w:rsidRPr="008D7D37">
        <w:t xml:space="preserve">simplified </w:t>
      </w:r>
      <w:r w:rsidR="002E3B93">
        <w:t>view</w:t>
      </w:r>
      <w:r w:rsidR="002E3B93" w:rsidRPr="008D7D37">
        <w:t xml:space="preserve"> of </w:t>
      </w:r>
      <w:r w:rsidR="002E3B93">
        <w:t xml:space="preserve">a complex hydrogeological reality </w:t>
      </w:r>
      <w:r w:rsidR="00FD44E6">
        <w:t>(</w:t>
      </w:r>
      <w:r>
        <w:t xml:space="preserve">any </w:t>
      </w:r>
      <w:r w:rsidR="004D336E">
        <w:t xml:space="preserve">system </w:t>
      </w:r>
      <w:r>
        <w:t xml:space="preserve">aspect that cannot be changed in an automated </w:t>
      </w:r>
      <w:r w:rsidR="004D336E">
        <w:t>way</w:t>
      </w:r>
      <w:r>
        <w:t xml:space="preserve"> in </w:t>
      </w:r>
      <w:r w:rsidR="009B39BE">
        <w:t>a</w:t>
      </w:r>
      <w:r>
        <w:t xml:space="preserve"> model</w:t>
      </w:r>
      <w:r w:rsidR="00FD44E6">
        <w:t>)</w:t>
      </w:r>
      <w:r>
        <w:t>;</w:t>
      </w:r>
    </w:p>
    <w:p w14:paraId="5287DADF" w14:textId="77777777" w:rsidR="0080681E" w:rsidRDefault="0080681E" w:rsidP="00C44302">
      <w:pPr>
        <w:pStyle w:val="Bulletdot"/>
      </w:pPr>
      <w:r>
        <w:t>Parameterisation</w:t>
      </w:r>
      <w:r w:rsidR="0066529F">
        <w:t xml:space="preserve"> -</w:t>
      </w:r>
      <w:r>
        <w:t xml:space="preserve"> </w:t>
      </w:r>
      <w:r w:rsidR="00FD44E6">
        <w:t xml:space="preserve">hydrogeological </w:t>
      </w:r>
      <w:r w:rsidR="004D336E">
        <w:t xml:space="preserve">property </w:t>
      </w:r>
      <w:r>
        <w:t xml:space="preserve">values </w:t>
      </w:r>
      <w:r w:rsidR="002E243F">
        <w:t xml:space="preserve">and assumptions </w:t>
      </w:r>
      <w:r w:rsidR="00D957C3">
        <w:t>applied to represent complex reality in space and time</w:t>
      </w:r>
      <w:r w:rsidR="00E577A4">
        <w:t xml:space="preserve"> (</w:t>
      </w:r>
      <w:r>
        <w:t xml:space="preserve">any </w:t>
      </w:r>
      <w:r w:rsidR="004D336E">
        <w:t xml:space="preserve">system </w:t>
      </w:r>
      <w:r>
        <w:t xml:space="preserve">aspect that can be changed in an automated </w:t>
      </w:r>
      <w:r w:rsidR="004D336E">
        <w:t>way</w:t>
      </w:r>
      <w:r>
        <w:t xml:space="preserve"> in </w:t>
      </w:r>
      <w:r w:rsidR="009B39BE">
        <w:t xml:space="preserve">a </w:t>
      </w:r>
      <w:r>
        <w:t>model</w:t>
      </w:r>
      <w:r w:rsidR="00AA5B49">
        <w:t xml:space="preserve"> via parameterisation</w:t>
      </w:r>
      <w:r w:rsidR="00E577A4">
        <w:t>)</w:t>
      </w:r>
      <w:r>
        <w:t>;</w:t>
      </w:r>
    </w:p>
    <w:p w14:paraId="40E47F8B" w14:textId="77777777" w:rsidR="0080681E" w:rsidRDefault="0080681E" w:rsidP="00C801E5">
      <w:pPr>
        <w:pStyle w:val="Bulletdot"/>
      </w:pPr>
      <w:r>
        <w:t>Measurement error</w:t>
      </w:r>
      <w:r w:rsidR="0066529F">
        <w:t xml:space="preserve"> </w:t>
      </w:r>
      <w:r w:rsidR="00B00BAF">
        <w:t>–</w:t>
      </w:r>
      <w:r>
        <w:t xml:space="preserve"> </w:t>
      </w:r>
      <w:r w:rsidR="00B00BAF">
        <w:t xml:space="preserve">combination of </w:t>
      </w:r>
      <w:r>
        <w:t xml:space="preserve">uncertainties associated with the measurement of </w:t>
      </w:r>
      <w:r w:rsidR="002E243F">
        <w:t xml:space="preserve">complex </w:t>
      </w:r>
      <w:r>
        <w:t>system states (</w:t>
      </w:r>
      <w:r w:rsidR="00B00BAF">
        <w:t>heads</w:t>
      </w:r>
      <w:r>
        <w:t xml:space="preserve">, </w:t>
      </w:r>
      <w:r w:rsidR="00B00BAF">
        <w:t>discharges</w:t>
      </w:r>
      <w:r>
        <w:t>), parameters and variability (3D spatial and temporal)</w:t>
      </w:r>
      <w:r w:rsidR="00B00BAF">
        <w:t xml:space="preserve"> with those</w:t>
      </w:r>
      <w:r>
        <w:t xml:space="preserve"> induced by upscaling or downscaling (</w:t>
      </w:r>
      <w:r w:rsidR="009B39BE">
        <w:t xml:space="preserve">site-specific data, </w:t>
      </w:r>
      <w:r>
        <w:t xml:space="preserve">climate </w:t>
      </w:r>
      <w:r w:rsidR="009B39BE">
        <w:t>data</w:t>
      </w:r>
      <w:r>
        <w:t xml:space="preserve">); </w:t>
      </w:r>
    </w:p>
    <w:p w14:paraId="18FDCBDE" w14:textId="7B056D0E" w:rsidR="0080681E" w:rsidRDefault="0080681E" w:rsidP="00C801E5">
      <w:pPr>
        <w:pStyle w:val="Bulletdot"/>
      </w:pPr>
      <w:r>
        <w:t>Scenario Uncertainties</w:t>
      </w:r>
      <w:r w:rsidR="00B00BAF">
        <w:t xml:space="preserve"> -</w:t>
      </w:r>
      <w:r>
        <w:t xml:space="preserve"> guessing future stresses, dynamics and boundary condition changes (e.g. </w:t>
      </w:r>
      <w:r w:rsidR="00B00BAF">
        <w:t xml:space="preserve">mining, </w:t>
      </w:r>
      <w:r w:rsidR="007F008C">
        <w:t>climate variability,</w:t>
      </w:r>
      <w:r>
        <w:t xml:space="preserve"> land and water use change)</w:t>
      </w:r>
      <w:r w:rsidR="002E243F">
        <w:t>.</w:t>
      </w:r>
    </w:p>
    <w:p w14:paraId="5B82CB5A" w14:textId="77777777" w:rsidR="00315350" w:rsidRDefault="00D244FD" w:rsidP="009A6CFA">
      <w:pPr>
        <w:pStyle w:val="BodyText"/>
      </w:pPr>
      <w:r>
        <w:lastRenderedPageBreak/>
        <w:t xml:space="preserve">These four sources of </w:t>
      </w:r>
      <w:r w:rsidR="00E577A4">
        <w:t xml:space="preserve">scientific </w:t>
      </w:r>
      <w:r>
        <w:t xml:space="preserve">uncertainty </w:t>
      </w:r>
      <w:r w:rsidR="009A6CFA">
        <w:t xml:space="preserve">result </w:t>
      </w:r>
      <w:r>
        <w:t xml:space="preserve">in </w:t>
      </w:r>
      <w:r w:rsidR="00D33743">
        <w:t xml:space="preserve">predictive </w:t>
      </w:r>
      <w:r w:rsidR="00E577A4">
        <w:t>u</w:t>
      </w:r>
      <w:r w:rsidR="0080681E">
        <w:t>ncertainty</w:t>
      </w:r>
      <w:r w:rsidR="00B00BAF">
        <w:t xml:space="preserve"> </w:t>
      </w:r>
      <w:r w:rsidR="003815E5">
        <w:t>–</w:t>
      </w:r>
      <w:r w:rsidR="0080681E">
        <w:t xml:space="preserve"> the</w:t>
      </w:r>
      <w:r w:rsidR="003815E5">
        <w:t xml:space="preserve"> bias and </w:t>
      </w:r>
      <w:r w:rsidR="00E312CA">
        <w:t xml:space="preserve">error </w:t>
      </w:r>
      <w:r w:rsidR="003815E5">
        <w:t xml:space="preserve">associated with model </w:t>
      </w:r>
      <w:r w:rsidR="00016B88">
        <w:t>simulation</w:t>
      </w:r>
      <w:r w:rsidR="0080681E">
        <w:t xml:space="preserve">s </w:t>
      </w:r>
      <w:r w:rsidR="004035BD">
        <w:t xml:space="preserve">(see </w:t>
      </w:r>
      <w:r w:rsidR="002F563B">
        <w:fldChar w:fldCharType="begin"/>
      </w:r>
      <w:r w:rsidR="002F563B">
        <w:instrText xml:space="preserve"> REF _Ref499201258 \h </w:instrText>
      </w:r>
      <w:r w:rsidR="002F563B">
        <w:fldChar w:fldCharType="separate"/>
      </w:r>
      <w:r w:rsidR="007950E7">
        <w:t xml:space="preserve">Figure </w:t>
      </w:r>
      <w:r w:rsidR="007950E7">
        <w:rPr>
          <w:noProof/>
        </w:rPr>
        <w:t>1</w:t>
      </w:r>
      <w:r w:rsidR="002F563B">
        <w:fldChar w:fldCharType="end"/>
      </w:r>
      <w:r w:rsidR="00CE6E7C">
        <w:t xml:space="preserve">, after Richardson et </w:t>
      </w:r>
      <w:r w:rsidR="00976EA7">
        <w:t>al.</w:t>
      </w:r>
      <w:r w:rsidR="00CE6E7C">
        <w:t xml:space="preserve"> 2017</w:t>
      </w:r>
      <w:r w:rsidR="005335EF">
        <w:t>, and Doherty and Moore, 2017</w:t>
      </w:r>
      <w:r w:rsidR="004035BD">
        <w:t>)</w:t>
      </w:r>
      <w:r w:rsidR="00CE6E7C">
        <w:t xml:space="preserve">. </w:t>
      </w:r>
      <w:r w:rsidR="00894689" w:rsidRPr="00894689">
        <w:t>Bias refers to systematic error, which displaces the model outputs</w:t>
      </w:r>
      <w:r w:rsidR="006317E6">
        <w:t xml:space="preserve"> away from the accepted “true” value</w:t>
      </w:r>
      <w:r w:rsidR="00722E60">
        <w:t>,</w:t>
      </w:r>
      <w:r w:rsidR="006317E6">
        <w:t xml:space="preserve"> and error refers to the difference (spread) between the average value of model simulations and the accepted </w:t>
      </w:r>
      <w:r w:rsidR="00443998">
        <w:t>true value.</w:t>
      </w:r>
      <w:r w:rsidR="00894689" w:rsidRPr="00894689">
        <w:t xml:space="preserve"> </w:t>
      </w:r>
      <w:r w:rsidR="003D430B">
        <w:t>Bias and error affect the precision of model results, even when that model is consistent with the conceptual understanding of the system and the related observations and measurements.</w:t>
      </w:r>
      <w:r w:rsidR="003D430B" w:rsidRPr="00894689">
        <w:t xml:space="preserve"> </w:t>
      </w:r>
    </w:p>
    <w:p w14:paraId="43C03561" w14:textId="56290EC7" w:rsidR="002F563B" w:rsidRDefault="00946DC5" w:rsidP="002F563B">
      <w:pPr>
        <w:pStyle w:val="Caption"/>
      </w:pPr>
      <w:bookmarkStart w:id="8" w:name="_Ref499201258"/>
      <w:r>
        <w:rPr>
          <w:b w:val="0"/>
          <w:bCs w:val="0"/>
          <w:noProof/>
          <w:sz w:val="16"/>
          <w:szCs w:val="16"/>
        </w:rPr>
        <w:drawing>
          <wp:anchor distT="0" distB="0" distL="114300" distR="114300" simplePos="0" relativeHeight="251658244" behindDoc="0" locked="1" layoutInCell="1" allowOverlap="0" wp14:anchorId="7B299675" wp14:editId="057DFA6C">
            <wp:simplePos x="0" y="0"/>
            <wp:positionH relativeFrom="column">
              <wp:posOffset>2652395</wp:posOffset>
            </wp:positionH>
            <wp:positionV relativeFrom="paragraph">
              <wp:posOffset>45720</wp:posOffset>
            </wp:positionV>
            <wp:extent cx="2202180" cy="2270125"/>
            <wp:effectExtent l="19050" t="19050" r="26670" b="15875"/>
            <wp:wrapTopAndBottom/>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2180" cy="22701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1" layoutInCell="1" allowOverlap="0" wp14:anchorId="4CFCB4B6" wp14:editId="15AD7BCB">
            <wp:simplePos x="0" y="0"/>
            <wp:positionH relativeFrom="column">
              <wp:posOffset>41910</wp:posOffset>
            </wp:positionH>
            <wp:positionV relativeFrom="paragraph">
              <wp:posOffset>45720</wp:posOffset>
            </wp:positionV>
            <wp:extent cx="2399665" cy="2270125"/>
            <wp:effectExtent l="19050" t="19050" r="19685" b="15875"/>
            <wp:wrapTopAndBottom/>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9665" cy="22701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F563B">
        <w:t xml:space="preserve">Figure </w:t>
      </w:r>
      <w:r w:rsidR="00F65CC6">
        <w:fldChar w:fldCharType="begin"/>
      </w:r>
      <w:r w:rsidR="00F65CC6">
        <w:instrText xml:space="preserve"> SEQ Figure \* ARABIC </w:instrText>
      </w:r>
      <w:r w:rsidR="00F65CC6">
        <w:fldChar w:fldCharType="separate"/>
      </w:r>
      <w:r w:rsidR="007950E7">
        <w:rPr>
          <w:noProof/>
        </w:rPr>
        <w:t>1</w:t>
      </w:r>
      <w:r w:rsidR="00F65CC6">
        <w:rPr>
          <w:noProof/>
        </w:rPr>
        <w:fldChar w:fldCharType="end"/>
      </w:r>
      <w:bookmarkEnd w:id="8"/>
      <w:r w:rsidR="002F563B">
        <w:t xml:space="preserve"> - </w:t>
      </w:r>
      <w:r w:rsidR="002F563B" w:rsidRPr="009F06BC">
        <w:t>errors, biases and influence</w:t>
      </w:r>
      <w:r w:rsidR="005F311E">
        <w:t>s</w:t>
      </w:r>
      <w:r w:rsidR="002F563B" w:rsidRPr="009F06BC">
        <w:t xml:space="preserve"> on uncertainty (after Richardson et </w:t>
      </w:r>
      <w:r w:rsidR="00976EA7">
        <w:t>al.</w:t>
      </w:r>
      <w:r w:rsidR="002F563B" w:rsidRPr="009F06BC">
        <w:t xml:space="preserve"> 2017</w:t>
      </w:r>
      <w:r w:rsidR="0021471F">
        <w:t>; Doherty and</w:t>
      </w:r>
      <w:r w:rsidR="005F311E">
        <w:t xml:space="preserve"> Moore, 2017</w:t>
      </w:r>
      <w:r w:rsidR="002F563B" w:rsidRPr="009F06BC">
        <w:t>)</w:t>
      </w:r>
    </w:p>
    <w:p w14:paraId="3FCCA37A" w14:textId="77777777" w:rsidR="005F311E" w:rsidRDefault="005F311E" w:rsidP="005F311E">
      <w:pPr>
        <w:pStyle w:val="BodyText"/>
      </w:pPr>
      <w:r w:rsidRPr="005F311E">
        <w:t xml:space="preserve">Being overcommitted to one conceptualisation over others (bias), perhaps the wrong one, could lead to </w:t>
      </w:r>
      <w:r w:rsidR="00981499">
        <w:t>simulation</w:t>
      </w:r>
      <w:r w:rsidRPr="005F311E">
        <w:t>s that overestimate or underestimate impacts. If uncertainty analysis focusses only on errors and neglects to account for or discuss biases, incomplete and distorted evidence of the modelling accuracy will be provided.</w:t>
      </w:r>
    </w:p>
    <w:p w14:paraId="28A865F9" w14:textId="77777777" w:rsidR="00712606" w:rsidRPr="005F311E" w:rsidRDefault="00712606" w:rsidP="005F311E">
      <w:pPr>
        <w:pStyle w:val="BodyText"/>
      </w:pPr>
      <w:r w:rsidRPr="00C952EC">
        <w:t xml:space="preserve">For detailed background and discussion of uncertainty issues and methodologies, consult the NCGRT report on the groundwater modelling uncertainty workshop (Middlemis et al. 2018). </w:t>
      </w:r>
    </w:p>
    <w:p w14:paraId="5F5CD573" w14:textId="77777777" w:rsidR="00456C7A" w:rsidRDefault="009263FE" w:rsidP="009263FE">
      <w:pPr>
        <w:pStyle w:val="Heading1"/>
      </w:pPr>
      <w:bookmarkStart w:id="9" w:name="_Toc505681233"/>
      <w:r>
        <w:t>RISK CONTEXT, CAUSAL PATHWAYS AND ADAPTIVE MANAGEMENT</w:t>
      </w:r>
      <w:bookmarkEnd w:id="9"/>
    </w:p>
    <w:p w14:paraId="07758E5F" w14:textId="77777777" w:rsidR="00C8569B" w:rsidRDefault="00C8569B" w:rsidP="00C8569B">
      <w:pPr>
        <w:pStyle w:val="Heading2"/>
      </w:pPr>
      <w:bookmarkStart w:id="10" w:name="_Toc505681234"/>
      <w:r>
        <w:t xml:space="preserve">Uncertainty is integral to </w:t>
      </w:r>
      <w:r w:rsidR="006C6C1F">
        <w:t>Risk Management</w:t>
      </w:r>
      <w:bookmarkEnd w:id="10"/>
    </w:p>
    <w:p w14:paraId="43E39413" w14:textId="77777777" w:rsidR="00B7383E" w:rsidRDefault="00A37D8B" w:rsidP="00456C7A">
      <w:pPr>
        <w:pStyle w:val="BodyText"/>
      </w:pPr>
      <w:r>
        <w:t>Risk is defined as the effect of uncertainty on project objectives (</w:t>
      </w:r>
      <w:r w:rsidRPr="00B7383E">
        <w:t xml:space="preserve">AS/NZS </w:t>
      </w:r>
      <w:r>
        <w:t>31000:</w:t>
      </w:r>
      <w:r w:rsidRPr="00B7383E">
        <w:t>2009)</w:t>
      </w:r>
      <w:r>
        <w:t>.</w:t>
      </w:r>
    </w:p>
    <w:p w14:paraId="0CB47446" w14:textId="77777777" w:rsidR="00776016" w:rsidRDefault="00776016" w:rsidP="00456C7A">
      <w:pPr>
        <w:pStyle w:val="BodyText"/>
      </w:pPr>
      <w:r>
        <w:t xml:space="preserve">Risk </w:t>
      </w:r>
      <w:r w:rsidR="00FF59AC">
        <w:t xml:space="preserve">is </w:t>
      </w:r>
      <w:r w:rsidR="001D0BD8">
        <w:t>characterised</w:t>
      </w:r>
      <w:r w:rsidR="00722E60">
        <w:t>/quantified</w:t>
      </w:r>
      <w:r w:rsidR="001D0BD8">
        <w:t xml:space="preserve"> </w:t>
      </w:r>
      <w:r>
        <w:t xml:space="preserve">as </w:t>
      </w:r>
      <w:r w:rsidR="001D0BD8">
        <w:t xml:space="preserve">a </w:t>
      </w:r>
      <w:r>
        <w:t xml:space="preserve">function of </w:t>
      </w:r>
      <w:r w:rsidR="001D0BD8">
        <w:t xml:space="preserve">the </w:t>
      </w:r>
      <w:r w:rsidR="00CA3D32">
        <w:t>probability</w:t>
      </w:r>
      <w:r>
        <w:t xml:space="preserve"> </w:t>
      </w:r>
      <w:r w:rsidR="001D0BD8">
        <w:t xml:space="preserve">and consequences </w:t>
      </w:r>
      <w:r>
        <w:t>of an outcome</w:t>
      </w:r>
      <w:r w:rsidR="00CA3D32">
        <w:t>.</w:t>
      </w:r>
    </w:p>
    <w:p w14:paraId="01DD4CF8" w14:textId="5D7AEE5A" w:rsidR="00B164C1" w:rsidRDefault="00B164C1" w:rsidP="00B164C1">
      <w:pPr>
        <w:pStyle w:val="BodyText"/>
      </w:pPr>
      <w:r w:rsidRPr="001048DA">
        <w:t>Freeze et al</w:t>
      </w:r>
      <w:r w:rsidR="00E55EA0">
        <w:t>.</w:t>
      </w:r>
      <w:r w:rsidRPr="001048DA">
        <w:t xml:space="preserve"> (1990) characterize</w:t>
      </w:r>
      <w:r w:rsidR="006C6C1F">
        <w:t>s</w:t>
      </w:r>
      <w:r w:rsidRPr="001048DA">
        <w:t xml:space="preserve"> th</w:t>
      </w:r>
      <w:r>
        <w:t>e</w:t>
      </w:r>
      <w:r w:rsidRPr="001048DA">
        <w:t xml:space="preserve"> role </w:t>
      </w:r>
      <w:r>
        <w:t xml:space="preserve">of models </w:t>
      </w:r>
      <w:r w:rsidRPr="001048DA">
        <w:t xml:space="preserve">in decision-support </w:t>
      </w:r>
      <w:r>
        <w:t>as quantifying</w:t>
      </w:r>
      <w:r w:rsidRPr="001048DA">
        <w:t xml:space="preserve"> the level of risk associated with management</w:t>
      </w:r>
      <w:r>
        <w:t xml:space="preserve"> options</w:t>
      </w:r>
      <w:r w:rsidRPr="001048DA">
        <w:t xml:space="preserve">. </w:t>
      </w:r>
      <w:r w:rsidRPr="005A0DED">
        <w:t xml:space="preserve">It follows that if a model is </w:t>
      </w:r>
      <w:r>
        <w:t>applied</w:t>
      </w:r>
      <w:r w:rsidRPr="005A0DED">
        <w:t xml:space="preserve"> to support environmental decision-making, its </w:t>
      </w:r>
      <w:r>
        <w:t>simulations of the consequences (impacts) of</w:t>
      </w:r>
      <w:r w:rsidRPr="005A0DED">
        <w:t xml:space="preserve"> management options must </w:t>
      </w:r>
      <w:r>
        <w:t xml:space="preserve">quantify the related </w:t>
      </w:r>
      <w:r w:rsidRPr="005A0DED">
        <w:t xml:space="preserve">uncertainties </w:t>
      </w:r>
      <w:r>
        <w:t>(Doherty and Moore, 2017).</w:t>
      </w:r>
    </w:p>
    <w:p w14:paraId="21DE67AA" w14:textId="77777777" w:rsidR="00B164C1" w:rsidRDefault="00B164C1" w:rsidP="00B164C1">
      <w:pPr>
        <w:pStyle w:val="BodyText"/>
      </w:pPr>
      <w:r w:rsidRPr="005E15AA">
        <w:t xml:space="preserve">Uncertainty analysis </w:t>
      </w:r>
      <w:r w:rsidR="00D23F12">
        <w:t xml:space="preserve">is therefore </w:t>
      </w:r>
      <w:r>
        <w:t xml:space="preserve">an integral part of </w:t>
      </w:r>
      <w:r w:rsidRPr="005E15AA">
        <w:t xml:space="preserve">a </w:t>
      </w:r>
      <w:r>
        <w:t xml:space="preserve">robust </w:t>
      </w:r>
      <w:r w:rsidRPr="005E15AA">
        <w:t xml:space="preserve">risk management framework, </w:t>
      </w:r>
      <w:r>
        <w:t xml:space="preserve">as it informs and </w:t>
      </w:r>
      <w:r w:rsidRPr="005E15AA">
        <w:t>complement</w:t>
      </w:r>
      <w:r>
        <w:t>s</w:t>
      </w:r>
      <w:r w:rsidRPr="005E15AA">
        <w:t xml:space="preserve"> other aspects such as risk assessment</w:t>
      </w:r>
      <w:r>
        <w:t xml:space="preserve"> and </w:t>
      </w:r>
      <w:r w:rsidRPr="005E15AA">
        <w:t>mitigation</w:t>
      </w:r>
      <w:r w:rsidR="0057760C">
        <w:t>s/treatments</w:t>
      </w:r>
      <w:r w:rsidRPr="005E15AA">
        <w:t>, communicating outcomes and prioritis</w:t>
      </w:r>
      <w:r>
        <w:t>ing</w:t>
      </w:r>
      <w:r w:rsidRPr="005E15AA">
        <w:t xml:space="preserve"> effort</w:t>
      </w:r>
      <w:r>
        <w:t xml:space="preserve"> to reduce uncertainty (e.g. by acquiring data on key processes)</w:t>
      </w:r>
      <w:r w:rsidR="00DE1CAA">
        <w:t xml:space="preserve"> (Walker, 2017)</w:t>
      </w:r>
      <w:r w:rsidRPr="005E15AA">
        <w:t>.</w:t>
      </w:r>
      <w:r w:rsidR="00A62861">
        <w:t xml:space="preserve"> A key example </w:t>
      </w:r>
      <w:r w:rsidR="00013296">
        <w:t xml:space="preserve">of high priority (but relatively low cost) data </w:t>
      </w:r>
      <w:r w:rsidR="006C750D">
        <w:t xml:space="preserve">that reduces uncertainty in </w:t>
      </w:r>
      <w:r w:rsidR="00A62861">
        <w:t xml:space="preserve">groundwater models is </w:t>
      </w:r>
      <w:r w:rsidR="00291F71">
        <w:t>accurate LiDAR topographical data</w:t>
      </w:r>
      <w:r w:rsidR="00013296">
        <w:t xml:space="preserve">. Accurate </w:t>
      </w:r>
      <w:r w:rsidR="00291F71">
        <w:t>defini</w:t>
      </w:r>
      <w:r w:rsidR="00013296">
        <w:t>tion of</w:t>
      </w:r>
      <w:r w:rsidR="00291F71">
        <w:t xml:space="preserve"> the interface between the surface and the sub-surface</w:t>
      </w:r>
      <w:r w:rsidR="00013296">
        <w:t xml:space="preserve"> is critical for </w:t>
      </w:r>
      <w:r w:rsidR="00291F71">
        <w:t>implementing boundary condition</w:t>
      </w:r>
      <w:r w:rsidR="006C750D">
        <w:t>s</w:t>
      </w:r>
      <w:r w:rsidR="00291F71">
        <w:t xml:space="preserve"> in a model to represent surface water </w:t>
      </w:r>
      <w:r w:rsidR="00267DFD">
        <w:t xml:space="preserve">features </w:t>
      </w:r>
      <w:r w:rsidR="00291F71">
        <w:t>(creeks/rivers), evapotranspiration and spring</w:t>
      </w:r>
      <w:r w:rsidR="00267DFD">
        <w:t xml:space="preserve"> features</w:t>
      </w:r>
      <w:r w:rsidR="00604903">
        <w:t xml:space="preserve"> (Doble and Crosbie, 2017)</w:t>
      </w:r>
      <w:r w:rsidR="00291F71">
        <w:t xml:space="preserve">. </w:t>
      </w:r>
    </w:p>
    <w:p w14:paraId="6C3BA69F" w14:textId="77777777" w:rsidR="006343AA" w:rsidRDefault="00CA3D32" w:rsidP="00BD56C7">
      <w:pPr>
        <w:pStyle w:val="BodyText"/>
      </w:pPr>
      <w:r w:rsidRPr="00F17FFB">
        <w:t>In environmental management, r</w:t>
      </w:r>
      <w:r w:rsidR="008538FC" w:rsidRPr="00F17FFB">
        <w:t>isk has negative connotation</w:t>
      </w:r>
      <w:r w:rsidR="001D0BD8" w:rsidRPr="00F17FFB">
        <w:t>s</w:t>
      </w:r>
      <w:r w:rsidR="00A24718" w:rsidRPr="00F17FFB">
        <w:t xml:space="preserve"> </w:t>
      </w:r>
      <w:r w:rsidR="001D0BD8" w:rsidRPr="00F17FFB">
        <w:t xml:space="preserve">generally </w:t>
      </w:r>
      <w:r w:rsidR="008538FC" w:rsidRPr="00F17FFB">
        <w:t xml:space="preserve">associated with the </w:t>
      </w:r>
      <w:r w:rsidR="00FD7AB4" w:rsidRPr="00F17FFB">
        <w:t xml:space="preserve">hazards or </w:t>
      </w:r>
      <w:r w:rsidRPr="00F17FFB">
        <w:t>impacts</w:t>
      </w:r>
      <w:r w:rsidR="008538FC" w:rsidRPr="00F17FFB">
        <w:t xml:space="preserve"> of a development</w:t>
      </w:r>
      <w:r w:rsidRPr="00F17FFB">
        <w:t xml:space="preserve">. In </w:t>
      </w:r>
      <w:r w:rsidR="001D0BD8" w:rsidRPr="00F17FFB">
        <w:t>this sense,</w:t>
      </w:r>
      <w:r w:rsidR="00A24718" w:rsidRPr="00F17FFB">
        <w:t xml:space="preserve"> </w:t>
      </w:r>
      <w:r w:rsidRPr="00F17FFB">
        <w:t xml:space="preserve">risk is </w:t>
      </w:r>
      <w:r w:rsidR="00A24718" w:rsidRPr="00F17FFB">
        <w:t xml:space="preserve">one </w:t>
      </w:r>
      <w:r w:rsidRPr="00F17FFB">
        <w:t>possible (negative) consequence of uncertainty</w:t>
      </w:r>
      <w:r w:rsidR="00A24718" w:rsidRPr="00F17FFB">
        <w:t xml:space="preserve">. Other (positive) consequences of uncertainty can </w:t>
      </w:r>
      <w:r w:rsidR="005E15AA" w:rsidRPr="00F17FFB">
        <w:t xml:space="preserve">also </w:t>
      </w:r>
      <w:r w:rsidR="006F5742" w:rsidRPr="00F17FFB">
        <w:t xml:space="preserve">be identified </w:t>
      </w:r>
      <w:r w:rsidR="00A24718" w:rsidRPr="00F17FFB">
        <w:t>(Begg, 2013)</w:t>
      </w:r>
      <w:r w:rsidR="006F5742" w:rsidRPr="00F17FFB">
        <w:t xml:space="preserve"> </w:t>
      </w:r>
      <w:r w:rsidR="00FD7AB4" w:rsidRPr="00F17FFB">
        <w:t xml:space="preserve">by </w:t>
      </w:r>
      <w:r w:rsidR="00FD7AB4" w:rsidRPr="00F17FFB">
        <w:lastRenderedPageBreak/>
        <w:t xml:space="preserve">way of </w:t>
      </w:r>
      <w:r w:rsidR="00A24718" w:rsidRPr="00F17FFB">
        <w:t xml:space="preserve">opportunities to achieve desired benefits (e.g. to justify expenditure on a mining project where sound environmental management can manage </w:t>
      </w:r>
      <w:r w:rsidR="001D0BD8" w:rsidRPr="00F17FFB">
        <w:t xml:space="preserve">other </w:t>
      </w:r>
      <w:r w:rsidR="009A5FA0" w:rsidRPr="00F17FFB">
        <w:t xml:space="preserve">project </w:t>
      </w:r>
      <w:r w:rsidR="00A24718" w:rsidRPr="00F17FFB">
        <w:t xml:space="preserve">risks). </w:t>
      </w:r>
      <w:r w:rsidR="009E4CAA" w:rsidRPr="00F17FFB">
        <w:t>This highlights the point that value judgements are involved in all risk assessments and the</w:t>
      </w:r>
      <w:r w:rsidR="00722E60">
        <w:t xml:space="preserve"> value judgements </w:t>
      </w:r>
      <w:r w:rsidR="009E4CAA" w:rsidRPr="00F17FFB">
        <w:t xml:space="preserve">depend entirely on the economic, social and/or environmental values established in public policies, business cultures and community viewpoints. </w:t>
      </w:r>
      <w:r w:rsidR="00722E60">
        <w:t>While s</w:t>
      </w:r>
      <w:r w:rsidR="009E4CAA" w:rsidRPr="00F17FFB">
        <w:t xml:space="preserve">cientific studies provide objective information on environmental risks, impacts, mitigations, benefits and management, </w:t>
      </w:r>
      <w:r w:rsidR="00722E60">
        <w:t xml:space="preserve">subjective </w:t>
      </w:r>
      <w:r w:rsidR="009E4CAA" w:rsidRPr="00F17FFB">
        <w:t xml:space="preserve">value judgements </w:t>
      </w:r>
      <w:r w:rsidR="00722E60">
        <w:t xml:space="preserve">are also </w:t>
      </w:r>
      <w:r w:rsidR="009E4CAA" w:rsidRPr="00F17FFB">
        <w:t xml:space="preserve">involved via </w:t>
      </w:r>
      <w:r w:rsidR="000802A8">
        <w:t xml:space="preserve">business, </w:t>
      </w:r>
      <w:r w:rsidR="009E4CAA" w:rsidRPr="00F17FFB">
        <w:t>political and/or community viewpoints.</w:t>
      </w:r>
      <w:r w:rsidR="009E4CAA" w:rsidRPr="009E4CAA">
        <w:t xml:space="preserve"> </w:t>
      </w:r>
    </w:p>
    <w:p w14:paraId="477405A4" w14:textId="77777777" w:rsidR="006C750D" w:rsidRDefault="0036108C" w:rsidP="00BD56C7">
      <w:pPr>
        <w:pStyle w:val="BodyText"/>
      </w:pPr>
      <w:r>
        <w:t xml:space="preserve">The </w:t>
      </w:r>
      <w:r w:rsidR="00140CCB">
        <w:t>precautionary principle</w:t>
      </w:r>
      <w:r w:rsidR="00315350">
        <w:t xml:space="preserve"> is</w:t>
      </w:r>
      <w:r w:rsidR="00C27B42">
        <w:t xml:space="preserve"> incorporated in the principles of ecologically sustainable development </w:t>
      </w:r>
      <w:r w:rsidR="00315350">
        <w:t xml:space="preserve">(ESD), which are promoted by the objectives of </w:t>
      </w:r>
      <w:r w:rsidR="00C27B42">
        <w:t>the EPBC Act 1999 (Cth)</w:t>
      </w:r>
      <w:r w:rsidR="00315350">
        <w:t>. ESD principles</w:t>
      </w:r>
      <w:r>
        <w:t xml:space="preserve"> </w:t>
      </w:r>
      <w:r w:rsidR="00B86F08">
        <w:t xml:space="preserve">establish that social considerations are a key factor in </w:t>
      </w:r>
      <w:r w:rsidRPr="00B86F08">
        <w:t>decision</w:t>
      </w:r>
      <w:r w:rsidRPr="00B86F08">
        <w:rPr>
          <w:rFonts w:ascii="Cambria Math" w:hAnsi="Cambria Math" w:cs="Cambria Math"/>
        </w:rPr>
        <w:t>‑</w:t>
      </w:r>
      <w:r w:rsidRPr="00B86F08">
        <w:t>making processes</w:t>
      </w:r>
      <w:r w:rsidR="00B86F08">
        <w:t>, along with</w:t>
      </w:r>
      <w:r w:rsidRPr="00B86F08">
        <w:t xml:space="preserve"> economic</w:t>
      </w:r>
      <w:r w:rsidR="00B86F08">
        <w:t xml:space="preserve"> and</w:t>
      </w:r>
      <w:r w:rsidRPr="00B86F08">
        <w:t xml:space="preserve"> environmental</w:t>
      </w:r>
      <w:r w:rsidR="00B86F08">
        <w:t xml:space="preserve"> factors</w:t>
      </w:r>
      <w:r w:rsidR="002B31BC">
        <w:t xml:space="preserve">. Further information on </w:t>
      </w:r>
      <w:r w:rsidR="00747F82">
        <w:t xml:space="preserve">the precautionary principle and </w:t>
      </w:r>
      <w:r w:rsidR="002B31BC">
        <w:t>ESD is provided in the report on the 2009 independent review of the EPBC Act (Australian Government; 2009)</w:t>
      </w:r>
      <w:r w:rsidR="00C27B42" w:rsidRPr="00B86F08">
        <w:t>.</w:t>
      </w:r>
      <w:r w:rsidR="00C27B42">
        <w:t xml:space="preserve"> </w:t>
      </w:r>
      <w:r>
        <w:t>T</w:t>
      </w:r>
      <w:r w:rsidR="00747F82">
        <w:t xml:space="preserve">hese </w:t>
      </w:r>
      <w:r w:rsidR="00315350">
        <w:t xml:space="preserve">principles </w:t>
      </w:r>
      <w:r w:rsidR="009678E5">
        <w:t xml:space="preserve">are very important, and </w:t>
      </w:r>
      <w:r w:rsidR="00747F82">
        <w:t xml:space="preserve">have </w:t>
      </w:r>
      <w:r w:rsidR="00140CCB">
        <w:t xml:space="preserve">been tested in Australian law, notably </w:t>
      </w:r>
      <w:r w:rsidR="00C27B42">
        <w:t>in the</w:t>
      </w:r>
      <w:r w:rsidR="007B2BD1">
        <w:t xml:space="preserve"> </w:t>
      </w:r>
      <w:r w:rsidR="00C27B42">
        <w:t xml:space="preserve">Queensland Land Court case </w:t>
      </w:r>
      <w:r w:rsidR="007B2BD1">
        <w:t xml:space="preserve">in 2015 </w:t>
      </w:r>
      <w:r w:rsidR="00C27B42">
        <w:t xml:space="preserve">in relation to the proposed Adani </w:t>
      </w:r>
      <w:r w:rsidR="00D069E7">
        <w:t xml:space="preserve">Carmichael </w:t>
      </w:r>
      <w:r w:rsidR="00C27B42">
        <w:t xml:space="preserve">coal mine (QLC 48). </w:t>
      </w:r>
    </w:p>
    <w:p w14:paraId="4909435D" w14:textId="2A4EFC9B" w:rsidR="00F17FFB" w:rsidRDefault="00973A69" w:rsidP="00BD56C7">
      <w:pPr>
        <w:pStyle w:val="BodyText"/>
      </w:pPr>
      <w:r>
        <w:t>In th</w:t>
      </w:r>
      <w:r w:rsidR="00D069E7">
        <w:t xml:space="preserve">is Explanatory Note </w:t>
      </w:r>
      <w:r>
        <w:t>context, t</w:t>
      </w:r>
      <w:r w:rsidR="00F34FFF">
        <w:t xml:space="preserve">he precautionary principle </w:t>
      </w:r>
      <w:r>
        <w:t>may be summarised as follows: if</w:t>
      </w:r>
      <w:r w:rsidRPr="00973A69">
        <w:t xml:space="preserve"> a</w:t>
      </w:r>
      <w:r>
        <w:t xml:space="preserve"> development</w:t>
      </w:r>
      <w:r w:rsidRPr="00973A69">
        <w:t xml:space="preserve"> raises </w:t>
      </w:r>
      <w:r>
        <w:t>the</w:t>
      </w:r>
      <w:r w:rsidRPr="00973A69">
        <w:t xml:space="preserve"> </w:t>
      </w:r>
      <w:r w:rsidR="00497A9F">
        <w:t xml:space="preserve">risk </w:t>
      </w:r>
      <w:r w:rsidRPr="00973A69">
        <w:t>of harm to the environment</w:t>
      </w:r>
      <w:r>
        <w:t xml:space="preserve"> (i.e. in non-trivial likelihood and consequence terms)</w:t>
      </w:r>
      <w:r w:rsidRPr="00973A69">
        <w:t>,</w:t>
      </w:r>
      <w:r>
        <w:t xml:space="preserve"> </w:t>
      </w:r>
      <w:r w:rsidR="00D069E7">
        <w:t xml:space="preserve">then </w:t>
      </w:r>
      <w:r>
        <w:t>proportionate</w:t>
      </w:r>
      <w:r w:rsidRPr="00973A69">
        <w:t xml:space="preserve"> precautionary measures should be taken even if some cause and effect relationships are not fully established scientifically</w:t>
      </w:r>
      <w:r>
        <w:t>.</w:t>
      </w:r>
      <w:r w:rsidR="00026C1B">
        <w:t xml:space="preserve"> </w:t>
      </w:r>
      <w:r w:rsidR="00F600B5">
        <w:t xml:space="preserve">Importantly, </w:t>
      </w:r>
      <w:r w:rsidR="00026C1B">
        <w:t xml:space="preserve">if </w:t>
      </w:r>
      <w:r w:rsidR="009678E5">
        <w:t>both</w:t>
      </w:r>
      <w:r w:rsidR="00026C1B">
        <w:t xml:space="preserve"> </w:t>
      </w:r>
      <w:r w:rsidR="00F600B5">
        <w:t xml:space="preserve">key </w:t>
      </w:r>
      <w:r w:rsidR="00897B84">
        <w:t xml:space="preserve">pre-conditions for the application of the precautionary principle </w:t>
      </w:r>
      <w:r w:rsidR="00D069E7">
        <w:t xml:space="preserve">are established </w:t>
      </w:r>
      <w:r w:rsidR="00897B84">
        <w:t>(</w:t>
      </w:r>
      <w:r>
        <w:t>the threat of serious or irreversible environmental damage, and scientific uncertainty as to the nature and scope of the threat of environmental damage</w:t>
      </w:r>
      <w:r w:rsidR="004B36B2">
        <w:t>;</w:t>
      </w:r>
      <w:r w:rsidR="00026C1B">
        <w:t xml:space="preserve"> noting that these conditions or thresholds are cumulative</w:t>
      </w:r>
      <w:r>
        <w:t>), the burden of proof shifts to the proponents of the development</w:t>
      </w:r>
      <w:r w:rsidR="00026C1B">
        <w:t xml:space="preserve"> (Australian Government, 2009; item 13.21)</w:t>
      </w:r>
      <w:r>
        <w:t>.</w:t>
      </w:r>
      <w:r w:rsidR="00D069E7">
        <w:t xml:space="preserve"> Hence the </w:t>
      </w:r>
      <w:r w:rsidR="00747F82">
        <w:t xml:space="preserve">critical need </w:t>
      </w:r>
      <w:r w:rsidR="00D069E7">
        <w:t>to investigate causal pathways when designing groundwater modelling approaches for unbiased investigation and quantification of uncertainty.</w:t>
      </w:r>
    </w:p>
    <w:p w14:paraId="036A1803" w14:textId="333D8181" w:rsidR="0072154B" w:rsidRDefault="00F178B9" w:rsidP="00456C7A">
      <w:pPr>
        <w:pStyle w:val="BodyText"/>
      </w:pPr>
      <w:r>
        <w:t>This Explanatory Note focus</w:t>
      </w:r>
      <w:r w:rsidR="004B7233">
        <w:t>es</w:t>
      </w:r>
      <w:r>
        <w:t xml:space="preserve"> on environmental management, and thus it </w:t>
      </w:r>
      <w:r w:rsidR="00716D00">
        <w:t>mainly</w:t>
      </w:r>
      <w:r w:rsidR="006F5742">
        <w:t xml:space="preserve"> </w:t>
      </w:r>
      <w:r>
        <w:t xml:space="preserve">discusses the negative aspects of risk. However, the techniques described herein to analyse hydrogeological uncertainty can be used to guide decisions </w:t>
      </w:r>
      <w:r w:rsidR="001D2196">
        <w:t xml:space="preserve">on opportunities </w:t>
      </w:r>
      <w:r>
        <w:t xml:space="preserve">that can generate </w:t>
      </w:r>
      <w:r w:rsidR="00752F2B">
        <w:t xml:space="preserve">cost-effective </w:t>
      </w:r>
      <w:r>
        <w:t xml:space="preserve">benefits for proponents of developments (e.g. </w:t>
      </w:r>
      <w:r w:rsidR="008932AE">
        <w:t xml:space="preserve">by investigating and </w:t>
      </w:r>
      <w:r>
        <w:t>minimising dewatering</w:t>
      </w:r>
      <w:r w:rsidRPr="00F178B9">
        <w:t xml:space="preserve"> </w:t>
      </w:r>
      <w:r>
        <w:t>uncertainties)</w:t>
      </w:r>
      <w:r w:rsidR="008932AE">
        <w:t xml:space="preserve"> as well as for all stakeholders via adaptive environmental management</w:t>
      </w:r>
      <w:r w:rsidR="00B164C1">
        <w:t xml:space="preserve"> (e.g. establishing threshold impacts/triggers)</w:t>
      </w:r>
      <w:r w:rsidR="00897B84">
        <w:t>, based on the consideration of causal pathways for potential impacts and the effects of uncertainty</w:t>
      </w:r>
      <w:r w:rsidR="00385ED9">
        <w:t xml:space="preserve">. </w:t>
      </w:r>
    </w:p>
    <w:p w14:paraId="1827DAAC" w14:textId="77777777" w:rsidR="00C9546A" w:rsidRPr="00C8569B" w:rsidRDefault="00C8569B" w:rsidP="00C8569B">
      <w:pPr>
        <w:pStyle w:val="Heading2"/>
      </w:pPr>
      <w:bookmarkStart w:id="11" w:name="_Toc505681235"/>
      <w:r>
        <w:t>Ca</w:t>
      </w:r>
      <w:r w:rsidRPr="00C8569B">
        <w:t>u</w:t>
      </w:r>
      <w:r>
        <w:t>s</w:t>
      </w:r>
      <w:r w:rsidRPr="00C8569B">
        <w:t>al Pathways</w:t>
      </w:r>
      <w:bookmarkEnd w:id="11"/>
    </w:p>
    <w:p w14:paraId="4BFCB912" w14:textId="599DF85F" w:rsidR="009E4CAA" w:rsidRDefault="0001231D" w:rsidP="00E6277E">
      <w:pPr>
        <w:pStyle w:val="BodyText"/>
      </w:pPr>
      <w:r w:rsidRPr="00F17FFB">
        <w:t xml:space="preserve">The </w:t>
      </w:r>
      <w:r w:rsidR="00CE2DFF" w:rsidRPr="00F17FFB">
        <w:t xml:space="preserve">Information Guidelines </w:t>
      </w:r>
      <w:r w:rsidR="0057760C" w:rsidRPr="00F17FFB">
        <w:t xml:space="preserve">highlight the need to investigate causal pathways for potential impacts </w:t>
      </w:r>
      <w:r w:rsidRPr="00F17FFB">
        <w:t>o</w:t>
      </w:r>
      <w:r w:rsidR="0057760C" w:rsidRPr="00F17FFB">
        <w:t>n</w:t>
      </w:r>
      <w:r w:rsidRPr="00F17FFB">
        <w:t xml:space="preserve"> </w:t>
      </w:r>
      <w:r w:rsidR="0057760C" w:rsidRPr="00F17FFB">
        <w:t xml:space="preserve">the </w:t>
      </w:r>
      <w:r w:rsidR="006225B7" w:rsidRPr="00F17FFB">
        <w:t xml:space="preserve">water resources and water-dependent assets </w:t>
      </w:r>
      <w:r w:rsidR="0057760C" w:rsidRPr="00F17FFB">
        <w:t xml:space="preserve">arising from </w:t>
      </w:r>
      <w:r w:rsidR="006225B7" w:rsidRPr="00F17FFB">
        <w:t>mining or CSG operations</w:t>
      </w:r>
      <w:r w:rsidR="00EF6E7D" w:rsidRPr="00F17FFB">
        <w:t xml:space="preserve"> via </w:t>
      </w:r>
      <w:r w:rsidR="009E2F3D" w:rsidRPr="00F17FFB">
        <w:t xml:space="preserve">the stressors of </w:t>
      </w:r>
      <w:r w:rsidR="00EF6E7D" w:rsidRPr="00F17FFB">
        <w:t xml:space="preserve">dewatering or depressurisation of hydrogeological units. </w:t>
      </w:r>
      <w:r w:rsidR="009E4CAA" w:rsidRPr="00F17FFB">
        <w:t>Identifying relevant causal pathways is a crucial part of uncertainty quantification. It will determine the modelling approach, the sources of uncertainty to consider and most importantly, the model outcomes required.</w:t>
      </w:r>
    </w:p>
    <w:p w14:paraId="3954D768" w14:textId="77777777" w:rsidR="004D4EEA" w:rsidRDefault="00E12C40" w:rsidP="00E6277E">
      <w:pPr>
        <w:pStyle w:val="BodyText"/>
      </w:pPr>
      <w:r>
        <w:t xml:space="preserve">Causal pathways </w:t>
      </w:r>
      <w:r w:rsidR="004D5E5E">
        <w:t xml:space="preserve">should be </w:t>
      </w:r>
      <w:r>
        <w:t xml:space="preserve">identified by conservatively </w:t>
      </w:r>
      <w:r w:rsidR="00EF6E7D">
        <w:t>consider</w:t>
      </w:r>
      <w:r>
        <w:t>ing</w:t>
      </w:r>
      <w:r w:rsidR="00EF6E7D">
        <w:t xml:space="preserve"> </w:t>
      </w:r>
      <w:r w:rsidR="001764E1">
        <w:t xml:space="preserve">potential </w:t>
      </w:r>
      <w:r w:rsidR="006225B7">
        <w:t>connectivit</w:t>
      </w:r>
      <w:r w:rsidR="001764E1">
        <w:t>ies</w:t>
      </w:r>
      <w:r w:rsidR="006225B7">
        <w:t xml:space="preserve"> </w:t>
      </w:r>
      <w:r>
        <w:t xml:space="preserve">between </w:t>
      </w:r>
      <w:r w:rsidR="006225B7">
        <w:t xml:space="preserve">groundwater units </w:t>
      </w:r>
      <w:r>
        <w:t>and/or</w:t>
      </w:r>
      <w:r w:rsidR="006225B7">
        <w:t xml:space="preserve"> surface water features and </w:t>
      </w:r>
      <w:r w:rsidR="001764E1">
        <w:t xml:space="preserve">related </w:t>
      </w:r>
      <w:r w:rsidR="006225B7">
        <w:t>ecological assets</w:t>
      </w:r>
      <w:r>
        <w:t xml:space="preserve"> such as groundwater dependent ecosystems (GDEs)</w:t>
      </w:r>
      <w:r w:rsidR="003C5132">
        <w:t>.</w:t>
      </w:r>
      <w:r w:rsidR="004D4EEA">
        <w:t xml:space="preserve"> </w:t>
      </w:r>
      <w:r w:rsidR="003C5132">
        <w:t>M</w:t>
      </w:r>
      <w:r w:rsidR="004D4EEA">
        <w:t xml:space="preserve">ore detail </w:t>
      </w:r>
      <w:r w:rsidR="003C5132">
        <w:t xml:space="preserve">on causal pathways and conceptual model development </w:t>
      </w:r>
      <w:r w:rsidR="004D4EEA">
        <w:t>is provided in Holland et al</w:t>
      </w:r>
      <w:r w:rsidR="0050782C">
        <w:t>.</w:t>
      </w:r>
      <w:r w:rsidR="004D4EEA">
        <w:t xml:space="preserve"> (2016)</w:t>
      </w:r>
      <w:r w:rsidR="000010CC">
        <w:t xml:space="preserve"> and</w:t>
      </w:r>
      <w:r w:rsidR="003C5132">
        <w:t xml:space="preserve"> the IESC report on m</w:t>
      </w:r>
      <w:r w:rsidR="003C5132" w:rsidRPr="003C5132">
        <w:t>odelling water-related ecological responses</w:t>
      </w:r>
      <w:r w:rsidR="003C5132">
        <w:t xml:space="preserve"> (Cth, 2015).</w:t>
      </w:r>
      <w:r w:rsidR="001764E1">
        <w:t xml:space="preserve"> </w:t>
      </w:r>
      <w:r w:rsidR="00C004B3">
        <w:t>OGIA (2016a,</w:t>
      </w:r>
      <w:r w:rsidR="002F563B">
        <w:t xml:space="preserve"> 2016</w:t>
      </w:r>
      <w:r w:rsidR="00C004B3">
        <w:t xml:space="preserve">b) has published good </w:t>
      </w:r>
      <w:r w:rsidR="002F563B">
        <w:t xml:space="preserve">examples of </w:t>
      </w:r>
      <w:r w:rsidR="00C004B3">
        <w:t>hydrogeological and connectivity investigations.</w:t>
      </w:r>
      <w:r w:rsidR="007E6C87">
        <w:t xml:space="preserve"> Practical guidance on GDEs is provided in Eamus et al. (2006)</w:t>
      </w:r>
      <w:r w:rsidR="00137C72">
        <w:t>,</w:t>
      </w:r>
      <w:r w:rsidR="007E6C87">
        <w:t xml:space="preserve"> Eamus (2009), Richardson et al. (2011)</w:t>
      </w:r>
      <w:r w:rsidR="003D3378">
        <w:t>, and BoM (2015)</w:t>
      </w:r>
      <w:r w:rsidR="007E6C87">
        <w:t>.</w:t>
      </w:r>
    </w:p>
    <w:p w14:paraId="06D891E4" w14:textId="77777777" w:rsidR="00C004B3" w:rsidRDefault="00E6277E" w:rsidP="00493CA1">
      <w:pPr>
        <w:pStyle w:val="BodyText"/>
      </w:pPr>
      <w:r>
        <w:t xml:space="preserve">The </w:t>
      </w:r>
      <w:r w:rsidR="000010CC">
        <w:t xml:space="preserve">Information </w:t>
      </w:r>
      <w:r>
        <w:t xml:space="preserve">Guidelines </w:t>
      </w:r>
      <w:r w:rsidR="002E0A59">
        <w:t>therefore</w:t>
      </w:r>
      <w:r w:rsidR="008F32FD">
        <w:t xml:space="preserve"> </w:t>
      </w:r>
      <w:r>
        <w:t xml:space="preserve">require </w:t>
      </w:r>
      <w:r w:rsidR="000010CC">
        <w:t xml:space="preserve">detailed </w:t>
      </w:r>
      <w:r>
        <w:t xml:space="preserve">descriptions of the modelling approaches used to assess the likelihood, consequence or significance of impacts and the overall level of risk to water-dependent assets, and of the data quality and inherent uncertainties in the baseline conditions and the model simulations of predicted impacts. </w:t>
      </w:r>
    </w:p>
    <w:p w14:paraId="3D619AE4" w14:textId="77777777" w:rsidR="001764E1" w:rsidRDefault="00E6277E" w:rsidP="00493CA1">
      <w:pPr>
        <w:pStyle w:val="BodyText"/>
      </w:pPr>
      <w:r>
        <w:t xml:space="preserve">A </w:t>
      </w:r>
      <w:r w:rsidR="001764E1">
        <w:t xml:space="preserve">conservative approach </w:t>
      </w:r>
      <w:r w:rsidR="000010CC">
        <w:t xml:space="preserve">to modelling and impact assessment </w:t>
      </w:r>
      <w:r w:rsidR="00871F63">
        <w:t xml:space="preserve">may be </w:t>
      </w:r>
      <w:r w:rsidR="001764E1">
        <w:t xml:space="preserve">warranted in terms of </w:t>
      </w:r>
      <w:r w:rsidR="006A7B38">
        <w:lastRenderedPageBreak/>
        <w:t>aiming</w:t>
      </w:r>
      <w:r w:rsidR="004D5E5E">
        <w:t xml:space="preserve"> to </w:t>
      </w:r>
      <w:r w:rsidR="001764E1">
        <w:t>o</w:t>
      </w:r>
      <w:r w:rsidR="001764E1" w:rsidRPr="001764E1">
        <w:t>ver-predict</w:t>
      </w:r>
      <w:r w:rsidR="001764E1">
        <w:t xml:space="preserve"> the</w:t>
      </w:r>
      <w:r w:rsidR="001764E1" w:rsidRPr="001764E1">
        <w:t xml:space="preserve"> impacts of development</w:t>
      </w:r>
      <w:r w:rsidR="000010CC">
        <w:t>,</w:t>
      </w:r>
      <w:r w:rsidR="001764E1" w:rsidRPr="001764E1">
        <w:t xml:space="preserve"> </w:t>
      </w:r>
      <w:r w:rsidR="001764E1">
        <w:t xml:space="preserve">as that </w:t>
      </w:r>
      <w:r w:rsidR="001764E1" w:rsidRPr="001764E1">
        <w:t xml:space="preserve">provides confidence </w:t>
      </w:r>
      <w:r w:rsidR="001764E1">
        <w:t xml:space="preserve">in assessments in the </w:t>
      </w:r>
      <w:r w:rsidR="001764E1" w:rsidRPr="001764E1">
        <w:t xml:space="preserve">face </w:t>
      </w:r>
      <w:r w:rsidR="001764E1">
        <w:t xml:space="preserve">of </w:t>
      </w:r>
      <w:r w:rsidR="001764E1" w:rsidRPr="001764E1">
        <w:t>uncertainty</w:t>
      </w:r>
      <w:r w:rsidR="001764E1">
        <w:t xml:space="preserve"> (this is discussed further in the next few sections). </w:t>
      </w:r>
      <w:r>
        <w:t>On the other hand,</w:t>
      </w:r>
      <w:r w:rsidR="001764E1" w:rsidRPr="001764E1">
        <w:t xml:space="preserve"> </w:t>
      </w:r>
      <w:r w:rsidR="001764E1">
        <w:t xml:space="preserve">an </w:t>
      </w:r>
      <w:r w:rsidR="001764E1" w:rsidRPr="001764E1">
        <w:t xml:space="preserve">overly conservative approach is </w:t>
      </w:r>
      <w:r w:rsidR="001764E1">
        <w:t>not necessarily warranted in terms of the potential</w:t>
      </w:r>
      <w:r w:rsidR="002528FB">
        <w:t xml:space="preserve"> cost of</w:t>
      </w:r>
      <w:r w:rsidR="001764E1">
        <w:t xml:space="preserve"> </w:t>
      </w:r>
      <w:r w:rsidR="001764E1" w:rsidRPr="001764E1">
        <w:t xml:space="preserve">missed </w:t>
      </w:r>
      <w:r w:rsidR="001764E1">
        <w:t xml:space="preserve">economic </w:t>
      </w:r>
      <w:r w:rsidR="001764E1" w:rsidRPr="001764E1">
        <w:t>opportunity</w:t>
      </w:r>
      <w:r w:rsidR="001764E1">
        <w:t>.</w:t>
      </w:r>
      <w:r w:rsidR="000F06D6">
        <w:t xml:space="preserve"> </w:t>
      </w:r>
      <w:r w:rsidR="00DD6F4F">
        <w:t xml:space="preserve">These issues are discussed further in section </w:t>
      </w:r>
      <w:r w:rsidR="009263FE">
        <w:fldChar w:fldCharType="begin"/>
      </w:r>
      <w:r w:rsidR="009263FE">
        <w:instrText xml:space="preserve"> REF _Ref505518191 \r \h </w:instrText>
      </w:r>
      <w:r w:rsidR="009263FE">
        <w:fldChar w:fldCharType="separate"/>
      </w:r>
      <w:r w:rsidR="007950E7">
        <w:t>4</w:t>
      </w:r>
      <w:r w:rsidR="009263FE">
        <w:fldChar w:fldCharType="end"/>
      </w:r>
      <w:r w:rsidR="00DD6F4F">
        <w:t>.</w:t>
      </w:r>
    </w:p>
    <w:p w14:paraId="647FE61B" w14:textId="77777777" w:rsidR="00C9546A" w:rsidRPr="00ED1589" w:rsidRDefault="00E6277E" w:rsidP="00C9546A">
      <w:pPr>
        <w:pStyle w:val="BodyText"/>
      </w:pPr>
      <w:r>
        <w:t>Bioregional Assessment</w:t>
      </w:r>
      <w:r w:rsidR="00D43A0B">
        <w:t>s (BAs)</w:t>
      </w:r>
      <w:r>
        <w:t xml:space="preserve"> provide useful case studies for </w:t>
      </w:r>
      <w:r w:rsidR="00C9546A" w:rsidRPr="00ED1589">
        <w:t>environmental impact assessment</w:t>
      </w:r>
      <w:r w:rsidR="00D14895">
        <w:t>s</w:t>
      </w:r>
      <w:r w:rsidR="00C9546A" w:rsidRPr="00ED1589">
        <w:t xml:space="preserve"> </w:t>
      </w:r>
      <w:r w:rsidR="00D43A0B">
        <w:t>for large coal mines and CSG proposals</w:t>
      </w:r>
      <w:r w:rsidR="00137C72">
        <w:t>. T</w:t>
      </w:r>
      <w:r w:rsidR="00D43A0B">
        <w:t>he</w:t>
      </w:r>
      <w:r>
        <w:t xml:space="preserve"> guiding principles </w:t>
      </w:r>
      <w:r w:rsidR="00D43A0B">
        <w:t xml:space="preserve">from the Information Guidelines </w:t>
      </w:r>
      <w:r>
        <w:t xml:space="preserve">were used to develop the </w:t>
      </w:r>
      <w:r w:rsidR="00D43A0B">
        <w:t xml:space="preserve">BA </w:t>
      </w:r>
      <w:r>
        <w:t>methodologies</w:t>
      </w:r>
      <w:r w:rsidR="00C9546A" w:rsidRPr="00ED1589">
        <w:t xml:space="preserve"> (Cth, 2013)</w:t>
      </w:r>
      <w:r w:rsidR="00D43A0B">
        <w:t xml:space="preserve"> for the investigation of</w:t>
      </w:r>
      <w:r w:rsidR="006F3401">
        <w:t xml:space="preserve"> key issues</w:t>
      </w:r>
      <w:r w:rsidR="00137C72">
        <w:t>, including</w:t>
      </w:r>
      <w:r w:rsidR="00C9546A" w:rsidRPr="00ED1589">
        <w:t>:</w:t>
      </w:r>
    </w:p>
    <w:p w14:paraId="19AB8C60" w14:textId="77777777" w:rsidR="00C9546A" w:rsidRPr="00ED1589" w:rsidRDefault="00C9546A" w:rsidP="00ED1589">
      <w:pPr>
        <w:pStyle w:val="Bulletdot"/>
      </w:pPr>
      <w:r w:rsidRPr="00ED1589">
        <w:t>potential direct, indirect and cumulative impacts on water resources</w:t>
      </w:r>
      <w:r w:rsidR="00ED1589">
        <w:t>;</w:t>
      </w:r>
    </w:p>
    <w:p w14:paraId="65350E4C" w14:textId="77777777" w:rsidR="00C9546A" w:rsidRPr="00ED1589" w:rsidRDefault="00C9546A" w:rsidP="00ED1589">
      <w:pPr>
        <w:pStyle w:val="Bulletdot"/>
      </w:pPr>
      <w:r w:rsidRPr="00ED1589">
        <w:t>causal pathways link</w:t>
      </w:r>
      <w:r w:rsidR="00ED1589">
        <w:t>ing</w:t>
      </w:r>
      <w:r w:rsidRPr="00ED1589">
        <w:t xml:space="preserve"> depressurisation and dewatering of coal seams at depth with impacts on anthropogenic and ecological values of water-dependent receptors and assets</w:t>
      </w:r>
      <w:r w:rsidR="00ED1589">
        <w:t>;</w:t>
      </w:r>
    </w:p>
    <w:p w14:paraId="3F726821" w14:textId="77777777" w:rsidR="00C9546A" w:rsidRPr="00ED1589" w:rsidRDefault="00C9546A" w:rsidP="00ED1589">
      <w:pPr>
        <w:pStyle w:val="Bulletdot"/>
      </w:pPr>
      <w:r w:rsidRPr="00ED1589">
        <w:t xml:space="preserve">conceptual models and quantitative, semi-quantitative or qualitative analyses </w:t>
      </w:r>
      <w:r w:rsidR="00D14895">
        <w:t xml:space="preserve">for estimating </w:t>
      </w:r>
      <w:r w:rsidRPr="00ED1589">
        <w:t>the likelihood of risks and/or impacts to receptors and related values</w:t>
      </w:r>
      <w:r w:rsidR="00D14895">
        <w:t xml:space="preserve">, along with </w:t>
      </w:r>
      <w:r w:rsidRPr="00ED1589">
        <w:t>the level of confidence of scientific advice on these impacts</w:t>
      </w:r>
      <w:r w:rsidR="00ED1589">
        <w:t>;</w:t>
      </w:r>
      <w:r w:rsidR="002A7934">
        <w:t xml:space="preserve"> and</w:t>
      </w:r>
    </w:p>
    <w:p w14:paraId="231190C2" w14:textId="77777777" w:rsidR="00C9546A" w:rsidRPr="00C9546A" w:rsidRDefault="00C9546A" w:rsidP="00ED1589">
      <w:pPr>
        <w:pStyle w:val="Bulletdot"/>
      </w:pPr>
      <w:r w:rsidRPr="00ED1589">
        <w:t xml:space="preserve">monitoring, evaluation and review programs, and related risk assessment </w:t>
      </w:r>
      <w:r w:rsidR="00ED1589" w:rsidRPr="00ED1589">
        <w:t xml:space="preserve">and treatment </w:t>
      </w:r>
      <w:r w:rsidRPr="00D14895">
        <w:t>studies</w:t>
      </w:r>
      <w:r w:rsidR="00D43A0B">
        <w:t>,</w:t>
      </w:r>
      <w:r w:rsidR="00ED1589" w:rsidRPr="00D14895">
        <w:t xml:space="preserve"> </w:t>
      </w:r>
      <w:r w:rsidRPr="00D14895">
        <w:t>to minimise</w:t>
      </w:r>
      <w:r w:rsidR="00ED1589" w:rsidRPr="00D14895">
        <w:t xml:space="preserve"> or mitigate</w:t>
      </w:r>
      <w:r w:rsidRPr="00D14895">
        <w:t xml:space="preserve"> impacts on water resources.</w:t>
      </w:r>
    </w:p>
    <w:p w14:paraId="73EB22FD" w14:textId="77777777" w:rsidR="004C37BE" w:rsidRDefault="006A7B38" w:rsidP="00390602">
      <w:pPr>
        <w:pStyle w:val="BodyText"/>
      </w:pPr>
      <w:r>
        <w:t xml:space="preserve">However, a BA approach should not be considered a template for an </w:t>
      </w:r>
      <w:r w:rsidR="009678E5">
        <w:t>Environmental Impact Statement (</w:t>
      </w:r>
      <w:r>
        <w:t>EIS</w:t>
      </w:r>
      <w:r w:rsidR="009678E5">
        <w:t>)</w:t>
      </w:r>
      <w:r w:rsidR="009E2F3D">
        <w:t xml:space="preserve">, as it has a </w:t>
      </w:r>
      <w:r w:rsidR="00E233FE">
        <w:t xml:space="preserve">somewhat </w:t>
      </w:r>
      <w:r w:rsidR="009E2F3D">
        <w:t>different objective</w:t>
      </w:r>
      <w:r w:rsidR="009678E5">
        <w:t>,</w:t>
      </w:r>
      <w:r w:rsidR="009E2F3D">
        <w:t xml:space="preserve"> scope</w:t>
      </w:r>
      <w:r w:rsidR="009678E5">
        <w:t xml:space="preserve"> and scale</w:t>
      </w:r>
      <w:r>
        <w:t xml:space="preserve">. </w:t>
      </w:r>
      <w:r w:rsidR="00390602" w:rsidRPr="00622DBC">
        <w:t>While BA</w:t>
      </w:r>
      <w:r w:rsidR="00493ABF">
        <w:t>s</w:t>
      </w:r>
      <w:r w:rsidR="00390602" w:rsidRPr="00622DBC">
        <w:t xml:space="preserve"> provide advice on the </w:t>
      </w:r>
      <w:r w:rsidR="009E2F3D">
        <w:t xml:space="preserve">development stressors, causal pathways, </w:t>
      </w:r>
      <w:r w:rsidR="00390602" w:rsidRPr="00622DBC">
        <w:t xml:space="preserve">receptors and assets, </w:t>
      </w:r>
      <w:r w:rsidR="00493ABF">
        <w:t xml:space="preserve">they </w:t>
      </w:r>
      <w:r w:rsidR="00390602" w:rsidRPr="00622DBC">
        <w:t>are not development-specific EIS studies</w:t>
      </w:r>
      <w:r w:rsidR="006C750D">
        <w:t>. However</w:t>
      </w:r>
      <w:r w:rsidR="00390602" w:rsidRPr="00622DBC">
        <w:t xml:space="preserve">, BAs </w:t>
      </w:r>
      <w:r w:rsidR="00493ABF">
        <w:t xml:space="preserve">do </w:t>
      </w:r>
      <w:r w:rsidR="009E2F3D">
        <w:t xml:space="preserve">provide useful </w:t>
      </w:r>
      <w:r w:rsidR="00390602" w:rsidRPr="00622DBC">
        <w:t>inform</w:t>
      </w:r>
      <w:r w:rsidR="009E2F3D">
        <w:t>ation to</w:t>
      </w:r>
      <w:r w:rsidR="00390602" w:rsidRPr="00622DBC">
        <w:t xml:space="preserve"> </w:t>
      </w:r>
      <w:r w:rsidR="00493ABF">
        <w:t>EIS</w:t>
      </w:r>
      <w:r w:rsidR="00493ABF" w:rsidRPr="00622DBC">
        <w:t xml:space="preserve"> </w:t>
      </w:r>
      <w:r w:rsidR="00390602" w:rsidRPr="00622DBC">
        <w:t xml:space="preserve">studies via the regional context information and </w:t>
      </w:r>
      <w:r w:rsidR="009E2F3D">
        <w:t xml:space="preserve">especially the </w:t>
      </w:r>
      <w:r w:rsidR="00390602" w:rsidRPr="00622DBC">
        <w:t>independent cumulative impacts assessment.</w:t>
      </w:r>
      <w:r w:rsidR="000010CC">
        <w:t xml:space="preserve"> </w:t>
      </w:r>
    </w:p>
    <w:p w14:paraId="1EAA2CD0" w14:textId="01861788" w:rsidR="00390602" w:rsidRDefault="005E430E" w:rsidP="00390602">
      <w:pPr>
        <w:pStyle w:val="BodyText"/>
      </w:pPr>
      <w:r>
        <w:t>T</w:t>
      </w:r>
      <w:r w:rsidR="000010CC" w:rsidRPr="00C004B3">
        <w:t xml:space="preserve">he Cooper sub-region Bioregional Assessment (Cth, 2017) considered causal pathways and the </w:t>
      </w:r>
      <w:r w:rsidR="004C37BE">
        <w:t xml:space="preserve">coal </w:t>
      </w:r>
      <w:r w:rsidR="000010CC" w:rsidRPr="00C004B3">
        <w:t>development horizon</w:t>
      </w:r>
      <w:r>
        <w:t>,</w:t>
      </w:r>
      <w:r w:rsidR="000010CC" w:rsidRPr="00C004B3">
        <w:t xml:space="preserve"> conclud</w:t>
      </w:r>
      <w:r>
        <w:t>ing</w:t>
      </w:r>
      <w:r w:rsidR="000010CC" w:rsidRPr="00C004B3">
        <w:t xml:space="preserve"> that detailed modelling for impact assessment was not warranted, and that conceptual modelling would be adequate at that time.</w:t>
      </w:r>
      <w:r w:rsidR="00C004B3">
        <w:t xml:space="preserve"> This </w:t>
      </w:r>
      <w:r>
        <w:t xml:space="preserve">example </w:t>
      </w:r>
      <w:r w:rsidR="00C004B3">
        <w:t xml:space="preserve">demonstrates how </w:t>
      </w:r>
      <w:r w:rsidR="00493ABF">
        <w:t xml:space="preserve">establishing </w:t>
      </w:r>
      <w:r w:rsidR="00C004B3">
        <w:t xml:space="preserve">a low risk context </w:t>
      </w:r>
      <w:r w:rsidR="00493ABF">
        <w:t xml:space="preserve">via a causal pathway and risk assessment at an early stage </w:t>
      </w:r>
      <w:r w:rsidR="00C004B3">
        <w:t>can justify a qualitative approach to impact and uncertainty assessments</w:t>
      </w:r>
      <w:r w:rsidR="00B93CC4">
        <w:t>, especially under adaptive management framework conditions</w:t>
      </w:r>
      <w:r w:rsidR="006E462F">
        <w:t xml:space="preserve"> </w:t>
      </w:r>
      <w:r w:rsidR="006E462F" w:rsidRPr="006E462F">
        <w:t xml:space="preserve">(e.g. </w:t>
      </w:r>
      <w:r w:rsidR="00493ABF">
        <w:t xml:space="preserve">subject to future changes to </w:t>
      </w:r>
      <w:r w:rsidR="006E462F" w:rsidRPr="006E462F">
        <w:t xml:space="preserve">the </w:t>
      </w:r>
      <w:r w:rsidR="006E462F">
        <w:t xml:space="preserve">Cooper Basin </w:t>
      </w:r>
      <w:r w:rsidR="006E462F" w:rsidRPr="006E462F">
        <w:t>coal development pathway)</w:t>
      </w:r>
      <w:r w:rsidR="00C004B3">
        <w:t>.</w:t>
      </w:r>
    </w:p>
    <w:p w14:paraId="0185E66E" w14:textId="77777777" w:rsidR="00405C27" w:rsidRDefault="00405C27" w:rsidP="00405C27">
      <w:pPr>
        <w:pStyle w:val="Heading2"/>
      </w:pPr>
      <w:bookmarkStart w:id="12" w:name="_Toc505681236"/>
      <w:r>
        <w:t>Adaptive Management</w:t>
      </w:r>
      <w:bookmarkEnd w:id="12"/>
    </w:p>
    <w:p w14:paraId="08E5CCA7" w14:textId="77777777" w:rsidR="00E233FE" w:rsidRDefault="00952D00" w:rsidP="00FF54E3">
      <w:pPr>
        <w:pStyle w:val="BodyText"/>
      </w:pPr>
      <w:r w:rsidRPr="00405C27">
        <w:t xml:space="preserve">Adaptive management </w:t>
      </w:r>
      <w:r w:rsidR="008D7AB2">
        <w:t>is often</w:t>
      </w:r>
      <w:r w:rsidRPr="00405C27">
        <w:t xml:space="preserve"> justifiably used to address environmental issues</w:t>
      </w:r>
      <w:r w:rsidR="008D7AB2">
        <w:t xml:space="preserve"> in the face of uncertainty</w:t>
      </w:r>
      <w:r w:rsidRPr="00405C27">
        <w:t xml:space="preserve">. However, the large time lags </w:t>
      </w:r>
      <w:r w:rsidR="001B5EB3" w:rsidRPr="00405C27">
        <w:t xml:space="preserve">affecting groundwater processes </w:t>
      </w:r>
      <w:r w:rsidRPr="00405C27">
        <w:t>can mean that once an action is taken, it may be difficult to reverse the impacts</w:t>
      </w:r>
      <w:r w:rsidR="001B5EB3" w:rsidRPr="00405C27">
        <w:t xml:space="preserve"> where risk treatments are limited for groundwater actions (Walker, 2017)</w:t>
      </w:r>
      <w:r w:rsidRPr="00405C27">
        <w:t xml:space="preserve">. </w:t>
      </w:r>
      <w:r w:rsidR="001B5EB3" w:rsidRPr="00405C27">
        <w:t xml:space="preserve">For example, </w:t>
      </w:r>
      <w:r w:rsidRPr="00405C27">
        <w:t xml:space="preserve">by the time monitoring shows that a significant ecological asset will be affected, it may be too late to </w:t>
      </w:r>
      <w:r w:rsidR="001B5EB3" w:rsidRPr="00405C27">
        <w:t xml:space="preserve">effectively </w:t>
      </w:r>
      <w:r w:rsidRPr="00405C27">
        <w:t>act</w:t>
      </w:r>
      <w:r w:rsidR="001B5EB3" w:rsidRPr="00405C27">
        <w:t xml:space="preserve"> in some cases, in that t</w:t>
      </w:r>
      <w:r w:rsidRPr="00405C27">
        <w:t>urning off the pumps will not solve the problem</w:t>
      </w:r>
      <w:r w:rsidR="001B5EB3" w:rsidRPr="00405C27">
        <w:t xml:space="preserve"> (even if that were an immediate action) due to the </w:t>
      </w:r>
      <w:r w:rsidR="00137C72">
        <w:t xml:space="preserve">hydrogeological </w:t>
      </w:r>
      <w:r w:rsidR="001B5EB3" w:rsidRPr="00405C27">
        <w:t>time lag effects</w:t>
      </w:r>
      <w:r w:rsidRPr="00405C27">
        <w:t xml:space="preserve">. </w:t>
      </w:r>
      <w:r w:rsidR="008D7AB2">
        <w:t>This drives the need for a</w:t>
      </w:r>
      <w:r w:rsidR="00405C27" w:rsidRPr="00405C27">
        <w:t xml:space="preserve"> conservative approach to impact assessment, including careful analysis of uncertainties and investigation of options for </w:t>
      </w:r>
      <w:r w:rsidRPr="00405C27">
        <w:t xml:space="preserve">risk treatments </w:t>
      </w:r>
      <w:r w:rsidR="00405C27" w:rsidRPr="00405C27">
        <w:t xml:space="preserve">and mitigation to understand and communicate </w:t>
      </w:r>
      <w:r w:rsidRPr="00405C27">
        <w:t>the residual risk and the ability to adaptively manage.</w:t>
      </w:r>
    </w:p>
    <w:p w14:paraId="72E8C91B" w14:textId="77777777" w:rsidR="00456C7A" w:rsidRPr="00456C7A" w:rsidRDefault="009263FE" w:rsidP="009263FE">
      <w:pPr>
        <w:pStyle w:val="Heading1"/>
      </w:pPr>
      <w:bookmarkStart w:id="13" w:name="_Ref505518191"/>
      <w:bookmarkStart w:id="14" w:name="_Toc505681237"/>
      <w:r>
        <w:t>GUIDING PRINCIPLES FOR UNCERTAINTY ANALYSIS</w:t>
      </w:r>
      <w:bookmarkEnd w:id="13"/>
      <w:bookmarkEnd w:id="14"/>
    </w:p>
    <w:p w14:paraId="6777FD1E" w14:textId="77777777" w:rsidR="00441050" w:rsidRDefault="00441050" w:rsidP="00441050">
      <w:pPr>
        <w:pStyle w:val="BodyText"/>
      </w:pPr>
      <w:r w:rsidRPr="00B7383E">
        <w:t xml:space="preserve">From a management perspective, modelling is considered to have failed if there is sufficient bias for a poor decision to be made </w:t>
      </w:r>
      <w:r w:rsidR="00F44021">
        <w:t>(e.g. by lack of transparency or uncertainty analysis)</w:t>
      </w:r>
      <w:r w:rsidRPr="00B7383E">
        <w:t>, especially if the consequence is large</w:t>
      </w:r>
      <w:r>
        <w:t xml:space="preserve"> (Walker, 2017)</w:t>
      </w:r>
      <w:r w:rsidRPr="00B7383E">
        <w:t>.</w:t>
      </w:r>
    </w:p>
    <w:p w14:paraId="01364424" w14:textId="77777777" w:rsidR="00F44021" w:rsidRDefault="00515140" w:rsidP="00F44021">
      <w:pPr>
        <w:pStyle w:val="BodyText"/>
      </w:pPr>
      <w:r w:rsidRPr="00456C7A">
        <w:t>A model</w:t>
      </w:r>
      <w:r>
        <w:t>ling study</w:t>
      </w:r>
      <w:r w:rsidRPr="00456C7A">
        <w:t xml:space="preserve"> should be </w:t>
      </w:r>
      <w:r>
        <w:t xml:space="preserve">designed </w:t>
      </w:r>
      <w:r w:rsidRPr="00456C7A">
        <w:t xml:space="preserve">to quantify its own reliability by accompanying its </w:t>
      </w:r>
      <w:r w:rsidR="00016B88">
        <w:t>simulation</w:t>
      </w:r>
      <w:r w:rsidRPr="00456C7A">
        <w:t xml:space="preserve">s with an </w:t>
      </w:r>
      <w:r>
        <w:t xml:space="preserve">objective </w:t>
      </w:r>
      <w:r w:rsidRPr="00456C7A">
        <w:t>assessme</w:t>
      </w:r>
      <w:r>
        <w:t xml:space="preserve">nt of uncertainty so that model </w:t>
      </w:r>
      <w:r w:rsidRPr="00456C7A">
        <w:t xml:space="preserve">users have </w:t>
      </w:r>
      <w:r w:rsidR="00026C37">
        <w:t>transparent</w:t>
      </w:r>
      <w:r w:rsidRPr="00456C7A">
        <w:t xml:space="preserve"> assurance that uncertainty is not underestimated</w:t>
      </w:r>
      <w:r w:rsidR="001D2196">
        <w:t xml:space="preserve"> </w:t>
      </w:r>
      <w:r>
        <w:t>(Doherty, 2010)</w:t>
      </w:r>
      <w:r w:rsidRPr="00456C7A">
        <w:t xml:space="preserve">. </w:t>
      </w:r>
      <w:r>
        <w:t>O</w:t>
      </w:r>
      <w:r w:rsidR="00DE5B1B">
        <w:t>bjective uncertainty analysis give</w:t>
      </w:r>
      <w:r w:rsidR="00D05D62">
        <w:t>s</w:t>
      </w:r>
      <w:r w:rsidR="00DE5B1B">
        <w:t xml:space="preserve"> </w:t>
      </w:r>
      <w:r w:rsidR="00DD6F4F">
        <w:t>end-</w:t>
      </w:r>
      <w:r>
        <w:t xml:space="preserve">users </w:t>
      </w:r>
      <w:r w:rsidR="00DE5B1B">
        <w:t xml:space="preserve">confidence </w:t>
      </w:r>
      <w:r w:rsidR="00456C7A" w:rsidRPr="00456C7A">
        <w:t xml:space="preserve">that a future </w:t>
      </w:r>
      <w:r w:rsidR="002D1956">
        <w:t xml:space="preserve">potential impact </w:t>
      </w:r>
      <w:r w:rsidR="008D46E9">
        <w:t>(e.g. threshold impact exceeded)</w:t>
      </w:r>
      <w:r w:rsidR="00BC336C">
        <w:t xml:space="preserve"> has </w:t>
      </w:r>
      <w:r w:rsidR="00BC336C">
        <w:lastRenderedPageBreak/>
        <w:t>been considered carefully in an unbiased way</w:t>
      </w:r>
      <w:bookmarkStart w:id="15" w:name="_Ref499815325"/>
      <w:r w:rsidR="00952CE5">
        <w:rPr>
          <w:rStyle w:val="FootnoteReference"/>
        </w:rPr>
        <w:footnoteReference w:id="2"/>
      </w:r>
      <w:bookmarkEnd w:id="15"/>
      <w:r w:rsidR="00D05D62" w:rsidRPr="00BC336C">
        <w:t>. I</w:t>
      </w:r>
      <w:r w:rsidR="00456C7A" w:rsidRPr="00BC336C">
        <w:t xml:space="preserve">n </w:t>
      </w:r>
      <w:r w:rsidR="00F44021" w:rsidRPr="00BC336C">
        <w:t>statistical hypothesis testing terms</w:t>
      </w:r>
      <w:r w:rsidR="00D05D62" w:rsidRPr="00BC336C">
        <w:t xml:space="preserve">, this means that </w:t>
      </w:r>
      <w:r w:rsidR="00456C7A" w:rsidRPr="00BC336C">
        <w:t xml:space="preserve">there is a low risk of a </w:t>
      </w:r>
      <w:bookmarkStart w:id="16" w:name="_Hlk498784354"/>
      <w:r w:rsidR="00456C7A" w:rsidRPr="00BC336C">
        <w:t xml:space="preserve">type 2 error </w:t>
      </w:r>
      <w:r w:rsidR="00581B71" w:rsidRPr="00BC336C">
        <w:t xml:space="preserve">(i.e. </w:t>
      </w:r>
      <w:r w:rsidR="00456C7A" w:rsidRPr="00BC336C">
        <w:t xml:space="preserve">false rejection of a hypothesis </w:t>
      </w:r>
      <w:r w:rsidR="00016524" w:rsidRPr="00BC336C">
        <w:t>that has</w:t>
      </w:r>
      <w:r w:rsidR="00456C7A" w:rsidRPr="00BC336C">
        <w:t xml:space="preserve"> unwanted outcomes</w:t>
      </w:r>
      <w:bookmarkEnd w:id="16"/>
      <w:r w:rsidR="00581B71" w:rsidRPr="00BC336C">
        <w:t>)</w:t>
      </w:r>
      <w:r w:rsidRPr="00BC336C">
        <w:t>.</w:t>
      </w:r>
      <w:r w:rsidR="00016524" w:rsidRPr="00BC336C">
        <w:t xml:space="preserve"> </w:t>
      </w:r>
      <w:r w:rsidR="008D46E9" w:rsidRPr="00BC336C">
        <w:t xml:space="preserve">However, statistical error discussions </w:t>
      </w:r>
      <w:r w:rsidR="00C235A0">
        <w:t xml:space="preserve">such as that </w:t>
      </w:r>
      <w:r w:rsidR="008D46E9" w:rsidRPr="00BC336C">
        <w:t>can</w:t>
      </w:r>
      <w:r w:rsidR="008D46E9">
        <w:t xml:space="preserve"> complicate groundwater management matters unnecessarily, </w:t>
      </w:r>
      <w:r w:rsidR="00C235A0">
        <w:t xml:space="preserve">so </w:t>
      </w:r>
      <w:r w:rsidR="008D46E9">
        <w:t>in</w:t>
      </w:r>
      <w:r w:rsidR="00016524">
        <w:t xml:space="preserve"> simple terms, </w:t>
      </w:r>
      <w:r w:rsidR="008D46E9">
        <w:t xml:space="preserve">we mean this: </w:t>
      </w:r>
      <w:r w:rsidR="00016524">
        <w:t xml:space="preserve">if </w:t>
      </w:r>
      <w:r w:rsidR="009A3562">
        <w:t xml:space="preserve">modelling </w:t>
      </w:r>
      <w:r w:rsidR="00DE7031" w:rsidRPr="00DE7031">
        <w:t xml:space="preserve">is used </w:t>
      </w:r>
      <w:r w:rsidR="00DE7031">
        <w:t xml:space="preserve">to predict that </w:t>
      </w:r>
      <w:r w:rsidR="00C235A0">
        <w:t>an unwanted outcome</w:t>
      </w:r>
      <w:r w:rsidR="00016524">
        <w:t xml:space="preserve"> won’t happen </w:t>
      </w:r>
      <w:r w:rsidR="00581B71">
        <w:t xml:space="preserve">(e.g. via a biased model that overlooks important causal pathways), </w:t>
      </w:r>
      <w:r w:rsidR="00016524">
        <w:t xml:space="preserve">but it can </w:t>
      </w:r>
      <w:r w:rsidR="00AC41B9">
        <w:t xml:space="preserve">indeed </w:t>
      </w:r>
      <w:r w:rsidR="00016524">
        <w:t>eventuate</w:t>
      </w:r>
      <w:r w:rsidR="00F95530">
        <w:t xml:space="preserve"> (with non-trivial probability)</w:t>
      </w:r>
      <w:r w:rsidR="00016524">
        <w:t xml:space="preserve">, then </w:t>
      </w:r>
      <w:r w:rsidR="00C235A0">
        <w:t xml:space="preserve">we should consider that </w:t>
      </w:r>
      <w:r w:rsidR="00026C37">
        <w:t xml:space="preserve">the </w:t>
      </w:r>
      <w:r w:rsidR="00016524">
        <w:t xml:space="preserve">model </w:t>
      </w:r>
      <w:r w:rsidR="00026C37">
        <w:t>study</w:t>
      </w:r>
      <w:r w:rsidR="00016524">
        <w:t xml:space="preserve"> has failed.</w:t>
      </w:r>
    </w:p>
    <w:p w14:paraId="19E0BD32" w14:textId="77777777" w:rsidR="00515140" w:rsidRDefault="00016524" w:rsidP="00515140">
      <w:pPr>
        <w:pStyle w:val="BodyText"/>
      </w:pPr>
      <w:r>
        <w:t xml:space="preserve">In an ideal world where every professional </w:t>
      </w:r>
      <w:r w:rsidR="004B655D">
        <w:t xml:space="preserve">is expert </w:t>
      </w:r>
      <w:r>
        <w:t xml:space="preserve">in every scientific discipline applied to </w:t>
      </w:r>
      <w:r w:rsidR="00716D00">
        <w:t xml:space="preserve">groundwater </w:t>
      </w:r>
      <w:r>
        <w:t xml:space="preserve">investigations, the following points </w:t>
      </w:r>
      <w:r w:rsidR="00716D00">
        <w:t xml:space="preserve">would </w:t>
      </w:r>
      <w:r>
        <w:t xml:space="preserve">define an ideal </w:t>
      </w:r>
      <w:r w:rsidR="00C52F6B">
        <w:t xml:space="preserve">uncertainty </w:t>
      </w:r>
      <w:r>
        <w:t>workflow:</w:t>
      </w:r>
    </w:p>
    <w:p w14:paraId="5DC6EFC5" w14:textId="77777777" w:rsidR="00515140" w:rsidRPr="00F2055D" w:rsidRDefault="00016524" w:rsidP="00540667">
      <w:pPr>
        <w:pStyle w:val="Bulletnum"/>
      </w:pPr>
      <w:r w:rsidRPr="00F2055D">
        <w:t>d</w:t>
      </w:r>
      <w:r w:rsidR="00515140" w:rsidRPr="00F2055D">
        <w:t>efine decision-critical</w:t>
      </w:r>
      <w:r w:rsidR="002D1956" w:rsidRPr="002D1956">
        <w:t xml:space="preserve"> </w:t>
      </w:r>
      <w:r w:rsidR="002D1956">
        <w:t>potential impact(s)</w:t>
      </w:r>
      <w:r w:rsidRPr="00F2055D">
        <w:t>;</w:t>
      </w:r>
    </w:p>
    <w:p w14:paraId="33E93E48" w14:textId="77777777" w:rsidR="00DF0678" w:rsidRPr="00F2055D" w:rsidRDefault="00016524" w:rsidP="006B7D7C">
      <w:pPr>
        <w:pStyle w:val="Bulletnum"/>
      </w:pPr>
      <w:r w:rsidRPr="00F2055D">
        <w:t>define</w:t>
      </w:r>
      <w:r w:rsidR="00660A18">
        <w:t xml:space="preserve"> modelling study failure </w:t>
      </w:r>
      <w:r w:rsidR="008D46E9">
        <w:t xml:space="preserve">in terms consistent with </w:t>
      </w:r>
      <w:r w:rsidR="00660A18">
        <w:t>a</w:t>
      </w:r>
      <w:r w:rsidRPr="00F2055D">
        <w:t xml:space="preserve"> type 2 error</w:t>
      </w:r>
      <w:r w:rsidR="006B7D7C">
        <w:t xml:space="preserve">, but in groundwater-related threshold impact terms that are specific and measurable </w:t>
      </w:r>
      <w:r w:rsidR="00430DD5">
        <w:t xml:space="preserve">in space and time </w:t>
      </w:r>
      <w:r w:rsidR="006B7D7C">
        <w:t xml:space="preserve">(e.g. </w:t>
      </w:r>
      <w:r w:rsidR="00430DD5">
        <w:t xml:space="preserve">drawdown </w:t>
      </w:r>
      <w:r w:rsidR="00430DD5" w:rsidRPr="006B7D7C">
        <w:t xml:space="preserve">at </w:t>
      </w:r>
      <w:r w:rsidR="00430DD5">
        <w:t>a</w:t>
      </w:r>
      <w:r w:rsidR="00430DD5" w:rsidRPr="006B7D7C">
        <w:t xml:space="preserve"> GDE </w:t>
      </w:r>
      <w:r w:rsidR="00430DD5">
        <w:t xml:space="preserve">of </w:t>
      </w:r>
      <w:r w:rsidR="006B7D7C" w:rsidRPr="006B7D7C">
        <w:t xml:space="preserve">more than 2m in </w:t>
      </w:r>
      <w:r w:rsidR="00430DD5">
        <w:t>X years</w:t>
      </w:r>
      <w:r w:rsidR="006B7D7C" w:rsidRPr="006B7D7C">
        <w:t xml:space="preserve">; spring discharge </w:t>
      </w:r>
      <w:r w:rsidR="008276DD">
        <w:t xml:space="preserve">not </w:t>
      </w:r>
      <w:r w:rsidR="00430DD5">
        <w:t xml:space="preserve">less than Q50 </w:t>
      </w:r>
      <w:r w:rsidR="006B7D7C" w:rsidRPr="006B7D7C">
        <w:t>in</w:t>
      </w:r>
      <w:r w:rsidR="00430DD5">
        <w:t xml:space="preserve"> Y years</w:t>
      </w:r>
      <w:r w:rsidR="008276DD">
        <w:t>; river baseflow more than Q95 in Z years</w:t>
      </w:r>
      <w:r w:rsidR="006B7D7C">
        <w:t>)</w:t>
      </w:r>
      <w:r w:rsidR="00DF0678" w:rsidRPr="00F2055D">
        <w:t>;</w:t>
      </w:r>
    </w:p>
    <w:p w14:paraId="16072CEC" w14:textId="77777777" w:rsidR="00DF0678" w:rsidRPr="00F2055D" w:rsidRDefault="00DF0678" w:rsidP="00540667">
      <w:pPr>
        <w:pStyle w:val="Bulletnum"/>
      </w:pPr>
      <w:r w:rsidRPr="00F2055D">
        <w:t xml:space="preserve">design an efficient and effective </w:t>
      </w:r>
      <w:r w:rsidR="00B47999" w:rsidRPr="00F2055D">
        <w:t xml:space="preserve">modelling </w:t>
      </w:r>
      <w:r w:rsidRPr="00F2055D">
        <w:t xml:space="preserve">methodology of processing expert knowledge and </w:t>
      </w:r>
      <w:r w:rsidR="00716D00" w:rsidRPr="00F2055D">
        <w:t>data (</w:t>
      </w:r>
      <w:r w:rsidR="000061B1">
        <w:t xml:space="preserve">via a </w:t>
      </w:r>
      <w:r w:rsidR="00430DD5">
        <w:t xml:space="preserve">modelling tool consistent with </w:t>
      </w:r>
      <w:r w:rsidRPr="00F2055D">
        <w:t xml:space="preserve">historical </w:t>
      </w:r>
      <w:r w:rsidR="00716D00" w:rsidRPr="00F2055D">
        <w:t>measurements of system responses to stress)</w:t>
      </w:r>
      <w:r w:rsidR="009A3562">
        <w:t>, with due consideration of potential bias,</w:t>
      </w:r>
      <w:r w:rsidR="00716D00" w:rsidRPr="00F2055D">
        <w:t xml:space="preserve"> </w:t>
      </w:r>
      <w:r w:rsidRPr="00F2055D">
        <w:t xml:space="preserve">to </w:t>
      </w:r>
      <w:r w:rsidR="006B7D7C">
        <w:t>quantify the probability of the unwanted outcome (threshold impact)</w:t>
      </w:r>
      <w:r w:rsidRPr="00F2055D">
        <w:t xml:space="preserve">; </w:t>
      </w:r>
    </w:p>
    <w:p w14:paraId="2C530844" w14:textId="77777777" w:rsidR="00660A18" w:rsidRPr="00F2055D" w:rsidRDefault="00660A18" w:rsidP="00660A18">
      <w:pPr>
        <w:pStyle w:val="Bulletnum"/>
      </w:pPr>
      <w:bookmarkStart w:id="17" w:name="_Hlk498784901"/>
      <w:r w:rsidRPr="00F2055D">
        <w:t xml:space="preserve">strike a balance between model simplicity and complexity </w:t>
      </w:r>
      <w:r>
        <w:t xml:space="preserve">in developing the model(s) for the </w:t>
      </w:r>
      <w:r w:rsidR="002931CD">
        <w:t xml:space="preserve">purpose of </w:t>
      </w:r>
      <w:r>
        <w:t>uncertainty evaluation</w:t>
      </w:r>
      <w:r w:rsidR="00180A37">
        <w:t xml:space="preserve">, </w:t>
      </w:r>
      <w:r w:rsidR="00AE2881">
        <w:t xml:space="preserve">commensurate with the risk/consequence profile of the project </w:t>
      </w:r>
      <w:r w:rsidRPr="00F2055D">
        <w:t>(may require more than one model</w:t>
      </w:r>
      <w:bookmarkEnd w:id="17"/>
      <w:r w:rsidRPr="00F2055D">
        <w:t>);</w:t>
      </w:r>
    </w:p>
    <w:p w14:paraId="0870EAD4" w14:textId="77777777" w:rsidR="00C52F6B" w:rsidRPr="00F2055D" w:rsidRDefault="00C52F6B" w:rsidP="00AE2881">
      <w:pPr>
        <w:pStyle w:val="Bulletnum"/>
      </w:pPr>
      <w:r w:rsidRPr="00F2055D">
        <w:t>demonstrate best endeavours to</w:t>
      </w:r>
      <w:r w:rsidR="00AE2881" w:rsidRPr="00AE2881">
        <w:t xml:space="preserve"> avoid under-estimating uncertainties relating to threshold impacts</w:t>
      </w:r>
      <w:r w:rsidRPr="00F2055D">
        <w:t xml:space="preserve"> </w:t>
      </w:r>
      <w:r w:rsidR="00660A18">
        <w:t>by</w:t>
      </w:r>
      <w:r w:rsidRPr="00F2055D">
        <w:t xml:space="preserve"> invoking methods that consider potential causal pathways for impacts and including simplification-induced potential for error </w:t>
      </w:r>
      <w:r w:rsidR="00A2487B">
        <w:t xml:space="preserve">and bias </w:t>
      </w:r>
      <w:r w:rsidRPr="00F2055D">
        <w:t>in the hypothesis testing process;</w:t>
      </w:r>
    </w:p>
    <w:p w14:paraId="6EED7D7C" w14:textId="77777777" w:rsidR="00515140" w:rsidRDefault="00B47999" w:rsidP="00540667">
      <w:pPr>
        <w:pStyle w:val="Bulletnum"/>
      </w:pPr>
      <w:r w:rsidRPr="00F2055D">
        <w:t>justify increments</w:t>
      </w:r>
      <w:r>
        <w:t xml:space="preserve"> in </w:t>
      </w:r>
      <w:r w:rsidR="00DF0678">
        <w:t>model c</w:t>
      </w:r>
      <w:r w:rsidR="00515140">
        <w:t xml:space="preserve">omplexity </w:t>
      </w:r>
      <w:r>
        <w:t xml:space="preserve">if </w:t>
      </w:r>
      <w:r w:rsidR="00515140">
        <w:t xml:space="preserve">uncertainty bounds need to be narrowed </w:t>
      </w:r>
      <w:r w:rsidR="00130C42">
        <w:t xml:space="preserve">through </w:t>
      </w:r>
      <w:r w:rsidR="00515140">
        <w:t>extra information</w:t>
      </w:r>
      <w:r w:rsidR="00DF0678">
        <w:t xml:space="preserve"> (</w:t>
      </w:r>
      <w:r w:rsidR="00515140">
        <w:t>may allow rejection of a hypothesis that cannot otherwise be rejected</w:t>
      </w:r>
      <w:r w:rsidR="00DF0678">
        <w:t>)</w:t>
      </w:r>
      <w:r w:rsidR="00515140">
        <w:t>.</w:t>
      </w:r>
    </w:p>
    <w:p w14:paraId="27F40046" w14:textId="77777777" w:rsidR="004F157C" w:rsidRDefault="00B47999" w:rsidP="00515140">
      <w:pPr>
        <w:pStyle w:val="BodyText"/>
      </w:pPr>
      <w:bookmarkStart w:id="18" w:name="_Hlk498787272"/>
      <w:r>
        <w:t xml:space="preserve">Further </w:t>
      </w:r>
      <w:r w:rsidR="00C52F6B">
        <w:t xml:space="preserve">information </w:t>
      </w:r>
      <w:r>
        <w:t xml:space="preserve">is provided </w:t>
      </w:r>
      <w:r w:rsidR="00851015">
        <w:t xml:space="preserve">herein </w:t>
      </w:r>
      <w:r w:rsidR="00C52F6B">
        <w:t xml:space="preserve">on </w:t>
      </w:r>
      <w:r w:rsidR="004B655D">
        <w:t xml:space="preserve">the </w:t>
      </w:r>
      <w:r>
        <w:t xml:space="preserve">key </w:t>
      </w:r>
      <w:r w:rsidR="00C52F6B">
        <w:t xml:space="preserve">elements of </w:t>
      </w:r>
      <w:r w:rsidR="004B655D">
        <w:t xml:space="preserve">how model </w:t>
      </w:r>
      <w:r w:rsidR="00C52F6B">
        <w:t xml:space="preserve">uncertainty </w:t>
      </w:r>
      <w:r w:rsidR="004B655D">
        <w:t xml:space="preserve">can be </w:t>
      </w:r>
      <w:r w:rsidR="00C52F6B">
        <w:t>analys</w:t>
      </w:r>
      <w:r w:rsidR="004B655D">
        <w:t>ed in the context of supporting a practical EIS project</w:t>
      </w:r>
      <w:r w:rsidR="00A2487B">
        <w:t xml:space="preserve"> for large coal mining and CSG proposals</w:t>
      </w:r>
      <w:r w:rsidR="004B655D">
        <w:t>. This</w:t>
      </w:r>
      <w:r w:rsidR="00C52F6B">
        <w:t xml:space="preserve"> should not be interpreted as a step-by-step guide to </w:t>
      </w:r>
      <w:r w:rsidR="004B655D">
        <w:t xml:space="preserve">comprehensively </w:t>
      </w:r>
      <w:r w:rsidR="00130C42">
        <w:t>analysing</w:t>
      </w:r>
      <w:r w:rsidR="00C52F6B">
        <w:t xml:space="preserve"> uncertainty.</w:t>
      </w:r>
    </w:p>
    <w:p w14:paraId="56BB4B94" w14:textId="77777777" w:rsidR="004C37BE" w:rsidRDefault="009263FE" w:rsidP="009263FE">
      <w:pPr>
        <w:pStyle w:val="Heading1"/>
      </w:pPr>
      <w:bookmarkStart w:id="19" w:name="_Toc505681238"/>
      <w:bookmarkEnd w:id="18"/>
      <w:r w:rsidRPr="007E638E">
        <w:t>IMPORTANCE</w:t>
      </w:r>
      <w:r>
        <w:t xml:space="preserve"> OF AVOIDING BIAS</w:t>
      </w:r>
      <w:bookmarkEnd w:id="19"/>
      <w:r>
        <w:t xml:space="preserve"> </w:t>
      </w:r>
    </w:p>
    <w:p w14:paraId="6A4F57E9" w14:textId="77777777" w:rsidR="00DC1485" w:rsidRDefault="00B164C1" w:rsidP="00DF7F63">
      <w:pPr>
        <w:pStyle w:val="BodyText"/>
      </w:pPr>
      <w:r>
        <w:t xml:space="preserve">In the sense of support for environmental decision-making, </w:t>
      </w:r>
      <w:r w:rsidRPr="00FF59AC">
        <w:t xml:space="preserve">the </w:t>
      </w:r>
      <w:r w:rsidR="002D1956">
        <w:t>potential impact</w:t>
      </w:r>
      <w:r w:rsidR="00DC1485">
        <w:t xml:space="preserve"> (unwanted outcome)</w:t>
      </w:r>
      <w:r w:rsidRPr="00FF59AC">
        <w:t xml:space="preserve"> </w:t>
      </w:r>
      <w:r w:rsidR="00D33C59">
        <w:t xml:space="preserve">could take many forms. For example, it </w:t>
      </w:r>
      <w:r w:rsidRPr="00FF59AC">
        <w:t>may be catastrophic</w:t>
      </w:r>
      <w:r w:rsidR="00851015">
        <w:t>, such as</w:t>
      </w:r>
      <w:r w:rsidR="00DC1485">
        <w:t xml:space="preserve"> </w:t>
      </w:r>
      <w:r w:rsidR="008E51B8">
        <w:t xml:space="preserve">very low groundwater levels that </w:t>
      </w:r>
      <w:r w:rsidR="00851015">
        <w:t>cause a spring to cease flowing</w:t>
      </w:r>
      <w:r w:rsidR="00406519">
        <w:t>.</w:t>
      </w:r>
      <w:r w:rsidR="00DC1485">
        <w:t xml:space="preserve"> </w:t>
      </w:r>
      <w:r w:rsidR="00406519">
        <w:t>I</w:t>
      </w:r>
      <w:r w:rsidR="00DC1485">
        <w:t>t could be</w:t>
      </w:r>
      <w:r w:rsidR="008E51B8" w:rsidRPr="008E51B8">
        <w:t xml:space="preserve"> </w:t>
      </w:r>
      <w:r w:rsidR="008E51B8">
        <w:t xml:space="preserve">some other </w:t>
      </w:r>
      <w:r w:rsidR="00406519">
        <w:t>less critical criterion that indicates</w:t>
      </w:r>
      <w:r w:rsidR="008E51B8">
        <w:t xml:space="preserve"> f</w:t>
      </w:r>
      <w:r w:rsidR="008E51B8" w:rsidRPr="00FF59AC">
        <w:t xml:space="preserve">ailure </w:t>
      </w:r>
      <w:r w:rsidR="008E51B8">
        <w:t xml:space="preserve">of an </w:t>
      </w:r>
      <w:r w:rsidR="008E51B8" w:rsidRPr="00FF59AC">
        <w:t>environmental management plan</w:t>
      </w:r>
      <w:r w:rsidR="008E51B8">
        <w:t xml:space="preserve">, such as </w:t>
      </w:r>
      <w:r w:rsidR="008E51B8" w:rsidRPr="008E51B8">
        <w:t>lower-than-threshold stream flows</w:t>
      </w:r>
      <w:r w:rsidR="008E51B8">
        <w:t xml:space="preserve"> for durations that compromise stream health </w:t>
      </w:r>
      <w:r w:rsidR="008E51B8" w:rsidRPr="00FF59AC">
        <w:t>(Doherty and Moore, 2017)</w:t>
      </w:r>
      <w:r w:rsidR="008E51B8">
        <w:t>.</w:t>
      </w:r>
    </w:p>
    <w:p w14:paraId="00EC7C1C" w14:textId="77777777" w:rsidR="00DC1485" w:rsidRDefault="00DC1485" w:rsidP="00DC1485">
      <w:pPr>
        <w:pStyle w:val="BodyText"/>
      </w:pPr>
      <w:r w:rsidRPr="00FF59AC">
        <w:t>Tolerance of failure is related to the cost of failure</w:t>
      </w:r>
      <w:r w:rsidR="004B655D">
        <w:t xml:space="preserve"> (however that may be manifest)</w:t>
      </w:r>
      <w:r w:rsidRPr="00FF59AC">
        <w:t xml:space="preserve">. If the cost is relatively low, then a decision-maker can tolerate a moderate </w:t>
      </w:r>
      <w:r w:rsidR="00DD6F4F">
        <w:t>probability</w:t>
      </w:r>
      <w:r w:rsidR="00DD6F4F" w:rsidRPr="00FF59AC">
        <w:t xml:space="preserve"> </w:t>
      </w:r>
      <w:r w:rsidRPr="00FF59AC">
        <w:t>of failure</w:t>
      </w:r>
      <w:r w:rsidR="00A72593">
        <w:t>, provided</w:t>
      </w:r>
      <w:r w:rsidRPr="00FF59AC">
        <w:t xml:space="preserve"> this reduces implementation costs for a</w:t>
      </w:r>
      <w:r w:rsidR="00A72593">
        <w:t>n</w:t>
      </w:r>
      <w:r w:rsidR="008E51B8">
        <w:t>y</w:t>
      </w:r>
      <w:r w:rsidR="00A72593">
        <w:t xml:space="preserve"> attractive</w:t>
      </w:r>
      <w:r w:rsidR="00A72593" w:rsidRPr="00FF59AC">
        <w:t xml:space="preserve"> </w:t>
      </w:r>
      <w:r w:rsidR="00A72593">
        <w:t>and effective risk treatment (</w:t>
      </w:r>
      <w:r w:rsidR="008E51B8">
        <w:t xml:space="preserve">i.e. </w:t>
      </w:r>
      <w:r w:rsidR="00A72593">
        <w:t>economically and socially acceptable options that are able to reduce risk and be implemented in a timely fashion)</w:t>
      </w:r>
      <w:r w:rsidRPr="00FF59AC">
        <w:t xml:space="preserve">. On the other hand, if the </w:t>
      </w:r>
      <w:r w:rsidR="00A72593">
        <w:t>cost</w:t>
      </w:r>
      <w:r w:rsidRPr="00FF59AC">
        <w:t xml:space="preserve"> of failure is high</w:t>
      </w:r>
      <w:r w:rsidR="008E51B8">
        <w:t xml:space="preserve"> (e.g. unwanted impacts on high value ecosystems)</w:t>
      </w:r>
      <w:r w:rsidRPr="00FF59AC">
        <w:t xml:space="preserve">, the probability of its occurrence must be low for a management option to be </w:t>
      </w:r>
      <w:r w:rsidR="003C0A2C">
        <w:t xml:space="preserve">deemed </w:t>
      </w:r>
      <w:r w:rsidR="008E51B8">
        <w:t>attractive and effective</w:t>
      </w:r>
      <w:r w:rsidRPr="00FF59AC">
        <w:t>.</w:t>
      </w:r>
    </w:p>
    <w:p w14:paraId="0B61F852" w14:textId="77777777" w:rsidR="0010676F" w:rsidRDefault="00220D49" w:rsidP="0010676F">
      <w:pPr>
        <w:pStyle w:val="BodyText"/>
      </w:pPr>
      <w:r>
        <w:t xml:space="preserve">This means that </w:t>
      </w:r>
      <w:r w:rsidR="00BC5B5A">
        <w:t xml:space="preserve">conceptual models </w:t>
      </w:r>
      <w:r>
        <w:t xml:space="preserve">for large coal mines and CSG developments </w:t>
      </w:r>
      <w:r w:rsidR="00BC5B5A">
        <w:t xml:space="preserve">must </w:t>
      </w:r>
      <w:r w:rsidR="00C14458">
        <w:t xml:space="preserve">adopt </w:t>
      </w:r>
      <w:r w:rsidR="00C14458" w:rsidRPr="003236E7">
        <w:t>unbiased</w:t>
      </w:r>
      <w:r w:rsidR="00525166">
        <w:fldChar w:fldCharType="begin"/>
      </w:r>
      <w:r w:rsidR="00525166">
        <w:instrText xml:space="preserve"> NOTEREF _Ref499815325 \f \h </w:instrText>
      </w:r>
      <w:r w:rsidR="00525166">
        <w:fldChar w:fldCharType="separate"/>
      </w:r>
      <w:r w:rsidR="007950E7" w:rsidRPr="007950E7">
        <w:rPr>
          <w:rStyle w:val="FootnoteReference"/>
        </w:rPr>
        <w:t>1</w:t>
      </w:r>
      <w:r w:rsidR="00525166">
        <w:fldChar w:fldCharType="end"/>
      </w:r>
      <w:r w:rsidR="00DE7031" w:rsidRPr="00DE7031">
        <w:rPr>
          <w:vertAlign w:val="superscript"/>
        </w:rPr>
        <w:t>(see previous footnote)</w:t>
      </w:r>
      <w:r w:rsidR="00C14458">
        <w:t xml:space="preserve"> ways of analysing </w:t>
      </w:r>
      <w:r w:rsidR="00CC40E4">
        <w:t xml:space="preserve">how </w:t>
      </w:r>
      <w:r w:rsidR="00BC5B5A">
        <w:t>causal pathway</w:t>
      </w:r>
      <w:r w:rsidR="00CC40E4">
        <w:t xml:space="preserve">s can propagate </w:t>
      </w:r>
      <w:r>
        <w:t>impacts</w:t>
      </w:r>
      <w:r w:rsidR="00BC5B5A">
        <w:t xml:space="preserve"> from </w:t>
      </w:r>
      <w:r w:rsidR="00BC5B5A">
        <w:lastRenderedPageBreak/>
        <w:t xml:space="preserve">depressurisation and dewatering of coal seams to </w:t>
      </w:r>
      <w:r>
        <w:t xml:space="preserve">manifest as </w:t>
      </w:r>
      <w:r w:rsidR="00BC5B5A">
        <w:t xml:space="preserve">direct, indirect and cumulative impacts on </w:t>
      </w:r>
      <w:r w:rsidR="00137C72">
        <w:t xml:space="preserve">water-related </w:t>
      </w:r>
      <w:r w:rsidR="00AD6001">
        <w:t>and other</w:t>
      </w:r>
      <w:r w:rsidR="00BC5B5A">
        <w:t xml:space="preserve"> receptors</w:t>
      </w:r>
      <w:r>
        <w:t xml:space="preserve">, </w:t>
      </w:r>
      <w:r w:rsidR="00137C72">
        <w:t xml:space="preserve">and to investigate </w:t>
      </w:r>
      <w:r w:rsidR="00CC40E4">
        <w:t xml:space="preserve">the </w:t>
      </w:r>
      <w:r>
        <w:t xml:space="preserve">key sources of uncertainty. </w:t>
      </w:r>
      <w:r w:rsidR="00A95561">
        <w:t>M</w:t>
      </w:r>
      <w:r w:rsidR="00A95561" w:rsidRPr="00A95561">
        <w:t xml:space="preserve">ore than one model </w:t>
      </w:r>
      <w:r w:rsidR="00CC40E4">
        <w:t xml:space="preserve">conceptualisation or realisation </w:t>
      </w:r>
      <w:r w:rsidR="00A95561">
        <w:t xml:space="preserve">may need to be tested in terms of </w:t>
      </w:r>
      <w:r w:rsidR="00A95561" w:rsidRPr="00A95561">
        <w:t xml:space="preserve">the effect of conceptual or </w:t>
      </w:r>
      <w:r w:rsidR="00CC40E4">
        <w:t>other sources of uncertainty</w:t>
      </w:r>
      <w:r w:rsidR="00A95561" w:rsidRPr="00A95561">
        <w:t xml:space="preserve"> on model outputs</w:t>
      </w:r>
      <w:r w:rsidR="00CC40E4">
        <w:t xml:space="preserve">, which </w:t>
      </w:r>
      <w:r w:rsidR="00A95561" w:rsidRPr="00A95561">
        <w:t xml:space="preserve">may lead to </w:t>
      </w:r>
      <w:r w:rsidR="00CC40E4">
        <w:t>more than one mathematical model</w:t>
      </w:r>
      <w:r w:rsidR="005F2526">
        <w:t>, as outlined in the AGMG</w:t>
      </w:r>
      <w:r w:rsidR="00CC40E4">
        <w:t xml:space="preserve"> (Barnett et </w:t>
      </w:r>
      <w:r w:rsidR="00976EA7">
        <w:t>al.</w:t>
      </w:r>
      <w:r w:rsidR="00CC40E4">
        <w:t xml:space="preserve"> 2012).</w:t>
      </w:r>
      <w:r w:rsidR="00BE4112">
        <w:t xml:space="preserve"> </w:t>
      </w:r>
      <w:r w:rsidR="00E52111">
        <w:t xml:space="preserve">The </w:t>
      </w:r>
      <w:r w:rsidR="00853DD7">
        <w:t>m</w:t>
      </w:r>
      <w:r w:rsidR="00BE4112">
        <w:t>ultiple models may be of different types (e.g. conceptual</w:t>
      </w:r>
      <w:r w:rsidR="00853DD7">
        <w:t xml:space="preserve"> </w:t>
      </w:r>
      <w:r w:rsidR="00BE4112">
        <w:t>or analytical or numerical), depending on the objective to be investigated</w:t>
      </w:r>
      <w:r w:rsidR="00853DD7">
        <w:t xml:space="preserve"> (</w:t>
      </w:r>
      <w:r w:rsidR="00AD6001">
        <w:t xml:space="preserve">it </w:t>
      </w:r>
      <w:r w:rsidR="00853DD7">
        <w:t>is not possible</w:t>
      </w:r>
      <w:r w:rsidR="00E52111">
        <w:t xml:space="preserve"> to be prescriptive</w:t>
      </w:r>
      <w:r w:rsidR="00853DD7">
        <w:t>)</w:t>
      </w:r>
      <w:r w:rsidR="00BE4112">
        <w:t>.</w:t>
      </w:r>
    </w:p>
    <w:p w14:paraId="48801378" w14:textId="77777777" w:rsidR="0010676F" w:rsidRDefault="0010676F" w:rsidP="00515140">
      <w:pPr>
        <w:pStyle w:val="BodyText"/>
      </w:pPr>
      <w:r w:rsidRPr="006A4067">
        <w:t xml:space="preserve">The </w:t>
      </w:r>
      <w:r w:rsidR="004F157C">
        <w:t xml:space="preserve">unbiased </w:t>
      </w:r>
      <w:r w:rsidRPr="006A4067">
        <w:t>in</w:t>
      </w:r>
      <w:r w:rsidR="00BE4112" w:rsidRPr="006A4067">
        <w:t>vestigation of</w:t>
      </w:r>
      <w:r w:rsidRPr="006A4067">
        <w:t xml:space="preserve"> causal pathways is</w:t>
      </w:r>
      <w:r>
        <w:t xml:space="preserve"> </w:t>
      </w:r>
      <w:r w:rsidR="006A4067">
        <w:t xml:space="preserve">a key element of the ecological values analysis </w:t>
      </w:r>
      <w:r w:rsidR="00706267">
        <w:t>at</w:t>
      </w:r>
      <w:r w:rsidR="006A4067">
        <w:t xml:space="preserve"> the problem definition stage, along with data analysis, conceptualisation, and the initial risk analysis and treatment options assessment.</w:t>
      </w:r>
    </w:p>
    <w:p w14:paraId="7477B1FA" w14:textId="77777777" w:rsidR="00E52111" w:rsidRDefault="009263FE" w:rsidP="009263FE">
      <w:pPr>
        <w:pStyle w:val="Heading1"/>
      </w:pPr>
      <w:bookmarkStart w:id="20" w:name="_Ref499202318"/>
      <w:bookmarkStart w:id="21" w:name="_Toc505681239"/>
      <w:r>
        <w:t>MODELLING WORKFLOW FOR UNCERTAINTY ANALYSIS</w:t>
      </w:r>
      <w:bookmarkEnd w:id="20"/>
      <w:bookmarkEnd w:id="21"/>
    </w:p>
    <w:p w14:paraId="2EF3C200" w14:textId="77777777" w:rsidR="00834F90" w:rsidRDefault="00A30F72" w:rsidP="00A30F72">
      <w:pPr>
        <w:pStyle w:val="BodyText"/>
      </w:pPr>
      <w:bookmarkStart w:id="22" w:name="_Hlk498340333"/>
      <w:r>
        <w:t>Uncertainty</w:t>
      </w:r>
      <w:r w:rsidRPr="00456C7A">
        <w:t xml:space="preserve"> </w:t>
      </w:r>
      <w:r w:rsidR="00297FA7">
        <w:t xml:space="preserve">analysis </w:t>
      </w:r>
      <w:r w:rsidRPr="00456C7A">
        <w:t xml:space="preserve">must be considered at </w:t>
      </w:r>
      <w:r w:rsidR="00AD6001">
        <w:t xml:space="preserve">the </w:t>
      </w:r>
      <w:r w:rsidRPr="00456C7A">
        <w:t xml:space="preserve">problem definition and </w:t>
      </w:r>
      <w:r>
        <w:t xml:space="preserve">at each </w:t>
      </w:r>
      <w:r w:rsidRPr="005C777C">
        <w:t>subsequent</w:t>
      </w:r>
      <w:r>
        <w:t xml:space="preserve"> stage of </w:t>
      </w:r>
      <w:r w:rsidRPr="00456C7A">
        <w:t>the workflow</w:t>
      </w:r>
      <w:r w:rsidR="003645FB">
        <w:t>. It must be</w:t>
      </w:r>
      <w:r>
        <w:t xml:space="preserve"> </w:t>
      </w:r>
      <w:r w:rsidR="00834F90">
        <w:t xml:space="preserve">integrated within a </w:t>
      </w:r>
      <w:r>
        <w:t>risk management framework</w:t>
      </w:r>
      <w:bookmarkEnd w:id="22"/>
      <w:r w:rsidR="00AC41B9">
        <w:t xml:space="preserve"> (i.e. initial risk assessment and subsequent review/revision</w:t>
      </w:r>
      <w:r w:rsidR="000B7C09">
        <w:t>) and</w:t>
      </w:r>
      <w:r w:rsidR="000B4F13">
        <w:t xml:space="preserve"> involv</w:t>
      </w:r>
      <w:r w:rsidR="003645FB">
        <w:t>e</w:t>
      </w:r>
      <w:r w:rsidR="000B4F13">
        <w:t xml:space="preserve"> meaningful (‘without prejudice’) </w:t>
      </w:r>
      <w:r w:rsidR="00DE7031">
        <w:t>engagement/</w:t>
      </w:r>
      <w:r w:rsidR="000B4F13">
        <w:t>consultation between proponents and agencies</w:t>
      </w:r>
      <w:r w:rsidR="00180A37">
        <w:t xml:space="preserve"> on methodologies and assumptions</w:t>
      </w:r>
      <w:r w:rsidRPr="00456C7A">
        <w:t>.</w:t>
      </w:r>
      <w:r>
        <w:t xml:space="preserve"> </w:t>
      </w:r>
    </w:p>
    <w:p w14:paraId="58664F58" w14:textId="77777777" w:rsidR="00210633" w:rsidRDefault="00210633" w:rsidP="00A30F72">
      <w:pPr>
        <w:pStyle w:val="BodyText"/>
      </w:pPr>
      <w:r>
        <w:t xml:space="preserve">A conceptual example is illustrated in </w:t>
      </w:r>
      <w:r w:rsidR="005C777C">
        <w:fldChar w:fldCharType="begin"/>
      </w:r>
      <w:r w:rsidR="005C777C">
        <w:instrText xml:space="preserve"> REF _Ref505446124 \h </w:instrText>
      </w:r>
      <w:r w:rsidR="005C777C">
        <w:fldChar w:fldCharType="separate"/>
      </w:r>
      <w:r w:rsidR="007950E7">
        <w:t xml:space="preserve">Figure </w:t>
      </w:r>
      <w:r w:rsidR="007950E7">
        <w:rPr>
          <w:noProof/>
        </w:rPr>
        <w:t>2</w:t>
      </w:r>
      <w:r w:rsidR="005C777C">
        <w:fldChar w:fldCharType="end"/>
      </w:r>
      <w:r w:rsidR="005C777C">
        <w:t xml:space="preserve"> (after Walker, 2017, based on discussions in Gillaume et al</w:t>
      </w:r>
      <w:r w:rsidR="0050782C">
        <w:t>.</w:t>
      </w:r>
      <w:r w:rsidR="005C777C">
        <w:t xml:space="preserve"> 2016, and Peeters, 2017</w:t>
      </w:r>
      <w:r w:rsidR="007C7CB7">
        <w:t>b</w:t>
      </w:r>
      <w:r w:rsidR="005C777C">
        <w:t>)</w:t>
      </w:r>
      <w:r>
        <w:t xml:space="preserve">. </w:t>
      </w:r>
      <w:r w:rsidRPr="00210633">
        <w:t>Initially, a preliminary risk assessment is done, possible risk mitigations are considered</w:t>
      </w:r>
      <w:r w:rsidR="005C777C">
        <w:t>,</w:t>
      </w:r>
      <w:r w:rsidRPr="00210633">
        <w:t xml:space="preserve"> and the model is conceptualised to meet the objectives. As the</w:t>
      </w:r>
      <w:r w:rsidR="005C777C">
        <w:t xml:space="preserve"> modelling and assessment workflow proceeds through</w:t>
      </w:r>
      <w:r w:rsidRPr="00210633">
        <w:t xml:space="preserve"> </w:t>
      </w:r>
      <w:r w:rsidR="005C777C">
        <w:t xml:space="preserve">its </w:t>
      </w:r>
      <w:r w:rsidRPr="00210633">
        <w:t>iterations, there is a winnowing of the objectives according to risk</w:t>
      </w:r>
      <w:r w:rsidR="005C777C">
        <w:t>,</w:t>
      </w:r>
      <w:r w:rsidRPr="00210633">
        <w:t xml:space="preserve"> and complexity </w:t>
      </w:r>
      <w:r w:rsidR="005C777C">
        <w:t xml:space="preserve">may be </w:t>
      </w:r>
      <w:r w:rsidRPr="00210633">
        <w:t xml:space="preserve">added </w:t>
      </w:r>
      <w:r w:rsidR="005C777C">
        <w:t xml:space="preserve">or refined </w:t>
      </w:r>
      <w:r w:rsidRPr="00210633">
        <w:t>as necessary. In the preliminary stages, there may not be any need for numerical modelling</w:t>
      </w:r>
      <w:r w:rsidR="005C777C">
        <w:t xml:space="preserve">, and if </w:t>
      </w:r>
      <w:r w:rsidRPr="00210633">
        <w:t>risks are not high</w:t>
      </w:r>
      <w:r w:rsidR="005C777C">
        <w:t xml:space="preserve"> at any stage</w:t>
      </w:r>
      <w:r w:rsidRPr="00210633">
        <w:t xml:space="preserve">, nothing more </w:t>
      </w:r>
      <w:r w:rsidR="005C777C">
        <w:t>may be</w:t>
      </w:r>
      <w:r w:rsidRPr="00210633">
        <w:t xml:space="preserve"> required and resourcing </w:t>
      </w:r>
      <w:r w:rsidR="005C777C">
        <w:t>the investigation may be curtailed</w:t>
      </w:r>
      <w:r w:rsidRPr="00210633">
        <w:t>.</w:t>
      </w:r>
    </w:p>
    <w:p w14:paraId="67FEB889" w14:textId="545F2DBB" w:rsidR="00210633" w:rsidRDefault="005C777C" w:rsidP="0078589F">
      <w:pPr>
        <w:pStyle w:val="Caption"/>
      </w:pPr>
      <w:bookmarkStart w:id="23" w:name="_Ref505446124"/>
      <w:r>
        <w:rPr>
          <w:noProof/>
        </w:rPr>
        <w:drawing>
          <wp:anchor distT="0" distB="0" distL="114300" distR="114300" simplePos="0" relativeHeight="251658247" behindDoc="0" locked="1" layoutInCell="1" allowOverlap="1" wp14:anchorId="3B72CDC6" wp14:editId="3E4CF328">
            <wp:simplePos x="0" y="0"/>
            <wp:positionH relativeFrom="column">
              <wp:posOffset>-5080</wp:posOffset>
            </wp:positionH>
            <wp:positionV relativeFrom="paragraph">
              <wp:posOffset>24765</wp:posOffset>
            </wp:positionV>
            <wp:extent cx="4206240" cy="2699385"/>
            <wp:effectExtent l="19050" t="19050" r="22860" b="2476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6240" cy="2699385"/>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sidR="0078589F">
        <w:t xml:space="preserve">Figure </w:t>
      </w:r>
      <w:r w:rsidR="00F65CC6">
        <w:fldChar w:fldCharType="begin"/>
      </w:r>
      <w:r w:rsidR="00F65CC6">
        <w:instrText xml:space="preserve"> SEQ Figure \* ARABIC </w:instrText>
      </w:r>
      <w:r w:rsidR="00F65CC6">
        <w:fldChar w:fldCharType="separate"/>
      </w:r>
      <w:r w:rsidR="007950E7">
        <w:rPr>
          <w:noProof/>
        </w:rPr>
        <w:t>2</w:t>
      </w:r>
      <w:r w:rsidR="00F65CC6">
        <w:rPr>
          <w:noProof/>
        </w:rPr>
        <w:fldChar w:fldCharType="end"/>
      </w:r>
      <w:bookmarkEnd w:id="23"/>
      <w:r w:rsidR="0078589F">
        <w:t xml:space="preserve"> -</w:t>
      </w:r>
      <w:r w:rsidR="0078589F" w:rsidRPr="0078589F">
        <w:t xml:space="preserve"> schematic iterative approach for groundwater modelling involving setting objectives, risk mitigation options and modelling conceptualisation </w:t>
      </w:r>
      <w:r>
        <w:t>(</w:t>
      </w:r>
      <w:r w:rsidR="0078589F" w:rsidRPr="0078589F">
        <w:t>Guillaume et al. 2016)</w:t>
      </w:r>
    </w:p>
    <w:p w14:paraId="31FA4A3E" w14:textId="77777777" w:rsidR="00E52111" w:rsidRDefault="00137C72" w:rsidP="00E52111">
      <w:pPr>
        <w:pStyle w:val="BodyText"/>
      </w:pPr>
      <w:r>
        <w:t>The AGMG state that o</w:t>
      </w:r>
      <w:r w:rsidR="00325609">
        <w:t>bjective</w:t>
      </w:r>
      <w:r w:rsidR="00E52111" w:rsidRPr="00456C7A">
        <w:t xml:space="preserve"> consideration of uncertainty is warrante</w:t>
      </w:r>
      <w:r w:rsidR="00E52111">
        <w:t xml:space="preserve">d for every groundwater project (Barnett et </w:t>
      </w:r>
      <w:r w:rsidR="00976EA7">
        <w:t>al.</w:t>
      </w:r>
      <w:r w:rsidR="00E52111">
        <w:t xml:space="preserve"> 2012).</w:t>
      </w:r>
      <w:r w:rsidR="00E52111" w:rsidRPr="00456C7A">
        <w:t xml:space="preserve"> For high value or risk projects, the lack of an objective uncertainty assessment </w:t>
      </w:r>
      <w:r w:rsidR="00E52111">
        <w:t xml:space="preserve">is a </w:t>
      </w:r>
      <w:r w:rsidR="00E52111" w:rsidRPr="00456C7A">
        <w:t>metric for model failure. For low risk projects, it may be acceptable to describe the effect of uncertainty on the project objectives in more qualitative terms.</w:t>
      </w:r>
      <w:r w:rsidR="00E52111">
        <w:t xml:space="preserve"> </w:t>
      </w:r>
      <w:r w:rsidR="00E52111" w:rsidRPr="005E15AA">
        <w:t>Most large coal mines and CSG projects would be classified as high environmental risk</w:t>
      </w:r>
      <w:r w:rsidR="00E52111">
        <w:t>, although some projects may be able to be justified as low risk.</w:t>
      </w:r>
    </w:p>
    <w:p w14:paraId="69FF0AA2" w14:textId="77777777" w:rsidR="00E52111" w:rsidRDefault="00C952EC" w:rsidP="00E52111">
      <w:pPr>
        <w:pStyle w:val="BodyText"/>
      </w:pPr>
      <w:r>
        <w:t>The following k</w:t>
      </w:r>
      <w:r w:rsidR="00E52111">
        <w:t xml:space="preserve">ey principles drive the </w:t>
      </w:r>
      <w:r w:rsidR="00482813">
        <w:t xml:space="preserve">modelling </w:t>
      </w:r>
      <w:r w:rsidR="00E52111">
        <w:t xml:space="preserve">workflow </w:t>
      </w:r>
      <w:r w:rsidR="00482813">
        <w:t xml:space="preserve">to objectively assess </w:t>
      </w:r>
      <w:r w:rsidR="00E52111">
        <w:t xml:space="preserve">uncertainty, all of which are consistent with the </w:t>
      </w:r>
      <w:r w:rsidR="00482813">
        <w:t>AGMG</w:t>
      </w:r>
      <w:r w:rsidR="00E52111">
        <w:t xml:space="preserve"> (Barnett et al. 2012), including engagement </w:t>
      </w:r>
      <w:r w:rsidR="000F6917">
        <w:t xml:space="preserve">with regulators </w:t>
      </w:r>
      <w:r w:rsidR="00E52111">
        <w:t>at key stages</w:t>
      </w:r>
      <w:r w:rsidR="00EF5C4E">
        <w:t xml:space="preserve"> (</w:t>
      </w:r>
      <w:r w:rsidR="00EF5C4E">
        <w:fldChar w:fldCharType="begin"/>
      </w:r>
      <w:r w:rsidR="00EF5C4E">
        <w:instrText xml:space="preserve"> REF _Ref499202271 \h </w:instrText>
      </w:r>
      <w:r w:rsidR="00EF5C4E">
        <w:fldChar w:fldCharType="separate"/>
      </w:r>
      <w:r w:rsidR="007950E7">
        <w:t xml:space="preserve">Table </w:t>
      </w:r>
      <w:r w:rsidR="007950E7">
        <w:rPr>
          <w:noProof/>
        </w:rPr>
        <w:t>1</w:t>
      </w:r>
      <w:r w:rsidR="00EF5C4E">
        <w:fldChar w:fldCharType="end"/>
      </w:r>
      <w:r w:rsidR="00EB3DE7">
        <w:t xml:space="preserve">, </w:t>
      </w:r>
      <w:r w:rsidR="00EB3DE7">
        <w:fldChar w:fldCharType="begin"/>
      </w:r>
      <w:r w:rsidR="00EB3DE7">
        <w:instrText xml:space="preserve"> REF _Ref499481138 \h </w:instrText>
      </w:r>
      <w:r w:rsidR="00EB3DE7">
        <w:fldChar w:fldCharType="separate"/>
      </w:r>
      <w:r w:rsidR="007950E7">
        <w:t xml:space="preserve">Figure </w:t>
      </w:r>
      <w:r w:rsidR="007950E7">
        <w:rPr>
          <w:noProof/>
        </w:rPr>
        <w:t>3</w:t>
      </w:r>
      <w:r w:rsidR="00EB3DE7">
        <w:fldChar w:fldCharType="end"/>
      </w:r>
      <w:r w:rsidR="00EB3DE7">
        <w:t>; see next page</w:t>
      </w:r>
      <w:r w:rsidR="00EF5C4E">
        <w:t>)</w:t>
      </w:r>
      <w:r w:rsidR="00E52111">
        <w:t>:</w:t>
      </w:r>
    </w:p>
    <w:p w14:paraId="7847C815" w14:textId="687E893A" w:rsidR="00482813" w:rsidRPr="002B6030" w:rsidRDefault="00020069" w:rsidP="000970C2">
      <w:pPr>
        <w:pStyle w:val="ListParagraph"/>
      </w:pPr>
      <w:r>
        <w:lastRenderedPageBreak/>
        <w:t>While a</w:t>
      </w:r>
      <w:r w:rsidR="00482813">
        <w:t>ll projects require a qualitative uncertainty analysis</w:t>
      </w:r>
      <w:r>
        <w:t xml:space="preserve"> as a minimum</w:t>
      </w:r>
      <w:r w:rsidR="00347982">
        <w:t xml:space="preserve">, discussing how model assumptions can potentially affect </w:t>
      </w:r>
      <w:r w:rsidR="00981499">
        <w:t>simulation</w:t>
      </w:r>
      <w:r w:rsidR="00347982">
        <w:t>s,</w:t>
      </w:r>
      <w:r w:rsidR="00482813">
        <w:t xml:space="preserve"> </w:t>
      </w:r>
      <w:r>
        <w:t xml:space="preserve">high risk projects also require a </w:t>
      </w:r>
      <w:r w:rsidR="00482813">
        <w:t>quantitative uncertainty assessment</w:t>
      </w:r>
      <w:r w:rsidR="00347982">
        <w:t xml:space="preserve"> </w:t>
      </w:r>
      <w:r>
        <w:t>to a level of detail</w:t>
      </w:r>
      <w:r w:rsidDel="00020069">
        <w:t xml:space="preserve"> </w:t>
      </w:r>
      <w:r w:rsidR="00347982">
        <w:t xml:space="preserve">commensurate </w:t>
      </w:r>
      <w:r>
        <w:t>with</w:t>
      </w:r>
      <w:r w:rsidR="00347982">
        <w:t xml:space="preserve"> the potential </w:t>
      </w:r>
      <w:r w:rsidR="00E22430">
        <w:t xml:space="preserve">risks and/or </w:t>
      </w:r>
      <w:r w:rsidR="00347982">
        <w:t>consequences of the project</w:t>
      </w:r>
      <w:r w:rsidR="00304977">
        <w:t xml:space="preserve"> (i.e. </w:t>
      </w:r>
      <w:r w:rsidR="005A4D48">
        <w:t xml:space="preserve">this means that </w:t>
      </w:r>
      <w:r w:rsidR="00304977">
        <w:t>a preliminary</w:t>
      </w:r>
      <w:r w:rsidR="00800AF5">
        <w:t xml:space="preserve"> hydrogeological</w:t>
      </w:r>
      <w:r w:rsidR="00304977">
        <w:t xml:space="preserve"> risk assessment </w:t>
      </w:r>
      <w:r w:rsidR="00AC41B9">
        <w:t xml:space="preserve">is needed </w:t>
      </w:r>
      <w:r w:rsidR="00304977">
        <w:t>at an early stage in the project)</w:t>
      </w:r>
      <w:r w:rsidR="00C7021E">
        <w:t>;</w:t>
      </w:r>
    </w:p>
    <w:p w14:paraId="74D3C8A9" w14:textId="77777777" w:rsidR="00347982" w:rsidRDefault="00347982" w:rsidP="00DE7031">
      <w:pPr>
        <w:pStyle w:val="ListParagraph"/>
      </w:pPr>
      <w:r>
        <w:t>Modelling methods must consider the coal mining or CSG development stressors (dewatering and depressurisation) and causal pathways for potential impacts</w:t>
      </w:r>
      <w:r w:rsidRPr="009973BA">
        <w:t xml:space="preserve"> </w:t>
      </w:r>
      <w:r>
        <w:t>on</w:t>
      </w:r>
      <w:r w:rsidR="00DE7031" w:rsidRPr="00DE7031">
        <w:t xml:space="preserve"> </w:t>
      </w:r>
      <w:r w:rsidR="00DE7031">
        <w:t>w</w:t>
      </w:r>
      <w:r w:rsidR="00DE7031" w:rsidRPr="00DE7031">
        <w:t>ater resources and water</w:t>
      </w:r>
      <w:r w:rsidR="00DE7031">
        <w:t>-</w:t>
      </w:r>
      <w:r w:rsidR="00DE7031" w:rsidRPr="00DE7031">
        <w:t>related assets</w:t>
      </w:r>
      <w:r>
        <w:t>;</w:t>
      </w:r>
    </w:p>
    <w:p w14:paraId="7BC5DF1F" w14:textId="77777777" w:rsidR="00E52111" w:rsidRPr="00783DBE" w:rsidRDefault="00E52111" w:rsidP="000970C2">
      <w:pPr>
        <w:pStyle w:val="ListParagraph"/>
      </w:pPr>
      <w:r w:rsidRPr="00DB11C5">
        <w:t>Explicitly define project objectives and what the model needs to predict</w:t>
      </w:r>
      <w:r>
        <w:t xml:space="preserve"> in specific and measurable terms</w:t>
      </w:r>
      <w:r w:rsidR="00482813">
        <w:t xml:space="preserve"> (e.g. threshold or trigger impact terms provide </w:t>
      </w:r>
      <w:r w:rsidR="00BB6FF1">
        <w:t xml:space="preserve">information on which </w:t>
      </w:r>
      <w:r w:rsidR="00482813">
        <w:t>decision</w:t>
      </w:r>
      <w:r w:rsidR="00BB6FF1">
        <w:t>s may be based</w:t>
      </w:r>
      <w:r w:rsidR="00BB6FF1" w:rsidRPr="00BB6FF1">
        <w:t xml:space="preserve"> </w:t>
      </w:r>
      <w:r w:rsidR="00BB6FF1">
        <w:t>objectively</w:t>
      </w:r>
      <w:r w:rsidR="00482813">
        <w:t>)</w:t>
      </w:r>
      <w:r>
        <w:t>;</w:t>
      </w:r>
    </w:p>
    <w:p w14:paraId="710D9F78" w14:textId="77777777" w:rsidR="00E52111" w:rsidRDefault="00E52111" w:rsidP="000970C2">
      <w:pPr>
        <w:pStyle w:val="ListParagraph"/>
      </w:pPr>
      <w:r>
        <w:t xml:space="preserve">Design the methodology to provide information about </w:t>
      </w:r>
      <w:r w:rsidR="009973BA">
        <w:t xml:space="preserve">the </w:t>
      </w:r>
      <w:r>
        <w:t xml:space="preserve">uncertainty </w:t>
      </w:r>
      <w:r w:rsidR="009973BA">
        <w:t xml:space="preserve">in conceptualisations and model simulation outputs </w:t>
      </w:r>
      <w:r>
        <w:t xml:space="preserve">in a way that </w:t>
      </w:r>
      <w:r w:rsidR="00531510">
        <w:t xml:space="preserve">allows </w:t>
      </w:r>
      <w:r>
        <w:t>decision mak</w:t>
      </w:r>
      <w:r w:rsidR="00531510">
        <w:t>ers to understand the effects of uncertainty on project objectives</w:t>
      </w:r>
      <w:r>
        <w:t xml:space="preserve"> </w:t>
      </w:r>
      <w:r w:rsidR="009973BA">
        <w:t xml:space="preserve">and the effects of potential </w:t>
      </w:r>
      <w:r w:rsidR="009973BA" w:rsidRPr="009973BA">
        <w:t>bias</w:t>
      </w:r>
      <w:r w:rsidR="009973BA">
        <w:t xml:space="preserve"> </w:t>
      </w:r>
      <w:r>
        <w:t xml:space="preserve">(the model must be </w:t>
      </w:r>
      <w:r w:rsidR="00592762">
        <w:t xml:space="preserve">specifically </w:t>
      </w:r>
      <w:r>
        <w:t>fit for this purpose)</w:t>
      </w:r>
      <w:r w:rsidRPr="002B6030">
        <w:t>;</w:t>
      </w:r>
    </w:p>
    <w:p w14:paraId="32ABBE7F" w14:textId="77777777" w:rsidR="00180A37" w:rsidRDefault="00180A37" w:rsidP="00D27137">
      <w:pPr>
        <w:pStyle w:val="ListParagraph"/>
      </w:pPr>
      <w:r>
        <w:t>S</w:t>
      </w:r>
      <w:r w:rsidRPr="00180A37">
        <w:t>trike a balance between model simplicity and complexity in developing the model(s) for the purpose of uncertainty evaluation</w:t>
      </w:r>
      <w:r>
        <w:t>,</w:t>
      </w:r>
      <w:r w:rsidRPr="00180A37">
        <w:t xml:space="preserve"> commensurate with the risk/consequence profile of the project (may require more than one model);</w:t>
      </w:r>
    </w:p>
    <w:p w14:paraId="01B7EA61" w14:textId="77777777" w:rsidR="00E52111" w:rsidRDefault="00E52111" w:rsidP="000970C2">
      <w:pPr>
        <w:pStyle w:val="ListParagraph"/>
      </w:pPr>
      <w:r w:rsidRPr="00DB11C5">
        <w:t xml:space="preserve">Constrain the model </w:t>
      </w:r>
      <w:r w:rsidR="00482813">
        <w:t>simulations</w:t>
      </w:r>
      <w:r w:rsidRPr="00DB11C5">
        <w:t xml:space="preserve"> with available observations and information</w:t>
      </w:r>
      <w:r>
        <w:t>;</w:t>
      </w:r>
    </w:p>
    <w:p w14:paraId="07A72F5C" w14:textId="77777777" w:rsidR="00347982" w:rsidRPr="00DB11C5" w:rsidRDefault="00347982" w:rsidP="000970C2">
      <w:pPr>
        <w:pStyle w:val="ListParagraph"/>
      </w:pPr>
      <w:r>
        <w:t>Present the range of model outcomes that are consistent with all observations and information</w:t>
      </w:r>
      <w:r w:rsidR="00E22430">
        <w:t xml:space="preserve"> (calibration-constrained model outcomes);</w:t>
      </w:r>
    </w:p>
    <w:p w14:paraId="33D07EAB" w14:textId="77777777" w:rsidR="00E52111" w:rsidRPr="00DB11C5" w:rsidRDefault="00E52111" w:rsidP="000970C2">
      <w:pPr>
        <w:pStyle w:val="ListParagraph"/>
      </w:pPr>
      <w:r>
        <w:t>Prepare reports to transparently and logically d</w:t>
      </w:r>
      <w:r w:rsidRPr="00DB11C5">
        <w:t>iscuss model</w:t>
      </w:r>
      <w:r w:rsidR="00A15642">
        <w:t>ling and methodology</w:t>
      </w:r>
      <w:r w:rsidRPr="00DB11C5">
        <w:t xml:space="preserve"> assumptions and choices and how they affect </w:t>
      </w:r>
      <w:r w:rsidR="00482813">
        <w:t>simulations</w:t>
      </w:r>
      <w:r w:rsidR="00A15642">
        <w:t>,</w:t>
      </w:r>
      <w:r w:rsidR="00482813">
        <w:t xml:space="preserve"> uncertainties</w:t>
      </w:r>
      <w:r w:rsidR="00A15642">
        <w:t xml:space="preserve"> and potential bias</w:t>
      </w:r>
      <w:r w:rsidR="00800AF5">
        <w:t>, and present the results clearly such they are not prone to misinterpretation</w:t>
      </w:r>
      <w:r>
        <w:t>;</w:t>
      </w:r>
    </w:p>
    <w:p w14:paraId="609830F7" w14:textId="77777777" w:rsidR="00E52111" w:rsidRDefault="00E52111" w:rsidP="000970C2">
      <w:pPr>
        <w:pStyle w:val="ListParagraph"/>
      </w:pPr>
      <w:r w:rsidRPr="00DB11C5">
        <w:t xml:space="preserve">Iterate </w:t>
      </w:r>
      <w:r>
        <w:t>through the workflow during the project,</w:t>
      </w:r>
      <w:r w:rsidRPr="00DB11C5">
        <w:t xml:space="preserve"> revisit</w:t>
      </w:r>
      <w:r w:rsidR="00482813">
        <w:t>ing</w:t>
      </w:r>
      <w:r w:rsidRPr="00DB11C5">
        <w:t xml:space="preserve"> objectives, assumptions</w:t>
      </w:r>
      <w:r>
        <w:t>, conceptualisations</w:t>
      </w:r>
      <w:r w:rsidRPr="00DB11C5">
        <w:t xml:space="preserve"> and </w:t>
      </w:r>
      <w:r w:rsidR="00482813">
        <w:t>simulations</w:t>
      </w:r>
      <w:r>
        <w:t>,</w:t>
      </w:r>
      <w:r w:rsidRPr="00DB11C5">
        <w:t xml:space="preserve"> </w:t>
      </w:r>
      <w:r w:rsidR="00800AF5">
        <w:t xml:space="preserve">as well as the risk assessment (with consideration of any risk treatments applied to mitigate impacts), </w:t>
      </w:r>
      <w:r w:rsidRPr="00DB11C5">
        <w:t xml:space="preserve">in </w:t>
      </w:r>
      <w:r>
        <w:t xml:space="preserve">a process of engagement </w:t>
      </w:r>
      <w:r w:rsidRPr="00DB11C5">
        <w:t xml:space="preserve">with </w:t>
      </w:r>
      <w:r>
        <w:t>agencies.</w:t>
      </w:r>
    </w:p>
    <w:p w14:paraId="499B4FEE" w14:textId="77777777" w:rsidR="00180A37" w:rsidRDefault="00DD6F4F" w:rsidP="00834F90">
      <w:pPr>
        <w:pStyle w:val="BodyText"/>
      </w:pPr>
      <w:r>
        <w:t>E</w:t>
      </w:r>
      <w:r w:rsidR="00834F90">
        <w:t>ngagement with regulatory agencies is required at the outset and at subsequent key stages, to discuss and agree the methodologies</w:t>
      </w:r>
      <w:r w:rsidR="00A40BD4">
        <w:t xml:space="preserve"> and ongoing refinements</w:t>
      </w:r>
      <w:r w:rsidR="00834F90">
        <w:t xml:space="preserve"> and </w:t>
      </w:r>
      <w:r w:rsidR="00A40BD4">
        <w:t xml:space="preserve">to </w:t>
      </w:r>
      <w:r w:rsidR="00834F90">
        <w:t xml:space="preserve">understand the implications of the results. </w:t>
      </w:r>
      <w:r w:rsidR="00AD6001" w:rsidRPr="00AD6001">
        <w:t xml:space="preserve">Such engagement can be conducted on a ‘without prejudice basis’. </w:t>
      </w:r>
      <w:r w:rsidR="00834F90">
        <w:t xml:space="preserve">Effective communication requires engagement throughout the investigation, not simply at the end to present the results (Richardson et </w:t>
      </w:r>
      <w:r w:rsidR="00976EA7">
        <w:t>al.</w:t>
      </w:r>
      <w:r w:rsidR="00834F90">
        <w:t xml:space="preserve"> 2017; Barnett et </w:t>
      </w:r>
      <w:r w:rsidR="00976EA7">
        <w:t>al.</w:t>
      </w:r>
      <w:r w:rsidR="00834F90">
        <w:t xml:space="preserve"> 2012)</w:t>
      </w:r>
      <w:r w:rsidR="00EF5C4E">
        <w:t xml:space="preserve">; see also section </w:t>
      </w:r>
      <w:r w:rsidR="00EF5C4E">
        <w:fldChar w:fldCharType="begin"/>
      </w:r>
      <w:r w:rsidR="00EF5C4E">
        <w:instrText xml:space="preserve"> REF _Ref499202425 \r \h </w:instrText>
      </w:r>
      <w:r w:rsidR="00EF5C4E">
        <w:fldChar w:fldCharType="separate"/>
      </w:r>
      <w:r w:rsidR="007950E7">
        <w:t>12.1</w:t>
      </w:r>
      <w:r w:rsidR="00EF5C4E">
        <w:fldChar w:fldCharType="end"/>
      </w:r>
      <w:r w:rsidR="00834F90">
        <w:t>.</w:t>
      </w:r>
      <w:r w:rsidR="009E1BAC">
        <w:t xml:space="preserve"> </w:t>
      </w:r>
    </w:p>
    <w:p w14:paraId="665637AC" w14:textId="77777777" w:rsidR="007220FB" w:rsidRDefault="00946DC5" w:rsidP="007220FB">
      <w:pPr>
        <w:pStyle w:val="Caption"/>
      </w:pPr>
      <w:bookmarkStart w:id="24" w:name="_Ref499202271"/>
      <w:bookmarkStart w:id="25" w:name="_Toc505519296"/>
      <w:r>
        <w:rPr>
          <w:noProof/>
        </w:rPr>
        <w:lastRenderedPageBreak/>
        <w:drawing>
          <wp:anchor distT="0" distB="0" distL="114300" distR="114300" simplePos="0" relativeHeight="251658243" behindDoc="0" locked="1" layoutInCell="1" allowOverlap="1" wp14:anchorId="29191149" wp14:editId="41B8E97F">
            <wp:simplePos x="0" y="0"/>
            <wp:positionH relativeFrom="column">
              <wp:posOffset>-183515</wp:posOffset>
            </wp:positionH>
            <wp:positionV relativeFrom="paragraph">
              <wp:posOffset>328295</wp:posOffset>
            </wp:positionV>
            <wp:extent cx="6438265" cy="4020185"/>
            <wp:effectExtent l="19050" t="19050" r="19685" b="18415"/>
            <wp:wrapTopAndBottom/>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38265" cy="40201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220FB">
        <w:t xml:space="preserve">Table </w:t>
      </w:r>
      <w:r w:rsidR="00F65CC6">
        <w:fldChar w:fldCharType="begin"/>
      </w:r>
      <w:r w:rsidR="00F65CC6">
        <w:instrText xml:space="preserve"> SEQ Table \* ARABIC </w:instrText>
      </w:r>
      <w:r w:rsidR="00F65CC6">
        <w:fldChar w:fldCharType="separate"/>
      </w:r>
      <w:r w:rsidR="007950E7">
        <w:rPr>
          <w:noProof/>
        </w:rPr>
        <w:t>1</w:t>
      </w:r>
      <w:r w:rsidR="00F65CC6">
        <w:rPr>
          <w:noProof/>
        </w:rPr>
        <w:fldChar w:fldCharType="end"/>
      </w:r>
      <w:bookmarkEnd w:id="24"/>
      <w:r w:rsidR="007220FB">
        <w:t xml:space="preserve"> - modelling uncertainty analysis </w:t>
      </w:r>
      <w:r w:rsidR="00127BF6">
        <w:t xml:space="preserve">iterative </w:t>
      </w:r>
      <w:r w:rsidR="007220FB">
        <w:t>workflow summary</w:t>
      </w:r>
      <w:bookmarkEnd w:id="25"/>
    </w:p>
    <w:p w14:paraId="14A2B600" w14:textId="77777777" w:rsidR="00127BF6" w:rsidRDefault="00127BF6" w:rsidP="007220FB">
      <w:pPr>
        <w:pStyle w:val="BodyText"/>
      </w:pPr>
    </w:p>
    <w:p w14:paraId="412CE2C9" w14:textId="77777777" w:rsidR="00C80B4C" w:rsidRDefault="00C80B4C" w:rsidP="007220FB">
      <w:pPr>
        <w:pStyle w:val="BodyText"/>
      </w:pPr>
    </w:p>
    <w:p w14:paraId="7205091D" w14:textId="77777777" w:rsidR="007220FB" w:rsidRDefault="00946DC5" w:rsidP="00127BF6">
      <w:pPr>
        <w:pStyle w:val="Caption"/>
      </w:pPr>
      <w:bookmarkStart w:id="26" w:name="_Ref499481138"/>
      <w:r>
        <w:rPr>
          <w:noProof/>
        </w:rPr>
        <w:drawing>
          <wp:anchor distT="0" distB="0" distL="114300" distR="114300" simplePos="0" relativeHeight="251658242" behindDoc="0" locked="1" layoutInCell="1" allowOverlap="1" wp14:anchorId="6DE28E04" wp14:editId="276F2A56">
            <wp:simplePos x="0" y="0"/>
            <wp:positionH relativeFrom="column">
              <wp:posOffset>-183515</wp:posOffset>
            </wp:positionH>
            <wp:positionV relativeFrom="paragraph">
              <wp:posOffset>133985</wp:posOffset>
            </wp:positionV>
            <wp:extent cx="6352540" cy="3148965"/>
            <wp:effectExtent l="19050" t="19050" r="10160" b="13335"/>
            <wp:wrapTopAndBottom/>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2540" cy="31489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27BF6">
        <w:t xml:space="preserve">Figure </w:t>
      </w:r>
      <w:r w:rsidR="00F65CC6">
        <w:fldChar w:fldCharType="begin"/>
      </w:r>
      <w:r w:rsidR="00F65CC6">
        <w:instrText xml:space="preserve"> SEQ Figure \* ARABIC </w:instrText>
      </w:r>
      <w:r w:rsidR="00F65CC6">
        <w:fldChar w:fldCharType="separate"/>
      </w:r>
      <w:r w:rsidR="007950E7">
        <w:rPr>
          <w:noProof/>
        </w:rPr>
        <w:t>3</w:t>
      </w:r>
      <w:r w:rsidR="00F65CC6">
        <w:rPr>
          <w:noProof/>
        </w:rPr>
        <w:fldChar w:fldCharType="end"/>
      </w:r>
      <w:bookmarkEnd w:id="26"/>
      <w:r w:rsidR="00127BF6">
        <w:t xml:space="preserve"> - modelling uncertainty analysis iterative workflow (after Peeters, 2017</w:t>
      </w:r>
      <w:r w:rsidR="007C7B0C">
        <w:t>b</w:t>
      </w:r>
      <w:r w:rsidR="00127BF6">
        <w:t>)</w:t>
      </w:r>
    </w:p>
    <w:p w14:paraId="463BA468" w14:textId="77777777" w:rsidR="0020329C" w:rsidRDefault="0020329C" w:rsidP="007220FB">
      <w:pPr>
        <w:pStyle w:val="BodyText"/>
      </w:pPr>
    </w:p>
    <w:p w14:paraId="791F01D2" w14:textId="77777777" w:rsidR="009263FE" w:rsidRPr="007220FB" w:rsidRDefault="009263FE" w:rsidP="007220FB">
      <w:pPr>
        <w:pStyle w:val="BodyText"/>
      </w:pPr>
    </w:p>
    <w:p w14:paraId="3595BF8A" w14:textId="77777777" w:rsidR="00EB3DE7" w:rsidRDefault="00EB3DE7" w:rsidP="00EB3DE7">
      <w:pPr>
        <w:pStyle w:val="BodyText"/>
      </w:pPr>
      <w:r w:rsidRPr="00FB3FDF">
        <w:t xml:space="preserve">The high profile of global issues such as </w:t>
      </w:r>
      <w:r>
        <w:t xml:space="preserve">climate variability, energy security and </w:t>
      </w:r>
      <w:r w:rsidRPr="00FB3FDF">
        <w:t>controversial developments ha</w:t>
      </w:r>
      <w:r>
        <w:t>s</w:t>
      </w:r>
      <w:r w:rsidRPr="00FB3FDF">
        <w:t xml:space="preserve"> raised awareness of uncertainty and risk amongst environmentalists, industry, regulators and the community</w:t>
      </w:r>
      <w:r>
        <w:t xml:space="preserve">. This has </w:t>
      </w:r>
      <w:r w:rsidRPr="00FB3FDF">
        <w:t>raised expectation</w:t>
      </w:r>
      <w:r>
        <w:t>s</w:t>
      </w:r>
      <w:r w:rsidRPr="00FB3FDF">
        <w:t xml:space="preserve"> that scientific results </w:t>
      </w:r>
      <w:r>
        <w:t>be</w:t>
      </w:r>
      <w:r w:rsidRPr="00FB3FDF">
        <w:t xml:space="preserve"> presented in an honest, pr</w:t>
      </w:r>
      <w:r>
        <w:t xml:space="preserve">ecise and transparent fashion. </w:t>
      </w:r>
      <w:r w:rsidRPr="00312A3F">
        <w:t>There are drivers for and occurrences of both under</w:t>
      </w:r>
      <w:r>
        <w:t xml:space="preserve">- </w:t>
      </w:r>
      <w:r w:rsidRPr="00312A3F">
        <w:t>and over</w:t>
      </w:r>
      <w:r>
        <w:t>-</w:t>
      </w:r>
      <w:r w:rsidRPr="00312A3F">
        <w:t>statement of uncertainties</w:t>
      </w:r>
      <w:r w:rsidR="00BB799E">
        <w:t xml:space="preserve"> (</w:t>
      </w:r>
      <w:r w:rsidR="0060168E">
        <w:t xml:space="preserve">e.g. reflecting unwarranted </w:t>
      </w:r>
      <w:r w:rsidR="0060168E" w:rsidRPr="0060168E">
        <w:t>distort</w:t>
      </w:r>
      <w:r w:rsidR="0060168E">
        <w:t>ion of</w:t>
      </w:r>
      <w:r w:rsidR="0060168E" w:rsidRPr="0060168E">
        <w:t xml:space="preserve"> the assessment</w:t>
      </w:r>
      <w:r w:rsidR="0060168E">
        <w:t>s)</w:t>
      </w:r>
      <w:r w:rsidRPr="00312A3F">
        <w:t>, in some cases deliberately a</w:t>
      </w:r>
      <w:r>
        <w:t>imed at undermining the science (Walker, 2017). Transparent documentation provides objective evidence</w:t>
      </w:r>
      <w:r w:rsidRPr="00C14981">
        <w:t xml:space="preserve"> </w:t>
      </w:r>
      <w:r>
        <w:t xml:space="preserve">of the uncertainty methods and assumptions applied, and </w:t>
      </w:r>
      <w:r w:rsidR="00B71FC7">
        <w:t xml:space="preserve">formal </w:t>
      </w:r>
      <w:r>
        <w:t xml:space="preserve">engagement provides confidence to the regulator and community that </w:t>
      </w:r>
      <w:r w:rsidR="003645FB">
        <w:t xml:space="preserve">all potential impacts have </w:t>
      </w:r>
      <w:r>
        <w:t>been considered</w:t>
      </w:r>
      <w:r w:rsidR="003645FB">
        <w:t xml:space="preserve">, with appropriate proposed </w:t>
      </w:r>
      <w:r>
        <w:t>monitoring and adaptive management mitigations/treatments.</w:t>
      </w:r>
    </w:p>
    <w:p w14:paraId="4CE1DA7D" w14:textId="77777777" w:rsidR="00EB3DE7" w:rsidRDefault="00EB3DE7" w:rsidP="00EB3DE7">
      <w:pPr>
        <w:pStyle w:val="BodyText"/>
      </w:pPr>
      <w:r>
        <w:t>D</w:t>
      </w:r>
      <w:r w:rsidRPr="009E1BAC">
        <w:t>ecision-maker</w:t>
      </w:r>
      <w:r>
        <w:t>s</w:t>
      </w:r>
      <w:r w:rsidRPr="009E1BAC">
        <w:t xml:space="preserve"> need to know the ‘most likely’ outcome and to understand whether there are circumstanc</w:t>
      </w:r>
      <w:r>
        <w:t>es that may result</w:t>
      </w:r>
      <w:r w:rsidRPr="009E1BAC">
        <w:t xml:space="preserve"> in unacceptable outcome</w:t>
      </w:r>
      <w:r>
        <w:t xml:space="preserve">s and what risk or mitigation treatments </w:t>
      </w:r>
      <w:r w:rsidR="00020069" w:rsidRPr="00020069">
        <w:t xml:space="preserve">or adaptive management initiatives </w:t>
      </w:r>
      <w:r>
        <w:t xml:space="preserve">may be applied. Careful choice of language that is aligned with decision-making (e.g. positive or negative framing, and the use of thresholds) </w:t>
      </w:r>
      <w:r w:rsidRPr="0010215A">
        <w:t xml:space="preserve">can reduce cognitive strain, making it easier </w:t>
      </w:r>
      <w:r>
        <w:t xml:space="preserve">for all stakeholders </w:t>
      </w:r>
      <w:r w:rsidRPr="0010215A">
        <w:t xml:space="preserve">to understand </w:t>
      </w:r>
      <w:r>
        <w:t xml:space="preserve">the </w:t>
      </w:r>
      <w:r w:rsidRPr="0010215A">
        <w:t>ideas presented without further analysis</w:t>
      </w:r>
      <w:r>
        <w:t xml:space="preserve"> (Richardson et al. 2017). For example, a 5</w:t>
      </w:r>
      <w:r w:rsidRPr="009F6CA2">
        <w:t xml:space="preserve">% chance </w:t>
      </w:r>
      <w:r>
        <w:t>that</w:t>
      </w:r>
      <w:r w:rsidRPr="009F6CA2">
        <w:t xml:space="preserve"> drawdown will be greater than </w:t>
      </w:r>
      <w:r>
        <w:t>1</w:t>
      </w:r>
      <w:r w:rsidRPr="009F6CA2">
        <w:t xml:space="preserve">m is the same as </w:t>
      </w:r>
      <w:r>
        <w:t>a</w:t>
      </w:r>
      <w:r w:rsidRPr="009F6CA2">
        <w:t xml:space="preserve"> 95% chance </w:t>
      </w:r>
      <w:r>
        <w:t xml:space="preserve">that it </w:t>
      </w:r>
      <w:r w:rsidRPr="009F6CA2">
        <w:t>wil</w:t>
      </w:r>
      <w:r>
        <w:t xml:space="preserve">l be less than 1m; </w:t>
      </w:r>
      <w:r w:rsidRPr="009F6CA2">
        <w:t xml:space="preserve">the latter may be a more positive framing </w:t>
      </w:r>
      <w:r>
        <w:t>with less cognitive strain.</w:t>
      </w:r>
    </w:p>
    <w:p w14:paraId="0F87C095" w14:textId="77777777" w:rsidR="00C52F6B" w:rsidRDefault="009263FE" w:rsidP="009263FE">
      <w:pPr>
        <w:pStyle w:val="Heading1"/>
      </w:pPr>
      <w:bookmarkStart w:id="27" w:name="_Toc505681240"/>
      <w:r>
        <w:rPr>
          <w:noProof/>
        </w:rPr>
        <w:t>MODELLING W</w:t>
      </w:r>
      <w:r>
        <w:t xml:space="preserve">ORKFLOW, </w:t>
      </w:r>
      <w:r w:rsidRPr="009263FE">
        <w:t>CONFIDENCE</w:t>
      </w:r>
      <w:r>
        <w:t xml:space="preserve"> LEVEL, CONDITIONAL CALIBRATION</w:t>
      </w:r>
      <w:bookmarkEnd w:id="27"/>
    </w:p>
    <w:p w14:paraId="65F3DF6E" w14:textId="77777777" w:rsidR="00274F78" w:rsidRDefault="00274F78" w:rsidP="00274F78">
      <w:pPr>
        <w:pStyle w:val="Heading2"/>
      </w:pPr>
      <w:bookmarkStart w:id="28" w:name="_Toc505681241"/>
      <w:r>
        <w:t xml:space="preserve">Modelling </w:t>
      </w:r>
      <w:r w:rsidR="008C2433">
        <w:t>W</w:t>
      </w:r>
      <w:r>
        <w:t>orkflow (conceptual viewpoints)</w:t>
      </w:r>
      <w:bookmarkEnd w:id="28"/>
    </w:p>
    <w:p w14:paraId="57CF6DDB" w14:textId="1BE6A83A" w:rsidR="004F1EA5" w:rsidRDefault="00161721" w:rsidP="00520720">
      <w:pPr>
        <w:pStyle w:val="BodyText"/>
      </w:pPr>
      <w:r w:rsidRPr="00C72979">
        <w:t xml:space="preserve">The model uncertainty workflow outlined </w:t>
      </w:r>
      <w:r w:rsidR="00C72979">
        <w:t xml:space="preserve">herein </w:t>
      </w:r>
      <w:r w:rsidR="000F6917">
        <w:t>differs</w:t>
      </w:r>
      <w:r w:rsidR="001D2196">
        <w:t xml:space="preserve"> from </w:t>
      </w:r>
      <w:r w:rsidRPr="00C72979">
        <w:t xml:space="preserve">the </w:t>
      </w:r>
      <w:r w:rsidR="00520720" w:rsidRPr="00C72979">
        <w:t>traditional model workflow</w:t>
      </w:r>
      <w:r w:rsidR="009E4A19" w:rsidRPr="00C72979">
        <w:t xml:space="preserve"> outlined in the AGMG</w:t>
      </w:r>
      <w:r w:rsidR="00520720" w:rsidRPr="00C72979">
        <w:t xml:space="preserve"> of design, calibrate</w:t>
      </w:r>
      <w:r w:rsidR="009E4A19" w:rsidRPr="00C72979">
        <w:t>,</w:t>
      </w:r>
      <w:r w:rsidR="00520720" w:rsidRPr="00C72979">
        <w:t xml:space="preserve"> predict </w:t>
      </w:r>
      <w:r w:rsidR="009E4A19" w:rsidRPr="00C72979">
        <w:t>and assess sensitivities</w:t>
      </w:r>
      <w:r w:rsidR="004F1EA5" w:rsidRPr="00C72979">
        <w:t xml:space="preserve"> </w:t>
      </w:r>
      <w:r w:rsidR="00000AB1">
        <w:t>(</w:t>
      </w:r>
      <w:r w:rsidR="00DF7F63">
        <w:fldChar w:fldCharType="begin"/>
      </w:r>
      <w:r w:rsidR="00DF7F63">
        <w:instrText xml:space="preserve"> REF _Ref505084962 \h </w:instrText>
      </w:r>
      <w:r w:rsidR="00DF7F63">
        <w:fldChar w:fldCharType="separate"/>
      </w:r>
      <w:r w:rsidR="007950E7">
        <w:t xml:space="preserve">Figure </w:t>
      </w:r>
      <w:r w:rsidR="007950E7">
        <w:rPr>
          <w:noProof/>
        </w:rPr>
        <w:t>4</w:t>
      </w:r>
      <w:r w:rsidR="00DF7F63">
        <w:fldChar w:fldCharType="end"/>
      </w:r>
      <w:r w:rsidR="00000AB1">
        <w:t>, after Ferré, 2016)</w:t>
      </w:r>
      <w:r w:rsidRPr="00C72979">
        <w:t>.</w:t>
      </w:r>
      <w:r w:rsidR="00FA1ACC" w:rsidRPr="00C72979">
        <w:t xml:space="preserve"> </w:t>
      </w:r>
    </w:p>
    <w:bookmarkStart w:id="29" w:name="_Ref505084962"/>
    <w:p w14:paraId="4BB63DCE" w14:textId="77777777" w:rsidR="00DF7F63" w:rsidRDefault="00946DC5" w:rsidP="00DF7F63">
      <w:pPr>
        <w:pStyle w:val="Caption"/>
      </w:pPr>
      <w:r>
        <w:rPr>
          <w:noProof/>
        </w:rPr>
        <mc:AlternateContent>
          <mc:Choice Requires="wpg">
            <w:drawing>
              <wp:anchor distT="0" distB="0" distL="114300" distR="114300" simplePos="0" relativeHeight="251658245" behindDoc="1" locked="1" layoutInCell="1" allowOverlap="1" wp14:anchorId="6EB7FAE2" wp14:editId="2320A18C">
                <wp:simplePos x="0" y="0"/>
                <wp:positionH relativeFrom="column">
                  <wp:posOffset>12065</wp:posOffset>
                </wp:positionH>
                <wp:positionV relativeFrom="paragraph">
                  <wp:posOffset>56515</wp:posOffset>
                </wp:positionV>
                <wp:extent cx="3119120" cy="2155825"/>
                <wp:effectExtent l="0" t="0" r="0" b="0"/>
                <wp:wrapTopAndBottom/>
                <wp:docPr id="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9120" cy="2155825"/>
                          <a:chOff x="6330" y="3720"/>
                          <a:chExt cx="4912" cy="3395"/>
                        </a:xfrm>
                      </wpg:grpSpPr>
                      <pic:pic xmlns:pic="http://schemas.openxmlformats.org/drawingml/2006/picture">
                        <pic:nvPicPr>
                          <pic:cNvPr id="4"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30" y="3720"/>
                            <a:ext cx="2370" cy="3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700" y="3720"/>
                            <a:ext cx="2542" cy="3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F4706F" id="Group 126" o:spid="_x0000_s1026" style="position:absolute;margin-left:.95pt;margin-top:4.45pt;width:245.6pt;height:169.75pt;z-index:-251658235" coordorigin="6330,3720" coordsize="4912,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4BHfwMAAC0MAAAOAAAAZHJzL2Uyb0RvYy54bWzsVttu4zYQfS/QfyD0&#10;rujqmxB7kUp2UGDbBr18AE1RErESKZC0naDov3eGkpzETptiFyjQYg1YIjmc4cyZMyPefnjsWnLk&#10;2ggl1150E3qES6ZKIeu199uvO3/pEWOpLGmrJF97T9x4HzbffnN76jMeq0a1JdcEjEiTnfq111jb&#10;Z0FgWMM7am5UzyUIK6U7amGq66DU9ATWuzaIw3AenJQue60YNwZWi0HobZz9quLM/lRVhlvSrj3w&#10;zbqnds89PoPNLc1qTftGsNEN+hledFRIOPRsqqCWkoMWV6Y6wbQyqrI3THWBqirBuIsBoonCi2ju&#10;tTr0LpY6O9X9GSaA9gKnzzbLfjw+aCLKtZd4RNIOUuROJVE8R3BOfZ3Bnnvd/9I/6CFCGH5U7JMB&#10;cXApx3k9bCb70w+qBIP0YJUD57HSHZqAsMmjy8HTOQf80RIGi0kUraIYUsVAFkez2TKeDVliDaQS&#10;9eZJAnIQJwvY6DLImu2on4L2oJwkK6cZ0Gw42Dk7Ore57QXL4D+CCqMrUN8nH2jZg+beaKT7RzY6&#10;qj8deh/y31Mr9qIV9slxGTBCp+TxQTDEGifP+Umn/IAUDyUphj7tGTQoRuRyQ6TKGyprfmd6KAIo&#10;TVCflrRWp4bT0uAyZvG1FTd95cW+Ff1OtC0mD8djvFBHFzx8A7KB44Vih45LOxSt5i2ErqRpRG88&#10;ojPe7TlwUH9fRo4pwIaPxuJxyAtXSL/Hy7swXMXf+fkszP00XGz9u1W68BfhdpGG6TLKo/wP1I7S&#10;7GA4wEDbohejr7B65e2bVTP2l6EeXV2TI3XdA5FyDk1v5yIsISToq9HsZwDbMdJYzS1rcLkC5MZ1&#10;2HwWOJifkcUcGKixd8vmDfpPxRMni7FyrsgP1NDG3nPVERwA1uCpw5oeIY4htmkLei0VZtzF0kpy&#10;WnurGVSiC1O1opzoYHS9z1s9YhTiz1EKAn25rRMW+nwrurW3PG+iGbJwK0t3iqWiHcaAUivxpLdo&#10;sApX2+V2mfppPN8CDYrCv9vlqT/fRYtZkRR5XkQTDRpRllyiq1/Ogr+PfOd+15EHyMZnNybmTO+B&#10;QVPqYRWH8P/vtafZZXtyvRfDwRb2v2lP8df29M5XfbmADvD663xuT7P0r77NX9sT3oC/4CP1L7cn&#10;d5eCO6lrZOP9GS+9L+cwfnnL3/wJ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N/tVb3QAAAAcBAAAPAAAAZHJzL2Rvd25yZXYueG1sTI5BS8NAFITvgv9heYI3u4mJ&#10;ksZsSinqqQhtBfG2zb4modm3IbtN0n/v86SnYZhh5itWs+3EiINvHSmIFxEIpMqZlmoFn4e3hwyE&#10;D5qM7hyhgit6WJW3N4XOjZtoh+M+1IJHyOdaQRNCn0vpqwat9gvXI3F2coPVge1QSzPoicdtJx+j&#10;6Fla3RI/NLrHTYPVeX+xCt4nPa2T+HXcnk+b6/fh6eNrG6NS93fz+gVEwDn8leEXn9GhZKaju5Dx&#10;omO/5KKCjIXTdJnEII4KkjRLQZaF/M9f/gAAAP//AwBQSwMECgAAAAAAAAAhAGVfwFhOUAAATlAA&#10;ABQAAABkcnMvbWVkaWEvaW1hZ2UxLnBuZ4lQTkcNChoKAAAADUlIRFIAAAEkAAABvggCAAAAtWbu&#10;ngAAAAFzUkdCAK7OHOkAAFAISURBVHhe7Z0J9BXFlf81LnEJuKCJUaOOGxoFjQs6uIySERCdjEaJ&#10;ipOJ/8ERF46Jjokrox4XUEBPGBU3HKOJiCHGGHciJq64RsV9GzHRLO6SqOMS/5/x5n//NVXV3dWv&#10;3++9bt59h8N5v363qm597/3Wcut29+KffPLJYvYxBAyBvkfgM33fhLVgCBgC/4OAkc38wBDoEAJG&#10;tg4Bbc0YAkY28wFDoEMIGNk6BLQ1YwgY2cwHDIEOIWBk6xDQ1owhYGQzHzAEOoSAka1DQFszhoCR&#10;zXzAEOgQAka2DgFtzRgCRjbzAUOgQwgY2ToEtDVjCBjZzAcMgQ4hYGTrENDWjCFgZDMfMAQ6hICR&#10;rUNAWzOGwOJ2p7bnBK+//vqcOXPmz5//wAMP3H///W+++aYKbLnllgMGDNh555033XTTbbbZZpVV&#10;Vll88cUXMR/S7j/44IP33Xdfr3W/b60J2Zryee211/bZZx8Xjm984xsfffTRxx9/3JYu3HHHHYcc&#10;ckg63FtsscXll1+OAn/5y19yFJg5c+ZKK63kVgtpr7322sKCKZ0KMaGhiRMntgBLC92/7LLLWmgo&#10;pV+LpMxiDeoVXhsyYfr06Yy+H3zwQb7H53fz+eef92icTrl11lnnlltuyVHAY5rW/KMf/eidd975&#10;8MMPq2g+YsSIqKp33313OiwVu3/TTTf993//d7uGvAY5ZFlVm0S2qGP93d/93SOPPMLihyG2bOdF&#10;Ppx50pkmkv379//d73735z//OepwWbWtvvrqjz/+OJrDt9Y0v/7667Mqnzp16sMPP5wCS1u6/5vf&#10;/IaBo2UTtNb9xpVqzJ7thRdeWG+99aK+hbtsvfXWa6yxxmc/+9mym6gLLrjg4IMP9qpdfvnlWemx&#10;MVthhRXWXHNN/ZUZ4K233nr22WfZz7z77rtuKdZgX/rSlz7/+c8vs8wyng45Kv37v/87K+G11lqL&#10;Fj/zmdLBqpEjR958881RTI4++ugdd9zxy1/+8he/+EVgyeJkVve32mqrTTbZJL37v/jFLwCK4eNz&#10;n/tcWROUHdqaK98YskXdQnD/l3/5F/Za66+/PjNMKZeN1rnnnntuu+22OM1SSy2Fm/JZcsklqVZ8&#10;iCUf4zdzEeETVo9PPPGE6ADhGQv4rLjiip4OrvPBq5deekndZciQIaeddtpGG20ES5deeulSbuSN&#10;PvBKlaGeI4888m//9m8ZL9Zee+2Q/9JQTvchP72mIFqBwxJLLKHdZ/bW7jMzS1WXXnopXdt4441X&#10;XXVVhEt1pHeElzjppJMa0dt9991XI2M77LCD67JcHz58OMPwcsstl27pG264YcyYMW7f8UtIu/nm&#10;m8M0OPOFL3yBoZoJUz5MEautthrORECSttZdd13U2HDDDQlR0O72229PKX5adtllPbKdfPLJ2gqV&#10;4JGq/MsvvwzfaKhfv364dak5YcqUKUynUjNc3WyzzZ5++mltiPECndGWjsCWsOaw+2w+6T710B2G&#10;LWKtaKvdBwr+RFX6yC6UYYWZU7pPlyE2zKQ5QCg13jXC99qlZDNmNnZlcED7fMwxxxCdZy2nV847&#10;77yddtoJtmD4FJdlM7PBBhu4cW1hGk7GoI4/4Vj8j+vIzCZDO5sEZjaGdsIhhAT+9Kc/saqkKv5H&#10;E9xx4MCBK6+8skd4Vx+YNmrUKDZUqvno0aMPO+wwJjeao6FEu3r6M2qwrL3mmmu0+BFHHAHfmNmg&#10;UIhJVvfpL0yDSzKsMARQVrovFJLuM7PRfVqk4298+nn//ffRn+bALX28S+zsIiNWep/QlZ5fddVV&#10;2i6sYHvAJs3VhIDY22+/jcnxhhQNJ0yY4DINDzvggAOYr5gHqB/O/M3f/A1+w59wjzGbyQGfk4Ul&#10;/icDP6M+Azz8QZ5FFN6WsmlkNmB+UCV/+ctfognKS5gkRXlkGGtUfzRkOio1n0S7D7X40CmGIfrF&#10;2EGPpPvMunSfD1/4E04ypoAP0zt9Z6TgC/wEmUT9e1OsGWQjvq/mYcWC0xMbwDP04j333MMoK/HA&#10;QkOy23ErRP6f//mfWYlRIUEO/AY/g044lu5V3DqZqfBsfsLtEIM5MBMHxU3DNWSoDGVRXq+/+uqr&#10;d911F8ozUqST7YQTTtAaCGbg/elbvmj3mccYceAPfQEEJjd6JxNaGO+R7tMiVKQgwxMjCP/bGjLf&#10;9xpANnYX7izEOIofMOjuvvvursuS7cH8wAKv0GXZ7bigMDWx/sHVGJvxM6Ys8bNC0iKA2+FzsseT&#10;mEphKXyXFa8r9qtf/YoOsigl9FJYHIE777yTuKhKbrfddsw5OSFHr86w+wQe6QW0ofuAINGRlNU4&#10;3afLyENO1gVlt50pnV2UZBpAtuuuu04RJ+bGFIR1WcZ44Q3WY8wP7733XuFK8sorr3RNyPEdHkOF&#10;TE2yFCy1JBPK6a6m0DlwYpbBu+66q0oyTHCcgPJshApHCkpdccUVWpYtGfMwo0P6Ei7sPsozWFAP&#10;s3SpIJOoIVN9OAcWQtFrAnUnG1t5d8lHRiLEYL3H+m3YsGEsXdRg8+bN++1vf1s4P3jzJPMYZwaw&#10;Fz/je8o6sLqL4J3ERdx6br/9dsIMhBwKl8HeIhAQ8HL0hyQpioXdZ3sGV+m7jGKJU3pKWybjIVB3&#10;shEJcDWWNaTELVi07LXXXvornkqOkswPOZMbGyS3QvIbWTJJwKO1k+UWXAqycVbhjhTpYZLZs2dr&#10;iyhMfIKpGECAJUWTsPtwlQUw3QeE9HBoSlsm0zCyuVFyDnaY0xjCxbfwkrFjx7r9uffeeyVMkkM2&#10;DqPdIoRDhL0tnHRVcSaUd0eK9DDJpEmTtF0AkWA9a+DEAIl7XkI9dF9WCiDQwvq5CgI9WLbWMxtL&#10;Jpcbso9nI45z4CL4K0Ewot5qNm4JeeaZZxYuXJgTRiftwzUz8QCcjDoTD+ja5SJMbt5IkRImYbvl&#10;xopYVDMXCVUSJyUvvYvFM91nTmthq9YuKHqnnlqTzV0y4Q2QTY5c+V9iGPx/+OGHu9aCb8QkEyMN&#10;FGSjgrfJorRsXKSKl0A2TgvYcWklKWESsqJUHjRkk8m0VjZPTSshAinR1A53vwp0zS1ba7JdeOGF&#10;iiyZwezdYQWzkKwhhWxuWI8rc+fOZezPOnDT/CapFmeV4zL4Fg0McHQOKwo/LO0IbBRGQT0vodpv&#10;fetb7sX8MAlpNO68xLSGznK+zOiTEqnnzMBtju7zJ2sEObUPa+jT7jeXMy1rXl+y4VvuaRLJh7Le&#10;w73cJRNT0z/+4z9q/1988UVuspb7xArD6IzrckIVdTXq9DZ4WSgfe+yxbLoSj9S1Epyb0wt6pFfy&#10;wyTkDaskgw6hHQmNMK1l6Z/vFpCN0UoQiI416d3/wx/+IJi37Ii9ULC+ZHN9C1ZwNiWhEV1Dinlw&#10;l29+85uuqdj8JB64UUoyIarHu5988kluaeOUr5Dhrqoof+CBB+qVnDAJRyDu+RjBTLgqoZEqQVTp&#10;vtzWUMXdH3vsMbKr80NTVepfNMpWgrhPIXB9S5IkJFHDyz/E5/7hH/7BnR84cINsHLiFZ1YeE3Bu&#10;yYGIHsgizOyR2MdXXnmF/Pf05EwdKbibwW3ixhtvjGaTsH11QyOEhVCbOU0Dsyl6et1HYZnZspjG&#10;0j2lWmS4efT3v/89py+lxprEyhcZsZqSzTt7JeVfj9fCWYgrX//61935gc0Pq5owdctNp0Qeb8s3&#10;JJsc7lu5+uqrmWbP/d8fkrzcsoRk5NEAZT3jK1/5intDA3eIEVCFV95p4eTJk7VmkiE1NEKPEuOQ&#10;FC/bfY5SYBH3g7N5Luw+s7rcqV0Wgd6RrynZeJKM2oDDX5aRhN0YxaMZHgzM48aNc21GTJLJjYHW&#10;C1q45wQi7z4FxLM6c6aEZGjdvbFNbvEKcxFb8zOU/853vuM2zeEEi0Z3ScbQ425fuQVOQiMEZkud&#10;WITd55hEnjuU5fFyl5re1aZfomforSFgZOsmArjarFmzVAPcjtvVzjjjjEMPPZTbqEmZJ5vR/XCF&#10;e0ZcjYlJMiSHqVvwB8a6kmR4sa3PmpGYNHBoOc2TKUg/LOHaghEq0Rd3GYzyjBTuTTfu0IPrkyAK&#10;1SX3t1RoJOw+d6/S/awZiYGAyZCD78GDB3vd9ybJtkCxyFdSx5nNPV6TxR6LK1IfWBySvcXAH368&#10;rC5Kyc4t3ESxBnONSgYwq015UE9obLyNqUPuJfUmt/Qs+0IfIqC69957qxgTMo/0kFRJ5hxO9t2h&#10;5+///u8lwUoi/mVDO8yKrj5MmDBNHkcX6gk5CZ8wPHH033fdL8RnkRGoI9kuvvji6vjKgVu4kuQR&#10;q27lRLchZE46pSwm5dZJ95NyrpXYi3AZrNkkcGDGjBluPUytzGZyn2vKvaqeDl73H3roIWY2EMia&#10;3DrQ/USUFgGx2pHNS9FqGWKJNHipW7Jmc+tcsGABYnAy5VyuZWUKCxL25GYZFUP55557jsECGrg3&#10;PZAMyR5SskZKhUa0Zq/7xOtpiPV2es5NYV9MIAuB2pHNG8hPPPHEadOmnXPOOWzbCj/uHdB0mASo&#10;8A5oZgbXrREr+0iFvnAmJjeeGuLWLA8+4NY17wHgkgwpd1K3MLuy+eRebLchlqxEiYglthBK7Qso&#10;FuE6a0c2d39CgFtu1+eLbBvyP96wzV2n4bMScNAwmsKNJxKX65al0YoHSLqtS5iEgLteBAq590yS&#10;IUuFRrQSGmL8chsibUUSSlNucu8WPotGu/Uim3fDP4srXAqmcRubGwnM+r7HHntwY78ahjPrRx99&#10;1Dtwk5Ukz+dx7ceNPCxfU+7d7DurEybhAZhaP8rANDIz9AqPgZD7RN1U7LL6SPfdW+mogbXDf/3X&#10;f3V3uCnbkSbK14ts7g3/oAnZ5HEj7gMMwzMf99mGbliPGghgys5Hj5LwNu4rOf74411rkdrHc5EJ&#10;zeXfeNqnBkax/fff323i1ltv1T+Z3rlPVO4wqvi0D1jNk5jdhv74xz9++9vfJjDb3eGmT+GtQ+X1&#10;IpubosWExjQF2eTpq/IwufwPMl72E/7KAslL3SK6iFt7twvgav/0T//061//ulurKcjGewu8/aS6&#10;CJlTcp+oPM2ybMTfdTWmR7rvPi6JXxlouL9OHqtum7c+YmaNyObdGSkPLGDVJE+VSwkGIEMpd42E&#10;6zC5eXe4IUbQ/Oyzz2Z16sJKZhYMPOWUUzjqzXc4VCX60naThPeeaxNDhw7VZMjqD0oB2O9///sc&#10;jrtdYLjh/olTTz2Vg/78xKs+6n7b8axbhTUim/tAX1lDyj01pZ5Cg7+yInJRljf6eU/dYmZg28ZL&#10;m8gOcYXZt5x++uk82e6ggw7iFWpMdHrYzaaOtCnWnzwgaL/99nODhO0yahgmkZpRlZseJDu0LU8K&#10;oftU+OMf/9gbblgCnHnmmeSL0P2f/exndF9eZ4UOHeh+u2CsbT11IZuXoiVrSIZw91bRFBDDk7Tb&#10;bruNodrb/UtuBLTh3ucwtZ+Z8JJLLmGY5ye5IYAPkcDddtsNKrppiqKSl5ScomeWDCqRkub9ykm0&#10;ZGkSh6w+rUnlzJOcAbBJ9p4tzU+ElP7zP/8TNei+Pqc1p/vK2JTVRxVwml62LmTzUrRaWEOKJbC3&#10;92ASLpK9Hj6cXNwXnvD20PHjx/O9NVtyVys3XFOb3KrTWiVaCv15PLNbCfs0Nmxyn2jF0Ihbrayl&#10;eTQD798hE7rl7vN2Ebf7xrccB6jqHBV9S4u7r0FjWpO3opRdQ0pteDxP53YThbkSvQlAcuc5uyPF&#10;+Qc/+AGRd86yEnuEJCcNnFkRkiFoQXNoG82f0gM0aINz59ePsxK60HvPKcITJtGzMDTC0ldPq1l2&#10;ooxMyHm2/zTzk9gsz3FhG/av//qvLXSfN7ZKSrScsyei15tidXmLDXsDJh9Sh/jwBfeCcvIEeQbd&#10;suMlEXzu5pS7p4kuMudweCDvWAkf+UYshDgK61hufyQIztEWBflwkf/VLXB3lEErxgVihpw3yG3O&#10;XMfVcFmuM/lE66dmHtYggQfoTfHo+26kLfZI7J3IIyNiQRI26sFhmmO1xsl+1iPrAJClMsdlcjsc&#10;4wshfuZtiejmAEhBjkYowvkHH55GQbJYSvflvlvoSkYLbaGhPLm9rLF6h3g1Ihu30nBfDCTBywmX&#10;YTmcm11KygP0PYPhoGw8SPzDewiNwArqYeCnzmhtOBycxMXxOVgnjwyCsVyUjHg5psONJCmZSuQ5&#10;OfgZNcvQzqAQzeqgLPMqD0eByWRgQk7mUpiZ8zgDxMj6R3/IhgLyygu8meayVqpQFM7AaihN39EW&#10;xWA1s27hIyUpS4t0WV8BBW+pTbqvN7zRfbmzW45h5HU2jC90Xx+8WX0hvQhzry5kA2KxN0zDunJv&#10;izxirbWR0q1N9ifUpo/lCi0q717DvSAnakA8PigjPidkk7Fc3hrFB7bIc7+pVh4uEFVVXJnaJCKK&#10;JEXk5DDLsSgi5JfjeCSlSP5N2QwKorw8eEe6nPjoVek+yGv3xRb8KZSTsUY4JghI9/lwRZ6E15ql&#10;FmF2eV2rEdnc95GL2SraT8LWErmWUbnQG0Re3veHk+nM5lYi47pMbsKxwuHc65ook+9kLRShwha6&#10;7Kqh3Ydd9B0Q5M5azb/RmU27z1RfuDnsHToVbMjtVvYoQOrrsolSGaGrulchexvqZ4Xdd0FoaB87&#10;r3aNZrbOd95aNAQ6iUBdQv+d7LO1ZQh0BQEjW1dgt0Z7EQEjWy9a3frcFQSMbF2B3RrtRQSMbL1o&#10;detzVxAwsnUFdmu0FxEwsvWi1a3PXUHAyNYV2K3RXkTADrVLWP39Dz9+4XcLSxToM9Evrbp8v2Uz&#10;Uyv7rFmruBICNrNVgs8KGwLpCBjZ0rEySUOgEgJGtkrwWWFDIB0BI1s6ViZpCFRCwMhWCT4rbAik&#10;I2BkS8fKJA2BSggY2SrBZ4UNgXQEjGzpWJmkIVAJASNbJfissCGQjoCRLR0rkzQEKiFgZKsEnxU2&#10;BNIRMLKlY2WShkAlBIxsleCzwoZAOgJGtmKseI43z4ccOXKkJ3rSSSft+OmnuAqTMAR46HDTQeBF&#10;ELygkJeMyYNThRW80Y+X97Wla3feeae895DH2XsVzp07lys8f78tDXWmEt5k4GKloPGF67yRx33T&#10;cmdU6p1WGkw2aAavNt98c15Q+MADD6jNbr755qOPPpqX911wwQXVDckrXaQS752JvG1HrrfxTYjV&#10;tS2sgVfVuVi58lyfNWsWL1VlJucdq4VVmUBZBJpKNgZg3scJr6TDI0aMOOPTz3HHHQfN5OLBBx8M&#10;Icsi4slrDbzV2v2JVzpFSVixuZTivOiHF5QyFzERpci7MrwQy0NMcDvkkEMUN2Zy3rHa9ilOZlSY&#10;XFbnRUa+kWTDD/St1tCM9+7edNNN3/v0c9pppzHnnH/++WIhXn1U0VT6onpvBtNl6rrrrluxibLF&#10;eXka73aiVPiC4sKqZOnLh/dFCmLyOe+888Dtjjvu2GqrrUQAhFlCF1aYKABcMqMOGTIksciiJ9Y8&#10;suEB+IFYgvEYmoXuPm7cOPEb3sFb0WbiIoz6vOjMrerpp5+WP3nNZ8UmyhZXnvN6x7Jl77vvPikS&#10;Xf0CF3jqFHfqqaeWrT9L/qmnnpKfeGVxu+psXD0NIxv7+wMOOECZxnichTh+o5NSy1bRoV3He61K&#10;vJboCG82bLn+1goqz/XN8Yn1wFIJ9oRjh9bAmDJt2jT5k1V6u+JMunwdNGhQoraLnljDyDZjxgwW&#10;jeIup5xySgv2YAnKVkei+XzY/PBC7az1UsvREd79ee211x511FFyNsCH71yRd4JGP/x0xRVXHHTQ&#10;QSLP7H3WWWexPVNh/pSfdHYCBA0nEoAtREOnl3DscMuOGjWKl4nKFS3iCsBAQJN9o4QxZYPHdQFW&#10;Q1NcFxlCVlID/XLjxp7OGMK1Dt/FNARspFT1TXghSn0n0CSyMa1NmjRJsGCF463rCjHCbPgHxibm&#10;JgM8H6g7ffr0HXbYgfODsIbWoiO33norrUyZMkVZQc185wqUi/JNirDVVOd++eWXr7nmGryNn0Qx&#10;/RLtacpqVqeXws2e7qy0iDYKfyA5oMmox4eVNspDOfoowG6yySbyE13IsYu3/ofAGMK1Dt+5wvW7&#10;7rpL6tlss80KDV1bgSY9yo7xkgAjUGJsjbwnIisxFRGm+D777MNbsN9++23MqU5z/fXXM6i7FeJA&#10;smfj3dZwWx9ld9FFF11++eVcZz7Zdttt3SLMThKeYYW5xx57bLPNNnx/9dVXL774YvjDdy4eeeSR&#10;bhFYdPLJJ8sVVoY77bQTX3gPvZ7joRhX6DLv3SV2T9MLX10w9lv7jxkzRutJ2Z1yUiLxWza0+fIq&#10;SaCS8Im24sJIaGrYsGH8dOGFFyqGIilw8YW5jsmZ13wL+MyoZ599ttbGvlFHTBgFgeUntuK8DRzr&#10;cEWHRSlefWvgIt/p7+7rZGv+XRc/eHMpVR9++GGFFe/xykI8+ZX6vZ/kOuSU6+998NHjC97k366j&#10;xw5YexD/5tzzuFyRf9MumS3Xtxsx2vuJP+Un/rlFZv78V3qd4t5P62w6lKrci9854Uzkl16uPwws&#10;BQLCujiEDPllIZL03YXLhXHmzJluDRr+deFSARks+HAwE21Xi6MhragMekI8tR3fy3a5VvKNWUZq&#10;7BjovcmkcHzaa6+91HXccVouciYuX7zT3rLREdaHbKuohzmNTC4vcJIVR5k4caK0fuKJJ371q191&#10;+zJ48ODvf//7nsJ9Gh0JkXRPF3XfBQO9Iz7Cv0qYcEOYHx1hd3DsscdK02xr3YUi8x4xMB0NG72G&#10;pHeNIZtuZhj8SoHOykcWOThByDSuuzsHN1JSNjpy3XXXybHe/vvvH1ILNxJ/kqWXfFhAytqSPZLH&#10;NBFgk8nH5YDsA8kdK3u+lxgdkbY0W0CT0UBGLjLPR2FUJcMNoR7uRc8bCHrJWpGJK39xq1tBF5AG&#10;fW8M2XR0LHsqOnXqVLGH7otyzOMmOpaNjvzoRz+iZmrYfffdtYlHH30URhEXIToiF7/+9a/rr+wY&#10;5fvee++d4jS6Uy2McIS1pUdH3IifjmvsRaXO7373u1FVs+BCWANF0VGSLZ9UyPQYrVlXHCn70hQY&#10;uyXTGLK9+OKLglGpEV0Xn8yHXvAjirjrDaVyR+bNmyfTGv9DNo34jx8/HpKLt62xxhrnnHMOi0Np&#10;mmWnzDbwM3FhrDlixOjKeoxOL17eWVgPfZGLun7ju2Zv7bLLLtGmc+CSiUv3gW5xKKpnOVEqssjU&#10;hUnZLtdNvjFk09NV4lTpIOraKWc+1Jo1fiD1l8odyTn8hUssHdmSEVRQplH/E088IQ2lpzJrK+lF&#10;FKv83BEX0smTJ8ufBE7lC5TQ0/DoYAclsuDKzx1RYg8fPjxqVqKvcp3IcLrd6ynZGLIpfDrFpQCq&#10;ayd3p+QVVC907V02OvLQQw9JtawYmb70c/vttxOLI14SbsmUOelrQo2ObLDBBindVxnNHWFAyT+f&#10;1C0ukjqJkY0pVXkbSK1/zpw58r1sdEQXn1ljKDthqbnURr0UOB0TbgzZlC3tSiBSiPXgVQdyfiob&#10;HdHa8DamL/2015CaI7b22muXqjllhqdCJigSlKXmY445Rmn50ksvycWsMUtLlY2OqDWji1t+1cO3&#10;pkdHQK8xZNMMCWJi+EQpV8sRxpwSpXAHcv7UEddL9tVd08CBA6PV9l2qZJU76FJmeLpz2GGH6Q5q&#10;7NixiSBzsq+H2iFn8qMj+U1w0q0CTY+ONIls7r5cjrNKfbIWn2pOdyCnZt3ue8m+hXfWEH4spRjC&#10;v//978MihE90PyO/kj5StmaV1+hI1o0CjF8cnem485Of/CS62tTVstZM1qKev3Ex3Ey6KSA5+utS&#10;QmVIoNMTiPxkzpZh6XDBxsxs2J78A0GHY+ho3i1MwELu7YkaAWMr4q0/cS+YJuYMj+Bku89058UD&#10;dNfkLeR0orv66qsTTfiFL3xBJFnHetlnMJa93+zZs92qSm1WPR10eoneKAA4pJXpOQTnyN4GSSl6&#10;yy23uDCSQMdtpgIU/4c3ExTmDesdN6Szqc5iGqysIatFIDpC75qUG4kNyNnTUxdMS0hDNtY4InOR&#10;BsRc39U0PyxHuoYs/RlHiblpTJmbuNyBnOiIxNbhKj+pE5AbueYGX5E/iXy4Dk0GoCZVEPncdddd&#10;V111VRFgCUeiIywlT8KNRjJ3kTGot7eyY1xttdWQ/+UvfylbLC+LEgZykCB17r37sHXXWp15hrtI&#10;XQ2jPIceeosayR+uDDOeZg8LZ2677bYwFAHyhGRkjkKG02cySzUlkj+hK79yVBDe302qvrQouZRY&#10;Cpk33nhDLirUfEdJbnpwUyIZXiW/h/SUrFO4aJdrerFWyWOFypAsFz2uUXAxmJtcR4UwKmcRgn+E&#10;iYKaeeQlUt734K8lj5HcSDdf0UuM1FxH9wtZjvfMX+CVmjHrxqiwNBHKDx46UuTJjZQuZ2Ubukhq&#10;amKOC0IhOpuTM8m5RbS4lJKfwrxT1HCTG0XMy0ENBYTSqK2akzld6Bv1F2jMMlLsxPzDQI4NIImO&#10;1jJq4nZcZ07zBmbWgRSBPy5LsTc2hpaMsjmh8Kzz32iwnuA+tTEduUs1DrKZ6LhZgRsF+vf/K0PU&#10;aznLliKIyUW+8CcnB2SchPJkwzA5SJoL7ggI3g0EZUd0MAEHiPTss8+ShJUDBfM2Hq/H3IAP4Axk&#10;lCKpX9qNjoPcdug+GAYZd8VIKVatKKADIl8wFvqQhPCb3/xGeroIREfoSJOWkWU9qe3yeotN22su&#10;W+GXVl2+37JLlS1l8t1FoGEzW3fBstYNgSoIGNmqoGdlDYESCBjZSoBlooZAFQSMbFXQs7KGQAkE&#10;jGwlwDJRQ6AKAka2KuhZWUOgBAJGthJgmaghUAUBI1sV9KysIVACASNbCbBM1BCogoCRrQp6VtYQ&#10;KIGAka0EWCZqCFRBwMhWBT0rawiUQMDIVgIsEzUEqiBgZKuCnpU1BEogYGQrAZaJGgJVEDCyVUHP&#10;yhoCJRAwspUAy0QNgSoIGNmqoGdlDYESCBjZSoBlooZAFQSMbFXQs7KGQAkEjGwlwDJRQ6AKAka2&#10;KuhZWUOgBAJGthJgmaghUAUBI1sV9KysIVACASNbCbBM1BCogoCRrQp6VtYQKIGAka0EWCZqCFRB&#10;wMhWBT0rawiUQMDIVgIsEzUEqiBgZKuCnpU1BEogYGQrAZaJGgJVEDCyVUHPyhoCJRAwspUAy0QN&#10;gSoIGNmqoGdlDYESCBjZSoBlooZAFQSMbFXQs7KGQAkEjGwlwDJRQ6AKAka2KuhZWUOgBAJGthJg&#10;maghUAUBI1sV9KysIVACASNbCbBM1BCogoCRrQp6VtYQKIGAka0EWCZqCFRBwMhWBT0rawiUQMDI&#10;VgIsEzUEqiBgZKuCnpU1BEogYGQrAZaJGgJVEDCyVUHPyhoCJRAwspUAy0QNgSoIGNmqoGdlDYES&#10;CBjZSoBlooZAFQSMbFXQs7KGQAkEjGwlwDJRQ6AKAka2KuhZWUOgBAJGthJgmaghUAUBI1sV9Kys&#10;IVACASNbCbBM1BCogoCRrQp6VtYQKIGAka0EWCZqCFRBwMhWBT0rawiUQMDIVgIsEzUEqiBgZKuC&#10;npU1BEogYGQrAZaJGgJVEDCyVUHPyhoCJRAwspUAy0QNgSoIGNmqoGdlDYESCBjZSoBlooZAFQSM&#10;bFXQs7KGQAkEjGwlwDJRQ6AKAka2KuhZWUOgBAJGthJgmaghUAUBI1sV9KysIVACASNbCbBM1BCo&#10;goCRrQp6VtYQKIGAka0EWCZqCFRBwMhWBT0rawiUQMDIVgIsEzUEqiBgZKuCnpU1BEogYGRb7JFH&#10;HrnzzjtfeOEFD7Z999138U8/JeBcbLHnnntut91223HHHc8666xSBXtW+MorrxSc+VIRBEwpVZ15&#10;5pkVq+qL4rUj26GHHip4eZ/111+fn2BFe1G44YYbNt988x122GGrrbbyap41axZXVlpppVItPvHE&#10;EwsXLqTIaqutVqpgu4TVdwEQ0PC/9JqPP/54hX3rrbdOL1hF8pprrpHia665ZpV6KHvzzTdLDSus&#10;sELFqvqieL3I9vrrr0+fPj3az+eff56fYAWUayMQ06ZNk9rWW289t1r10SFDhpRqjplN5DfddNNS&#10;BdslPHXqVK0K0K666qrEmmHa6aefrsJvvvlmYsGKYg888IDUsP3221es6qGHHpIaNtlkk4pV9UXx&#10;epHtySefVNc/w/kccsghOsNAuerrDYVyyy235DuVn3zyyS6+qsmwYcNK4f7UU0+J/DrrrFOqYLuE&#10;xXd17HjwwQdTamZwEaYpzuFUn1JPWRmGV0YESrWluTbytmxHUuTrRba7775blD7ooIO+53zOO++8&#10;Z599Vu1x6aWXpvQtRea000775JNP3njjjVGjRrny8+fPlz/LTlBCtjXWWKN///4pCrRXRpfZYCV8&#10;05VVfkMHHnigCDCuyZctttiivbpFa9NBrfqqtb287Yu+14tsugwIXXzAgAGjR4/uCwiideqEsNFG&#10;G6U3+uijj4rwwIED00u1UfLxxx9XqujYVLhtu+CCC2ROYDGhq8ehQ4e2UbGsqnR43WyzzSo210be&#10;VtQkq3i9yKbLgFIu3hfQyITAmmrddddNr//FF18U4Q033DC9VBsllVdQRacm9cJoQ0wIxx57LD8x&#10;E44dO/b+++8XsY033riNimVV1cZdVht520cdrxHZdBmQ5eJqmD333NODY+WVV5bgWxQmjXB6Yzyh&#10;SAm+MbS7BQujI8xgJ510koT4+Z/vMqe1Fh155ZVXOCfYb7/9qI0PS+hbb72V2rguTVx77bWJ5nep&#10;oqsDXRJHKznssMNkNiNWxPJBt3x8j8qzYeZQRAAXzFOixJQaOXKkW0TOWvJ3WbgEptGCFOc7V7ge&#10;6tZG3iaiXVqMHUtNPnfccYdoP2LEiFAl2UbzgYqvvfaaK5BfEEmNFnjV6v6EGtyfZs6cKW2xrHKv&#10;v/fBR48veHPstycMWHtQ+G/aJbO3GzFart8zfwGSKf8oFa2NqvSnmT//lVfVO+9+ELWaqE1/+VUR&#10;i+IpxT3o8pHkVy9m63rbcccdF1UJY0WDH9hRm0MgLIsVss5dkPd8IMfKNXFv1KjRzKbLgDAAyEi2&#10;zz77iGkJlniDrm5UopHDnH1z1pIpJzrCFKTnQnvsscfBBx/M//369UMx4plloyPMYBoF5YyB2vgQ&#10;XKE2qtKfEgObbnSEGlgAi7PmxEgOOOAAGb9AlS85SDI1ce4iBIZyUIuRiP+VfgQzWSl4gz3gMxfJ&#10;9EUrUkpMyXRKhSIfRkc4lWaqR0ZKQUs+0E+ao8IJEya4bdU/OvI/2taH90on7CHgygesdYQD7lBh&#10;BAT366+/PvxVh0/mMe9Xdx5wf2IqkJ/wLff66WdMlllonU2H/uzW+3W2YR4b/X++rRMU31PmNGrQ&#10;IkxibpGJ//ED/Wnw0JFhbdGZ7fzzzxe1dULWjjz88MMhMoh58jrVe0hSXD3bm+2pVg0XTlCqgDcX&#10;UaE73aF5dGWBjGcCna49182xcn08vEZky1mi5HAJKLO4ISirS3kWVfPgK1ESwnD3OuuWAZ9fTTgQ&#10;ruvgw66jx8qvx088N4Vs+fLKtyh1o2QLV8U6DIWDFF4rQ5isOeWjBPBcXE0TMo1ShQQIV/6UAk8d&#10;Q91lvF7nV08NUVJp71ony8r1YRqa1GUZqcsAbx3i/km0IJo+kh85zNo3u1Fyt5Ws6MiMGTPeeust&#10;JFk3Dh48ONRz9dVXl4spR3MEVO677z6EWTSOGTMmp9fpgc1wVTxo0CCpOYyRgKTERdxDS13vuTFY&#10;FpB67szZZ6iqK+zm05166qkiHK78uchegCiLCLi5I+Asih1zzDFhKFhDWTqdSg0NiI4stlhdyKbh&#10;6XCeYcmhYzbpI16OaWHkMCve5UbJXQfKyh258MILRexrX/talBulckd+8YtfSCXsTKK1tRDYDAOJ&#10;Gr738kjYXMkIBdrq6MoTL0NN87+8JJuo2rJ95UOwUQdBopehcNYua9KkSQgzrXEOoaXQTeKZ7Gnl&#10;4vjx4906a547IqrWhWwaHQkTFzjuZGjUdYI6vXQgP6+qXdERmCmjOxNR9IDhnXfeKRUdkeA+n6w0&#10;pVLUpR4vOiKV60mxzKLyAZPDDz9cHNpNhoxGR+CMTndeko3r6/pdW5wzZ45cjDKN6/fee68IuNER&#10;RgGZ1vh/lVVW0axoQimMSsJe1rQsO93JsBnRkfqQLSd3REyy9957yxd3h8Cf+XlVUYtKPVkHStHc&#10;EQ3oZWUVkewv1abkjjBryZ0BUFcXn67vlqUuZbNWxUJmfFfvISKgKhh66zSd6t1lsHI+JyFba3Yj&#10;9T/96U+lR5wTul3T73fddZd8d3NHHnvssagwF6mceZjNJ+h5Kcv1zx2RTtVlZivMHcnK5MjPq7ru&#10;uutCi3IlOg+IZHQHqKkhWefmOjOnbLEWLFggbUmUP/zo7iuFulI8a1Wso4PQRhOOIaG3AdNG3fQd&#10;9f6chGydNocPH6590WVwViaK3MHEx83Qnzt3rlwkmuVGpIkukL8q5+khXPXPHRGda0G2wtwRlx4e&#10;1jnREUZcvWHHu+eibHREB+/okRepHnr4lhId+cMf/iC9yEr2vfjii0UghboimXVmqPOG0Oboo48W&#10;+bPPPttDMhodCT07vOIePOqvugCJJj1q0AX56J01u+yyC9f1k69GI6IjdSGbLgNy1io33nijIO6G&#10;ofKjI27o0rNoYXREbr1J/LjbyMQD6Jyar7jiipdfflkEUqgrklmrYh1lmDQI5cnYRMDJAyQrOlKI&#10;AMOQ3mULQwrlEWBsPeGEE0Qya8taKiVVl0WdyedM6WNUphYzW07uiCgNN3SOcsNQsvOJfgha6kYr&#10;tGhh7ogGzb3KdT2p10lc1MVP2TtrnnnmGa/+efPm6dk0PyVSN2dVrP7HYk8Sjtn8nHLKKV67+Vk4&#10;CIcdlxp0RGMHGE2nDO85IBtT572sPXD6Lfm6LCJwkpXP2TI92luwFmTLj46A+8477yxBKjdU7QKB&#10;J2lyKl+46Zj1ku7XQ4sWRke8MVJ3LLoJpHXCGBdddNGUKVM03p24xdJhG86zBHV5K/soqTCdulmr&#10;YirB/+RIGgAFw4kTJ4ZOGY2OIKwJAyz8vMe0gDNMkxEt3AFqQfdWcWogfM9MqKbxFpm6oDjnnHMS&#10;HV2XRW25/TSx0dbEFneP5Furonopog4y1LG8ccfyt99++5ZbbtFFAmjedNNNnqPoA3lwKfLlKcIc&#10;KF7FFCHHMnwZN26c6gl7JSsPh6BCV3+tzYMFX+RRJUssvcyKX9yAtS57rT//+c9MaLLeoxWZjviS&#10;f0ItbcFSAtkyLcMrTsmXX375n//851Ibf3IwwK8wnPsJovB+adXl+y27lP6E08vM78XERYCggkYj&#10;wFBndbdmxiPBGUN4SzjooRtjiCrrUug9efJkPewO7cKSVc/ExKzMjTBW0h25IqcOnsKwUbNVsA6p&#10;m/pgEpY/DMooySm8uwZmCSMbUQ6Homfu1f2zbTXUIZ8lpTNkHoWJ3iivGUluJZiT7D5NyPKS+sMc&#10;QgFBMwCjafI0BNm8DH2SJEndmjHrxpw0rmjqVlayP6leZFoWpn156Vo6qEch0iNKce6oxQU9L0NN&#10;JGFUzqTBWiPaqJv85ZpG0h3VaqEyestF1CvCzC/dw2d1rQ4eLjp0fxnJaiTnCVb4Pb6CeXh+QXRF&#10;znXIo97AF+R5hgInsLK4ovJovIvrWTcjR8PcNMSYqmFxvhx11FF4Bqlbf/zjH2WOStxiIfzVr36V&#10;lZI2xIrxm9/8JgM/E6PUxif9WUM6w0Qh0m6CTBQKXUNGA+tMdExcgKwrQ3QDZ2Ynhid0ztopUYoW&#10;daaSUzLmVSoUhd0KlVrowK9U7jKcSsQTmNmizWHNmkdH6GAtlpEpM1sdZN7/8OMXfpcZkumkht4y&#10;spNNW1stI9D9ma1l1a2gIdAsBIxszbKXadtgBIxsDTaeqd4sBIxszbKXadtgBIxsDTaeqd4sBIxs&#10;zbKXadtgBIxsDTaeqd4sBIxszbKXadtgBIxsDTaeqd4sBIxszbKXadtgBIxsDTaeqd4sBIxszbKX&#10;adtgBIxsDTaeqd4sBIxszbKXadtgBIxsDTaeqd4sBIxszbKXadtgBIxsDTaeqd4sBIxszbKXadtg&#10;BIxsDTaeqd4sBIxszbKXadtgBIxsDTaeqd4sBIxszbKXadtgBIxsDTaeqd4sBIxszbKXadtgBIxs&#10;DTaeqd4sBIxszbKXadtgBIxsDTaeqd4sBIxszbKXadtgBIxsDTaeqd4sBIxszbKXadtgBIxsDTae&#10;qd4sBIxszbKXadtgBIxsDTaeqd4sBIxszbKXadtgBIxsDTaeqd4sBIxszbKXadtgBIxsDTaeqd4s&#10;BIxszbKXadtgBIxsDTaeqd4sBIxszbKXadtgBIxsDTaeqd4sBIxszbKXadtgBIxsDTaeqd4sBIxs&#10;zbKXadtgBIxsDTaeqd4sBIxszbKXadtgBIxsDTaeqd4sBIxszbKXadtgBIxsDTaeqd4sBIxszbKX&#10;adtgBIxsDTaeqd4sBIxszbKXadtgBIxsDTaeqd4sBIxszbKXadtgBIxsDTaeqd4sBIxszbKXadtg&#10;BIxsDTaeqd4sBIxszbKXadtgBIxsDTaeqd4sBIxszbKXadtgBIxsDTaeqd4sBIxszbKXadtgBIxs&#10;DTaeqd4sBIxszbKXadtgBIxsDTaeqd4sBIxszbKXadtgBIxsDTaeqd4sBIxszbKXadtgBIxsDTae&#10;qd4sBIxszbKXadtgBIxsDTaeqd4sBIxszbKXadtgBIxsDTaeqd4sBIxszbKXadtgBIxsDTaeqd4s&#10;BIxszbKXadtgBIxsDTaeqd4sBIxszbKXadtgBIxsScZbeeWVF1988T322CNJ2oQWW+yRRx4R0A49&#10;9NDqeEhVI0eOrF5VF2toD9leeOEFgWPfffct7Mz666+PJPKFkjURuPPOO998802UWWGFFbql0nPP&#10;Pbfbbrvt+OmHLz/96U/TNbnyyivFOgI7xkov27LkvHnzBLR11lmn5UqkoOK/4oorVqyqu8XbQ7b7&#10;7rtPkC38ANzzzz+P2JAhQwqFayLw+OOPiyabb755t1S67bbbFi5cKK3z5dxzz03U5IYbbthvv/3U&#10;OolmSqw8R4yZTX4dOnRoxdoU/y222KJiVd0t3h6yzZ8/X7pRCIcCt+WWW3a359r61ltvnT/Tqt9s&#10;u+223dL56aeflqbXWGMN/n/44YdTNHn99dcPP/xwJFdaaSWR58u6666bUraizP333y81bLzxxhWr&#10;aoG3xx9/vMzkWraiDm0p3h6yPfjgg6JN4TCmnR80aFBbOlCxEtZUDzzwAJXkzLTqNwMHDqzYXMvF&#10;WTtQtl+/fgwNUglrhMLazjrrLFlHHHLIISLcsQWFoLreeusNGDCgUM98gRZ4O2vWLKlzs802q9h6&#10;G4u3h2w333yz6FQ4jLUAXBt7G1b11FNPycWcmVb9plv7TDZsCi87Xvmua4QsfBjXTj/9dH4dMWKE&#10;Dm3Dhg3rUzylch0Ittpqq+rNleUt87kMMW1pvbr+WkMbyKaTVcowJsDVZ8h57LHHRJ+smba9ftOa&#10;5RYsWCAFWaVrvKFwgXT00UdLqTPOOEPX+ZtuumlrOpQq1cZdVgv4P/nkk6KtrgJKKd93wm0gm/at&#10;cCBR4Bhrwy7xK2FiiVXy4Qt/5iyWCLIR/NQ4G8iyUk8MtVFWWlGPJIogV7wQs+c3r7zyykUXXYSw&#10;BAZPOukknXaiRhL5gw46SAOJFLn11ltLWVQ7xXZLyaZrhGhVF1xwgSw3jjvuOJZSus7faKONovIe&#10;+KAKtqCUryel1ARSROxVuMtKt106b0FJzLfDDjuI2tOnT1eb8iXsi6dGocuVslpE+JPKH8ypI2h+&#10;Zeeff75IUsST1EpCFVkSeMKEB5hFoz0nAMCvhX3aZ599coBjh6M16G7njjvuOGf6BQPWHuT9W2fT&#10;oXPuefzxBW+G/75zwpmhvFwZ++0J0SLRi7uOHiulpKHBQ0cuvVx/9M/q5muvvSYREf7nO2La2bAI&#10;8EbHPinCT1JD+FFkPCRnzpypw25YtqztXPwTvStqWRzGLY41s1wo6p+FHpUikGmwlMIio6aiA/ml&#10;FDjs4UoqCek/36mHD4sf/sRdvDqvv/56ja1RIX8izP+qhgdrVCU8jFKoIYbBOaRR+bguon7DcLDE&#10;0svg8duNGH38xHMhEjTLYY4yBG5M/I8fzPz5r/hHQS017ZLZiXyTVigo8qP/z7eFbFmAK87AQvc1&#10;dAlE4bDlBiopCOx83EVKODJSics0KcX/WpWgGhqiBdvl8NbrC1YT86kark3dIVvtLkrSQfTnf5d+&#10;Al17P20gmw4kWUOgaqzAeZOPNwy7PfQk+VOFQ1dTsAppL00AaNZMqzqIgDQ64POrzZh1ozIEtggN&#10;4JVHGyYu5eE98xe4v+aUinLvZ7fe77UCY4VsDEyhN9B3nZTkV/UtjzbYSxFjqvfMpyMgtXk/4ZoK&#10;i2sgxNwlA989U7ZguyzeZtEAHXQAjcq4pyZ0xJNR/fHV9jKN2qru2apHRzQ/gBV/GCb2QrdsseRY&#10;9oc//OH222/vLRg0UhddSIQX06MjNIqj3Hjjje5R26qrrhpt6NFHH73mmmv4iQ3SkUce2b///xBD&#10;P1mlsnR2oyMiowdl0RjJEUccIWLnnXeefNHoiBcEmjBhgkTtmPHYvXjgjxs3Tqmo23KEifVNmjRJ&#10;ar722mtdA1ED9egSwzt0bcF2fREd2WuvvUR5mPa9733Pg13it3w0kpdllxauVyVbu6IjqJ6/40cA&#10;6GXTjzlHjRrl9RbPk19hRcjDKDRz586V61knFm54feLEiYlng5dddplUO378+LDdq6++Wi4SMkkx&#10;mBsdEfm11lpLvoSInXnmmeIleJJyUqMjbjeplviBwKW09PTRwevuu+/Wn2bMmCHjHevGKM7arnvo&#10;2prt0qMjqp6qGj1hYyzQU4GQaVTinvinnGSmWFBlqpKteu7I6quvLtrgJUxuOeHEc845RyRPOOEE&#10;7QAcIyOJuKXmUh1zzDGJEMhJMZ+so0+dOqA3I71X7bvvvitXtAt8Jzgp1XJ8PHjwYBF45513mO6Y&#10;BwhjCsM5nt5pp51S9NTcEeUYzUmWoDf6Ap3MOcxIY8eO1cr1FNTtJpwRAThTmFPiJoVeeOGFUjAE&#10;RK5Hj1Jbs11hVDME8KGHHpKLm2yySfjr1KlT5eLJJ59cCD42KpQpJ1BxYVo9OoICXigS84cRSF2L&#10;53SPQTq6jcmKkUhVYdgg3GTKdvm9Dz5yt1XsnWQ3RfxDr+dEIDUyyR4vK4AZbtu86IgIjNx9D1He&#10;3TLpfsPd3GdFR3SJmBO8DY2rtWVFodRMrkDLtkuPjqjJtF+h0WVO4xNG3VxhdbCK1AiLV53Z2pI7&#10;ctppp0ESDSKxvAEy75DH3TaEfMMtqOHZZ5/NGm7DIum5IygWrlqpUAdRN7FdJ6KwRdIauUmHMX7K&#10;lCnuZJgzfLi5I66YzlEKC9O75Ch5a2wVcFNkNMcC+ZyEJm1dx3g19/Dhw6Nq33vvvXLdjWe2bLv2&#10;5o6oxXNy1nRh5UVWy81gGdKVyOYu+fJT4DQFkT5ErQtJoAo7De0kKy4cSNXWtTjzXhimv+mmm6ih&#10;VBpeenQkyzbqQ7pcRFtdmkIq/VxyySW33347UUHiJa5woQnD6IgU+fKXvyxfZBnvJhx7G7BodEQ1&#10;zzlhw2QyFbgme/HFF6XdLIped911IuBGR1qzXdujI2rxnJw1NV/WaFJoshyBSmQjPSKx7dmzZ4tk&#10;zg1vUIU9K5RTDzjxxBPD+okrsC/XTymCubWlR0eitqHvcs9LNCeDSQxS6adsmFT1DKMj8tOGG24o&#10;XyT4wQZMiMF+1duARaMjKVabM2dOaDLVJ7oj0qALBaMp6aVs1/boSEqvJYzMpy9uFK5EtsQdpBss&#10;LlzmQR4dm6Ph1zXXXDMFtUKZ9OhINJ/wpZdekiayyFaoQIpAGB2RUurrrOuIIkjSGWvvMMIWjY6k&#10;ND158mQRGzNmTIo8Mu7eOxrgLWU7jY6k53PmR0cKe8FgIUtxJvNddtmlUL6sQCWyuWuJrDw6mMbd&#10;7BosdovwE58cjaOLHDcMXba3rnzhbZQaVYvSScf46KylTK6iIWX1zppwj6ebIj04uvTSS73m3Ghq&#10;VJOsxE6OEPQILhrfD+85IBtTb2zJSkkvZbt8/KPdeeutt1IA18WwJ6xPcGCB0PKKKUeBSmSjXo2A&#10;RZOGWXbDNN3mnnLKKa4qrC35NTyZJX4gYnvuuafK6/BG6DmfoilwF6bMU4monXW3ZTQ6grwyk0B/&#10;iiY5MlnRESmiKe3CCgwRsiIaHUEYSdkbU9bdGEvN0EamyvAITlfUF198sWqOOUgBP/jgg3W/7aWk&#10;t2a7fPyjuOWPcTp2MzF4J0x0AQeWVQDKR4/gKlqT4osToKxSC0qjnM4SfB89ejQVvv3227fccouu&#10;AxnqfvKTn3i7apimmem77rorpX77298yPGufCXu4AwxziDgWtX33u9/VpRSjLORhIKTpdJg0DRwb&#10;4EOMdtjgjTfeEDQYJiR5nF9RQy6+/+HHL/zur88m4EEgsmcj8uECSEa/nuGw7mfrstxyyyHAoRxY&#10;QVEIoGli+chrVfixt5b70qrLX3HZJVyXGvByoA6Py+CApEQQm/F2y8xdescDy78Qf+rkWQyeycBZ&#10;zzMFNwzNhCZ2Ib4ldYbJGWVtF8W/0FHVo/AQ7rQQ3fAoHYZUgN6RpSAuhP+wZtbDbs/rChstIVD9&#10;MEHzFbNaJX4YTZvMKQhpownj+QHZxJRI6XKYtO6mw2lmoJs+p+dsnJLJ8RdJyeHJmCZGRlP+w0TK&#10;rHRkPbJzEzJF+J13P9AcSHHuqB11LI8epuXc+gAUWedv0fszsIukg4sPhIYodBKvSBT/Ql91M4zV&#10;G11HglE5N4KFCaKFLZYSaEMiMu3RH9DBtG4KOX/iBOHxtKsfBTGe9p8BiQ579wR48tTp7uVokT+p&#10;pBTTRGc30ZtKXPdSY7vVKtk0ORg+RKlCgj+5+eT7K9+gJVc4/vbyknMS/5GXZP/wBByy6X00OYfy&#10;Yo6c2yCAGsDVaoJ/YcK7exMNtgMrcWgBjdqiYysX020XxT/Fsymo7sSX0JfUV5WNiDHyptyZlaJA&#10;jkzVZWSJObT5ou4ysru9YRnZb9mluquDtV4WgaoBkrLtmbwh0LMIGNl61vTW8U4jYGTrNOLWXs8i&#10;YGTrWdNbxzuNgJGt04hbez2LgJGtZ01vHe80Aka2TiNu7fUsAka2njW9dbzTCBjZOo24tdezCBjZ&#10;etb01vFOI2Bk6zTi1l7PImBk61nTW8c7jYCRrdOIW3s9i4CRrWdNbx3vNAJGtk4jbu31LAJGtp41&#10;vXW80wgY2TqNuLXXswgY2XrW9NbxTiNgZOs04otwezwSi0+VBw1Wr6HO8FYlW/QV4OGjCOsMQSN0&#10;4xmSPDyPx3fLZ5VVVtFXs/N4tuhDOzvcLx6bx8P/+Bx22GGtNV29htba7Vip1h/4wyMEeRavvobH&#10;05iHNGU9I7ljfWt7Q1184M9FF110+eWXa48Wvrrgg3ff8TrIU6J4dmrOW2naDohboT6Hk2eW8Vqi&#10;FtqqXkMLjXaySItkg2k777yzPJuVR5fxAFB5bdKPf/xjfZCtPvC0k/3p07Yqkm3evHnyDNmjjjrq&#10;a1/7WilVKSKP++XBr6utttpyn3l/ycU+4k+e+srDcPUhudEnq5ZqqGVhntCM6XkYHvoUvl0x2kr1&#10;GlpWvjMFWySbPuCWB+7xUHH3ucU895exbeWVV856eWxnOtYXrVQk21lnnSUvSeFVUqVeHEURfSew&#10;PIDZe5QdiwhWkjr28SagvnhUfV9A2lN1trJn0xcTM4x5TAM7RjUEFj2mVXcLfRmf+/LElGr1of/R&#10;V3xQAysLHhUuVUE5fYVvSuUm0zEEWiGbPt2ejZmNoOmmErLx6rb+/funl0JSX4mYRTZk2Krpg8H1&#10;tdelWjHhvkagFbLpG0Dc95rnK8rQK9Gz6PvpmQnlV96f4tZDVNMtRVkWS6xg5SJ1Zr2MhtU/AvoG&#10;IOonZCelKM47JfK1jYZY9UWYXlneiihxQrZk/MT/vNKBP7l4xRVXcIVXqEoIUQq+/PLLGlTkCy+2&#10;L7Rx/uuptPg3vvEN+U7UKhp/5yIIKxSgwXeu5ATr+Qm4BE9BD1RDIxJIFIHQIuDmWk1qCMHMqUE6&#10;5dXDPgUHyArCoSEC6COBca8XdCcnYJ6ocKHVIgItPL5cX8jAl8Ti2nBUXt9x4T2vX4dqSvGY+Gj3&#10;wkf86+vSKcID3KMvUsh6Pj616RvQw+aOOX5C+Gj+aZfMlgf68wIA75Ua/KlvBYi+ZIOLKW+y510c&#10;UpxXCOiLNaJIqs4hLDz1Puu1JNHXmFB/ThHvGfpZr42PvoVDRwS3C/kvns95HTE/ha8WcF/xkdWL&#10;6CsN0hVO9HxXrJUXa7jvCsl5CYY2g8cLvlkurnzwUBOI+V/ZiCQUAhH3XRBet/X1LrxjQcT4nxq8&#10;tzqEmrv9wva0Im2pHyyx9DLhC2X0XTP6BY4dP/Fc3qQh3OB//ilheLeGXOEfVMx5sYb+pETVK7xY&#10;oxTZdKgCCnkJCR/6q10DH69CFw2BnY+Os9Sj8jq6ua8B0vdsgD+tYAtplEr40y0uLzkRD/Fq4Cf3&#10;9TdqRypxx1B65Cmv/dVeqEG1y+H7RvRtHoUKt8A0irRCNoq5XcUA+a+q0WEmBEWUFqDDzut1IYw7&#10;WiuB+cl7/4gCLbB6L6zKmpbdCsM3MEkpyBa+I0pYxLtm5H+dfDwWUVA4k/4WG6lB50a36VJkU4fD&#10;ap6l3GNS14Hc91F5oxI/YQuXFSrsMVZHuujbv6LNeTVQULkRvs9JuYFposO0jsiuQbO6jD7pCneU&#10;bLimu9xCy6xXhLkrwOg0qKbyFqWu91N/+EYfXVp4Syb3tWPhgK3NedOsdifaEbEQZIMtHovc9WEW&#10;0ygiYrxEKmUqc2V0mcqEmT6zudOO+lB0TIyu8BWNqMmwhWsOHd3wfm03i4FRN43WgKSuaLLWRKqn&#10;5wPugjnsQnTJWkrh1sjWSoAE8xD7uvfee9WtCTfzykn2vtGIxdy5c8Wi0Zea69uZt9hiC3ebpK+o&#10;5eIPf/jDnMQI703N+rpTRt+cEwh9szv162FG1ite3VNaN6ThvpOa94BmnZ5pkYEDB7p9TPmeGB2h&#10;Ko06uK7GMYCcv/Ge6PCsWSNS7gilaODi3vtKRWFs4Zoj/7Xx+mrsnM5Ga6Dj06dPl0VNlh31heau&#10;D1BQT/mha9iF/HSLFIVTDBfKtEg2KiLoj1XciAIDJ2klId/0TcdRwqg8b8R19Zs/f778iclHjRqV&#10;0z19ZTMyxJ10nXD22WfnlHJXwlOnThVJfUNvTkF5ba98NCjfr1+/3XffPauUvjF9ww03LGunp59+&#10;WooUns7psDVkyBBtZdKkSeKvY8eO1YvQUiK0+qLg8ePH66+KxuGHH56irY5u7ku9V199dSnLr7h7&#10;NAqtlUdr0NNCCFOYkuIGxvU8k157r3EXDxEqepGwUgqnwBLKtE42qQt8Gd11GSBTnNuMDjNZASUd&#10;SLx578EHH5R6TjjhhPy+ucdWOh/SXPhCd7cePSFEQ00xy2e1FNfRlO/qQ/vvv3/O6ZlOgO64kGgw&#10;HaoKk070XHvPPfeUyglwi2Pxv5u7TLowBxIyt+NzjJiKFb5YCg0d3byoL/TQyB4vtqaV6JmBeL++&#10;z9rFhFLypx5p5CCmL1hH5rHHHhNJWBqeA6uHtKxwouFCsapkkxpJ+dPdKiZ0JzcdZrbccsuweTUt&#10;xvBwEVdgcMrijK4DXZbqckIdzmtUBVQf1dCdELxSSipmMPcnnXZyyiLfd7kjqgwaqnfusssucl3d&#10;LkQeYOWNygwELsLsDkQ4v0daofouh1deK6Qja0CYn1gTYuXwZCxag7tCydlB6Cjm2kW3LVGWqgN4&#10;2xY0TFS4y2Sj+XHjxulWYeHChaqQ2nvQoEGhlnPmzJGL3jCjdB0+fHi0bypAQZeluvrfdtttowVV&#10;YLvttvM8ctiwYVk46vTiuZRcx9LudBdWUj13RBc5WRpOmTJFfmJK10WXup1G3iX+zv6efYuc3XsV&#10;qr1y0HCLqO9GKYFXkKjJwkd9gxnVO1CO1uCuULK6zPgiUyKVu63nb1vUAbxti7SSonD3yYYG0ePg&#10;/OiILhGzoiPh8CNdveqqq+SLx0Zd/Udtz3ipw/8222yTjpokEPNhAaaldFiNBn5UrC3RkfzNHkOP&#10;xBL4RFfdzHVMX/pJ73ihZH50hOIMhSx8oJzuI0488US32sIasnTQkdodMgq3LeohWVYrVLgQkyyB&#10;9iwjqV0XhHx35/ScYYY8IA1mZEVHosMPbalvuft+XXtk7Q/dPXd6Vqeu0FZccUV3ZtPoSNaIIKC3&#10;JTqSs9mj19xYKG2xMoyuugsDDC07UDS2EdYG2hpR1CIillhDWOfkyZPl4pgxY/TXwm2LuFy4bfHq&#10;z1G4ZazaRjbuHxEl6IY7q2gQ1lORgJgbSsmKjmiEzS0+YcIEqdaLU+nagzknzPdj+JfQHB9uDwsh&#10;U1Z4P2mO5b/927+5URDdyOW78p/+9KeWzaNDVVYokk4RVNQAw7nnnhttKyuxM0exKBqg6i4Co7EN&#10;LuY/GcEdCrOiI6qYe7jiaqsjtRcJy9+2RKMjpRRu2ZQULEE2BnXsGppNsjxPP/100ePSSy8ttDfH&#10;O3L3pCzls6Ij/ERs2ttSU1aPXzzO6Oof50NV1+QQ48ADDxSKEiVz6aG2pyEvQk0NME0iMWwOjzji&#10;CLdrGh1Za621cmzwzDPPtGYh9bPojQICO2ctGjzkNm1vutYgEHfQJeqgfQFk7xQH04PqtGnTtKpo&#10;bGP27NmIhSdAuqt0Y1dZ8RXmZ/ENTBkmDeMDMlKHR3D525ZodKSUwokwxsUSz8LdJBe4IamGfPiS&#10;f1qvrixZeZIaJ6pQVuIiObkjIqm5eW4cJcwMcE9mxRKip6tkNOnWVVJjCXxRVaXUex985OZ2hCmL&#10;0ewQ8iRFkmQu8iclbZL/C1NJNHeEvBPk9R+VjNx9D9ecWZnErtXoI4hJgERyFIFL4v6uD9BN16Bq&#10;aEXeTcrRIx837UbBdJMw9aKnarQG0Ud/kvFR1KYLrrHCvCKFJerY6iFur0spnMiXqFhqbiRmi8Y/&#10;tG/8Gk2j1sRIj+tiHrnoZUhpLh8QR3P28YZoGpGbZBQdWqIZ4qhB76INSSWaleeSTVMWyY3Mpw15&#10;/WHKf5jQHFaimc1h8aWX++sdcXQ5PxfczScOMQHJnJT5UN4DMOq7buqwV0M4KERrUE/1Rk9vfAmZ&#10;Vpjyrh7i9rqUwp0gm7SB5XQ6kp6jvRzX5CjBKKKDh8yKkqSn0Hio6WGoDD/MMMoEyd2O5vhp5rjk&#10;0VGnO6EVKklxGnK3EzRKDa5uUbKRxV84R7lZ/0xTsKiwCAJZZGOGZGYDh+joFhoCuEKr0VPGuKwM&#10;ciniJsjzpzcH0pCQATGPsfzpDpQ5TpJVg/YC10JGJ1upKqvj6lFulqYLiNQT3luQrnAVsrX4DJLo&#10;vNGui/LgF2oDgvSYISt77teUJUdrT3cq1L/iM0gK608X8J5Bkl7QJLuIQIkASce0FKYVBmc9ffLD&#10;UB1T3hoyBLIQqB3ZNNqZs4mKdiY/DGUeYAh0HYHakS3rjptCpPKTdAqLm4Ah0NcI1I5sWXfc5ANR&#10;mKTT1zha/YZAIQK1I5vc2EfUKD/h0OuYpj4nps8W4mIChkDbEahjNLLtnWxXhRaNbBeSvVlP7Wa2&#10;3jSD9boXEDCy9YKVrY+1QMDIVgszmBK9gICRrResbH2sBQJGtlqYwZToBQSMbL1gZetjLRAwstXC&#10;DKZELyBgZOsFK1sfa4GAka0WZjAlegEBI1svWNn6WAsEjGy1MIMp0QsIGNl6wcrWx1ogYGSrhRlM&#10;iV5AwMjWC1a2PtYCASNbLcxgSvQCAka2XrCy9bEWCBjZamEGU6IXEDCy9YKVrY+1QMDIVgszmBK9&#10;gICRrResbH2sBQI99MCft9/98IMP/1IF9Q8/+vitP39QpYZ2lV1x+aWXWnKJKrVReqXPfbZKDVa2&#10;LAI9RLb3Pvj41bfe+9P7H5XFaNGTX3bpJVZdcdnPLbPkote1Oveoh5aR5mHiiIZDtwjZQ2QzPzME&#10;ukUzabe3yNbj3mZzmpGt0wj0ps/1Zq877Vu57fXczNab+xZjWh1Y16Nk66n1pDGtDkzrxT2bi3sv&#10;eGEv9LEmXCpUo3dntl5YTxrTCgnQSYFeJ9sivJ40pnWSSCltGdkWzXNeY1qK93dYxsj2V8AXJe9c&#10;lPrSYT70aXNGtv8P76Lho4tGL/rU6btVuZHtfyHfdE9tuv7dokFn2jWy+Tg311+bq3lnfL3rrRjZ&#10;IiZootc2Ueeue3+HFTCyxQFvlu82S9sOu3h9mjOyZdqiKR7cFD3r4/Td0sTIlod8/f24/hp2y7Nr&#10;2K6RrcAodfbmOutWQ1/vukpGtmIT1NOn66lVMZo9LGFkSzJ+3Ty7bvokgdjzQka2VBeoj3/XR5NU&#10;7EzuUwSMbCUcoQ5eXgcdSkBmog4CRrZy7tBdX+9u6+WQMukAASNbaafolsd3q93SAFmBDASMbK24&#10;Ruf9vvMttoKLlclFwMjWooN00vs72VaLcFixBASMbAkgZYh0hgOdaaV1FKxkMgJGtmSoYoJ9zYS+&#10;rr9S561wSQSMbCUBC8T7jg99V3PVPlv5lhAwsrUE2/8u1Bes6Is629BVq6ICAka2CuA5RdvLjfbW&#10;1p4eWi2VETCyVYbw/1XQLoa0q562dcwqahMCRrY2AflpNdV5Ur2GdvbH6morAka2tsJZjW/GtDYb&#10;o2bVGdnab5DWONNaqfZrbzX2GQJGtj6Btixzysr3idJWaR8jYGTrK4DT+ZMu2Ve6Wr0dQcDI1ocw&#10;p7AoRaYPVbSqO4iAka1vwc7nkjGtb9GvWe1Gtj43SBajjGl9Dn3NGjCydcIgIa+MaZ3AvWZtGNk6&#10;ZBDYtfqA5T671BK0t+QSn+H755ZZskNtWzP1QGDxTz75pB6a9IQWH338l9++9u4XV15WWGefnkLA&#10;yNZT5rbOdhMBW0Z2E31ru6cQMLL1lLmts91EwMjWTfSt7Z5CwMjWU+a2znYTASNbN9G3tnsKASNb&#10;T5nbOttNBIxs3UTf2u4pBIxsPWVu62w3ETCydRN9a7unEDCy9ZS5rbPdRMDI1k30re2eQsDI1lPm&#10;ts52EwEjWzfRt7Z7CgEjW0+Z2zrbTQSMbN1E39ruKQSMbD1lbutsNxH4v0vZ+2/90WRuAAAAAElF&#10;TkSuQmCCUEsDBAoAAAAAAAAAIQB19vlKrXMAAK1zAAAUAAAAZHJzL21lZGlhL2ltYWdlMi5wbmeJ&#10;UE5HDQoaCgAAAA1JSERSAAABTwAAAaoIAgAAAAQmUZQAAAABc1JHQgCuzhzpAABzZ0lEQVR4Xu29&#10;CdRlRXX+/XfCARmUJiqzyijdYECxbUAFZEYCgVYBMUgjoBJRQAG7WyEMjQwSkEGEJiqTDFkos3QA&#10;BQERMQi0CiraBJEYZBLRIMbvR3Z8vrKqTp0699x77r3vW2f16nXfc2rY9ey9q3bt2lX1vD//+c//&#10;rzwFgYLAJEDg+ZOgjaWJBYGCwHMIFG0vclAQmCwIFG2fLJwu7SwIFG0vMlAQmCwIFG2fLJwu7SwI&#10;FG0vMlAQmCwIFG2fLJwu7SwIFG0vMlAQmCwIFG2fLJwu7SwIPK/E0hUh6DsC999//0MPPUSxa665&#10;5jLLLPO85z2v71WUAntAIHdsv+qqq1ZddVXYxvOmN73pJz/5yf/8z/806il+85vfvPnNb7YSXvnK&#10;V15++eV/+tOfGpXQQ/NKlu4RmD179utf//qN//dZbbXVbr/99meeeQZp6Z6SUqOHQK6233PPPT/7&#10;2c8s8x133MGfjz/++B//+Md8df3Rj370ve99z0p47LHHTjjhBPT/97//fZGDCSaURx99tFqEkFxy&#10;ySW//vWvf/e739G5T7CWjl1zcrXd02pMtV/84hdPPfVUvrZ7KX/729/ed999KDwdf34hY4dvIfjh&#10;hx/+6U9/Whg9CpLQo7b/13/9Fx02I3PPivqHP/zhV7/6FYM8BsIoADEBaPj2t7/NFMnmStjS//mf&#10;/zmUudIrXvEKF0yGBETliSee6JLRZ5xxhuHA8573vAccmk48J4A8hE3I1XYvJ5z77//+70bC5PUL&#10;/MmoztOokAnJg3416pZbbqH3tNIwvvjz0UcfpVfteK70+c9/fuWVVzYy/vZv/3b69OlIy7PPPtul&#10;vl166aVC9aKLLsK+aDrx7BdTRqqcHrXd2tDzwK7sLUsYKSiHTowHJvYzD1Le8YT5ve9976233nrd&#10;ddd96Utf2nvvvRnqX/rSl774xS9+wQte0Jlz3oPi7rvvbjrxHDo3B0FAK20fBEGlzH4hwGwLYx7/&#10;CONql70qKr344ou/5jWvWXHFFVf4y8MUA4XvV9OalvPggw+2nHg2rXE00xdtH02+9IEqlBwTuvuJ&#10;0vOf//yXvexlqPkb3vCGN77xjeussw5OBLT9hS98YWdjuwcfE8amE88+MGD0iijaPno86R9FDOld&#10;juoiHMVmeF922WVf/b/P0ksvzcBOL9C/lvVS0lCg6IXQgeUZMgOatouFHNytW221lTyuhPoceuih&#10;//7v/96bE4iooQ9/+MMK+zFvNl7c888/H9svXz7wikEYU1bFIFkYUg9FhZhQOETK377llluefvrp&#10;5mduCmAi/Q9+8ANrgouGWkGNAJJfI7rNRB215/+mM/a+c7mPKI13Udb91z7z5s1z23nAAQd87Wtf&#10;w/NhATY5z7e+9S23hLXWWuucc8757ne/ixvZrE09hPFoFWeLLbbAIrUEX/jCF7zVHbfAAw888Je/&#10;/KV8v7UkXXDBBSh2gnmMSP/0T/+ETztd5iOPPPKpT30qLQQU9c///M+1RV155ZUqB8Ct4VdccUW0&#10;1UD35JNPHnLIIY3k77LLLhOeBhH0f/azn01DYVXQisMPPzynFSJ4/fXXdx3yA+UyfWs+FFBIuIdx&#10;9kMf+pAyIm848DOlCBFSS1/3utdVtbRWFDtL8JxfPefpUttvuukml23oMI7lffbZp5aX06ZNwwvN&#10;DM3G+cTjMjhdLGUSJlxV5p133pmjJ1bFdtttlyYPrRMxb3/722k4S+hV5LHQtXDhwk033bQWFjcB&#10;dhBhDnQT5rqjY82n38p529vextibANltBen/4z/+gw7FFgJdjvSdy41wIPG//uu/4sUkyG/fffd1&#10;85566qkQTCyJNwiF4uRCt9RSS9FSPKNhS3P0q5s0o2jJ03IX/R/+8IfwAyOzlp0stBC2ySJzOj4P&#10;qxi7tLY0S0CZZ599NkZsuHCN6bvJJpsooJjEL3/5y9/61rfOnDlzp5122nrrrbXsbEUxSlO1RD8k&#10;wG04vnQWsbbZZpsqOqEH8UJpMxtiydis8uMf/5jmoK5Ut2DBApd+S8OUe+rUqWuvvTZuNvxtXvk3&#10;3ngjIzytsBLSreDrXXfdxUyE5nizgEFzuRYWel6Gd0xLZkZu4gsvvJBPvE9jC/dd6GbMmEFLf/7z&#10;nxNNlD/fqSWyvwle2N/i+lKaJweYFddff72VvNxyy6FIWE14feiVib3HNEXyVC+aiQZuvvnmzHJf&#10;9KIXhfQce+yxnqoj1gykaCZSzjSVEZX+5dprr3366act+ze/+U1Ulx9/8zd/Q5nmWGZ8oyJFs/Bm&#10;++23f8c73sHaMlNWkjFl5SWqdeaZZ9LlW1EUe+SRR2J+48F6yUtekvBRo0vHHXccg7Bl3GOPPYhU&#10;oVgWkxCpe++9d4kllgCBv/u7v6MQBiIeTFBVRJaVVlqJFvHDrYVtKqg6NjkE8AmjSRDhPCcShmUz&#10;27XGY/PtBx54gFh3MFHKk08+GQ1Zd911KWSxxRZLMx08ScCCnJes71zGbCGgCGWjHwQisY962Ypn&#10;IAgK2IQRjuTAU6Tlta99LVmMQrozdoKQAPRgYpVzkaAdt0XrrbcelgJi2WXIYBr58OsoartHpVQd&#10;SxinF2IND2DGq171KkypDTfcEP0Rq8h77rnnIrjoEvrgsYpB5uCDD3bLR4233XZbksEnykR2kUtm&#10;gO9617vQTLp5EsM/FGnJ/320jDR37lxX1ZloIP22+IRRR9UQwJ+IEatQ//iP/4goWL1f+cpXqBHV&#10;nTJlSkJVsNJF5yc+8QncHAw1lElpTIbNRYc4ou341RYtWoROYppefPHFyrXjjjui2+YnM+3lk/VE&#10;cpsxIvHy3e9+N/Y57ykTHOyhLsgjJb0Gfrs5c+Ywmqnwb3zjG+gJiNFY0iTEDvRyFgLbc/mII44A&#10;ZHBjqkKf7gLIxA0i3YZDsN6ACUPI8ccfr1bcdttt2DU0EG5WabvJhj22+kCBABIdY5qq5YDSj6Il&#10;H23q/vvvj4WM3CBejMNIP9qF6GM5f/KTn3SzfP/730c5bWrqFeVylE9oNaYyTGKsQ6Ypk24CPaRk&#10;RjlqRGjQKN4wXDCQqtum13ANhA022ICMlMOoiN1BOTxrrLHG6quvzqhCUcccc4wooZyvf/3rSCSj&#10;UE6U2wc/+EEkDz3EWqF3w48AeVjalM+aNmjYWhf0e8481Bt1pU/hE53OKn95yEVK62g22mgjgMLL&#10;SB9HOcg32EIztfBQC1XzP7/RdhdMNB/VIvq96VQiLcdtuEx7UU6sPxqL1rkVWS+MQtI64cCP5Zdf&#10;nh4c/dxrr73c9HiUaRqzj6pdnvhTXDOeIceqQJCslx+QurYsdkTJ8lo1a9YsxA7dMIlHi+AoUgu3&#10;4N/f//3f81VZsGaZ0GKjhhPLr371q0oGb3beeWdTdQqxMlEMyqRkRIE3lMzMlqEY6XFHsPnz57sU&#10;0mXAYCsHbSc7OsafqCJ6hQ2yww47oDPKgtUgVYlOfZWSdtEl0XDKgSQKpwqMbfsNtQiryTHUoqsu&#10;VSb9NId+gXKYsNhUHADplTQlYfCHTrSd93yln+IHVfCGAulH+J/fmO5Up/KZDqAM9BR93MLYkssW&#10;wwfl9FY4UDwo+AR0wgEoaCkwmm2CEeT6O7GVmLmg8FW+CRZo3fLpf8HTrD+60WEFEdX2BWOg7Yw/&#10;jK4IJWKHIMIhfsBOrE2QtQkYeus2FcPeBNH1l7C07tre2MMUYjGeyDFlYn5TJmyzYlFXBgpqRBQQ&#10;FIv9NEa6VhzaiG7bzALVQpHo3W2+Z2vOlEbJLoUIE5IEMZgMCW1HVzFnaAJ0IsQ80GAGNv8b8VDL&#10;ww+oDT1qkEEyckGhPZDnjj8a/2kj/QU4oN42DTG71x5qpArSuCADL3Pjfml7ey7TFmi29nrmtDUT&#10;VaT5LhQ2sNs05x/+4R/c1t18880MGFXb8t1hg14D0ExgQCk9r6lVyIEmGANtR53MIkXlzHaFQzKW&#10;4BMy7S0jYV6aILrYcQKH+ye9OxnhENpumuwaYOajQuj5hJpRPuOn+dU8ZyzhNKREQ+gvjLawaycB&#10;HZZnCSNM6S3D73znO02M6Ecg0i2cKqw3kfOJKkID0pJJae2Hchk9vEFG6TGBgrqsnwqbYNWpCXRY&#10;WBx9DEftF5etvSH9aSj4ivECwmqghTPwhMa8N2y85S1vMQytGx3ZgZ2mjYG2QyWjFuLOQ88dhluD&#10;r7fWhbYjiN5uEPmBjKPYCPDGpFyDttezWldCpdZtm5udhQA3Gb0A2dPlkJ4S3FzQZt7jxNQdbafv&#10;oLuh4TbTHpAkWdcWVXLPHtafdKZQbu63fg1HfeFyz8TQsbr2F/NBPPyYYOHKKyupqgWamTggAOaa&#10;jfb1PZPU94xjoO3IoplJpupRCDw1wDwOA0tZM3Pz2lwAW47C01qkgdSyM6y55bBawzycDdVEBOAF&#10;JLYk+hB35eZiXap2q4ZNvDEZsGu6HDQwXvBC0RyvIaxCu03or7b3i8s9awidnRfBxcFqoTGPFLlm&#10;vM0HbTrJeDCy/jmDZTy0HRBtNahnXpJRp+LxmwmqzeXgEP+3YRIxYbCfyDZiTljyZS09+hD26xJv&#10;ozpjYyISwxSgMzHCQGUxD1OClQ4OkCSiyWsIKxFuE6C8j2dUWJfansttJIQ1cyw+lcD5mQQjMby7&#10;vgm8tq73B+cr4zmj+ojs/Ek3fwy0nQb03YK1btgcck1V3ZsR9CZeGOemLQlL2AxsDJBB7xVlJMf7&#10;wNID3kdXlNNNU7BnbwiEufrO5aaEIQkf//jHlYvZig3v7lmpbA9RAox/vD9mxicMz6ZkDC790LQd&#10;D/BwuWuu5kSw1OBAZ6ZnY4g55BNu+Q4gwjBhJA/jZwfX/JEtGbTZXumSx/DO2I6HxcIKMOPd5Rhs&#10;AZttmYOz6bDRPQ5D03ZgsrHLfgyh5c9/fm+qzkK3Sy0BIUSSspWCeJuc57TTTiO0DvucqThP1IHc&#10;GRpY77vssotbHf5/YhaJ3sMH4TXHDWrojMKOK8LGIchClTK20w/awju2GGa8Sw+RXWbGM7YPzofa&#10;RwR61HZCwdoTYbZ0y9l4b2SYX723Xsbz/9v8H37jTsM/b2sHiYc1fJbl7WFMGK4X96Mf/agLIJH/&#10;n/nMZwgWYmkdM5UuyRpl7RriUVO9cbmHXHBz9913dzPihcWYx6pH210zHjEw76m7XtNDjV1mydV2&#10;C6jWw94MGm9PJrmcTOimRHpsabQz+4etyy4B/TqwDX8bthxuPxw2LKrj4qp9SGbnN6FOVasMmai2&#10;ScbA7hrwBMMTLo64M1jRE6HwTEqhk+ZYu3jfprqxyEvzMW3chXdF0bJhzjXjGdgRXQtVqF3WGZG2&#10;52q7t4eJsdHWtPOPPWMflWcxVgVCDAgab8WbDgtfa6Prbowwr+MjJt/Gdmxgd9zWAB7+INkonN/k&#10;hRtZsLdtQ7Agf5wLRBaJ/skwtsNfRiD2JkgIFUXLRiBXMukBLT5v9JfZRXautjMQEUaubGwVZEqD&#10;rzJTW1i88RbAMBEZ1rxtSQPScyuW7ahu+ci6aXvT+BBv+somHPNOoyq0KP8Z7owdKLzFBViMXUqf&#10;hbbTH5mBaqHE1qjeJj4D5ekgCqeZ3iYZi6LlwGxVR+Qf4Nj6aGKf3CDIa1NmrrYDwQc+8AG3JhpP&#10;XGHm5QTeWU5YQUgPMHW5YYjQNJd+1sk59yK/w1JeYq2xePUnW03ZXNlDOW3YFs3r2p85hXtrAba8&#10;z1wUCY4e/+6FJ+VUMaw0nh3XlAx8dcxclOuGG27g/CIOq9AbZj3jEi3rtr2BtrNFyZUndkGxkZM+&#10;r3ZfBFFZ7oQHJWfpAj3HCupS2xm73GB1/C6chBENjRRARJXBVy4tdT0UaAV72lwQ2VFPx0eB/d3+&#10;2VRGPaNDe/6rVviIA3OrILzPwo2i58Ny6g7+qqYkDSu9tysB90R6r6FHZ7jw7m5wRoBtmZ0+ZYzM&#10;eNqYq+0kxfZm6cjF5ZprruGcAJ1FGbKW0QBV8c794qAI9NyCz7sMCEVLP/axj7lEcqs0Aa1VHRad&#10;FD5qJiBskLBFV+1vZ9XKDboCAa6sRbtqLR0Wt1nRRfh6OyE3rTyg6iYgZkbhbtGM7iZcEnjzUjdL&#10;o7O9hqXhbr2emcOyeRoKj2ZExTu+igPLlAYz3pbZzT/XmZu5PbANtB3ThXMj6NXcWpn7YZYTYMwJ&#10;DTqSGSVH1NBztge59/uS0a71BiMiNNH2Llcp4dCuu+7qzd5ZJ3/f+97HqS8422x9wQ5axpajk7LA&#10;MnQY/WTRUTFVMNg7J49QecJOv/zlLxNr6XkuQcPOsabJdBMoFaWxImBLuO1ZqBLYZe1asPhWOOgW&#10;ExTjiz0eFhjL/EUdDSc0uelxQICD7R0UYThc6J5sZGs6U+hj05oWxQkibhZaTdNgDZgT7W99Lvgk&#10;+lwWIDFmo/XipmUeasvsVfupmhLcTfoG2o62MBRzHBcOW5c4jFjm8JyLhIPH9lEx90Ol0XMvQgtT&#10;k/BMNBy5JzF4dbzYDnknnXSSNwZyLBFLrPilzG3GhA09dyknPY5Z99xFktFr0FO4OCBMLF/jxGbt&#10;ipHBHnoN0KDVKIyCUulZmO1jU/Td8ufMKZckmsa+LggAbQuMZT2Jjsai9HFAcFK4m55DGlADOibO&#10;AmSaBv1Mf2zMR7KBrhuhbF8LTHSdyhRI0ziNC1bCHetz6d2AwjsEQVUjKrvttltICWCySIEiWLRs&#10;xwLcEpkG2k5NdGk4bDkHHuCaVowYYfZj/KDqbFOvPYaxafk56WEhUat08/lLx0TOMQbaqQbu3A8o&#10;6CM4KDKsF5OeoCtGe54wIhURoX9k/Q9Ry1+/zGkdfRA7c9IjMI5Jei67TZ30GGssL3t9FvzlXCp2&#10;+EC/fcKgo2tDxHPIGJE0HP6ZpoTemT6XOVrVogxC7s7XrDSOuEHDzYzv0uvUF1SbabsN76zEMlId&#10;dthhXvdZRRDzHDYbIFXktWPSGEjDIyKV3Y4Wsz8tXKm2qV4Wk/joihHrSUw9OLyZsS5dLH4KfO8H&#10;HXQQBGCwwWB33kHHwXyEdQrMQtd/mygTBxg+C7SI0qKn1jCRlmntHgtV23wloA/F9Zjoy7Bd8TJg&#10;ZdjSKX0Wp2LuueeeiSoYCblFg8RYIgq7wM9qWUKQM1sxUC5DFecIE6ScaBe9LX2ujtYPU8JihNx7&#10;z0k1Y3EoVbThz2vkq7Qi7CQGTlbDi4v/g4dDvJgZuic9AwrqQb+A2Y8I2nobozo8trXcRMQoEgkn&#10;mDESvYS5C+jYTgR1IWpVhlOYBfOBsxOjWejLoZ+uHUMXi46VFRRABxJDOZqGBcuAhtBYIDTl2AlZ&#10;7jzNFAAKDQdWZVmKw3nBiCGsyUXzMe8pllbY1gA7HgsjHwPbPXa2h4Z7TIUk+hFin/Ag4FIBQ2uX&#10;nfyDGwVMGJTgCzaLdbgM8jCOkxuAgnhHnc0M5WDO+IbBT7Gwz05W5TdTX5pJWwxkO25VlGS2IjOZ&#10;28BGXCYxFhntOuusswBER9DCXKBgpmnHcsFlflR5i5lzuXFlpMQaQnoBkBkB84IxctE91zX3oO1k&#10;Q2FwWSHo6DyyYgvvdpaweT4QBYs2QVvQEDstDHARnej5My5TyW6no3OYJGpPOWRktEdMq7Tdy0Iy&#10;NBN5hTHRLNCPKEA5tfC/+cxEvDbD2jKhncRoZ8J53DWFJzvSDxQWUG1FmZVue36gwYXC4s/RQO/8&#10;gx4aHnbh1jT6MtDDYgdJTU2hAV7QHPoyuh4UGNqoFIKx8OmzQMOFwjhoZ35AMN00RhMF0jkCmguy&#10;C0tmKzKTJQSjlsuwBkOdAZwH1piIGlNolx0Bht7SW1Ud9c2pBO61QrhF8NeQnj6CHrzLFaV8+y6R&#10;skdtp0Rb0kC47exRRkuEzC4JE6C2zQuZtgBDOzoix7GByFKyHepsUR/0EWkHftMspEcNIBs5sOOE&#10;kWMj3kQBZYBmo5zfVcYI6YGChlMUOFAOZJuO2YTQttaCA4XY0ZEWhhWFomkroqy1QlBgHppmgQDA&#10;aMvp9DKorp2Nb9lpgguFYgfQYevv6J54wIEscMTO2BJfQmQyW5GZzG1joyzWF0OtQSEW26kBNIeO&#10;jydxdCTRFm4MKFuGUHI7u9aCQfuihJ0V0ru2G4mm80iADWjuYSwa2xEy7STPj740G8FMD7MUavMq&#10;i6WszWKKaidGuVG0NrabVWJxo7UGG0XZWTSUwwMmOhXPRhIb28FBwcJVzemh4aG4UAjEoJMyNMzE&#10;sH4n3GlrUBgfZeYY5bpJwvC0lDJbzHiJEpDDvh4a25TL1q1XtcuiBqP6xjzIPd1UZjyTU2ZhY2fG&#10;927Jh9NFsVZTAxMCk4ZaRe2sewsrMsqNbJf4HiiPFmUgDAUKrSer00x3giH9AmGUOVgrPGpXI/4S&#10;MOJGi3BPEZ6/8TXj+6bttXCXBAWBsUOAAdxdQCUGAbN/fM345zr6seNBIbgg0AEC3t1PrDgyzx+7&#10;TW8eUEXbO5CcUsX4IeDd/WT3/I3FFREJrIu2j58gFoo7QMA9NJ7qdEUEqyrDPVysTduLtrdBr+Sd&#10;mAig6u5J25jxdkWEnS07vg7Lou0TU15Lq9ogYCEGVgJuOTZKWDCo3QtauxzbpuqB5m273j5Q4krh&#10;BYGhIGBxfgQjEnJLSDgLmYzthGYSLUswaE542FDIrq20jO21EJUEkxEBzHVikOzKTbYD2Fl96Pz4&#10;DuxwsYztk1GUS5trEbCdIARB29ZgYhDtmtDxHdiLttcyfTwSPPun/3nwkadf88qXvvhFrS7GHI/W&#10;dkVlD1G9XZHWYz1lbO8RuNHJ9vtn/vRfj//+qT88+9LFXrDs0i99+UvGbKvG6CA54Skp8/bxZrFU&#10;nWa4v8e7VYX6wSBQtH0wuHZSaqjeReE7AX5cKynaPq6cq1LsovDjytHB0120ffAYD6CGtEoXhR8A&#10;5BOhyKLt48fFHGXOSTN+LS8Ut0OgaHs7/DrPna/G+Sk7b0SpcDgIFG0fDu691dpUgZum742qkmtc&#10;ECjaPi6c6nGBrSj82DB48IQWbR88xv2ooY3StsnbD9pLGaOCQNH2UeFEgo726tq+hDGAqZBYh0DR&#10;9jqEhv29X4rar3KGjUepv3cEirb3jl0HOfurov0trYPmlyr6i0DR9v7i2c/SBqGcgyizn20uZQ0S&#10;gaLtg0S3RdmDU8vBldyiuSVrFwgUbe8C5aZ1DFohB11+0/aW9N0gULS9G5wb1NKNKnZTS4Nml6SD&#10;R6Bo++AxblJDl0rYZV1NMChpB4VA0fZBIdtDud2rX/c19gBLydIvBIq29wvJtuUMS/GGVW9bvEr+&#10;5ggUbW+O2QByDFflhlv7AOAsRcYRKNo+fMkYBWUbBRqGz4mJTkHR9iFzeHTUbHQoGTJLJm71RduH&#10;ydtRU7BRo2eYvJmIdRdtHxpXR1O1RpOqoTFpYlVctH04/BxlpRpl2obDrYlSa9H2IXBy9NVp9Ckc&#10;AtvGv8qi7V3zcFwUaVzo7Jp/41xf0fZOuTdeKjRe1HbKyPGsrGh7d3wbR+UZR5q74+i41VS0vSOO&#10;ja/ajC/lHbF2fKop2t4Fr8ZdYcad/i54PA51FG0fOJcmhqpMjFYMnNmjXUHR9sHyZyIpyURqy2C5&#10;PqqlF20fIGcmnnpMvBYNkP2jV3TR9kHxZKIqxkRt16DkYJTKLdo+EG5MbJWY2K0biECMRqFF2/vP&#10;h8mgDJOhjf2XjGGXWLS9zxyYPGoweVraZxEZXnFF2/uJ/WRTgMnW3n7KyjDKKtreN9Qnp+hPzlb3&#10;TWi6Lahoe3/wnsxCP5nb3h/p6aqUou19QLqIe0GgD2I0+CKKtrfFuAi6IVhwaCtJg8//vD//+c+D&#10;r2Ui1/DE03985o//06aFf3z2T4//7pk2JfQr79KLL/aiF76gTWnkfsXLX9ymhJJ3cAgUbR8ctrkl&#10;/+GPf7r/V7/NTT3IdCsuu/gSL33RIGsoZQ8TgWLJDxP9UndBoEsEirZ3iXapqyAwTASKtg8T/VJ3&#10;QaBLBIq2d4l2qasgMEwEirYPE/1Sd0GgSwSKtneJdqmrIDBMBIq2DxP9UndBoEsEirZ3iXapqyAw&#10;TASKtg8T/VJ3QaBLBIq2d4l2qasgMEwEirYPE/1Sd0GgSwSKtneJdqmrIDBMBIq2DxP9UndBoEsE&#10;irZ3iXapqyAwTASKtg8T/VJ3QaBLBIq2d4l2qasgMEwEirYPE/1Sd0GgSwSKtneJdqmrIDBMBIq2&#10;DxP9UndBoEsEirZ3iXapqyAwTASKtg8T/VJ3QaBLBIq2d4l2qasgMEwEirYPE/1Sd0GgSwSKtneJ&#10;dqmrIDBMBIq2DxP9UndBoEsEirZ3iXapqyAwTASKtg8T/VJ3QaBLBIq2d4l2qasgMEwEirYPE/1S&#10;d0GgSwSKtneJdqmrIDBMBIq2DxP9UndBoEsEirZ3iXapqyAwTASKtg8T/VJ3QaBLBIq2d4l2qasg&#10;MEwEirYPE/1Sd0GgSwSKtneJdqmrIDBMBIq2DxP9UndBoEsERkXbzzjjjOf97/Ptb3/bbf8PfvAD&#10;e3/sscd2iUupa8QR+M1vfjN79uxVV13VxIMfiNAo0DzKEpul7SD71a9+9b3vfe8rX/lKgcufV111&#10;Vb/wvfTSS62oJZZYwi3zG9/4hv251FJL9auuDsr58Ic/bEB5D0K51VZbIZdA2gEZE7UKNGq11VY7&#10;+uijf/azn1kb+SERGm6rR1lin/fnP/85jQ6D6jHHHPPYY49Fk73pTW+68MILX/e617WEmH7EqvDo&#10;oU+hfN7fdNNNG220UctausmOJk+ZMqW2rs9+9rOf/OQnSfaHP/7p/l/9tjZ9BwlWXHbxJV76og4q&#10;alkFnabp+Xve85799tuPH1dfffWGG264zTbbtCy5ffZRltiUtiO1u+22m/qq17/+9VtsscUqq6wC&#10;It///vdNCQ1xRv42MN1///0UTglbbrnlNddc4xYlvtb2Sm0IiOZ985vf/L3vfe8Vr3jFo48+2qhw&#10;JiMbb7wxWWjU3nvvrbxPPPHEtddeS5l686EPfei0007ro7Z/5zvfsR7koIMO2n777RuRTeIetB37&#10;bttttyXvF77whX322adpjT2kR9h22WWXvghe09oRVIY3hqWEzA9RYmubU2nJo+rYnKbqSDy8/OlP&#10;f4poIkw8IE7nSsv5+vjjj9dWk07w4x//2BKsv/76bkposC7cKuryga+mlhtssEHTem+55RbLgqob&#10;XPYcddRRt99+Oy1CVizB6aef3l9/hKq2TrmD54orrrBa1l577Q6qo4qvfe1rVtGhhx7aTY2q5bvf&#10;/a5ZoOutt1606iFKbA4UldrOqG7ijqrfcMMNYbeN9Y7sIrh77LFHTk2JNPfcc499nTZtmpvsRz/6&#10;kf3JMNuyiqbZqzqgnHIwfCzZ1KlTw/TgRl8phWeW1NR2SNAgsjvTdmTA6FlrrbVywGmfxoxKxHLd&#10;dddtX1qjEu6+++4EZ/k0RInNaUhc23EjaVRH1ROwmvcup6ZEmuuvvz4qMRqpuudrVQeU01LZ6muu&#10;uWZV+lNPPdU+MVao+TmFp9OYti+//PJLLrlk+9JySrDGMmdZZpllctK3TIN/zkroweZqWTXZ77jj&#10;DiukirNDlNis1jEf9p5HHnmEjtMyY8CHCWrfYKx+6lOfcs1vJuQURcnRvKrO+6oBEBddNCPvmfra&#10;nN9kjj+rElsJfKVY1QhhF1xwgQrndwI1Ete2nTZaCVSRTqzWHTJ77sJFj4X/Tj77kq1nzlpm5Wn8&#10;W2XqjFn7z11w60KSfWzOsfZGWdaZsZUli/674PJvuYXfevei2fNO3XDLmZaYvPzJS9JsMONtUA5h&#10;tc0U5lG4QhZ4nAIcanGRT9eIRIllYY34Oy37nXfeaV8Rg2iBRnbIGsSV90gsueAg2a063lA1fyak&#10;QrWT15NYa7UVxf/8rlIBo9ZTnARKAuTKK68kI/+bupHFpccD4TkfuPeQWspTy3UvAY0x4KIPWMMP&#10;L4sWUUJdkkiFZFAR6asqiopRIgtIGRvErWjJVTLkkgeDLW9t1yCct9xmO0/V0T1po6fAdAH2iY7A&#10;cn39utsTqs4n6yOUmG4iTM9LOoXFXvacRZAQF0+pqvCHp8KE3wlO8SmtAFaOUI3WKHYL0mgTaiUN&#10;7iOfXreS7migxxU2Sax1GSG11qFEn4TihIKnYQmCvYoSUhrRdrU2v+s16mmhO56DHaDzuCoUtpZu&#10;yUChtS4KGiTDLDBAsNrgjDRYPyp8XYHzaLNeFsKoUeWYFUMuyhGUVG0l25Mjl2mBcxtYpe2uqqOE&#10;jOSMvQzsnoryXjqMovJPhsC8z3/Z3vCPviCq6jak80+5KN+03YaL9GOASI1BTyi5HbqrPIKdhrty&#10;4vE9Wi/IW/nKCJGqUVnSxmCtpGkcRiogkj/NzKEV1CVtNPsxrF0SCyyi07TAlcyoWglJqhaYZKxS&#10;RhHjUmXAQlgV73xtFyK1hmhYorCmSm8Ml4kVCpOE3kNB3bnXV7l9SjjREKxe7y40NYyrh7IsrohX&#10;iUWdCjz3XSDU6kyVts/8wP6m2IzhZmDbP4Zod8BnkPcsAn11cykNL2Xw03e4eekUbMA3bfc6ykSr&#10;JdPRfpCX6kyBxUsD79Q153SjRoZlqRLOND21kmaqVWVvS6+qOCuJ1SzA1YIqyaRR+hRWrYHHMxVN&#10;njVHSGi4yz7fS6cFFZbWq+y06HvcdXKWsmbu+dX4U02SA8zKaeqimz9/vnmGQD9cKYj6oqHNnI5I&#10;A7S5/iR+s6wIpm5gxqBddB6Ab3/72/XmrrvuMkCIKTz++ONdZ9tyyy3HGzxwlnjllVf2ykm76ODs&#10;L3/5S7Lg3zrggAPcvOuss85JJ50kRcqPlUq76ObOnWvGM6IJCzw3HrxTXyBXdlrkal10aXpqJQ2P&#10;KaQiD1GPY76LjnJM0lwtqFolITqDhVgTzrDqFVZYIYqJybMtB1522WWZgWe+tmtBZZNNNmmk7XPm&#10;zLH05557bhQstdZzQbOGaRm9DkLrWO5CLuuZLFmRmF7NE1le8vWLX/yilebOFUXbiSeeGKXNW1ao&#10;EotaQLTcCnm1OqNaXJX+yle+YrXQutCvzpsnn3zSEhDF4dJDN2F/rrHGGiGd5DrvvPNUcqIh+b5u&#10;7WiIRkMQsGBCDBQIcbRGNUGu7DTC6hQ23XTTMGWaHtLXShqkCqWwfK1SVXFWEkves846K3OR4sgj&#10;j7S6EM6w0lNOOcVe7rjjjvqqXo83GCyZqk5iX9u1etQoWIKAKoXB1EYvLr300qIbmbD+KXTkiBK3&#10;MZdccomlP+SQQ4QmhcBp9kgQO63BRH2HS1smLlVikZZFvkocc3RGtbzhDW+wkh966CF7ycC+2Wab&#10;hdWR4Le/fS7GNiz/F7/4haVfffXVw4x04pYRPcFGCBMsWrTIXkYVKdrwhQsX2vtoqAkmmH3Fpqvt&#10;+DI3QaSXu9P05EiaK1Rek2vNCtJLYtHAcM2YSEorc6WVVlLhFGudCPIv4WTMQJ5ZBac3lL288847&#10;K5fEjO5p1qxZUe5EX/6VtoOIEkVloqpc2f977bVXbd2ucDSNoqPLtPIPPvhgbTjBICRSlT0S1hFg&#10;4bs99M0332xZcmgjWUIsapumMapWZ2CzUQvD3vrWt1rJEpeoqpPggQcesJThAE6ko32KhvRoSmkh&#10;veEj1kezR7NIAWbMmBEmUGD1u9/97lrcMoeWtC2dpqdW0tKakzYraKDMOn5HNVDEu2FIF110kYGD&#10;zkue2WQBm/bdd18NXQiGaymo10t0T1HM/0rbGTqUqLY/douT/Z9gmwYftyNvGkXnBpl77cGeRM8B&#10;iABVFxpC0y1lpkgNLorOJVjbM91JhEzBqmgisTnkTjqKrjbiTQkSEUEe4IkyXdFPREaph/I2Plb1&#10;DmlbOt1GdfpV8Zo4qhK2d34UHf7IaDnab+ICoi4gbLKCR5j/e+xWrsTSZr22uynccb62b45a3V4u&#10;ad306dP1qdZx4kLjTszcJRDzIcNs9DxUgxzaXFL74qKTL61qILU5Lc+uu+6qNPfee6/9XnbZZaMZ&#10;BVcjF53sf8qMmmwksM6CSVZ+L59wiWkkTIgjAmZjV2YMbK0tnXbRydbwInxljqUdVfkuuui8RsR7&#10;gKgLcOXZPPm2LSU691Sv1zTG9K/Gdrdod5yv1fbaBLTWWEuP5ZJY6ziJDsiEzUOqnnwBraWTBO1d&#10;dBSSZoPWctzZGrnMZ86Dkzwk9brrrlOCRi46rQNXeRO0hbFqs0dITK1LrBbqBQsWWJrMyOs2Ljrb&#10;xGXV5TiDQ+LzXXTReY2I9/Z9WUUohSvPaeGp7fUSyPteOi2KsGG4lmH5CWS4ujtANUMOnboakKN7&#10;LQa65aO9iy5tXwGFxhmtANciiVP9c5/7nCVr6qJLF44zX7vKqmb1YQlpl1htc0hw3HHHWTLXuklk&#10;7NlFx7SCw0Ws5ExnsEdGjoKlJVbEe/MIq8jru9Po1XoQGmi7uxmzkTFvdUSzaEXRc4RoqultcdOs&#10;r2qvRW/bSKpo895XndtRK8GyCaP9t2VnfyveF/vNIn9VL64JrSplv7o51XlCF91TTz1VSx4JwmVt&#10;LDh332j+PjZ5mNP1hg0RDnJBZS6UpG3pBD3s5hRPe9tSLeSrGlsrsVEXnUqTPZ/DxFoPQgNtx51o&#10;ATq2Zd9d2VMp2EVsfXc3ZquP0LqLEqPqOlbBW4rXDNkTegmlN+ZLFkEnSli0nbJWvDhkOEQTGM3c&#10;OUt+sWFd8rFF+29wADSWEiwj61KhBSsPGfsOVT7kYRDRM8qVFc5c7rvvvgSPZQohtRx3oZSM6h/8&#10;4Ad5qZJZwswRONK4a8thFhTYpAiVDo8zw7oxHBJL8WGZtba0ZXFHAvpxO6NB8ae9bamWIVMFTpXE&#10;hvrsibokPP9QvVoPQoqDYVyktw8M48fC3Xn4HQ3c1QIPNaH5FsPM/+nwYJlVXtxfItRcBUIG2ivf&#10;BjTzJwWGe1Fca9niny1uWQ3xAkUFljXcUubEzKpbsSB8PQDi7RjzYoR//8yzFsdK1LqC4Qlfd8Pj&#10;bQ+cfXVD372MiqsnipbsCo91g+Epxw2PJ6V9Je+TTz+T01LSCFVjhEVou9HKLuziFA0X08kYbpGq&#10;ql2R11V7jVwJFOOMlbYtzH57NSYkzaXELdyYC09dStLlJIh3dY2SFfzPD6mbh4nkM5NTbrLIrhg+&#10;Q4S3E8jrMMKdDG7Ys5eYoqKhxarCozuxt8HbeBN2Y67Aqdiqo28gINyiEG5dSuxbUhXyhKXHRgoP&#10;o9Cl7VVb31BINNw2uvIv3BtLCH24rW3+hVfXbn0jJl+VovP52i6nl9tej8uJDYXhToq07Eorovy1&#10;vFEuW0XSxnxJ81KGO3xdFUjvxhHx0f0/oby5kHq9W22vl4Yxru3kgZ3Wu6huGkyr0OqqXRN0gZAu&#10;XNAlstPU9Lb2sLc27MheldGGCLc/4k+qTmzac0cVCid91X5727Tr7rHLGYIS+yIRuDRu0naU0zaf&#10;a/sK2qjdL7Zbhv+jm+HdPXBkd3fIaVMNo7rtfjFLQfve7SU75/K1HQlx98ABV1SUgd09TcBEqHa/&#10;UCiytTtSyBIyTvJgEhXu27f3UFW7LQf+qiEInrfJJy2xGggT22k8A1Ay4xEmbe/t4In6M2fTg1X5&#10;2h6BPp5C2ZKYHk6hbFljZnY7EZTEaF1/F1wzCZgYybLOk58YTS2tGFMEdCIog3BR9TZMLNreBr2S&#10;twsEtNDjBmt0UfGEq6NY8sNnabHkQx6wFGqr3Oeff752zv7kJz/J3EY6fKaOJAVF24fPlqLtIQ90&#10;l4F9wjGWPvt4+FwcBwqKJT8OXJp8NGp+blvBcNE13QEy+TCrb3EZ2+sxGnSKMrYPGuFSviFQxvYi&#10;CQWByYJA0fbJwunSzoJA0fYiAwWByYJA0fbJwunSzoJA0fYiAwWByYJA0fbJwunSzoJA0fYiAwWB&#10;yYJA0fbJwunSzoJA0fYiA90hwHGL3JHQ6NDFKuI42smuW9Dpt901Y2xrKto+rqzjFFr2hL3tL8+Z&#10;Z56Z3xIOh9xll12U1z2sLr+Qpil1ynhftP3SSy81AjJvnmhK7YRMX7R9XNn6wx/+UIf20oZzzjlH&#10;F0Kmm8Sxlvvvv7+Opifx7373uw5QaHM0ckhezweBd9DSka1isms7JyW88pWvxCDMvMOgv4y02l/+&#10;8pcfdthhTUvWwdi6l0Z3b6WL4hpc20yqUTG8eaYpMTnp2xyN7JXf5q6+HFInaprJru0MEXbYeP41&#10;KX0UBdUevZg1XZHOeNYNkzqxO5ERo93OYN5hhx2UrC+mdS0srY5G/uvS29zVV0vnBE4w2bW9jwNO&#10;D1KSuMWxtjQZxrrALH2qPAVi6p900kk2qnPIf9Xl0LVV95Yg80D4nMLb3NWXU/5ETTPZtb2PA04P&#10;IqLa3Tu9c8pxL3LXyKxLI6tK4OJtm67vs88+OhI7vHkmh4CmaXIuV8ovs+e7+vKrmJApJ6m2czGY&#10;rd/oUh5OTdAF2u41OMZ1JoqzZ8/m5FNLw2Sbeb4uSwwlg08kMI8ADxnJrpl2WDuJ5SHnbKZaUfMu&#10;crdLZtDkhKMOP7wddUxiBnYRU3WuI3fpsMrFGTKCxWtFlEiKpXW20sZDdkOp1kXXCOGEiy6NfC2w&#10;EzxBDzdOTIAs6bsxvHPpvSulXIHgWBUPDcbMqlsf6VAssVf7CxZ7iXv3gw6Qj54b710OY4l1jYyO&#10;iA/z6roYS+P9ael1njz9QhVE0Ss3rF3eLUMCCpTSB8I3QlgXV3g3EeQgPwFEt00TJunZNXbIIffY&#10;Hn300Qgl4ujeNOreQ6gD0tDVT3ziE3bDNBc8HnPMMebeQ8Rdfz6/7QpXZHGPPfZYYYUVGG9vvvlm&#10;jlLcYostbKDzat/nw/u9Y+uZ0o3odc7emMMlkDa+nX322Qykl1122fHHH8+fXCkZvTKV26APP/xw&#10;Euy+++7c/caPbbfd1ubtN954owq38+QZnHW9PNcYzJz5HG04/CHemozCc3SUZxTwlTV8K4q24zvk&#10;Jkag8G6VCQ+Eb4owF8tBPLXQRxx11FEiPgf5CT501zavTVcx7nlrbyDRrT388G7t0DjmjjCJi3vI&#10;7t2xo9q/dvmViWE8+slud9EtUQzX9mf0Jhnun9EVMfymQN0kxZ1TbvmM7brYJLzPiya4V2i63Hdv&#10;SvMsI/dCuPBGvaYIU6kKdCtqhPy4y23P9E/Sebt1gmkXnS6iZnw77bTTvLONGbTDnlReAEZ17yvZ&#10;vcFQtTddfnNddFaLbnGNOuoYYG0YP+CAA5Zcckl+aNqvW2WtnEWLFunCaeyFbbbZxm0FTTjyyCM9&#10;6OxPvUcVvciFT37yk9JP7+b5HhCmrqiLrhHytUPgRE0wqbU9vSYkCT7xxBND9p9yyin2cscddwy/&#10;amktITeq/bWvfW0j8fJcdORFhy3GJnTUcW0zYXZ8QtM222wzq0guOm+lXY3C7oheq64+zr1yHKW1&#10;Pxn50e2wLVpxUGiA10c0QjgdRZeDfCO0J1Liyavt6TUhvpoEY6hL7nFTI9l4qlESm5xjmu68884S&#10;CIk17gAc+6SvkpU2K1JRd7oW0ryIOimwBm1IUmSOjAJe4l/4l3/5FyMYKyAt5a4PT4sI+DWiuaJB&#10;Db0hXBVFl4/8RNLepm2ZvNqeXhO66KKLDEp0XktQU6ZM2XjjjVEb8zzREeCsci18jFjdK3zwwQev&#10;ttpqVTpfuyKVYKR01Y141XTA1XascQs7wznnDuOq3fUI3n777VYp943WXsni2uRaidx8882jZF97&#10;7bX23p049IZwVRRdPvJNNWQipZ+82p6OotOkOmS23WeAX+qaa64JF6t5KfcbHmzTeY3kKq1NDJ90&#10;1VVgUcK6utXC9B4zhB9EzrlXqWva703aZTIkgogffPBBK3zppZe2Hxg75qivupIRA8euZ8UccOHq&#10;DeFEFF0m8hNJe5u2ZfJqe9pFp3kpWq3HLnJHnXDaRae1oM+oyLIQg7+8zSgDwa3SJeNQzzF8oYvO&#10;CpQpq9FPu1/mzp1rzjl7qlx08vDNmDGjSoy0XKdwXem/jBov74IFC+yN56LrDeFEFF0m8k01ZCKl&#10;n7zanhO2zXiFVuvJv5yIQYwegd7BlqxQeF1UatKTU3tUzkIXnSVbbrnlbE+baTvOOVMMdGz69Olu&#10;UVUuuhyxDo120VNlEcyZM8dK9lx09rIpwrUbXWuRz2nmRE0zSbU900nWcnMYvUN0ySqz9qjMJSJe&#10;11prLcvCRrd58+bZ79DfFnXR5ci3omtwWGTeo85UQtE1U6dODWtphLBcdFV2hMqvQj6nmRM4zSTV&#10;dlt/rn3cdaZ0Ys9QDxO7I1tm7dEaoy46Sym3PBvdbPcLDkXGfK+cqIvOTSPj3H3J9JsYO3uj4dpN&#10;IML0kk7NXQjw3ASWLB9hEmuSQsS+ammEfC3HJ3aCSartCxcuTPNVo4c5umofPHO4hb0lN/484YQT&#10;LK8bPF9be6K6qIvO0mu8NVVnBX677bbziqpy0ZGMbTmWWDS7GkV8q3njvKV4TfJxvLuKB242t7e1&#10;Os9Fx5umCJNFLjp3StUI+Vo+TuwEkzROHk8ya2nGWtxpLDszND3++OP4de2lG/VNAtTGHF0sSiNz&#10;TImZQD766KMSDlbpTKYxoS2WHpU+7rjjzI6lBKbxSuzVvuIqr/v3Hz/41FNPWax74kFXLVKN2XiY&#10;GPfhnnvuqews/nkzdj5h5FsADKdZeEY+Tfu7LTf+9UMPmCoeeOCBFkvDbgLC5k3VvYZYXWz1k1ue&#10;o/J4c/HFF5sfHlW0vHR2wrY3hMmliHr8pvKSNkI+De/E/9pzzO24Z1TIt3iMaLqNklM9KgTeBqyq&#10;7V+mISFWbu22B+5jc46tjZaff+HVFg9flVh76djiFi1t9rxTLc28z385THDt9TcmdgcSABtl+pVX&#10;XhmFiJB77aKP5m2EsLt30CWjKfLjLrdt6J+kljzSieXJKrTsTH57Yx2jMWMI713NZNDjDXJ83nnn&#10;uSLOkIsHHvFVYlLasrw7qiuLWztr18zq3SXxqkHm17/+tX2aNm1aNI2tcmHDVwXD2fk2eO/f8IY3&#10;hCVgCzAm0+u5bjD6NXQVIyUaFUshhNMbUFYgCFAC6TkzQy6A6KpeI4RFrbehuCnyE38Ar27hJLXk&#10;R4rlf/jjn+7/VZbXcNBk247XQddSyh8WApN3bB8W4qXegsCwECjaPizkS70Fga4RKNreNeKlvoLA&#10;sBAo2j4s5Eu9BYGuESja3jXipb6CwLAQKNo+LORLvQWBrhEo2t414qW+gsCwECjaPizkS70Fga4R&#10;KNreNeKlvoLAsBAo2j4s5Eu9BYGuESja3jXipb6CwLAQKNo+LORLvQWBrhEo2t414qW+gsCwECja&#10;PizkS70Fga4RKNreNeKlvoLAsBAo2j4s5Eu9BYGuESja3jXipb6CwLAQKNo+LORLvQWBrhEo2t41&#10;4qW+gsCwECjaPizkS70Fga4RKNreNeKlvoLAsBAo2j4s5Eu9BYGuEZg42s654lwbYjeHlKcg4CLA&#10;5Tw83r1dA4Wo+xpzmtNY27n6z5Qq8XAnUU7d/U1z4YUXUmDiqpP+Vtf30riziZvYeC677LJ04dwA&#10;te2225LysMMO6zsZE6/A2bNncwsYz0c+8pFuWtd9jZntaqbt9I5c61Vb9FJLLVWbpr8J2tyR3F9K&#10;ei7tlltuyczLFXR2S+zqq6+emWUyJzv66KOt+eFdYAOCpfsaMxvSTNt1wSjAcVtQ1bPzzjtnVt+v&#10;ZCLMvTi5X4V3U46uK+YKynSNdrsTT+Yl6t3Q374W7mnGYOQOyfZFuSXYLVdI7KxZs/pSci2dfa+x&#10;L2RTSLOboTDRDz74YLKh51W3gvWLskblYDtZh8oNhFxL1ijv0BPbzVC6UPnGG29Mk7TLLrvYnc1c&#10;RBtez96mOUO8GYrboG3sDW+DbdOivucdFzqjDW82tnPtsZUyderUvuPYpsA77rjDsq+55pptyhlW&#10;3rvuuiuTfu5dNlXn5sb+qvqw2m71yrRZf/31h0tJuvZxobMP2m6Xco+gUn3jG9+AKlx0Y2rc/uIX&#10;v8gEVinXWmutUdaKprTdc889lqXq+tqmBQ4o/bjQ2VbbcdFxTW++Up1xxhnmt4+66FmiYIbG11VX&#10;XVWUXXXVVZYFe4mX/M8SAAnsJWts8sa5jal10UE5xGy11VZaR2DqhfFvtYSPyLA1G+g3GvifT156&#10;CqEom8vZtBM6sbEbSRtudkvvohEtQdK23nrreQn23ntvpgNnnnmmvb/uuusOOugg8/Nj/J9//vkJ&#10;kjAZSPDOd77TWgEZIF+FT4gn2IJwdIkLcCgQfKidBBRrfOcN5QOU1WgzRB5IFZso1qOZ9OIj5YhI&#10;qyWc89t7Hk9yPBbXSlo+nVU1qiFIvivVBjUvo9xpBHW9yOVf/s4d3VYcM6ucXErPkOulp9fQUhnX&#10;nusr935bFbzBNRClnmK90i644AJLSZaQMO5ar1qW4z15wyzcu05pfH3kkUfcm8x56aUXwSGpFJKD&#10;Eml+/8yzG245c5mVp/Hvgsu/tXDRY4l/Mz+wv6Wcf+HVbrJb715k72fPO/Xr192+zoyt7E/338fm&#10;HBst+eSzL1ll6gxSLvayJb2GhPjwpgpPsAIxr9U2G+d2dxjtZUQM0rfWuxiGvBCpkGRsCiVTfniP&#10;KlfSokyEVMhTrnw6q2qkKJrgXT7voh1CDWJV6wj50uU2/Dm9ynykflGlihYiVXFb4rLNa6Fhwf+m&#10;bzyUQHXwQ4JC+6s4h4vO+6RyVBSl8VKleUy17BId+0EaCODxpFmcgyT6FLohHspX4dGuJAQKbZdO&#10;plWdr1LjBbcudBPTTVgh8z7/ZVNd/p+1/1yUf+uZs1S+l4sSUHV93WDG22ydRcLt9dSSAcPEmkwz&#10;JZSeFMJr46Mwt9Uc/qQKoECjrASx28q0R32HKzNWtRXi9U28d+FV7TDOgz1H0ty25NOphoQjnFCi&#10;dppsbXRb4fYvEO+iimwbUJYeectU2x61XRLAj+jamztKWx0uF1WrmufxhgSGlDUSprrDOIWLtV5F&#10;0joXLEoDEctCUV5H4EJZRYYpLYLiFWsNUSv44Q1oanWmEXT9t24yfWOET2u7BnA02UuJVlshpuqY&#10;ACRWGvURnu2gPoIsqP2TTz8jNgE+CLh64nLTw8SmePa44uXad6bz4eBPerhjeUNeWGmSPa/DpV7X&#10;+PK6V9UejoQSjFA8EuyrpbOqRre3ChVVsuSOo5LecHCl1VEYa/W/wdheG5wQHcqUy1RUbbCu3X1c&#10;fUbOwr5DWu0Z8+KcW5orf6Hx7/ZEnk6KYSYHUViVJhw0KFlfM7X9lNPPMEVlKE5ru5ST4dpLKQs/&#10;Wg4lR2cK6gVQdQp0tZ2GwAJxARys+4taQ+qpPW13p2MJNJQsKkJulxGyw+24PZlRsZ6CpSVNkhMS&#10;nKYTEKpq1Ptodxa1mqvGsFqVTiTIXYGTi05duPcDIdhggw3Cr7iO7CVeHFwR++67rw2Yp556qpdY&#10;ETK8P/fcc9ddd92qutywsyoX3fHHH6/hYqONNgqLWmGFFeyl+fP1LFy4UL8JYl1mmWXCvEceeaS9&#10;PPHEE8Ovp5xyir3ccccdq5rgvr/77rvtzzYuunvvvdcKYQ1yr7328urFCRdSghvPFvNg3GabbRYm&#10;gAXiwvz58x977DHSHHLIIeHCB8y17N78Vku2iMd5551Xhcb1119vn6ILDUL7tNNOC9nBm0cffdSy&#10;ezKj2tdee223alfSKNPLZXGK0SdNJ1miNaI7xxxzDF8B4YADDvBK5usXv/hFexmd1WvNr4qq/Pe5&#10;2i6AqnpoEI+ufimAiZDb7bff3tp81llnhWyT0FNFOkLGXe2PRtG5Eb4hvh46nutI3QdkRLsJElgH&#10;4SagRvoyhB6NVcR+ZkyhRKTnKDotwkPVfvvtt+SSvrPtoYceslZPmTJFzTc6eXLolLy6EWk02Zzk&#10;1olb7S68WrKlj4j2m5aYWGD7EXbxeMu1vMpiRyjZJLBuKFQV1e7x0ZW0sEzrAXlCeU7QaVmiNV5y&#10;ySXqKAUCZIMeDvzVVlvNrAnod5uv2t/3vvc1XeIJUbI3udqu4bRp8APN07TE2syAGR23FSEzZ86c&#10;KnLtvSvN4pzbBSxYsMBSMtQkhMzSeCbJ7bffbu+ryLjooossAVKotSK0iH0XCL04B+Nrq7ZypO3r&#10;rLNOuuEawFdaaSU3pbtcHy3Exgc3IIcOQi+nT5+erpf1KuMd/9NStZoms2Bm2siUDZPb1St3yTYR&#10;tZpQV4oVK6OqToKqcBfV7q2qkEWS9tGPfjRsuNY4PSlN00k5VTUytlktrDIKOuACPQJADVgsfM/2&#10;YfXUxiESADKjSHudz9V2SWQPwQ8uaqhfdMA05eF/WphOQBrX3otG0akLCBelxd0HH3zQfi+99NIu&#10;y617TpChGkNBgYV0bQj9Nddckxnno4XW2ijARBSdBHS77bYLqVKgnovbD3/4Q0uZE6Wj8sPCAQqe&#10;Mt8mZMBjnMyuLbbYItHxpaPTbrjhBqtUkcUeDTfffLO98SRTtdtSv/tI0qImpMx1z/6vjaKrqlED&#10;fogePRF6zghx1FFHeRAhP2R0Z+/oPG1ps283V9tFcY5wuK1iWJCZx3usx2jMhuxnJCMEhTdKAEAu&#10;LtEoOinkjBkzoqXxUuHom2yyidJI96rIIKXm+e5akfmHkHjmgVW9VZQSdTqh+e2ll9ERiq/2yUTn&#10;Ahr53b5PXEh0iCJACqCFRms7TWYGx5gTHXhlD7oIhyCko9MkePKzeCVoPuJJpmr3hujaWCyZ6x4f&#10;a6PoojVKopBbV2BsUQOeoudVAwPvGTbIJZ0HjTDiqErCw/dZ2u6aZAnnWVg6yDLr4D0jgChmGhOm&#10;VL9YJXyyn109rOVcAgjZRZtvvrmSyUVXqwMM40iDnkawuFQ98MADmdy6+uqrLSUWoJdFFn7UjFeg&#10;Xqa5kaAHrNxWpymvcpJ5udKuL3nIo30oTFSCpi666HZJmeuh/d+bi06NpY92ocvnBbnQeS3+ofBh&#10;QGemCGVpu1Qx6nWvqok+YqeddtJcXcsM+HtCa0S2d3Q0dr1u7gxQhDX1JiAlcu24uKv7SBgF1t5a&#10;/3kmAzLPAsAatzGHubfnP5eFXzUXkAnqzfYzKXST5csouaqcZF69ta6vhIARc2pfe3DRRXd2CavQ&#10;gKqlM93eWhdsmh1MOuT/Skys0oVkabtMlEa7xzE5rN9Fz+mf6HqNJaiZXC8iTra3uwCmr3PnzjXl&#10;pMGuwKmPqPImyE52UbBobXvjueJkLddOWLx1ux40x7JocogwyXPulcbgfOihh9rLcImhdkdN6KJz&#10;y3/44YdD4oEoOoBUhXNHSzDuh4Okl9g4W/uEWyQQMOX1uvscF120c6xy0ZncJohM1Gi5ZBrUtrRq&#10;e4Iy1g5FVVVkaXsPG11RJ+vqcOFoJ/wee+xhdITubikPk3zP98iylh2Yw3QAR6XbEvURnnJqofuE&#10;E07wWg6UkhIcJJ59aDRjpSe8ShJfLTLX8i+RAALkJuTkqVDhWRXff//9bRGY3jZcGJeARs2NqIuO&#10;ol71qlcZVV/72tdk6tsbVBqITj75ZJEtXVIoQW2TE04yN290m5ObQGhrKsdXmMjYC7O0etqDiy5q&#10;p1S56GrprGqvJBMJry3EGk6Tw41k5DW9SPiPa5mSdZoFYmT9NENrlUFCfyPNQQ0URcOUw9UcdilZ&#10;H+keO0FL3vjGN3o8njlzJm8uvvhiGUg4fj1vEOsZlsuN5eJPOlqWMa0isDvwwAPNx8PUl45DZgIe&#10;NbdSpNymxOkDFQAd76hlBBDc4OZgw6JG8RAXRmnFe9QygARfv+KqWfsdopSotB1BxaiLraHlX6ZR&#10;n/70p0NnHj2gGZmoYjhvZ73TAo3gyK677qpaoJZWKJJkhx12ePWrX/2y5//h0osvMMBpmvDREQ4G&#10;Dr22fGbYfQwGZPnSl77kdp35B5+IiZRM2zFVQFgAqhyr2hKo90ce7DdeUnfeXlV7LYsln55EUUUm&#10;neFBL4x8IhhUt956a+MChifGqY1YqIm9FIVVchtqQY6M/V+a2kA8bS1IF6poXrkTotGvmr27UTqK&#10;TLadJ2FFFBXdIWQpowE/FuZdRXPVbjlLX7vtJ9yP4VaUGTAr5NkV425NCfeuEfpOGHxVUK0FxvMv&#10;mkAxs96eORLzxqtLe+BoQlXwfxTSMMRYQXXRsGVX6kIw3Xjkqq1vpEHD3a1sbplVtSeCz8kuh180&#10;IDpNZ6K9id17UXlLSFfmPqsqpa635J944omE2oj3mktYxAJZotGvhG1ZafJ58FvTb7o9RjNYIp3H&#10;qIajDB1VwRVkj3oTGGfI5XUfCDGaDFMTx2xBXu28iEEPIYbB7t4BaOYNxCdCRKt6H+xzBrTdd9/d&#10;9YMuv/zyNI2hGx67w3K0kCqXisXM4tsLXXQE1VApozoVWZkYbooX8OYy4A9ufHW7Y5pvkFaFEpGg&#10;1gNyxBFHwCZ3f5jCUSAJMhj3qEIJbHkfOWEwN/2s2o5aVXsVi2XpRNdf03QagNEaaQLUQjNYuarE&#10;n+DJe08akS6GTBqlxKS0ZfmEFqQHY/uaZcnnFNQmjc3BKIFeMDP+rE11o5bXzqUbBaqGeC7dKDR/&#10;wtNQP7Z3AEGOb6wDMkoVBYGJjcDwtd0NNprYWJfWFQSGi8DwtT0/fG24SJXaCwLjjsDwtT0/fG3c&#10;sS70FwSGi8Dwtd1WVnE/1jpvh4tUqb0gMO4IjIRPftxBbEl/8cm3BLBkz0Rg+GN7JqElWUGgINAS&#10;gaLtLQEs2QsCY4NA0faxYVUhtCDQEoGi7S0BLNkLAmODQNH2sWFVIbQg0BKBou0tASzZCwJjg0DR&#10;9rFhVSG0INASgaLtLQEs2QsCY4NA0faxYVUhtCDQEoGi7S0BLNkLAmODQNH2sWFVIbQg0BKBou0t&#10;ASzZCwJjg0DR9rFhVSG0INASgaLtLQEs2QsCY4NA0faxYVUhtCDQEoGi7S0BLNkLAmODQNH2sWFV&#10;IbQg0BKBou0pALkRiSNxw+u7uPqKe4J48m9BtGq4Y4tc/boftiXvB5Gd6ygMGe8yvx7qAnYrKrwU&#10;rYfSShYQGCdth/1c02US4D3cUogGhhdFt+Exqs69KNwMxx11nsJfeumlVjJ3sORXQSF2t0m+tnPl&#10;49v+8nBtm3c9Y7rqM888U3n33nvvfDrbpOQOScuui+J6Lk0XgWZeet1zRZMn4zhpO7d8Vt2qi2Rw&#10;qyE3PWZeo5nD4EsuuUTVebJbe5V3tHxdA5p/MfaFF16oorj+8YYbbsihnDSo+jnnnKPEuvMoM3vP&#10;yTLvbM8pXzcL69LrnFwlTQKBcdJ23d/M7VlcDKZHN5OhnDvttFO/+D116lQriorc+6oY860XsOvo&#10;8x9dd6eSa/Pa1eu6p+3ee++tzUICTABTdZkea6yxRk7Glmlq7zBvVH4fOw6vXjhoRmLLa9UaNWcU&#10;Eo+Ttsu041o8LsrTY1fqGZqYyk3n0lVs2GabbeyuTO9SPtNAHt1qnslI9VZrrrlmThZdvY6umsK7&#10;V2UmStBElxsdLZldET3oJ/PO9hwy+ttxeDUCo/XX6623Xg4xEybN2Gi7TPTolc9ddtJc0m7snzZt&#10;WiM5sN6Kk/Nf97rX5WTkonLpqgbn2qk7F7Zbf8TURgZ8vjWRQ1hVGu5yt0/uVeq9FdjHjiMkoAcj&#10;q7dWjFqusdH2gbK/EVeuv/56S9/ougv1Vu6dzel6pdjoqgbnRYsWJXJxfzPeShJgC2y33XYyQ7iq&#10;uVEbe0vcx5l2HzuOsC1Njaze0BjBXGOj7eqPo+OGdImRk5vbXaC1WhZdE5Kf37MOElO7tIuOjB/+&#10;8IdtpY2HxQKrtwcXnaurMgcoPyFGn/vc52w833///ZdccklN+/kdzYXP/7DDDtt2223Ne4/dBPG1&#10;UyFaRLusgbSULEZVeqaNcQ4vlNHAqVpJSXQc1DV79mxuATcCmIHDu5wFP+i0LJoSct26FnfCdT6v&#10;ojTBI6jbEZJsajr6j1xiN910U0gtfjtrGx4172s6oyb8Xsaq97aExkOxIRnK5QENeZ/61Kfs5ZVX&#10;Xull/P0zzy5c9Fj4b5mVp/FvnRlb8WnBrQvtz61nzoom5uUFl3/LTeP96eXiKyVbev1b7GX/1ylA&#10;bVQkHnnkkehMik4WvlgDSRBFhjRRlSA9xXpZ0ENL7L0H4apy+JQW46qMVpGbHXrEr5BmaLvzzjtH&#10;X2VCCsdmbFd/7A3dMIN+/fTTTzc5mzVrlsceDcVhRlJWTeGq3idcdJDBkrj6AroPJMakFvKOPvpo&#10;+9SDi45cyy23nDnYE466efPmkYBkBxxwAD807Q99UQzp++23H0t6JMPm33333Znk878Mfqi96qqr&#10;PCQZnBmNbQBHc2gdbXzPe97Dnzi9CEyw9Iy6XkaGTZAhjeWiX+BBuwwcCpw7d66bpcpFhyEWlvOF&#10;L3zBOvTaiRXrl9QrNaYLNkrskXFnzRS/aKCt/lhLeejx99prr7AXGIM3Y9FF0ZUalMiHyyEkRkN3&#10;dIigk7aM0QGHtis7LHShqHoP161AbyTRyBZ+UhZTkhDw6Ng+7/NftiF39rxTbVhmVLc3X7/u9nB4&#10;J5mXftb+c+3N/AuvdtOTXYO5CrcETz79jGQ6RKwKarjjDvion9tG2Tuk8UCWoQQybhaBiUK670Vb&#10;aN/lD7YJI8vqchHwipUcQnBoo42+KvmW0mhSXGUhqzdFEENrkLZUyY2aaSWESlj1XhLvyYHeh1MJ&#10;6pLCR+3/qLZLVzG5TRU/NudY09KTz77E03bs/FWmzpDZb1833HKmpeerm14GvKfqpu21GghWIdS8&#10;kZ3sqqLe89VTdWOBOOgKnuDyOg71+G2ktKoftzIladFmkiAxZ2xDVTd5x8OSl11dZSxh50cD6dKu&#10;3So/ecJ/HnXR4dayiQamh7c4bwSvtNJK9iM/ii50pyccdXLOHXrooYLISsCwZxagl9jwZsAzodh1&#10;111DPN3VQdddd+SRR1pigh3cWCN7yRu8ZfbbnTHNnz/fVrYPOeSQcN3Rlg94NJzan2nfPr1GmxDp&#10;9DronDlzjIZzzz03bCbvNdnR0kyI4ci+GQ9t15KJN6IydGj6h1Rtsskmnhyk5abKT171viqK7vzz&#10;zzcGf+ITn4hyuocF3tCdvvLKK1vhXkTdd77zHeuD6ErWWWcdS6PIHG82q1DcPffcs1YoFYpHw6Uk&#10;0dCGqpn2McccQy2Mk64/hU7EvPo4C4wGnAguMVW+fbnuyFu7cBBtXXodFFeFmTZMOoitSuOz9NJL&#10;1wI4agnGQ9vlovOW3+h9Eb7bbrvNzEgUfsGCBTlyY2n65aLT8s/mm28eZfC1115r73tz0Vle7aVR&#10;Z8RLFthPOukkfqCZ7taXqIvuoYce0oA/ffr0WlkU2kK1KooJFlhprosO5bGBnf+nTJmitS78eTjb&#10;ZA1h+bvmQCKK7uSTT7Za6A4opAedT6+DXnHFFVZ+jhNuHOPwxkDb01F08MZ03vj0wAMPSIhroy+r&#10;lLAq+iIaRccgYzLNyBMNkoMM+bF7iKJzddI6C1bU0Vt7z1htlvluu+3mWuyKzHFrFDgJ97XW8931&#10;Ku35Y00+2kfcfPPN9t7tjgVXmIXCsd6xy6DTWytJhFEx3tI1aISnv0DnWUWPkhR9mTayCMG2XIl9&#10;OOpGx3Fn3hhoe04UXTRWLJ0Rsa5SwqqpXTSK7sEHHzQRiS5E814DY29RdKG2q1PT7pdwEq5pv1wG&#10;5JImJ8YlOSa22GILVa2+o6qb0ATB1RPBhbPNXUnBI/Xoo49iEEUthbSrha4BYjR9g0JWNwm2yVT4&#10;dBRdzj4cjRA5xlEmVZ0lGwNtT0fRGVJRl0labo4//njL6ylhUxedBswqFZLjp42LzkiVMW96ixbZ&#10;e2/ey5uoiy5HqrRBXTtqyCVHfTSQEb1VgmhQAxMc3utJk5ETfks3gc5rLY218Uy/XdOtCh6pOqEA&#10;+6L9XoAcdvQ3zRhou/rjKvsKTmti7+5CTcgN5rcF5PB4Sljroqsaw6OMwe0sTcjfmlIV8SoThqax&#10;+8XGYdRSzjmjocpFVys6BOHbKI2lXeWD8AoBfHVnVchkzl+sZA2wtdEyRx11lKx615dR1cwetip4&#10;RWkRobPTQWpZ1ijBGGh7IorOmqpILFTd7XEff/zxKBYI6Pbbb69PnhLWRtGFsWJWlDoXlYx4ye3M&#10;yzYuOitT2o5wm+ThnAtdSokoOivn4YcfjiKjNQUWzKLrT+FhIR/5yEfUnVUhk+8/l6sFNfbOFEiL&#10;ddSm8LLkH+kR3YygEcJbYmikb8NNPOrannbRIRw4aTRKu1FrLqwy6XkJz97ylrdYFKel8ZSw1kXn&#10;mXAzZsywcpjRuVKCNrIiyHurqLeNrp5wsLnFNrojuCa7++yzT7jjJeqiI7HmLKy6y89nVeDbZ9He&#10;JkQM0V7UgCwmjg8SSTQWrzi2gJD0kNH+/1NOOSVTyjVEu2YCMsCfYSSvZhDecn1VXQsXLkyToXII&#10;E/BSIjYaIaqW4jPbOMxk3QTx9FyLYpvo7N3zaixu2fUbh5siXOW3427c2E8LiqqKouOTR3Nid43I&#10;EJESVuaW9jUaRWdVeLF0YRSdGwk38wP7K+6VaLnoDpmqKDo3/JbYO4JzCdTjHz8swI5dMdEAZDkI&#10;aIghyf/qxTR/9gJa3bA8mg+D5Ksz9lkcdDSKzg1JFB/JQrwqWfhfMW2QkRk260Y3Wyso0OWLmyBa&#10;F82v3XvTs6h3kHHUI2erhmu3gwyFxoBD2qLbnmAkYTmmvZ4SKhA6VE4VFXIF4Yt22CiJAvWjEbVR&#10;bZeu3nr3okQ8PMqpoFovmXUH6HOYnShale9tgOPP9+z2D9EAZOiMzskt9F3aHiKTDnkOo1OjkfBV&#10;G++ss85UdaNN83zxy9vt5/ZrHk+paxxj412mjLolnzB74Bw9dHTN1nLhHMLlIxPA1njpv7EAmROa&#10;i2vHHXeMVlH1PnoWna0DS1IhDBlCDTCztT4ng7/WkFNka3RTurwMeAQ855yVLDN+s802C+tiTZ7F&#10;iIMOOshdiWAug6vv7LPP5uzK6HSdcq655ho6LGmLrZazQA3INoZHkcF5zlfY5HYWFEJiSoM70erg&#10;lOuiIw0Vaa+bKTkl8OYnP/lJI984sy1PHmy/oB5YBishWC21umgsddUG2NUyd7gJnofqD5eCUvsf&#10;/vin+3/13CR86M+Kyy6+xEtfNHQyCgEDQmCMx/YBIVKKLQhMVASKtk9UzpZ2FQR8BIq2F5koCEwW&#10;BIq2TxZOl3YWBIq2FxkoCEwWBIq2TxZOl3YWBIq2FxkoCEwWBIq2TxZOl3YWBIq2FxkoCEwWBIq2&#10;TxZOl3YWBIq2FxkoCEwWBIq2TxZOl3YWBIq2FxkoCEwWBIq2TxZOj0U7OSKGJ/NIyWiL2pcwFkD1&#10;RuTwd7yy25xzTtl4rFPZOdt4u+22G/e9xPn86GbHK/veudQ9ejYbe93Z9/7Od75z283eOsQdrxwU&#10;bTersgU95z72EOH2JeRzbRxTDlPbOW9sp512cs8zchHsmeVjx4ZutJ2TKs4555w0OK9f/hVfPO3k&#10;RudD9BFtLpOx0jgLhPNkeyi5fQk9VDpGWYam7ag6hzTaeM7xIBxyYgeqXnzxxbrUgTsGxgjKnknN&#10;13aufLPzITl8xj02N6dqsuhE6le/+tXKct9993EyjI35v/2vRYu/+AXccz4UhefIWljPoTEYeo0O&#10;pVZb2peQg+T4phmatnMRgo3qnAp0xBFHeMcJ07tzZyjXiY4vsvmU52s7x8La7Q6c4ho9pipRqS51&#10;uvHGG8NknEJL4Q/df88zTz9J58upTFVHVuW3q6QcNQSG46XT2cB05J6qAxD9Ogkmiao3EojwmufM&#10;7DqsrupMew6xs9sjeTC4wiOWMysqyUYZgeFou4YXJudlDMmXj6o7ZGpL4BIYS5O4wQJr6+Mf/7gl&#10;++IXv1hbZkkwdggMR9t1y0L+RZlM7O1K4Og9HtgC9lV39xgnSMyMgPfm42Vp59hjj2V2Z4n5Ed5J&#10;YBktje4PtfvGLRdaQSFpTrMORF5SWhZogP4qP/PPf/7zbbfdFkubaTnF8j8XD/EnL+1meO4/5k+Z&#10;4hxKa3/ao3ugEiQJNN0kF02su9+YZEWXwXgJwoKCpvGbN4k1Mw9zCACZkIm40w2r8DoaEvNVXKsC&#10;M1GCNbYRUyQ5JiH5khNWZE3OvzBngJ1IB2fWh1XoMGZ+ZBIgCKLpdZeAdxuBTnq3Kweix8uHJ727&#10;h8BzXHn0KPWq2yDQk+hZy0Y/n8ID2885/6t2tPvXr7tdV0fYG/7kZXjwu/uGI+Kjd0i4L7eeOcuy&#10;VB1Bb4mffPoZ4ewhCeycshwFkCzROyfSWbxrGHSis8ffRKWZJdjNAk2Z4kpOFQ3R4+V1un6otJCR&#10;Ke0DSjac2yPcSwVyLt9IXOpguEghPV3S5RPunTPwwz0aHa54bNCdIZxYrhtRvNtmyBVSDp3SB35Y&#10;Fh63v/CuK4D4Q2bPNVX82JxjpeSz553KNQ+mnHajizRWd7zwkr6gVtVJoN4hnTih7UKSdtEEu/XF&#10;vVmZxoaKKokHAYNCHb17S4+6V5K5hYjvbqU6WN69N6KqBErrjSk5kkMP5TVZl0/wSfdYm7CFtxIN&#10;SKUTxQ5H2727R5CAdLenjjZUFWubSVWIvvXoAG1KCAOEBfKh8cR9TwJx2hIgx24nUmWYuAXadTQu&#10;7u4lJN6nLbfZzq52sf+rht/0HTIJNZZ1UHWTlPJWabv6Srscxm2XGy7hvndvWfK6RT7BDlexldjr&#10;MqJXx1gt3hUxVSX0zpS/SI6JlmsAVjUZqjQ2hBZcozttBtQRDE3babx7TQ8wJe5OcjvaEAhxOpwX&#10;uJZn4qI4r2r3FsFwyFJ1njGv2USVka/2ekbyCxZ7icbehKVtabiwLWcwd9OcfPYlMhnyx3a3W5QQ&#10;Rzvl6CRLjY3abnDflX7x1+t2qzrxUAaqSuiZKWnJic47qnqcAaluD8UOx0sHF4nfuO2226RXrPoc&#10;fPDB+DNCJw2J7e5Rnuid3rq7c7311nMnSzhaLHqHB6MAP1k4lbI3Kt/+1BXijD+JhUBdNU0W6rKr&#10;ZpGSqizykLl3zrrtrbrsiWLliltjjTWqWlH1PtNFR3ZzE1orVBqrcQYj1zyHQS9yi7pdpFZY6fii&#10;sMN9N4BHl2GvvfbaYSuqXIZuymgJPTPFlRz6i7AJ6bgvopWa8qib9EPTdprH2htiQY+onhK+EmAX&#10;KrwFgfFEY7yU3rtrTavTyK533ZcHru4e5r2uEOf3iSeemGCDOxvXAjXCURsH5q5E6A5jbmJnd0BV&#10;dbqSffXVV28qGffee69l0fXvVSUopXtL3DHHHGP6P2vWLGXEw2zrFLqgfr/99tPXE044wX5/9KMf&#10;zaFW3at3DbsEg4rSPu1oCT0zxZUc4kG8JiAh2tPhfmKvgf0JMXQQ0cWjHDQGl2aY2m6tgsHEfsgS&#10;s0HebbA62iq3qrpSb+S/5557rBwGpfSqflT9qM4TPo8NbplcY25f3/3ud9dyyx3B7r77bku/2267&#10;Ra95tK8Kj9Gtj7W1KIH6ytrwO2mULr1k/ckkm/+nTJlii2Q8G2+8MeuCZt3YHbvCCmVQ7HPO1iZ1&#10;r+Hax8knn2ytoEBqrNL5qhJ6Zookh747lJzoJfMQSS8vhzxVA0t0rTGfcX1POXxttyYR/i0/FjLk&#10;Du/qaN0RWEBItgDXY4zs86puQglcFZKZXXXNqxKIHtccSESYS2MZxkX/HXfcYb/d4TRk8+Ci6FTX&#10;Qw89dOmll9qfm2++uf2Q3Ick2Z254R27TNByWqQCpTysqHu12OW5GuERDHReQRDpEtowRYIR7bsl&#10;AN7MEXrYzKN1HP5kcgfxve3n67uqU+CoaDukcJmupovuxkwJ3LRp00IIFixYYC/DkcHGNMqs0kAN&#10;em95y1tUsmaA06dPjyKuBBtuuKElkLwmFnWxUMyX69FjwyP6n457aR9FJzuzSowklLRCkxHJvdaT&#10;bO0NFxFzV7KEc1rxa9NNN80RWSlPlE1m+rlLfagQgTRuydES2jAlPXOUAERv6UaM2WWArSphxgiq&#10;CuLKwaePaUZI22mV66VXI9Muujlz5ljKKhdd1ZgpG5VuwjUKNAOMCh8jhuxDt4+oZYl6JVc9ZMJE&#10;vY8qsy8uuvSEH42y/TY8gtRtFKM9iqentr35CdIuOisH0KBQdjLb4N3ovZwSovREmVI7c5SEVHEN&#10;ccJWRefV+3/mM5/JB2RwKUdI22WT21inNic6WiJYtfhZ5aKrGmE0JzzwwANVl8y/qlHadfw0ivA/&#10;7rjjrJZdd91V1Wn8CW1Cl+V9cdElJvxPPvnk3LlzrUaM86i3otb12LOMVrnowgKxkzUeCDqS5Zfg&#10;lRllSu3M0UQunDl6hSMeWp0RhT2j1JeMI6Tt7Li0JoGjO65qFc1rMC4l159X5aJTx+9mxwSVh8kd&#10;bCVDjCRh7DdDsTmoedguHjJAM3Pvk3olz/MnF11al5566qmema2+ssohD820hdh7qnjjG9946qmn&#10;RuvqIcxbnZRbIKi6Zm2Vg63Woe06BU39ogHOvG/KlPTMMeqioxXp07USU7yeOdtDxk61HTdM1K1q&#10;Ww7slCKeL33pS7UCxzKvHedgs6OEiw7D2/Pr2O4Iq0IjvP2pGSACBKkuC5G/vfbay7oeTEpXP5E8&#10;I4Nc4QwNUq1XCpfi5aJbaaWVEszjwIkeWOsK+vLLLx86/BnS2XXD8VU2mmFPsenVM1jkiWRHfSYN&#10;agsTbG8xFeRB1cU86qIjF6obIqllfHdtv8rJ1zNT0jPHqIvukksuoV3hyvHxxx9voFV5fDMh7Vey&#10;7k6zQFtkhvGDw+dstGEEgIsawPHHeI4fcLRx2CLPWS1jP6ZOwmD5DTMpPNaKnVKuUUCNpCEvQ70m&#10;3pTmRcJQtb5ajXaojkskgnjNNdd4WkFvJUODvmDrrbcm+4MPPkjPJeLDM2FYyiIZsXR3/eRXCY6i&#10;k7ZggUKyTW3xxRf/5je/+Y53vMOdFESzc0bF4Ycfzie0/V3vepfS/O53v2NpXcM+79kJi2iu/frX&#10;eOfSuVxjgNpjjz1WWGEF9YyACfi00TX+6SJXW201gQ/I3qlELuzCDbeWHcvDo5ew7P3vfz/9FB3T&#10;FVdcofglF8loCV451kE3YgpZFJHtYisJcRcdJaLRWqIC0y8FblZOD/F3vWVBP6NOOJHL1+imIgXJ&#10;ew2zcFd76YW+ajKPgCp20sseDbl34z2jOEY3sRkg7oDj5YXfYZj0/7/VZ5vt0gGt7HILt8HNv/Dq&#10;2hBabbNJ7KIjFJfQWu2BC5nrbmEKMaFDDGPCq1hGdg/AaCQ8BVaZ5VTnIZmIpW/FlC23jMq5JMRt&#10;tbvxJmR9iE9vGtQ+V9dx8ogO6ufy0kbd9E44+lHNfEhPCRawLYXxJEDSZr0Af7pbr8gebuckmfZR&#10;WaA7ZZJS6yi1RJKFVpBMWaxp0S7MJf6U08+o1Vt3Dxz6iRrXZiFBlbaz94YddXz1ugx2xURFCrRD&#10;roES8FZtZ7IsrjUXhd34QrJQJbTXjQRASnW8CZMlSrC29MYUL2JfsBhzvb16JjyMHxLsHKlur71N&#10;S+jOkm9mcrRLrZOG0bSccC6rjYkiB0iY1dfbmae9UZ1/Ll1v5efnWnHZxYd4wnQ+nSVlbwh06qXr&#10;jcQecsn7lTiYKSw27YztgYySpSAwUghMTG2XY6zRKnHaGTtSbCvEFAR6QGACarsWQtKR5yFY6XjJ&#10;HsAtWQoCI4XABNR2LcBmxmkbP2rjJUeKbYWYgkAPCExAbX/iiScMiOimhSqMtA+nUR/RA+IlS0Fg&#10;WAhMTJ/8sNDsrd7ik+8Nt5KrKQITcGxvCkFJXxCYJAgUbZ8kjC7NLAiM0mkWhRsFgYLAQBEoY/tA&#10;4S2FFwRGCIGi7SPEjEJKQWCgCBRtHyi8pfCCwAghULR9hJhRSCkIDBSBou0DhbcUXhAYIQSKto8Q&#10;MwopBYGBIlC0faDwlsILAiOEQNH2EWJGIaUgMFAEirYPFN5SeEFghBAo2j5CzCikFAQGikDR9oHC&#10;WwovCIwQAkXbR4gZhZSCwEARKNo+UHhL4QWBEUKgaPsIMaOQUhAYKAJF23uHl+Muudis9n5CrwKu&#10;weJCKB7dl947BRM9J9iCcHi/Wn67uaaKEnq4sjK/ijFKOTRt56oGrl5cddVVTfS5to3LtFCA9F2Z&#10;o4Ms9HMj6sYbb1x1h1EVqbomXReqDatR3BL3tr9+pkyZIl5wA0fTjqy/DaF2sAVhcO5Z4REqSuDh&#10;7s3+kjeOpQ1B29ETlJxbWbjETxe2cUkgh8DvsssuXBg4Fj2xLipNX24XykTPl433Xbzc+y3dwo0X&#10;XLlL07jkcFj9Lxen6urI3npGBElor7jiin0HcOwK7PoUSt3ZBFJcqcVNr+uttx6/3UtUef/oo4+O&#10;OJTWEEg999xz8y+fQnMYP2kaoxa301obh3UKJeO6EbDvvvvaj5c9/w8v/H/PcouGXb9hz7CuKNVF&#10;Xe71r42kwqwDugzukONa3kZ5J2TiTrUd090u5eXhrrUDDjjAvRcZTZg7d64liF6mOwEYwGiDVUlD&#10;3FuNh6Ltd91113777Qcl3LGha8Z1Dxy8mD9/vu6oLtoyAWSPJnRnyXPPtlSdaze5VtG7Ap0/uU2d&#10;uzWr7mCeAIjfcsst1op11113uM3BmDIC1lhjjZASeMFt6nZpPA9D/VhMr4YL6ejX3pG242XRQIGq&#10;MxusgmafffZB50cfuN4o/P73v28Z11577d5K6Feun/70p1ZU4qo8eCEf5Pnnn9+vqks5w0KgI22X&#10;qnPbdkLVq1DAsMSnin/VHPg8b37zmxNOYz5ZGiuQcYlKcfubw5kJRZXnKayISqnaS8+U0sio8vSy&#10;uCBqcUlSo/m3a110+MkPO+wwXJjmLN97773PPPPMhx56KESG95aAT08++eTnPvc5y8WbaHqvhB//&#10;+Mf2ZuWVV04I31577WVf5WXwEtMu0AZqra0AdXpxkSzucgx5sfs8hElj/IpKC+WLoQlhMKoop6qB&#10;XjnGqSorRkw3Ur1WQE9i4SCT4IH3Ak0vfO8h/U033aRm4IRvWgL2JM6wKBC8x1IIC7QRidnmI488&#10;wv9hXhKEue68884qBzuTCze95ho0zSuHGqNrcpAqHLzaf//MswsXPfb1625fZ8ZWy6w8Lfy3ytQZ&#10;fCWN+88Sz/zA/nwigZtrwa0LvcThn0rvfnry6We85ri8CxHD+VIloB5iyluVBXzAX8lgq5WMi86t&#10;t4qhpIR3bkot9yAAIeW0K7GYApGJxvIp2gqaEIp3PsFN9aKH9M/5wwb9MJ4b56okIEGAO4dHSeA9&#10;Dy+l/1GIrTpYIsWDBsso6fS6Cbgi9pPsyiuvRCBIY1nocVwiVSy5PFnUJwiDACpV81W1hwPaPv/C&#10;q6Wxs/afy58XXP4t/t965ixTS3TbVctb715k70lsGUkwe96p/In+16o6hVt2yu9Z29WNghv4ABcP&#10;7RVrwo7Yxd84wuPyKOwUYISLsMCkdsqnRhKAM5XyyU3Je4mBJ2DqSqyPMDbxv6v/Xr2UYO3lf7XC&#10;BNJqr5LwfIIHrYbPeb4HXQf6ICl3O++ceuUlAk0PfVc5vZ5Yw5HxAJa49YpV3qChurz30EmH7Wm1&#10;tcgbTCQQVqmbBQLcAd/rO757x7+bxvI/ehgdw/nqfpK6WkaUHP2vVXIlmPf5L5u2f2zOsb1pu2Dk&#10;hweOdMkbVAHWcPOGcXAz8F0+qitxR0tgtBLC4RoavHFV1XmdjgqhnJDXUs7Q+hPx1gRXIKua3Ijg&#10;HI1omWbg8/YFCxYIpkaOaOZFWge+7LLLvDVtnMZHHnmklXzHHXeoQ+HHwoUL7U8WWm2t2K1Xi8xu&#10;Fn5feuml9mbnnXf2PuHHcpcPNK/zLHbe2zI1okClbhYI4I1GAM9Fx7qj3TDLj3XWWcerffnll/fe&#10;8Oc999xjL8nIEhprmUsuuWSYrOpNjovOy+tOiGipLa+AAC5Vb20lGgkDN813Awg33HCDJwm4A1Ee&#10;WqFKhaTrRFQUwB577OGRBw2eu5GoAUuz1lpruYl32mkn+zO6jE8MhX2Vh8X+1JwcobImuAIJC6JQ&#10;NyI4n309pxy4tt99991GHIE0jajUIjBd/kYbbRTmlVS5oSAuY+DKWWed5cmi7nuuIkbuq6oE6k0s&#10;LkiPep9QAUgDGXIXuc1Bc/7t3/6NBEjM9OnTvUpRy+9+97u8XGKJJdyO4L777rOUvP/0pz/dCFgS&#10;Z7roSKklw6WXXjps6YknnhhWfcopp9jLHXfcUV/FzUMOOSTa6aM84pRUq0qLJFSJhhtuPG51eMts&#10;Pk8/xRJjmN3tMlx33Y9+9CMlhr9eE3QdeBU9OQQ3ZWIP6Qeu7Rp4Pd1I04rbU4vzbpcfzeX58OQ9&#10;jgrWAw88YIWstNJKbmli8/ve9760S1my6N4Pz9il4SjqRqZFkjO3XunG+9//fr1Hyb/zne/gZt9z&#10;zz3t5W677ebmuvfee/W+0ahuuaTteKHTjNCSodhH862ljPbqtmzzCSsUFGgBuTBFVpLLzVmzZtWK&#10;qVRr0003dROLZYzAoRvfTQk7LOrW89GecMIJluzwww+vJYOeVGmkrhQY8veXv/ylpfTsi3yCa4np&#10;T4KWM4Ha7PJ8RJ3nVdk1EfJcL256zc+9WZxw8eaTllfs95wIqKLba0B2FcFRF52m/VWeSDmN3ATm&#10;1HjBYi+JuuLtJTNzptlRFx2fGk3XrZAqFx2fQp+8MBFcCT+8kAdkdxattie46XJWVYSuMnf2BG1Y&#10;41EuR1108tKTMSG3aoWbRmITkkQy+Qg8jwyfMgmu1aO+JBj42C6IG21sUFeasAgefPBBY4xrZMr6&#10;QrA8G94Sy+z3jDF6ZaZqrnOILTos2IYr8zajoztwy9e0v8ovcPPNNxsBbr2ufRh23tixBx10EJ3O&#10;9ttv735VGBzk9TCwp6Po3IqwcWyEpLEi2/OSuOlJRl9GL4yTwh3l1PZM+05VrLnmmh4slKy+ANrw&#10;BbCNKlzoll9j2rRpKkEWTdUEgZTa9ucZjDLconsi5CMIg6YyCe7P0F1XysC1XQRIOetIeu67+O1a&#10;y17GG2+80d5ssskm+lQ1qbYEEovoIjwCCm8QVn1FsQmSceutctHJ7+X5hJRXG85cgdCseIcddsCk&#10;13PFFVfQOua66HmozxLlTOXxcBOpr3rVq9K8mDNnjiWwGB571F3akps9NvJTMnPa0MmSw02XkqiL&#10;zhLQwxJzzRCiRQF0HgHwNudGXXTCzZsguFVrtu+6mWr9CMoVtj2T4DQj+vV14NouzdGEuV+ka3a9&#10;+eabq8zopFpfNZauv/76VWTAMHRepiAKTxBVbW8iEybqgpJziHKiHkdy4YTTkx6x5aJbZZVVegBT&#10;Q1w6O5NwaxSjXDjZZhinIXoarbakaa5VLbLTL9OtKBoKhWcPT1RpmxKm0wfof0OxiXYT8hEkTjqo&#10;JbgHPvaQZeDaLovu4osv7oG+qiwyMulNXKNRLrroGKsJgmvgRavAYNPooTGBlOneJFoUcwENklUC&#10;seyyy+aDIxdduFyXU4i0PZGdZmr5c968eeGcqNa9l0NJNE2Viy5MjCZHV2GrXHS1JJFRLkZ3CJHY&#10;TJ06NSxEeCpSu6qiKoJrCetXgoFr+3bbbWe0eoNkZgOi9j/6QzyzlSBFUi388CbVqksmpdsX1J7Q&#10;4s4m0r2J2x2o0o985CMa+asEwu1Q0sgQEm8e4HBOmwMpG10tWSI7towmR3R5LIaHJXurnjlVkybK&#10;TTuOSiVEVauWR+6oK/WrsuDkufDIllCxmuN2cAk/AiWId64d0YjgTPTaJxu4tjNIakBjccu1ikU9&#10;zAZod4aspVotmSgxOJLSvEfeUnzVpFp5oy46yGM5x4OSwc1mCtixru0dddGRTBOWiy66yCOV4UIu&#10;H8+w1Fhx+eWXo8Y57JSk9qbt6eyLFi2CEeyuMXhB5ogjjvCoEjfzz36S8UXX7Hk9AZkC5b+grqhq&#10;wejwFB2Kkni4jpioi87lEZV62mjjh4lHuBSf8COQPuqia0RwDt/7kqaL0yzQHMYKnToEmrhAllpq&#10;KRrAci76Y0Ofe8AD6ONrlcwdeOCB5tK/+uqrWYe39256wwKltYCtaJgUZHDCmXFdJ5noeAmoitbi&#10;7s9V4vB0B0Rfpi+EMSXWaTyoOm8sSAuHljdvxyT+xX/8cunXrEbMHKsAmkuTHacXw9Q73vGOXXfd&#10;Vcxm56mt9lGd+z5TGljDt6kpfmnXyffwww9T1+03feOZp/+v0wnhtSpQFei036TBdjMvA70Vaobo&#10;47Lyjh4SbiQzNOA+YU70g8Z6F2R2rVnhz8V1/+Wxl+RlWmFuTtyxxx13XCg5fGIwMP0M0danqqIs&#10;+NILnbQDSKqO9CBoygSyZ4IzedeHZH1Zx6stJLG9zNpg+9W85XRvFcRtbRjhTF4FOYdb0/iqNXwv&#10;rj5xeIa35J6IpfdWVkUq0oNEatEoBApklvmbVyfW273IeTa9WOIwoj4nTn7DLWcm6lrsZc/pLbyI&#10;Aiji08eNRPecJVbpXXZUBZa7+1g8oQ8DHCQ2IdrwIuFLQ37C1fs00zVH8+LqGxFcqz79SjBwS954&#10;gwV72223AQGi4G5f40/0Fh57HSpZGAMZ9t19bCaIpAfiaNij1cWkPeqiU8zshhtu6EoM3l088HBa&#10;hFEL9VJLNCqOZNF1QZoAbYomokDayzwfO9ZkIrrsBzLMpRmo3UVgorj4c/fdd2dNLupLwxDozSFf&#10;NT5QIDV+5jOfMV5EFw6UF8ToDmigu2kMcecNunHeeeeFtbBsZlkEMukNZD6F6d2oW77CCAhDsVUj&#10;2W1tv+rsk3DrIeXYIitEurywoigfsyUao0HGKqYrZtYLDO+B4D4M3XVFdGHJ19Ew2b8P5Vy6KOg6&#10;l26ys2SCtr+jsX2ColeaVRAYJwSKto8TtwqtBYE2CBRtb4NeyVsQGCcEiraPE7cKrQWBNggUbW+D&#10;XslbEBgnBIq2jxO3Cq0FgTYIFG1vg17JWxAYJwSKto8TtwqtBYE2CBRtb4NeyVsQGCcEiraPE7cK&#10;rQWBNggUbW+DXslbEBgnBIq2jxO3Cq0FgTYIFG1vg17JWxAYJwSKto8TtwqtBYE2CBRtb4NeyVsQ&#10;GCcEiraPE7cKrQWBNggUbW+DXslbEBgnBIq2jxO3Cq0FgTYIFG1vg17JWxAYJwSKto8TtwqtBYE2&#10;CBRtb4NeyVsQGCcEiraPE7cKrQWBNggUbW+DXslbEBgnBIq2jxO3Cq0FgTYIFG1vg17JWxAYJwSK&#10;to8TtwqtBYE2CBRtb4NeyVsQGCcEiraPE7cKrQWBNggUbW+DXslbEBgnBIq2jxO3Cq0FgTYIFG1v&#10;g17JWxAYJwTK/e3jxK1Ca0GgDQJlbG+DXslbEBgnBIq2jxO3Cq0FgTYIFG1vg17JWxAYJwSKto8T&#10;twqtBYE2CPx/bCV6ypPD4VAAAAAASUVORK5CYIJQSwECLQAUAAYACAAAACEAsYJntgoBAAATAgAA&#10;EwAAAAAAAAAAAAAAAAAAAAAAW0NvbnRlbnRfVHlwZXNdLnhtbFBLAQItABQABgAIAAAAIQA4/SH/&#10;1gAAAJQBAAALAAAAAAAAAAAAAAAAADsBAABfcmVscy8ucmVsc1BLAQItABQABgAIAAAAIQBHi4BH&#10;fwMAAC0MAAAOAAAAAAAAAAAAAAAAADoCAABkcnMvZTJvRG9jLnhtbFBLAQItABQABgAIAAAAIQAu&#10;bPAAxQAAAKUBAAAZAAAAAAAAAAAAAAAAAOUFAABkcnMvX3JlbHMvZTJvRG9jLnhtbC5yZWxzUEsB&#10;Ai0AFAAGAAgAAAAhAE3+1VvdAAAABwEAAA8AAAAAAAAAAAAAAAAA4QYAAGRycy9kb3ducmV2Lnht&#10;bFBLAQItAAoAAAAAAAAAIQBlX8BYTlAAAE5QAAAUAAAAAAAAAAAAAAAAAOsHAABkcnMvbWVkaWEv&#10;aW1hZ2UxLnBuZ1BLAQItAAoAAAAAAAAAIQB19vlKrXMAAK1zAAAUAAAAAAAAAAAAAAAAAGtYAABk&#10;cnMvbWVkaWEvaW1hZ2UyLnBuZ1BLBQYAAAAABwAHAL4BAAB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330;top:3720;width:2370;height:3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2e1PDAAAA2gAAAA8AAABkcnMvZG93bnJldi54bWxEj0FrwkAUhO+F/oflFbwU3WhESnQVqRV6&#10;8GLsD3hmn9k02bchu43x33cFweMwM98wq81gG9FT5yvHCqaTBARx4XTFpYKf0378AcIHZI2NY1Jw&#10;Iw+b9evLCjPtrnykPg+liBD2GSowIbSZlL4wZNFPXEscvYvrLIYou1LqDq8Rbhs5S5KFtFhxXDDY&#10;0qehos7/rILtgb92lTmW9TlN53XfpO+/C1Zq9DZslyACDeEZfrS/tYI53K/EG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TZ7U8MAAADaAAAADwAAAAAAAAAAAAAAAACf&#10;AgAAZHJzL2Rvd25yZXYueG1sUEsFBgAAAAAEAAQA9wAAAI8DAAAAAA==&#10;" stroked="t">
                  <v:imagedata r:id="rId31" o:title=""/>
                </v:shape>
                <v:shape id="Picture 5" o:spid="_x0000_s1028" type="#_x0000_t75" style="position:absolute;left:8700;top:3720;width:2542;height:3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6ZXrDAAAA2gAAAA8AAABkcnMvZG93bnJldi54bWxEj19rwjAUxd8HfodwB3ub6caUURvFObb5&#10;IMNVwddLc5tWm5vSRK3f3gjCHg/nz4+TzXrbiBN1vnas4GWYgCAunK7ZKNhuvp7fQfiArLFxTAou&#10;5GE2HTxkmGp35j865cGIOMI+RQVVCG0qpS8qsuiHriWOXuk6iyHKzkjd4TmO20a+JslYWqw5Eips&#10;aVFRcciPNkLWv25n9m9rrzefq8VHOf8+/hilnh77+QREoD78h+/tpVYwgtuVeAPk9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plesMAAADaAAAADwAAAAAAAAAAAAAAAACf&#10;AgAAZHJzL2Rvd25yZXYueG1sUEsFBgAAAAAEAAQA9wAAAI8DAAAAAA==&#10;" stroked="t">
                  <v:imagedata r:id="rId32" o:title=""/>
                </v:shape>
                <w10:wrap type="topAndBottom"/>
                <w10:anchorlock/>
              </v:group>
            </w:pict>
          </mc:Fallback>
        </mc:AlternateContent>
      </w:r>
      <w:r w:rsidR="00DF7F63">
        <w:t xml:space="preserve">Figure </w:t>
      </w:r>
      <w:r w:rsidR="00F65CC6">
        <w:fldChar w:fldCharType="begin"/>
      </w:r>
      <w:r w:rsidR="00F65CC6">
        <w:instrText xml:space="preserve"> SEQ Figure \* ARABIC </w:instrText>
      </w:r>
      <w:r w:rsidR="00F65CC6">
        <w:fldChar w:fldCharType="separate"/>
      </w:r>
      <w:r w:rsidR="007950E7">
        <w:rPr>
          <w:noProof/>
        </w:rPr>
        <w:t>4</w:t>
      </w:r>
      <w:r w:rsidR="00F65CC6">
        <w:rPr>
          <w:noProof/>
        </w:rPr>
        <w:fldChar w:fldCharType="end"/>
      </w:r>
      <w:bookmarkEnd w:id="29"/>
      <w:r w:rsidR="00DF7F63">
        <w:t xml:space="preserve"> - conceptual modelling workflow viewpoints (after Ferré, 2016)</w:t>
      </w:r>
    </w:p>
    <w:p w14:paraId="296DDA1C" w14:textId="77777777" w:rsidR="000A7BF3" w:rsidRDefault="00000AB1" w:rsidP="004F1EA5">
      <w:pPr>
        <w:pStyle w:val="BodyText"/>
      </w:pPr>
      <w:r>
        <w:t>Although the uncertainty workflow differ</w:t>
      </w:r>
      <w:r w:rsidR="00EF7440">
        <w:t>s</w:t>
      </w:r>
      <w:r>
        <w:t xml:space="preserve"> </w:t>
      </w:r>
      <w:r w:rsidR="005506D7">
        <w:t xml:space="preserve">conceptually </w:t>
      </w:r>
      <w:r>
        <w:t>from the traditional workflow, t</w:t>
      </w:r>
      <w:r w:rsidR="00D96828">
        <w:t xml:space="preserve">he </w:t>
      </w:r>
      <w:r w:rsidR="00C72979">
        <w:t xml:space="preserve">innovation and adaption </w:t>
      </w:r>
      <w:r w:rsidR="00D96828">
        <w:t xml:space="preserve">of modelling methods </w:t>
      </w:r>
      <w:r w:rsidR="004F1EA5" w:rsidRPr="00C72979">
        <w:t xml:space="preserve">is </w:t>
      </w:r>
      <w:r w:rsidR="00C72979">
        <w:t xml:space="preserve">encouraged by </w:t>
      </w:r>
      <w:r w:rsidR="004F1EA5" w:rsidRPr="00C72979">
        <w:t>the AGMG</w:t>
      </w:r>
      <w:r w:rsidR="00C72979">
        <w:t xml:space="preserve"> itself (Barnett et </w:t>
      </w:r>
      <w:r w:rsidR="00976EA7">
        <w:t>al.</w:t>
      </w:r>
      <w:r w:rsidR="00C72979">
        <w:t xml:space="preserve"> 2012)</w:t>
      </w:r>
      <w:r w:rsidR="00EF7440">
        <w:t xml:space="preserve">, </w:t>
      </w:r>
      <w:r w:rsidR="00EF7440" w:rsidRPr="005506D7">
        <w:t xml:space="preserve">and this Explanatory Note </w:t>
      </w:r>
      <w:r w:rsidR="005506D7">
        <w:t xml:space="preserve">is consistent with and </w:t>
      </w:r>
      <w:r w:rsidR="00EF7440" w:rsidRPr="005506D7">
        <w:t>builds on the AGMG</w:t>
      </w:r>
      <w:r w:rsidR="004F1EA5" w:rsidRPr="005506D7">
        <w:t>.</w:t>
      </w:r>
      <w:r w:rsidR="004F1EA5" w:rsidRPr="00C72979">
        <w:t xml:space="preserve"> </w:t>
      </w:r>
      <w:r>
        <w:t xml:space="preserve">A different </w:t>
      </w:r>
      <w:r w:rsidR="007E638E">
        <w:t xml:space="preserve">view of the </w:t>
      </w:r>
      <w:r>
        <w:t xml:space="preserve">workflow </w:t>
      </w:r>
      <w:r w:rsidR="004F1EA5" w:rsidRPr="00C72979">
        <w:t xml:space="preserve">is warranted because, while the uncertainty analysis workflow includes </w:t>
      </w:r>
      <w:r w:rsidR="00C72979">
        <w:t>traditional elements of model building (</w:t>
      </w:r>
      <w:r w:rsidR="004F1EA5" w:rsidRPr="00C72979">
        <w:t>design</w:t>
      </w:r>
      <w:r w:rsidR="00EF7440">
        <w:t>,</w:t>
      </w:r>
      <w:r w:rsidR="004F1EA5" w:rsidRPr="00C72979">
        <w:t xml:space="preserve"> calibration</w:t>
      </w:r>
      <w:r w:rsidR="00EF7440">
        <w:t xml:space="preserve"> and sensitivity</w:t>
      </w:r>
      <w:r w:rsidR="00C72979">
        <w:t>)</w:t>
      </w:r>
      <w:r w:rsidR="004F1EA5" w:rsidRPr="00C72979">
        <w:t xml:space="preserve">, an uncertainty-driven approach is designed and applied specifically to support decisions </w:t>
      </w:r>
      <w:r w:rsidR="00C72979">
        <w:t xml:space="preserve">by exploring uncertainties within </w:t>
      </w:r>
      <w:r w:rsidR="004F1EA5" w:rsidRPr="00C72979">
        <w:t>a risk and adaptive management</w:t>
      </w:r>
      <w:r w:rsidR="00C72979">
        <w:t xml:space="preserve"> framework</w:t>
      </w:r>
      <w:r w:rsidR="004F1EA5" w:rsidRPr="00C72979">
        <w:t>.</w:t>
      </w:r>
      <w:r w:rsidR="00A37CF4">
        <w:t xml:space="preserve"> </w:t>
      </w:r>
    </w:p>
    <w:p w14:paraId="76552894" w14:textId="77777777" w:rsidR="00595549" w:rsidRDefault="00A37CF4" w:rsidP="004F1EA5">
      <w:pPr>
        <w:pStyle w:val="BodyText"/>
      </w:pPr>
      <w:r>
        <w:t xml:space="preserve">The traditional workflow tends to result in complex models, even though the AGMG encourages finding the right balance between complexity and simplicity for the project objectives. </w:t>
      </w:r>
    </w:p>
    <w:p w14:paraId="3C02AFC0" w14:textId="77777777" w:rsidR="004F1EA5" w:rsidRDefault="00A37CF4" w:rsidP="004F1EA5">
      <w:pPr>
        <w:pStyle w:val="BodyText"/>
      </w:pPr>
      <w:r>
        <w:t>The uncertainty</w:t>
      </w:r>
      <w:r w:rsidR="00D96828">
        <w:t>-driven</w:t>
      </w:r>
      <w:r>
        <w:t xml:space="preserve"> approach usually </w:t>
      </w:r>
      <w:r w:rsidR="00D96828">
        <w:t xml:space="preserve">requires </w:t>
      </w:r>
      <w:r w:rsidR="00595549">
        <w:t>carefully designed</w:t>
      </w:r>
      <w:r w:rsidR="00D96828">
        <w:t xml:space="preserve"> models with short run times for the large numbers of </w:t>
      </w:r>
      <w:r w:rsidR="00000AB1">
        <w:t>r</w:t>
      </w:r>
      <w:r w:rsidR="00D96828">
        <w:t>uns involved.</w:t>
      </w:r>
      <w:r w:rsidR="00595549">
        <w:t xml:space="preserve"> However, careful design can take many forms, such as </w:t>
      </w:r>
      <w:r w:rsidR="00DD2590">
        <w:lastRenderedPageBreak/>
        <w:t xml:space="preserve">ensuring stable model simulations and that </w:t>
      </w:r>
      <w:r w:rsidR="00595549">
        <w:t xml:space="preserve">complexity </w:t>
      </w:r>
      <w:r w:rsidR="00DD2590">
        <w:t xml:space="preserve">is included </w:t>
      </w:r>
      <w:r w:rsidR="00595549">
        <w:t xml:space="preserve">where it is relevant to the project objective (“effective simplicity”), </w:t>
      </w:r>
      <w:r w:rsidR="00DD2590">
        <w:t xml:space="preserve">while not using </w:t>
      </w:r>
      <w:r w:rsidR="00595549">
        <w:t xml:space="preserve">long run times as an excuse to avoid necessary complexity. </w:t>
      </w:r>
    </w:p>
    <w:p w14:paraId="4E1D2780" w14:textId="77777777" w:rsidR="00274F78" w:rsidRDefault="00274F78" w:rsidP="00274F78">
      <w:pPr>
        <w:pStyle w:val="Heading2"/>
      </w:pPr>
      <w:bookmarkStart w:id="30" w:name="_Toc505681242"/>
      <w:r>
        <w:t>AGMG Model Confidence Level Classification</w:t>
      </w:r>
      <w:bookmarkEnd w:id="30"/>
    </w:p>
    <w:p w14:paraId="4F812FAB" w14:textId="7C7CBEBC" w:rsidR="00DF7F63" w:rsidRDefault="007E638E" w:rsidP="004F1EA5">
      <w:pPr>
        <w:pStyle w:val="BodyText"/>
      </w:pPr>
      <w:r>
        <w:t xml:space="preserve">While this Explanatory Note is philosophically integrated </w:t>
      </w:r>
      <w:r w:rsidR="00C714AD">
        <w:t xml:space="preserve">and </w:t>
      </w:r>
      <w:r>
        <w:t>consistent with the AGMG</w:t>
      </w:r>
      <w:r w:rsidR="009E77A3">
        <w:t xml:space="preserve"> (Barnett et al</w:t>
      </w:r>
      <w:r w:rsidR="00033FFF">
        <w:t>.</w:t>
      </w:r>
      <w:r w:rsidR="009E77A3">
        <w:t xml:space="preserve"> 2012)</w:t>
      </w:r>
      <w:r>
        <w:t xml:space="preserve">, </w:t>
      </w:r>
      <w:r w:rsidR="009E77A3">
        <w:t xml:space="preserve">there are </w:t>
      </w:r>
      <w:r w:rsidR="00033FFF">
        <w:t>two other areas where a slightly different focus is recommended</w:t>
      </w:r>
      <w:r w:rsidR="009E77A3">
        <w:t xml:space="preserve"> (in addition to the conceptual workflow diagram</w:t>
      </w:r>
      <w:r w:rsidR="00DF7F63">
        <w:t xml:space="preserve"> above</w:t>
      </w:r>
      <w:r w:rsidR="009E77A3">
        <w:t xml:space="preserve">). Firstly, while the model confidence level classification </w:t>
      </w:r>
      <w:r w:rsidR="00033FFF">
        <w:t xml:space="preserve">table </w:t>
      </w:r>
      <w:r w:rsidR="009E77A3">
        <w:t>(AGMG</w:t>
      </w:r>
      <w:r w:rsidR="00033FFF">
        <w:t>,</w:t>
      </w:r>
      <w:r w:rsidR="009E77A3">
        <w:t xml:space="preserve"> Section 2 and Table 2</w:t>
      </w:r>
      <w:r w:rsidR="00033FFF">
        <w:t>-</w:t>
      </w:r>
      <w:r w:rsidR="009E77A3">
        <w:t xml:space="preserve">1) </w:t>
      </w:r>
      <w:r w:rsidR="00033FFF">
        <w:t xml:space="preserve">is </w:t>
      </w:r>
      <w:r w:rsidR="00033FFF" w:rsidRPr="00DF7F63">
        <w:t>reasonable</w:t>
      </w:r>
      <w:r w:rsidR="00033FFF">
        <w:t xml:space="preserve">, </w:t>
      </w:r>
      <w:r w:rsidR="00033FFF" w:rsidRPr="00DF7F63">
        <w:t>the related commentary and guidance is poor and self-contradictory</w:t>
      </w:r>
      <w:r w:rsidR="00033FFF">
        <w:t xml:space="preserve"> on some elements. </w:t>
      </w:r>
      <w:r w:rsidR="00C714AD">
        <w:t xml:space="preserve">Alternative methods of </w:t>
      </w:r>
      <w:r w:rsidR="00033FFF">
        <w:t>confidence level assessment</w:t>
      </w:r>
      <w:r w:rsidR="00C714AD">
        <w:t xml:space="preserve">s have been tested </w:t>
      </w:r>
      <w:r w:rsidR="00DD2EE2">
        <w:t xml:space="preserve">including </w:t>
      </w:r>
      <w:r w:rsidR="00C714AD">
        <w:t xml:space="preserve">applying a method of indicating which </w:t>
      </w:r>
      <w:r w:rsidR="009E77A3">
        <w:t>attribute</w:t>
      </w:r>
      <w:r w:rsidR="00C714AD">
        <w:t>s</w:t>
      </w:r>
      <w:r w:rsidR="009E77A3">
        <w:t xml:space="preserve"> in the table</w:t>
      </w:r>
      <w:r w:rsidR="00033FFF">
        <w:t xml:space="preserve"> </w:t>
      </w:r>
      <w:r w:rsidR="00C714AD">
        <w:t xml:space="preserve">are satisfied </w:t>
      </w:r>
      <w:r w:rsidR="00033FFF">
        <w:t>for a given model</w:t>
      </w:r>
      <w:r w:rsidR="009E77A3">
        <w:t xml:space="preserve">, and </w:t>
      </w:r>
      <w:r w:rsidR="00C714AD">
        <w:t xml:space="preserve">assessing </w:t>
      </w:r>
      <w:r w:rsidR="009E77A3">
        <w:t xml:space="preserve">the confidence level via consideration of the </w:t>
      </w:r>
      <w:r w:rsidR="001F13E5">
        <w:t xml:space="preserve">score </w:t>
      </w:r>
      <w:r w:rsidR="00033FFF">
        <w:t xml:space="preserve">counts in each class </w:t>
      </w:r>
      <w:r w:rsidR="001F13E5">
        <w:t xml:space="preserve">(an example is presented in </w:t>
      </w:r>
      <w:r w:rsidR="004E7D85">
        <w:fldChar w:fldCharType="begin"/>
      </w:r>
      <w:r w:rsidR="004E7D85">
        <w:instrText xml:space="preserve"> REF _Ref505084511 \h </w:instrText>
      </w:r>
      <w:r w:rsidR="004E7D85">
        <w:fldChar w:fldCharType="separate"/>
      </w:r>
      <w:r w:rsidR="007950E7">
        <w:t xml:space="preserve">Figure </w:t>
      </w:r>
      <w:r w:rsidR="007950E7">
        <w:rPr>
          <w:noProof/>
        </w:rPr>
        <w:t>5</w:t>
      </w:r>
      <w:r w:rsidR="004E7D85">
        <w:fldChar w:fldCharType="end"/>
      </w:r>
      <w:r w:rsidR="00033FFF">
        <w:t>, based on an original suggestion by Dr Noel Merrick, pers.</w:t>
      </w:r>
      <w:r w:rsidR="00686E9E">
        <w:t xml:space="preserve"> </w:t>
      </w:r>
      <w:r w:rsidR="00033FFF">
        <w:t>comm.</w:t>
      </w:r>
      <w:r w:rsidR="001F13E5">
        <w:t>)</w:t>
      </w:r>
      <w:r w:rsidR="00DF7F63">
        <w:t xml:space="preserve">. </w:t>
      </w:r>
      <w:r w:rsidR="00033FFF">
        <w:t>T</w:t>
      </w:r>
      <w:r w:rsidR="00DF7F63" w:rsidRPr="00DF7F63">
        <w:t>his</w:t>
      </w:r>
      <w:r w:rsidR="00033FFF">
        <w:t xml:space="preserve"> avoids the current tendency where </w:t>
      </w:r>
      <w:r w:rsidR="00DF7F63" w:rsidRPr="00DF7F63">
        <w:t xml:space="preserve">one guideline comment </w:t>
      </w:r>
      <w:r w:rsidR="00033FFF">
        <w:t>may be “</w:t>
      </w:r>
      <w:r w:rsidR="00033FFF" w:rsidRPr="00DF7F63">
        <w:t>cherry-pick</w:t>
      </w:r>
      <w:r w:rsidR="00033FFF">
        <w:t>ed” to undermine the model</w:t>
      </w:r>
      <w:r w:rsidR="005E3B01">
        <w:t xml:space="preserve"> confidence classification</w:t>
      </w:r>
      <w:r w:rsidR="00033FFF">
        <w:t xml:space="preserve">, </w:t>
      </w:r>
      <w:r w:rsidR="00DF7F63" w:rsidRPr="00DF7F63">
        <w:t xml:space="preserve">rather than considering </w:t>
      </w:r>
      <w:r w:rsidR="00033FFF">
        <w:t xml:space="preserve">the balance of </w:t>
      </w:r>
      <w:r w:rsidR="005E3B01">
        <w:t xml:space="preserve">model </w:t>
      </w:r>
      <w:r w:rsidR="00033FFF">
        <w:t xml:space="preserve">performance against </w:t>
      </w:r>
      <w:r w:rsidR="00DF7F63" w:rsidRPr="00DF7F63">
        <w:t xml:space="preserve">the </w:t>
      </w:r>
      <w:r w:rsidR="005E3B01">
        <w:t xml:space="preserve">entire </w:t>
      </w:r>
      <w:r w:rsidR="00033FFF">
        <w:t xml:space="preserve">table of </w:t>
      </w:r>
      <w:r w:rsidR="00DF7F63" w:rsidRPr="00DF7F63">
        <w:t>attributes</w:t>
      </w:r>
      <w:r w:rsidR="00285AC0">
        <w:t xml:space="preserve"> (e.g. with reference to </w:t>
      </w:r>
      <w:r w:rsidR="00285AC0">
        <w:fldChar w:fldCharType="begin"/>
      </w:r>
      <w:r w:rsidR="00285AC0">
        <w:instrText xml:space="preserve"> REF _Ref505084511 \h </w:instrText>
      </w:r>
      <w:r w:rsidR="00285AC0">
        <w:fldChar w:fldCharType="separate"/>
      </w:r>
      <w:r w:rsidR="007950E7">
        <w:t xml:space="preserve">Figure </w:t>
      </w:r>
      <w:r w:rsidR="007950E7">
        <w:rPr>
          <w:noProof/>
        </w:rPr>
        <w:t>5</w:t>
      </w:r>
      <w:r w:rsidR="00285AC0">
        <w:fldChar w:fldCharType="end"/>
      </w:r>
      <w:r w:rsidR="00285AC0">
        <w:t>, the AGMG commentary indicate</w:t>
      </w:r>
      <w:r w:rsidR="005C400A">
        <w:t>s</w:t>
      </w:r>
      <w:r w:rsidR="00285AC0">
        <w:t xml:space="preserve"> that a single Class 1 attribute </w:t>
      </w:r>
      <w:r w:rsidR="005C400A">
        <w:t>is</w:t>
      </w:r>
      <w:r w:rsidR="00285AC0">
        <w:t xml:space="preserve"> sufficient to </w:t>
      </w:r>
      <w:r w:rsidR="005C400A">
        <w:t xml:space="preserve">classify </w:t>
      </w:r>
      <w:r w:rsidR="00285AC0">
        <w:t xml:space="preserve">the model as Class 1 overall, even though the </w:t>
      </w:r>
      <w:r w:rsidR="005C400A">
        <w:t>weight of evidence indicates otherwise</w:t>
      </w:r>
      <w:r w:rsidR="00285AC0">
        <w:t>)</w:t>
      </w:r>
      <w:r w:rsidR="00033FFF">
        <w:t>.</w:t>
      </w:r>
      <w:r w:rsidR="005E3B01">
        <w:t xml:space="preserve"> </w:t>
      </w:r>
    </w:p>
    <w:p w14:paraId="2A0E889E" w14:textId="1E17854E" w:rsidR="001F13E5" w:rsidRDefault="00946DC5" w:rsidP="001F13E5">
      <w:pPr>
        <w:pStyle w:val="Caption"/>
      </w:pPr>
      <w:bookmarkStart w:id="31" w:name="_Ref505084511"/>
      <w:r>
        <w:rPr>
          <w:noProof/>
        </w:rPr>
        <w:drawing>
          <wp:anchor distT="0" distB="0" distL="114300" distR="114300" simplePos="0" relativeHeight="251658246" behindDoc="0" locked="1" layoutInCell="1" allowOverlap="1" wp14:anchorId="35E22BA3" wp14:editId="40B0D366">
            <wp:simplePos x="0" y="0"/>
            <wp:positionH relativeFrom="column">
              <wp:posOffset>-208280</wp:posOffset>
            </wp:positionH>
            <wp:positionV relativeFrom="paragraph">
              <wp:posOffset>16510</wp:posOffset>
            </wp:positionV>
            <wp:extent cx="6577965" cy="2981325"/>
            <wp:effectExtent l="0" t="0" r="0" b="9525"/>
            <wp:wrapTopAndBottom/>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77965" cy="2981325"/>
                    </a:xfrm>
                    <a:prstGeom prst="rect">
                      <a:avLst/>
                    </a:prstGeom>
                    <a:noFill/>
                  </pic:spPr>
                </pic:pic>
              </a:graphicData>
            </a:graphic>
            <wp14:sizeRelH relativeFrom="page">
              <wp14:pctWidth>0</wp14:pctWidth>
            </wp14:sizeRelH>
            <wp14:sizeRelV relativeFrom="page">
              <wp14:pctHeight>0</wp14:pctHeight>
            </wp14:sizeRelV>
          </wp:anchor>
        </w:drawing>
      </w:r>
      <w:r w:rsidR="001F13E5">
        <w:t xml:space="preserve">Figure </w:t>
      </w:r>
      <w:r w:rsidR="00F65CC6">
        <w:fldChar w:fldCharType="begin"/>
      </w:r>
      <w:r w:rsidR="00F65CC6">
        <w:instrText xml:space="preserve"> SEQ</w:instrText>
      </w:r>
      <w:r w:rsidR="00F65CC6">
        <w:instrText xml:space="preserve"> Figure \* ARABIC </w:instrText>
      </w:r>
      <w:r w:rsidR="00F65CC6">
        <w:fldChar w:fldCharType="separate"/>
      </w:r>
      <w:r w:rsidR="007950E7">
        <w:rPr>
          <w:noProof/>
        </w:rPr>
        <w:t>5</w:t>
      </w:r>
      <w:r w:rsidR="00F65CC6">
        <w:rPr>
          <w:noProof/>
        </w:rPr>
        <w:fldChar w:fldCharType="end"/>
      </w:r>
      <w:bookmarkEnd w:id="31"/>
      <w:r w:rsidR="001F13E5">
        <w:t xml:space="preserve"> - AGMG model confidence level </w:t>
      </w:r>
      <w:r w:rsidR="008409BE">
        <w:t xml:space="preserve">case study </w:t>
      </w:r>
      <w:r w:rsidR="001F13E5">
        <w:t>example</w:t>
      </w:r>
      <w:r w:rsidR="00DF7F63">
        <w:t xml:space="preserve"> </w:t>
      </w:r>
      <w:r w:rsidR="00285AC0">
        <w:t>(</w:t>
      </w:r>
      <w:r w:rsidR="00DF7F63">
        <w:t>after N.</w:t>
      </w:r>
      <w:r w:rsidR="005B532C">
        <w:t xml:space="preserve"> </w:t>
      </w:r>
      <w:r w:rsidR="00DF7F63">
        <w:t>Merrick, pers.</w:t>
      </w:r>
      <w:r w:rsidR="00686E9E">
        <w:t xml:space="preserve"> </w:t>
      </w:r>
      <w:r w:rsidR="00DF7F63">
        <w:t>comm.</w:t>
      </w:r>
      <w:r w:rsidR="001F13E5">
        <w:t>)</w:t>
      </w:r>
    </w:p>
    <w:p w14:paraId="16E8DA5E" w14:textId="77777777" w:rsidR="00C714AD" w:rsidRDefault="00C714AD" w:rsidP="00520720">
      <w:pPr>
        <w:pStyle w:val="BodyText"/>
      </w:pPr>
      <w:r>
        <w:t xml:space="preserve">However, this approach may also be prone to manipulation, and it is recommended that </w:t>
      </w:r>
      <w:r w:rsidR="00FD0373">
        <w:t xml:space="preserve">an improved method would require </w:t>
      </w:r>
      <w:r>
        <w:t xml:space="preserve">the modeller or reviewer </w:t>
      </w:r>
      <w:r w:rsidR="00FD0373">
        <w:t xml:space="preserve">to </w:t>
      </w:r>
      <w:r w:rsidRPr="00C714AD">
        <w:t>indicat</w:t>
      </w:r>
      <w:r>
        <w:t>e</w:t>
      </w:r>
      <w:r w:rsidRPr="00C714AD">
        <w:t xml:space="preserve"> in the table which conditions are satisfied, explain why others are not satisfied and why this is relevant to the model</w:t>
      </w:r>
      <w:r w:rsidR="00FD0373">
        <w:t xml:space="preserve"> objectives,</w:t>
      </w:r>
      <w:r w:rsidRPr="00C714AD">
        <w:t xml:space="preserve"> outcomes</w:t>
      </w:r>
      <w:r w:rsidR="00FD0373">
        <w:t xml:space="preserve"> and uncertainties.</w:t>
      </w:r>
      <w:r>
        <w:t xml:space="preserve"> </w:t>
      </w:r>
      <w:r w:rsidR="00FD0373">
        <w:t>T</w:t>
      </w:r>
      <w:r>
        <w:t xml:space="preserve">his </w:t>
      </w:r>
      <w:r w:rsidR="00FD0373">
        <w:t xml:space="preserve">approach </w:t>
      </w:r>
      <w:r>
        <w:t xml:space="preserve">is consistent with other recommendations in this Explanatory Note for </w:t>
      </w:r>
      <w:r w:rsidR="00FD0373">
        <w:t>modellers to justify</w:t>
      </w:r>
      <w:r w:rsidR="00FD0373" w:rsidRPr="00FD0373">
        <w:t xml:space="preserve"> assumption</w:t>
      </w:r>
      <w:r w:rsidR="00FD0373">
        <w:t>s and choices</w:t>
      </w:r>
      <w:r w:rsidR="00FD0373" w:rsidRPr="00FD0373">
        <w:t xml:space="preserve"> in technical reports in a manner that is open, transparent and amenable for scrutiny</w:t>
      </w:r>
      <w:r w:rsidR="00FD0373">
        <w:t>.</w:t>
      </w:r>
    </w:p>
    <w:p w14:paraId="7E0E00A4" w14:textId="77777777" w:rsidR="00DC60F8" w:rsidRDefault="00274F78" w:rsidP="00520720">
      <w:pPr>
        <w:pStyle w:val="BodyText"/>
      </w:pPr>
      <w:r>
        <w:t xml:space="preserve">The other </w:t>
      </w:r>
      <w:r w:rsidR="00747771">
        <w:t>divergence from</w:t>
      </w:r>
      <w:r>
        <w:t xml:space="preserve"> the AGMG </w:t>
      </w:r>
      <w:r w:rsidR="00747771">
        <w:t>is that</w:t>
      </w:r>
      <w:r w:rsidR="00FD0373">
        <w:t xml:space="preserve">, while </w:t>
      </w:r>
      <w:r w:rsidR="00FD0373" w:rsidRPr="00FD0373">
        <w:t>it recommends linear uncertainty methods due to their computational efficiency</w:t>
      </w:r>
      <w:r w:rsidR="00FD0373">
        <w:t>, this</w:t>
      </w:r>
      <w:r w:rsidR="00FD0373" w:rsidRPr="00FD0373">
        <w:t xml:space="preserve"> Explanatory Note lists linear uncertainty methods as one of </w:t>
      </w:r>
      <w:r w:rsidR="00FD0373">
        <w:t xml:space="preserve">several </w:t>
      </w:r>
      <w:r w:rsidR="00FD0373" w:rsidRPr="00FD0373">
        <w:t>approaches for uncertainty analysis</w:t>
      </w:r>
      <w:r w:rsidR="00FD0373">
        <w:t xml:space="preserve">. Linear methods may </w:t>
      </w:r>
      <w:r w:rsidR="00FD0373" w:rsidRPr="00FD0373">
        <w:t>be appropriate for a groundwater modelling project, provided that the underlying assumptions can be shown to be justified</w:t>
      </w:r>
      <w:r>
        <w:t>.</w:t>
      </w:r>
    </w:p>
    <w:p w14:paraId="7A3B9221" w14:textId="77777777" w:rsidR="00274F78" w:rsidRDefault="00274F78" w:rsidP="00274F78">
      <w:pPr>
        <w:pStyle w:val="Heading2"/>
      </w:pPr>
      <w:bookmarkStart w:id="32" w:name="_Toc505681243"/>
      <w:r>
        <w:t>Conditional Calibration</w:t>
      </w:r>
      <w:bookmarkEnd w:id="32"/>
    </w:p>
    <w:p w14:paraId="5A61F43F" w14:textId="77777777" w:rsidR="008C2433" w:rsidRDefault="00161721" w:rsidP="00520720">
      <w:pPr>
        <w:pStyle w:val="BodyText"/>
      </w:pPr>
      <w:r>
        <w:t xml:space="preserve">The traditional workflow </w:t>
      </w:r>
      <w:r w:rsidR="00520720" w:rsidRPr="00040729">
        <w:t>has been</w:t>
      </w:r>
      <w:r w:rsidR="00FA1ACC" w:rsidRPr="00040729">
        <w:t xml:space="preserve"> characterised as a means of reducing</w:t>
      </w:r>
      <w:r w:rsidR="00520720" w:rsidRPr="00040729">
        <w:t xml:space="preserve"> parameter bias and </w:t>
      </w:r>
      <w:r w:rsidR="00520720" w:rsidRPr="00040729">
        <w:lastRenderedPageBreak/>
        <w:t xml:space="preserve">uncertainty </w:t>
      </w:r>
      <w:r w:rsidR="00FA1ACC" w:rsidRPr="00040729">
        <w:t>through calibrating</w:t>
      </w:r>
      <w:r w:rsidR="00520720" w:rsidRPr="00040729">
        <w:t xml:space="preserve"> the model against </w:t>
      </w:r>
      <w:r w:rsidR="00FA1ACC" w:rsidRPr="00040729">
        <w:t xml:space="preserve">measured </w:t>
      </w:r>
      <w:r w:rsidR="00520720" w:rsidRPr="00040729">
        <w:t xml:space="preserve">observations of </w:t>
      </w:r>
      <w:r w:rsidR="00FA1ACC" w:rsidRPr="00040729">
        <w:t xml:space="preserve">historical </w:t>
      </w:r>
      <w:r w:rsidR="00520720" w:rsidRPr="00040729">
        <w:t>hydrologic system behaviour. The process is also known as parameter identification or estimation, inverse solution or history matching</w:t>
      </w:r>
      <w:r w:rsidR="00643C75">
        <w:t xml:space="preserve"> </w:t>
      </w:r>
      <w:r w:rsidR="00643C75" w:rsidRPr="00040729">
        <w:t>(</w:t>
      </w:r>
      <w:r w:rsidR="000A7BF3">
        <w:t xml:space="preserve">Barnett et </w:t>
      </w:r>
      <w:r w:rsidR="00976EA7">
        <w:t>al.</w:t>
      </w:r>
      <w:r w:rsidR="000A7BF3">
        <w:t xml:space="preserve"> 2012; </w:t>
      </w:r>
      <w:r w:rsidR="00643C75" w:rsidRPr="00040729">
        <w:t>Neuman and Wierenga, 2003)</w:t>
      </w:r>
      <w:r w:rsidR="00520720" w:rsidRPr="00040729">
        <w:t xml:space="preserve">. </w:t>
      </w:r>
      <w:r w:rsidR="00FA1ACC" w:rsidRPr="00040729">
        <w:t xml:space="preserve">A </w:t>
      </w:r>
      <w:r w:rsidR="00520720" w:rsidRPr="00040729">
        <w:t xml:space="preserve">model </w:t>
      </w:r>
      <w:r w:rsidR="00FA1ACC" w:rsidRPr="00040729">
        <w:t xml:space="preserve">that is </w:t>
      </w:r>
      <w:r w:rsidR="00643C75">
        <w:t xml:space="preserve">demonstrably </w:t>
      </w:r>
      <w:r w:rsidR="00FA1ACC" w:rsidRPr="00040729">
        <w:t xml:space="preserve">consistent </w:t>
      </w:r>
      <w:r w:rsidR="00520720" w:rsidRPr="00040729">
        <w:t xml:space="preserve">with monitoring data </w:t>
      </w:r>
      <w:r w:rsidR="000A7BF3">
        <w:t xml:space="preserve">(especially if head and flux calibration targets are matched) </w:t>
      </w:r>
      <w:r w:rsidR="00FA1ACC" w:rsidRPr="00040729">
        <w:t xml:space="preserve">is </w:t>
      </w:r>
      <w:r w:rsidR="00D96828">
        <w:t xml:space="preserve">traditionally </w:t>
      </w:r>
      <w:r w:rsidR="00FA1ACC" w:rsidRPr="00040729">
        <w:t>deemed to be a reliable deterministic simulator</w:t>
      </w:r>
      <w:r w:rsidR="00520720" w:rsidRPr="00040729">
        <w:t xml:space="preserve"> of </w:t>
      </w:r>
      <w:r w:rsidR="00FA1ACC" w:rsidRPr="00040729">
        <w:t xml:space="preserve">future </w:t>
      </w:r>
      <w:r w:rsidR="00520720" w:rsidRPr="00040729">
        <w:t xml:space="preserve">behaviour. </w:t>
      </w:r>
    </w:p>
    <w:p w14:paraId="7AE40341" w14:textId="77777777" w:rsidR="00520720" w:rsidRDefault="00717376" w:rsidP="00520720">
      <w:pPr>
        <w:pStyle w:val="BodyText"/>
      </w:pPr>
      <w:r>
        <w:t>However, n</w:t>
      </w:r>
      <w:r w:rsidR="00520720" w:rsidRPr="00040729">
        <w:t xml:space="preserve">either the structure nor the parameter values of a </w:t>
      </w:r>
      <w:r w:rsidR="00FA1ACC" w:rsidRPr="00040729">
        <w:t xml:space="preserve">deterministic </w:t>
      </w:r>
      <w:r w:rsidR="00520720" w:rsidRPr="00040729">
        <w:t xml:space="preserve">model are unique. This "equifinality" problem </w:t>
      </w:r>
      <w:r w:rsidR="000262AF">
        <w:t xml:space="preserve">has long been recognised as </w:t>
      </w:r>
      <w:r w:rsidR="00520720" w:rsidRPr="00040729">
        <w:t>generic and not simply one of identifying a system's "true" model structure or parameter values</w:t>
      </w:r>
      <w:r w:rsidR="000262AF">
        <w:t xml:space="preserve"> </w:t>
      </w:r>
      <w:r w:rsidR="000262AF" w:rsidRPr="00040729">
        <w:t>(Beven, 1993)</w:t>
      </w:r>
      <w:r w:rsidR="00520720" w:rsidRPr="00040729">
        <w:t>. In fact, a "true" model for a hydrologic system does not exist</w:t>
      </w:r>
      <w:r>
        <w:t>, due to the sources of uncertainty outlined previously</w:t>
      </w:r>
      <w:r w:rsidR="00643C75">
        <w:t>.</w:t>
      </w:r>
      <w:r w:rsidR="00E81B38">
        <w:t xml:space="preserve"> Even </w:t>
      </w:r>
      <w:r w:rsidR="00E81B38" w:rsidRPr="00E81B38">
        <w:t xml:space="preserve">the most complex model can </w:t>
      </w:r>
      <w:r w:rsidR="00E81B38">
        <w:t xml:space="preserve">(by definition) </w:t>
      </w:r>
      <w:r w:rsidR="00E81B38" w:rsidRPr="00E81B38">
        <w:t>only be approximate in its attempted simulation of environmental processes</w:t>
      </w:r>
      <w:r w:rsidR="00E81B38">
        <w:t>.</w:t>
      </w:r>
    </w:p>
    <w:p w14:paraId="185DC3CF" w14:textId="77777777" w:rsidR="00FC190F" w:rsidRDefault="00223075" w:rsidP="000A3962">
      <w:pPr>
        <w:pStyle w:val="BodyText"/>
      </w:pPr>
      <w:r>
        <w:t xml:space="preserve">Doherty and Moore (2017) </w:t>
      </w:r>
      <w:r w:rsidRPr="00223075">
        <w:t>show that</w:t>
      </w:r>
      <w:r>
        <w:t xml:space="preserve"> the calibration process does not reduce the uncertainty of a simulation where it </w:t>
      </w:r>
      <w:r w:rsidRPr="00223075">
        <w:t>is sensitive to parameters</w:t>
      </w:r>
      <w:r>
        <w:t>/</w:t>
      </w:r>
      <w:r w:rsidRPr="00223075">
        <w:t xml:space="preserve">combinations that lie within the “calibration null space”. </w:t>
      </w:r>
      <w:r>
        <w:t>T</w:t>
      </w:r>
      <w:r w:rsidRPr="00223075">
        <w:t>he calibration null space</w:t>
      </w:r>
      <w:r>
        <w:t xml:space="preserve"> here</w:t>
      </w:r>
      <w:r w:rsidRPr="00223075">
        <w:t xml:space="preserve"> refers to those model parameters and combinations </w:t>
      </w:r>
      <w:r>
        <w:t>that</w:t>
      </w:r>
      <w:r w:rsidRPr="00223075">
        <w:t xml:space="preserve"> are not informed by</w:t>
      </w:r>
      <w:r w:rsidR="00513B15">
        <w:t xml:space="preserve"> the</w:t>
      </w:r>
      <w:r w:rsidRPr="00223075">
        <w:t xml:space="preserve"> available historical measurements</w:t>
      </w:r>
      <w:r>
        <w:t>.</w:t>
      </w:r>
      <w:r w:rsidR="00643C75">
        <w:t xml:space="preserve"> </w:t>
      </w:r>
    </w:p>
    <w:p w14:paraId="602DA4F4" w14:textId="77777777" w:rsidR="00520720" w:rsidRDefault="00643C75" w:rsidP="000A3962">
      <w:pPr>
        <w:pStyle w:val="BodyText"/>
      </w:pPr>
      <w:r>
        <w:t xml:space="preserve">However, </w:t>
      </w:r>
      <w:r w:rsidR="00EF7440">
        <w:t xml:space="preserve">Doherty and Moore (2017) </w:t>
      </w:r>
      <w:r>
        <w:t xml:space="preserve">also show that calibration </w:t>
      </w:r>
      <w:r w:rsidR="00B83F22">
        <w:t xml:space="preserve">is a valid </w:t>
      </w:r>
      <w:r>
        <w:t>first step in a</w:t>
      </w:r>
      <w:r w:rsidR="00EF7440">
        <w:t xml:space="preserve"> </w:t>
      </w:r>
      <w:r>
        <w:t xml:space="preserve">two-step </w:t>
      </w:r>
      <w:r w:rsidR="00513B15">
        <w:t xml:space="preserve">uncertainty analysis </w:t>
      </w:r>
      <w:r>
        <w:t xml:space="preserve">process </w:t>
      </w:r>
      <w:r w:rsidR="00E22D47">
        <w:t xml:space="preserve">using linear </w:t>
      </w:r>
      <w:r w:rsidR="005B532C">
        <w:t>methods (</w:t>
      </w:r>
      <w:r w:rsidR="00B83F22">
        <w:t xml:space="preserve">see </w:t>
      </w:r>
      <w:r w:rsidR="00B83F22" w:rsidRPr="00180A37">
        <w:t xml:space="preserve">section </w:t>
      </w:r>
      <w:r w:rsidR="00BA6B46">
        <w:fldChar w:fldCharType="begin"/>
      </w:r>
      <w:r w:rsidR="00BA6B46">
        <w:instrText xml:space="preserve"> REF _Ref505518959 \r \h </w:instrText>
      </w:r>
      <w:r w:rsidR="00BA6B46">
        <w:fldChar w:fldCharType="separate"/>
      </w:r>
      <w:r w:rsidR="007950E7">
        <w:t>11.2</w:t>
      </w:r>
      <w:r w:rsidR="00BA6B46">
        <w:fldChar w:fldCharType="end"/>
      </w:r>
      <w:r w:rsidR="00B83F22">
        <w:t>)</w:t>
      </w:r>
      <w:r>
        <w:t>:</w:t>
      </w:r>
    </w:p>
    <w:p w14:paraId="521E0CCA" w14:textId="77777777" w:rsidR="00643C75" w:rsidRDefault="00643C75" w:rsidP="000A7BF3">
      <w:pPr>
        <w:pStyle w:val="Bulletnum"/>
        <w:numPr>
          <w:ilvl w:val="0"/>
          <w:numId w:val="41"/>
        </w:numPr>
        <w:ind w:left="426"/>
      </w:pPr>
      <w:r>
        <w:t>finding a history match (inverse) solution of minimum error variance</w:t>
      </w:r>
      <w:r w:rsidR="00FD39C0">
        <w:rPr>
          <w:rStyle w:val="FootnoteReference"/>
        </w:rPr>
        <w:footnoteReference w:id="3"/>
      </w:r>
      <w:r w:rsidR="00FD39C0">
        <w:t xml:space="preserve"> </w:t>
      </w:r>
      <w:r>
        <w:t>by fitting model outputs to the calibration dataset of heads and fluxes</w:t>
      </w:r>
      <w:r w:rsidR="00E81B38">
        <w:t xml:space="preserve"> (preferably during a period of wide-ranging hydrological stress)</w:t>
      </w:r>
      <w:r w:rsidR="004A1BE1">
        <w:t xml:space="preserve">; </w:t>
      </w:r>
      <w:r w:rsidR="00E81B38">
        <w:t>t</w:t>
      </w:r>
      <w:r w:rsidR="004A1BE1">
        <w:t xml:space="preserve">his </w:t>
      </w:r>
      <w:r w:rsidR="0051169F">
        <w:t>reduces n</w:t>
      </w:r>
      <w:r w:rsidR="0051169F" w:rsidRPr="0051169F">
        <w:t>on-uniqueness</w:t>
      </w:r>
      <w:r w:rsidR="0051169F">
        <w:t xml:space="preserve"> and can be </w:t>
      </w:r>
      <w:r w:rsidR="00B83F22">
        <w:t xml:space="preserve">achieved </w:t>
      </w:r>
      <w:r w:rsidR="004A1BE1">
        <w:t>using the uncertainty analysis techniques of pilot point parameter estimation with Tikhonov regularisation</w:t>
      </w:r>
      <w:r w:rsidR="0051169F">
        <w:t xml:space="preserve"> (</w:t>
      </w:r>
      <w:r w:rsidR="00B83F22">
        <w:t>a means</w:t>
      </w:r>
      <w:r w:rsidR="0051169F" w:rsidRPr="0051169F">
        <w:t xml:space="preserve"> of ensuring that parameter estimates do not move far from initial estimates that are considered to be reasonable</w:t>
      </w:r>
      <w:r w:rsidR="00F466EB">
        <w:t>; Barnett et al. 2012</w:t>
      </w:r>
      <w:r w:rsidR="0051169F">
        <w:t>)</w:t>
      </w:r>
      <w:r w:rsidR="004A1BE1">
        <w:t>;</w:t>
      </w:r>
      <w:r w:rsidR="00E81B38">
        <w:t xml:space="preserve"> and then;</w:t>
      </w:r>
    </w:p>
    <w:p w14:paraId="65DD8DA7" w14:textId="77777777" w:rsidR="00643C75" w:rsidRDefault="00643C75" w:rsidP="00540667">
      <w:pPr>
        <w:pStyle w:val="Bulletnum"/>
      </w:pPr>
      <w:r>
        <w:t xml:space="preserve">quantifying the error in </w:t>
      </w:r>
      <w:r w:rsidR="00016B88">
        <w:t>simulation</w:t>
      </w:r>
      <w:r>
        <w:t>s made by the history-matched model</w:t>
      </w:r>
      <w:r w:rsidR="004A1BE1">
        <w:t>.</w:t>
      </w:r>
    </w:p>
    <w:p w14:paraId="7F902B90" w14:textId="77777777" w:rsidR="00F466EB" w:rsidRDefault="004775CA" w:rsidP="00FD39C0">
      <w:pPr>
        <w:pStyle w:val="BodyText"/>
      </w:pPr>
      <w:r>
        <w:t xml:space="preserve">A model that is carefully calibrated </w:t>
      </w:r>
      <w:r w:rsidR="00FD39C0">
        <w:t xml:space="preserve">(and/or subsequently validated) </w:t>
      </w:r>
      <w:r>
        <w:t xml:space="preserve">in this way should be qualified as a </w:t>
      </w:r>
      <w:bookmarkStart w:id="33" w:name="_Hlk500156092"/>
      <w:r w:rsidRPr="00595C4F">
        <w:rPr>
          <w:b/>
        </w:rPr>
        <w:t>conditionally calibrated</w:t>
      </w:r>
      <w:r w:rsidR="00FD39C0" w:rsidRPr="00595C4F">
        <w:rPr>
          <w:b/>
        </w:rPr>
        <w:t xml:space="preserve"> (validated)</w:t>
      </w:r>
      <w:r w:rsidRPr="00595C4F">
        <w:rPr>
          <w:b/>
        </w:rPr>
        <w:t xml:space="preserve"> model </w:t>
      </w:r>
      <w:r w:rsidR="00FD39C0" w:rsidRPr="00595C4F">
        <w:rPr>
          <w:b/>
        </w:rPr>
        <w:t>in that it has not yet been falsified by tests against observational data</w:t>
      </w:r>
      <w:bookmarkEnd w:id="33"/>
      <w:r w:rsidR="00FD39C0">
        <w:t xml:space="preserve"> </w:t>
      </w:r>
      <w:r>
        <w:t>(Beven</w:t>
      </w:r>
      <w:r w:rsidR="00FD39C0">
        <w:t xml:space="preserve"> and Young, 2013). </w:t>
      </w:r>
    </w:p>
    <w:p w14:paraId="58E422BB" w14:textId="77777777" w:rsidR="00685113" w:rsidRDefault="00F466EB" w:rsidP="00FD39C0">
      <w:pPr>
        <w:pStyle w:val="BodyText"/>
      </w:pPr>
      <w:r>
        <w:t>Conditionally calibrated</w:t>
      </w:r>
      <w:r w:rsidR="00FD39C0">
        <w:t xml:space="preserve"> models are useful for running simulations within the range of the calibration and evaluation data</w:t>
      </w:r>
      <w:r w:rsidR="004F274C">
        <w:t xml:space="preserve"> (Barnett et </w:t>
      </w:r>
      <w:r w:rsidR="00976EA7">
        <w:t>al.</w:t>
      </w:r>
      <w:r w:rsidR="004F274C">
        <w:t xml:space="preserve"> 2012)</w:t>
      </w:r>
      <w:r w:rsidR="00FD39C0">
        <w:t>, while allowing for their updating in the light of future research and development or change</w:t>
      </w:r>
      <w:r w:rsidR="00F54637">
        <w:t>s</w:t>
      </w:r>
      <w:r w:rsidR="00FD39C0">
        <w:t xml:space="preserve"> in catchment characteristics.</w:t>
      </w:r>
    </w:p>
    <w:p w14:paraId="43153DAB" w14:textId="77777777" w:rsidR="00F73CD3" w:rsidRDefault="0049221E" w:rsidP="00E52111">
      <w:pPr>
        <w:pStyle w:val="BodyText"/>
      </w:pPr>
      <w:r>
        <w:t xml:space="preserve">A </w:t>
      </w:r>
      <w:r w:rsidR="004775CA">
        <w:t>conditionally</w:t>
      </w:r>
      <w:r>
        <w:t xml:space="preserve"> </w:t>
      </w:r>
      <w:r w:rsidR="00E81B38">
        <w:t xml:space="preserve">calibrated model </w:t>
      </w:r>
      <w:r w:rsidR="00513B15">
        <w:t xml:space="preserve">can be considered </w:t>
      </w:r>
      <w:r w:rsidR="00E81B38">
        <w:t xml:space="preserve">a </w:t>
      </w:r>
      <w:r w:rsidR="00595C4F">
        <w:t>‘</w:t>
      </w:r>
      <w:r w:rsidR="00E81B38">
        <w:t>receptacle for e</w:t>
      </w:r>
      <w:r w:rsidR="00E81B38" w:rsidRPr="00E81B38">
        <w:t>xpert knowledge</w:t>
      </w:r>
      <w:r w:rsidR="00595C4F">
        <w:t>’</w:t>
      </w:r>
      <w:r w:rsidR="00E81B38" w:rsidRPr="00E81B38">
        <w:t xml:space="preserve"> </w:t>
      </w:r>
      <w:r w:rsidR="00F73CD3">
        <w:t>(Doherty and Moore, 2017)</w:t>
      </w:r>
      <w:r w:rsidR="00595C4F">
        <w:t>, or a ‘good representation of the system of interest’ (Barnett et al. 2012),</w:t>
      </w:r>
      <w:r w:rsidR="00F73CD3">
        <w:t xml:space="preserve"> in terms of:</w:t>
      </w:r>
    </w:p>
    <w:p w14:paraId="20EBABE1" w14:textId="77777777" w:rsidR="00B3674E" w:rsidRDefault="00E81B38" w:rsidP="00F73CD3">
      <w:pPr>
        <w:pStyle w:val="Bulletdot"/>
      </w:pPr>
      <w:r>
        <w:t>the conceptualisation and parameterisation</w:t>
      </w:r>
      <w:r w:rsidRPr="00E81B38">
        <w:t xml:space="preserve"> </w:t>
      </w:r>
      <w:r>
        <w:t xml:space="preserve">used to represent </w:t>
      </w:r>
      <w:r w:rsidRPr="00E81B38">
        <w:t>real world hydraulic properties</w:t>
      </w:r>
      <w:r w:rsidR="0049221E">
        <w:t xml:space="preserve"> with effective simplicity (or appropriate complexity)</w:t>
      </w:r>
      <w:r>
        <w:t xml:space="preserve">, and </w:t>
      </w:r>
    </w:p>
    <w:p w14:paraId="0C2D99A7" w14:textId="77777777" w:rsidR="00B3674E" w:rsidRDefault="00E81B38" w:rsidP="00595C4F">
      <w:pPr>
        <w:pStyle w:val="Bulletdot"/>
      </w:pPr>
      <w:r>
        <w:t>the historical behaviour of the system</w:t>
      </w:r>
      <w:r w:rsidR="000E26C2">
        <w:t xml:space="preserve"> (</w:t>
      </w:r>
      <w:r>
        <w:t xml:space="preserve">as the history match </w:t>
      </w:r>
      <w:r w:rsidR="00595C4F">
        <w:t xml:space="preserve">(conditional calibration) </w:t>
      </w:r>
      <w:r w:rsidRPr="00E81B38">
        <w:t>con</w:t>
      </w:r>
      <w:r>
        <w:t>strains parameters to a narrow</w:t>
      </w:r>
      <w:r w:rsidRPr="00E81B38">
        <w:t xml:space="preserve"> stochastic range</w:t>
      </w:r>
      <w:r w:rsidR="000E26C2">
        <w:t>)</w:t>
      </w:r>
      <w:r w:rsidRPr="00E81B38">
        <w:t xml:space="preserve">. </w:t>
      </w:r>
    </w:p>
    <w:p w14:paraId="4C6C5703" w14:textId="77777777" w:rsidR="00E958CE" w:rsidRDefault="00677B2C" w:rsidP="00E958CE">
      <w:pPr>
        <w:pStyle w:val="BodyText"/>
      </w:pPr>
      <w:r>
        <w:t>Deterministic s</w:t>
      </w:r>
      <w:r w:rsidR="00E958CE">
        <w:t xml:space="preserve">cenario analysis using a </w:t>
      </w:r>
      <w:r w:rsidR="004775CA">
        <w:t xml:space="preserve">conditionally </w:t>
      </w:r>
      <w:r w:rsidR="00E958CE">
        <w:t xml:space="preserve">calibrated model and subjective probability assessment is discouraged as an uncertainty quantification approach due to its questionable subjectivity. However, if it can be established that the conceptualisation and parameterisation is conservative (i.e. over-estimates impact), then a </w:t>
      </w:r>
      <w:r>
        <w:t xml:space="preserve">deterministic </w:t>
      </w:r>
      <w:r w:rsidR="00E958CE">
        <w:t xml:space="preserve">scenario analysis can be used as a screening tool for further investigation and detailed modelling, or it may be used in qualitative uncertainty analysis for a low risk context (e.g. see </w:t>
      </w:r>
      <w:r w:rsidR="00E958CE" w:rsidRPr="00180A37">
        <w:t xml:space="preserve">section </w:t>
      </w:r>
      <w:r w:rsidR="00E22D47">
        <w:fldChar w:fldCharType="begin"/>
      </w:r>
      <w:r w:rsidR="00E22D47">
        <w:instrText xml:space="preserve"> REF _Ref505518571 \r \h </w:instrText>
      </w:r>
      <w:r w:rsidR="00E22D47">
        <w:fldChar w:fldCharType="separate"/>
      </w:r>
      <w:r w:rsidR="007950E7">
        <w:t>11.1</w:t>
      </w:r>
      <w:r w:rsidR="00E22D47">
        <w:fldChar w:fldCharType="end"/>
      </w:r>
      <w:r w:rsidR="00E958CE">
        <w:t>).</w:t>
      </w:r>
    </w:p>
    <w:p w14:paraId="7352E288" w14:textId="77777777" w:rsidR="00C72D88" w:rsidRDefault="00E958CE" w:rsidP="00C72D88">
      <w:pPr>
        <w:pStyle w:val="BodyText"/>
      </w:pPr>
      <w:r>
        <w:t xml:space="preserve">A </w:t>
      </w:r>
      <w:r w:rsidR="00677B2C">
        <w:t>conditional</w:t>
      </w:r>
      <w:r>
        <w:t xml:space="preserve"> calibration </w:t>
      </w:r>
      <w:r w:rsidR="009D2460">
        <w:t>approach</w:t>
      </w:r>
      <w:r w:rsidR="009D2460" w:rsidRPr="000E26C2">
        <w:t xml:space="preserve"> </w:t>
      </w:r>
      <w:r>
        <w:t xml:space="preserve">can be used to </w:t>
      </w:r>
      <w:r w:rsidR="00685113" w:rsidRPr="000E26C2">
        <w:t xml:space="preserve">provide the </w:t>
      </w:r>
      <w:r w:rsidR="00B3674E">
        <w:t xml:space="preserve">prior probability </w:t>
      </w:r>
      <w:r w:rsidR="00685113" w:rsidRPr="00BB3C15">
        <w:t>foundation</w:t>
      </w:r>
      <w:r w:rsidR="00685113" w:rsidRPr="000E26C2">
        <w:t xml:space="preserve"> for a </w:t>
      </w:r>
      <w:r w:rsidR="00B3674E">
        <w:t>(</w:t>
      </w:r>
      <w:r w:rsidR="00137C72">
        <w:t xml:space="preserve">tractable but not </w:t>
      </w:r>
      <w:r w:rsidR="00B3674E">
        <w:t xml:space="preserve">strictly) </w:t>
      </w:r>
      <w:r w:rsidR="00685113" w:rsidRPr="000E26C2">
        <w:t>Bayesian investigation of stochastic uncertainty</w:t>
      </w:r>
      <w:r w:rsidR="00016612">
        <w:t xml:space="preserve"> (see </w:t>
      </w:r>
      <w:r w:rsidR="00016612" w:rsidRPr="00180A37">
        <w:t xml:space="preserve">section </w:t>
      </w:r>
      <w:r w:rsidR="00E22D47">
        <w:fldChar w:fldCharType="begin"/>
      </w:r>
      <w:r w:rsidR="00E22D47">
        <w:instrText xml:space="preserve"> REF _Ref505518533 \r \h </w:instrText>
      </w:r>
      <w:r w:rsidR="00E22D47">
        <w:fldChar w:fldCharType="separate"/>
      </w:r>
      <w:r w:rsidR="007950E7">
        <w:t>11.3</w:t>
      </w:r>
      <w:r w:rsidR="00E22D47">
        <w:fldChar w:fldCharType="end"/>
      </w:r>
      <w:r w:rsidR="00016612">
        <w:t>)</w:t>
      </w:r>
      <w:r w:rsidR="00137C72">
        <w:t>. However,</w:t>
      </w:r>
      <w:r w:rsidR="00125C92">
        <w:t xml:space="preserve"> it does not necessarily </w:t>
      </w:r>
      <w:r w:rsidR="00016612">
        <w:t xml:space="preserve">reduce sources of predictive bias that may be introduced via </w:t>
      </w:r>
      <w:r w:rsidR="00016612">
        <w:lastRenderedPageBreak/>
        <w:t xml:space="preserve">simplification assumptions or via a </w:t>
      </w:r>
      <w:r w:rsidR="00981499">
        <w:t xml:space="preserve">conditional </w:t>
      </w:r>
      <w:r w:rsidR="00016612">
        <w:t xml:space="preserve">calibration process that </w:t>
      </w:r>
      <w:r w:rsidR="00016612" w:rsidRPr="00016612">
        <w:t>compensa</w:t>
      </w:r>
      <w:r w:rsidR="00016612">
        <w:t xml:space="preserve">te for model defects via </w:t>
      </w:r>
      <w:r w:rsidR="00016612" w:rsidRPr="00016612">
        <w:t>biased parameter values of the history-match model</w:t>
      </w:r>
      <w:r w:rsidR="00016612">
        <w:t xml:space="preserve"> (Doherty and Moore, 2017)</w:t>
      </w:r>
      <w:r w:rsidR="00E81B38" w:rsidRPr="000E26C2">
        <w:t>.</w:t>
      </w:r>
      <w:r w:rsidR="00E81B38" w:rsidRPr="00E81B38">
        <w:t xml:space="preserve"> </w:t>
      </w:r>
    </w:p>
    <w:p w14:paraId="4DC97072" w14:textId="77777777" w:rsidR="005F7180" w:rsidRDefault="009263FE" w:rsidP="009263FE">
      <w:pPr>
        <w:pStyle w:val="Heading1"/>
      </w:pPr>
      <w:bookmarkStart w:id="34" w:name="_Toc505681244"/>
      <w:r>
        <w:t>MODEL COMPLEXITY / SIMPLICITY</w:t>
      </w:r>
      <w:bookmarkEnd w:id="34"/>
    </w:p>
    <w:p w14:paraId="43EB94C3" w14:textId="77777777" w:rsidR="000C5FF2" w:rsidRDefault="000C5FF2" w:rsidP="00B35950">
      <w:pPr>
        <w:pStyle w:val="Heading2"/>
      </w:pPr>
      <w:bookmarkStart w:id="35" w:name="_Toc505681245"/>
      <w:r w:rsidRPr="003F67C8">
        <w:t>Geological Complexity</w:t>
      </w:r>
      <w:bookmarkEnd w:id="35"/>
    </w:p>
    <w:p w14:paraId="3FB6E464" w14:textId="77777777" w:rsidR="000C5FF2" w:rsidRDefault="000C5FF2" w:rsidP="000C5FF2">
      <w:pPr>
        <w:pStyle w:val="BodyText"/>
      </w:pPr>
      <w:r w:rsidRPr="00520720">
        <w:t xml:space="preserve">The level of hydrogeologic complexity </w:t>
      </w:r>
      <w:r>
        <w:t>incorporated</w:t>
      </w:r>
      <w:r w:rsidRPr="00520720">
        <w:t xml:space="preserve"> in a</w:t>
      </w:r>
      <w:r w:rsidR="00A755DA">
        <w:t>ny</w:t>
      </w:r>
      <w:r w:rsidRPr="00520720">
        <w:t xml:space="preserve"> model should be commensurate with its purpose (Neuman and Wierenga, 2003).</w:t>
      </w:r>
      <w:r w:rsidR="00B009B5">
        <w:t xml:space="preserve"> </w:t>
      </w:r>
      <w:r w:rsidR="002B7240">
        <w:t>It is worth reiterating for the purpose of this Explanatory Note, the purpose of a modelling study</w:t>
      </w:r>
      <w:r w:rsidR="002B7240" w:rsidRPr="002B7240">
        <w:t xml:space="preserve"> </w:t>
      </w:r>
      <w:r w:rsidR="002B7240">
        <w:t xml:space="preserve">is </w:t>
      </w:r>
      <w:r w:rsidR="002B7240" w:rsidRPr="002B7240">
        <w:t>to provide information about the uncertainty in conceptualisations and model simulation outputs in a way that allows decision makers to understand the effects of uncertainty on project objectives and the effects of potential bias</w:t>
      </w:r>
      <w:r w:rsidR="002B7240">
        <w:t>.</w:t>
      </w:r>
    </w:p>
    <w:p w14:paraId="6664AB37" w14:textId="77777777" w:rsidR="000C5FF2" w:rsidRDefault="000C5FF2" w:rsidP="000C5FF2">
      <w:pPr>
        <w:pStyle w:val="BodyText"/>
      </w:pPr>
      <w:r>
        <w:t>Refsgaard et al</w:t>
      </w:r>
      <w:r w:rsidR="00EF7FDA">
        <w:t>.</w:t>
      </w:r>
      <w:r>
        <w:t xml:space="preserve"> (2012) concluded that the importance of geological models is </w:t>
      </w:r>
      <w:r w:rsidR="00B009B5">
        <w:t>lessened</w:t>
      </w:r>
      <w:r>
        <w:t xml:space="preserve"> for flow modelling </w:t>
      </w:r>
      <w:r w:rsidR="00016B88">
        <w:t>simulation</w:t>
      </w:r>
      <w:r>
        <w:t xml:space="preserve">s, provided that (history match) </w:t>
      </w:r>
      <w:r w:rsidR="00981499">
        <w:t xml:space="preserve">conditional </w:t>
      </w:r>
      <w:r>
        <w:t xml:space="preserve">calibration against head and discharge data is performed, and that model simulations are confined; (i) to the same types of variables used for </w:t>
      </w:r>
      <w:r w:rsidR="00981499">
        <w:t xml:space="preserve">conditional </w:t>
      </w:r>
      <w:r>
        <w:t>calibration</w:t>
      </w:r>
      <w:r w:rsidR="00B009B5">
        <w:t xml:space="preserve"> (e.g. head and flux data)</w:t>
      </w:r>
      <w:r>
        <w:t xml:space="preserve">, and (ii) to similar hydrological stress regimes (pumping, climate and timeframes). </w:t>
      </w:r>
      <w:bookmarkStart w:id="36" w:name="_Hlk498785947"/>
      <w:r w:rsidR="00336996">
        <w:t>These principles are consistent with the AGMG guiding principles</w:t>
      </w:r>
      <w:bookmarkEnd w:id="36"/>
      <w:r w:rsidR="008C5FFF">
        <w:t xml:space="preserve"> (Barnett et </w:t>
      </w:r>
      <w:r w:rsidR="00976EA7">
        <w:t>al.</w:t>
      </w:r>
      <w:r w:rsidR="008C5FFF">
        <w:t xml:space="preserve"> 2012)</w:t>
      </w:r>
      <w:r w:rsidR="00336996">
        <w:t xml:space="preserve">. </w:t>
      </w:r>
      <w:r>
        <w:t xml:space="preserve">It is argued that, in these cases, the inevitable (unknown) errors in the geological interpretations can (to some extent) be compensated by the biased parameter values of the history-match model. However, they warn that geological model uncertainties become crucial in situations where groundwater models that are history-matched to head and discharge data for the historical pumping or climate record are then used for extrapolation beyond that </w:t>
      </w:r>
      <w:r w:rsidR="00981499">
        <w:t xml:space="preserve">conditional </w:t>
      </w:r>
      <w:r>
        <w:t xml:space="preserve">calibration base. In such ‘out of range’ </w:t>
      </w:r>
      <w:r w:rsidR="00016B88">
        <w:t>simulation</w:t>
      </w:r>
      <w:r>
        <w:t>s, the geological structure uncertainty may often be the dominant source, and thus alternative hydrogeological conceptualisations should form part</w:t>
      </w:r>
      <w:r w:rsidR="003145F5">
        <w:t xml:space="preserve"> of</w:t>
      </w:r>
      <w:r>
        <w:t xml:space="preserve"> the uncertainty assessment.</w:t>
      </w:r>
    </w:p>
    <w:p w14:paraId="3F09437C" w14:textId="77777777" w:rsidR="00B009B5" w:rsidRDefault="00B009B5" w:rsidP="00B009B5">
      <w:pPr>
        <w:pStyle w:val="Heading2"/>
      </w:pPr>
      <w:bookmarkStart w:id="37" w:name="_Toc505681246"/>
      <w:r w:rsidRPr="00B009B5">
        <w:t>Model Complexity</w:t>
      </w:r>
      <w:r>
        <w:t xml:space="preserve"> Overheads</w:t>
      </w:r>
      <w:bookmarkEnd w:id="37"/>
    </w:p>
    <w:p w14:paraId="616EB21A" w14:textId="77777777" w:rsidR="00B009B5" w:rsidRPr="000C5FF2" w:rsidRDefault="00B009B5" w:rsidP="00B009B5">
      <w:pPr>
        <w:pStyle w:val="BodyText"/>
      </w:pPr>
      <w:r w:rsidRPr="000C5FF2">
        <w:t xml:space="preserve">Highly complex models are expensive to develop, and usually run slowly or are not numerically stable. This hinders the methods used for uncertainty analysis to quantify the extent to which the model complexity and parameterisation allows for the available observations to be matched within specified criteria in order to reduce predictive uncertainty. It is also difficult to scrutinise </w:t>
      </w:r>
      <w:r w:rsidR="00B35950">
        <w:t xml:space="preserve">(or indeed to communicate) </w:t>
      </w:r>
      <w:r w:rsidRPr="000C5FF2">
        <w:t>all aspects of highly complex models, which renders them less transparent, which in turn can lead to a loss in confidence in the model results (Saltelli and Funtowicz, 2014).</w:t>
      </w:r>
    </w:p>
    <w:p w14:paraId="6EB38947" w14:textId="77777777" w:rsidR="00B009B5" w:rsidRDefault="00B009B5" w:rsidP="00B009B5">
      <w:pPr>
        <w:pStyle w:val="BodyText"/>
      </w:pPr>
      <w:r w:rsidRPr="000C5FF2">
        <w:t xml:space="preserve">There are also concerns that </w:t>
      </w:r>
      <w:r w:rsidR="008C5FFF">
        <w:t xml:space="preserve">the AGMG (Barnett et </w:t>
      </w:r>
      <w:r w:rsidR="00976EA7">
        <w:t>al.</w:t>
      </w:r>
      <w:r w:rsidR="008C5FFF">
        <w:t xml:space="preserve"> 2012)</w:t>
      </w:r>
      <w:r w:rsidRPr="000C5FF2">
        <w:t xml:space="preserve"> are being used inappropriately in some cases to justify “indiscriminate complexification” of models, rather than “effective simplification” (Voss, 2011</w:t>
      </w:r>
      <w:r w:rsidR="00F949D5">
        <w:t>b</w:t>
      </w:r>
      <w:r w:rsidRPr="000C5FF2">
        <w:t xml:space="preserve">) where that would be more appropriate for the investigation context, objectives and resources (Doherty, 2010).  </w:t>
      </w:r>
      <w:r w:rsidR="00B35950">
        <w:t xml:space="preserve">There are also cases where opponents of coal or CSG developments have suggested that impact assessments may be fatally flawed </w:t>
      </w:r>
      <w:r w:rsidR="00F309C9">
        <w:t>because it is claimed</w:t>
      </w:r>
      <w:r w:rsidR="00B35950">
        <w:t xml:space="preserve"> </w:t>
      </w:r>
      <w:r w:rsidR="00F309C9">
        <w:t xml:space="preserve">that </w:t>
      </w:r>
      <w:r w:rsidR="00B35950">
        <w:t>models do not capture adequate complexity.</w:t>
      </w:r>
    </w:p>
    <w:p w14:paraId="78A64FF7" w14:textId="77777777" w:rsidR="00F309C9" w:rsidRDefault="00B35950" w:rsidP="000C5FF2">
      <w:pPr>
        <w:pStyle w:val="BodyText"/>
      </w:pPr>
      <w:r w:rsidRPr="00B35950">
        <w:t xml:space="preserve">Whereas increased </w:t>
      </w:r>
      <w:r>
        <w:t>complexity</w:t>
      </w:r>
      <w:r w:rsidRPr="00B35950">
        <w:t xml:space="preserve"> does not necessarily translate directly into a stronger technical basis for regulatory decisions, the use of overly simplified models may result in erroneous decisions.</w:t>
      </w:r>
      <w:r w:rsidR="00F309C9">
        <w:t xml:space="preserve"> A</w:t>
      </w:r>
      <w:r w:rsidRPr="00B35950">
        <w:t xml:space="preserve">n approach is advocated </w:t>
      </w:r>
      <w:r w:rsidR="00F309C9">
        <w:t xml:space="preserve">in this Explanatory Note </w:t>
      </w:r>
      <w:r w:rsidRPr="00B35950">
        <w:t xml:space="preserve">that goes beyond platitudes of </w:t>
      </w:r>
      <w:r w:rsidR="00F309C9">
        <w:t xml:space="preserve">subjectively </w:t>
      </w:r>
      <w:r w:rsidRPr="00B35950">
        <w:t xml:space="preserve">making a model </w:t>
      </w:r>
      <w:r w:rsidR="00531510">
        <w:t>“</w:t>
      </w:r>
      <w:r w:rsidRPr="00B35950">
        <w:t xml:space="preserve">as simple </w:t>
      </w:r>
      <w:r w:rsidR="00F309C9">
        <w:t xml:space="preserve">or complex </w:t>
      </w:r>
      <w:r w:rsidRPr="00B35950">
        <w:t>as required</w:t>
      </w:r>
      <w:r w:rsidR="00F309C9">
        <w:t>,</w:t>
      </w:r>
      <w:r w:rsidR="00531510">
        <w:t xml:space="preserve"> but not too simple or complex”</w:t>
      </w:r>
      <w:r w:rsidR="00F309C9">
        <w:t xml:space="preserve"> as many guidelines recommend. Rather;</w:t>
      </w:r>
    </w:p>
    <w:p w14:paraId="1F56BB95" w14:textId="77777777" w:rsidR="00F309C9" w:rsidRDefault="00F309C9" w:rsidP="0072154B">
      <w:pPr>
        <w:pStyle w:val="Bulletdot"/>
        <w:numPr>
          <w:ilvl w:val="0"/>
          <w:numId w:val="35"/>
        </w:numPr>
      </w:pPr>
      <w:r w:rsidRPr="00F309C9">
        <w:t xml:space="preserve">the model must be </w:t>
      </w:r>
      <w:r>
        <w:t xml:space="preserve">designed to be </w:t>
      </w:r>
      <w:r w:rsidRPr="00F309C9">
        <w:t>specifically fit for th</w:t>
      </w:r>
      <w:r>
        <w:t>e</w:t>
      </w:r>
      <w:r w:rsidRPr="00F309C9">
        <w:t xml:space="preserve"> purpose</w:t>
      </w:r>
      <w:r>
        <w:t xml:space="preserve"> </w:t>
      </w:r>
      <w:r w:rsidR="00DB11D0">
        <w:t>of providing</w:t>
      </w:r>
      <w:r w:rsidRPr="00F309C9">
        <w:t xml:space="preserve"> information about uncertainty in a way that </w:t>
      </w:r>
      <w:r w:rsidR="00531510">
        <w:t xml:space="preserve">allows </w:t>
      </w:r>
      <w:bookmarkStart w:id="38" w:name="_Hlk498356104"/>
      <w:r w:rsidR="00531510">
        <w:t xml:space="preserve">decision makers </w:t>
      </w:r>
      <w:r w:rsidR="00DB11D0">
        <w:t xml:space="preserve">to </w:t>
      </w:r>
      <w:r w:rsidR="00531510">
        <w:t>understand the effects of uncertainty on project objectives</w:t>
      </w:r>
      <w:bookmarkEnd w:id="38"/>
      <w:r w:rsidR="00C76678">
        <w:t>, and the effects of potential bias</w:t>
      </w:r>
      <w:r w:rsidR="00531510">
        <w:t>;</w:t>
      </w:r>
    </w:p>
    <w:p w14:paraId="5D66F88D" w14:textId="77777777" w:rsidR="00F66AA7" w:rsidRDefault="00F309C9" w:rsidP="00C801E5">
      <w:pPr>
        <w:pStyle w:val="Bulletdot"/>
        <w:numPr>
          <w:ilvl w:val="0"/>
          <w:numId w:val="35"/>
        </w:numPr>
      </w:pPr>
      <w:r w:rsidRPr="00F309C9">
        <w:t xml:space="preserve">engagement with regulatory agencies is required </w:t>
      </w:r>
      <w:r w:rsidR="00020069">
        <w:t xml:space="preserve">from the outset and </w:t>
      </w:r>
      <w:r w:rsidRPr="00F309C9">
        <w:t xml:space="preserve">at </w:t>
      </w:r>
      <w:r>
        <w:t>all stages</w:t>
      </w:r>
      <w:r w:rsidR="00020069">
        <w:t xml:space="preserve"> throughout the modelling study</w:t>
      </w:r>
      <w:r w:rsidRPr="00F309C9">
        <w:t xml:space="preserve">, to discuss and agree the </w:t>
      </w:r>
      <w:r w:rsidR="00020069">
        <w:t xml:space="preserve">uncertainty analysis </w:t>
      </w:r>
      <w:r w:rsidRPr="00F309C9">
        <w:t>methodologies and understand the implications of the results</w:t>
      </w:r>
      <w:r>
        <w:t>.</w:t>
      </w:r>
    </w:p>
    <w:p w14:paraId="0E8CD1CE" w14:textId="77777777" w:rsidR="003515C5" w:rsidRDefault="003515C5">
      <w:pPr>
        <w:widowControl/>
        <w:autoSpaceDE/>
        <w:autoSpaceDN/>
        <w:adjustRightInd/>
        <w:rPr>
          <w:b/>
          <w:bCs/>
        </w:rPr>
      </w:pPr>
      <w:bookmarkStart w:id="39" w:name="2.1_Conceptual_modelling"/>
      <w:bookmarkStart w:id="40" w:name="_Ref505518723"/>
      <w:bookmarkStart w:id="41" w:name="_Ref505518742"/>
      <w:bookmarkStart w:id="42" w:name="_Toc505681247"/>
      <w:bookmarkEnd w:id="39"/>
      <w:r>
        <w:br w:type="page"/>
      </w:r>
    </w:p>
    <w:p w14:paraId="525A269E" w14:textId="648CF480" w:rsidR="00E658CF" w:rsidRDefault="009263FE" w:rsidP="009263FE">
      <w:pPr>
        <w:pStyle w:val="Heading1"/>
      </w:pPr>
      <w:r>
        <w:lastRenderedPageBreak/>
        <w:t>UNCERTAINTY QUANTIFICATION TECHNIQUES</w:t>
      </w:r>
      <w:bookmarkEnd w:id="40"/>
      <w:bookmarkEnd w:id="41"/>
      <w:bookmarkEnd w:id="42"/>
      <w:r>
        <w:t xml:space="preserve"> </w:t>
      </w:r>
    </w:p>
    <w:p w14:paraId="67885CBA" w14:textId="77777777" w:rsidR="003919E0" w:rsidRDefault="000F349F" w:rsidP="00E658CF">
      <w:pPr>
        <w:pStyle w:val="BodyText"/>
      </w:pPr>
      <w:bookmarkStart w:id="43" w:name="_Hlk498330635"/>
      <w:r>
        <w:t>The practical implementation of the concepts described above can be a daunting task, especially when one seeks an approach that respects the theoretical nuances of uncertainty quantification</w:t>
      </w:r>
      <w:r w:rsidR="003919E0">
        <w:t xml:space="preserve"> in a transparent way, while being pragmatic in the face of modelling resources that are never unlimited. </w:t>
      </w:r>
    </w:p>
    <w:p w14:paraId="755A49E5" w14:textId="2C33E241" w:rsidR="00910279" w:rsidRDefault="009078D8" w:rsidP="00B13413">
      <w:pPr>
        <w:pStyle w:val="BodyText"/>
      </w:pPr>
      <w:r>
        <w:t xml:space="preserve">There </w:t>
      </w:r>
      <w:r w:rsidR="007B03CD">
        <w:t>ha</w:t>
      </w:r>
      <w:r w:rsidR="000972AB">
        <w:t>s</w:t>
      </w:r>
      <w:r w:rsidR="007B03CD">
        <w:t xml:space="preserve"> been</w:t>
      </w:r>
      <w:r>
        <w:t xml:space="preserve"> a wide variety of uncertainty quantification techniques </w:t>
      </w:r>
      <w:r w:rsidR="007B03CD">
        <w:t>developed for water resources in the last four decades (Maier et al. 2014). In very general terms, these can be classified in three groups</w:t>
      </w:r>
      <w:r w:rsidR="00BB3C15">
        <w:t>, and</w:t>
      </w:r>
      <w:r w:rsidR="00BB3C15" w:rsidRPr="00BB3C15">
        <w:t xml:space="preserve"> </w:t>
      </w:r>
      <w:r w:rsidR="00BB3C15">
        <w:t>f</w:t>
      </w:r>
      <w:r w:rsidR="00BB3C15" w:rsidRPr="00BB3C15">
        <w:t xml:space="preserve">or practical projects, </w:t>
      </w:r>
      <w:r w:rsidR="00BB3C15">
        <w:t xml:space="preserve">these </w:t>
      </w:r>
      <w:r w:rsidR="00BB3C15" w:rsidRPr="00BB3C15">
        <w:t>three different approaches may be considered to arrive at a probabilistic assessment of the model outcomes to inform a risk assessment</w:t>
      </w:r>
      <w:r w:rsidR="00910279">
        <w:t xml:space="preserve">: </w:t>
      </w:r>
    </w:p>
    <w:p w14:paraId="23D1DFD6" w14:textId="6661E96D" w:rsidR="00910279" w:rsidRDefault="00BB3C15" w:rsidP="00540667">
      <w:pPr>
        <w:pStyle w:val="Bulletnum"/>
        <w:numPr>
          <w:ilvl w:val="0"/>
          <w:numId w:val="42"/>
        </w:numPr>
        <w:ind w:left="426"/>
      </w:pPr>
      <w:r>
        <w:t xml:space="preserve">Deterministic </w:t>
      </w:r>
      <w:r w:rsidR="00910279">
        <w:t xml:space="preserve">Scenario </w:t>
      </w:r>
      <w:r>
        <w:t>A</w:t>
      </w:r>
      <w:r w:rsidR="00910279">
        <w:t>nalysis with subjective probability quantification</w:t>
      </w:r>
    </w:p>
    <w:p w14:paraId="4584E225" w14:textId="4C57E9C5" w:rsidR="00AC1F0B" w:rsidRPr="00B13413" w:rsidRDefault="00AC1F0B" w:rsidP="00B13413">
      <w:pPr>
        <w:pStyle w:val="BodyTextindent"/>
      </w:pPr>
      <w:r w:rsidRPr="00B13413">
        <w:t>The model is run with a limited number</w:t>
      </w:r>
      <w:r w:rsidR="00F9162A" w:rsidRPr="00B13413">
        <w:t xml:space="preserve"> of different plausible parameter combinations. In hydrogeological model reports, this is often refer</w:t>
      </w:r>
      <w:r w:rsidR="0023798D">
        <w:t>red to as sensitivity analysis (</w:t>
      </w:r>
      <w:r w:rsidR="00F9162A" w:rsidRPr="00B13413">
        <w:t xml:space="preserve">see </w:t>
      </w:r>
      <w:r w:rsidR="008D7AB2" w:rsidRPr="00180A37">
        <w:t xml:space="preserve">section </w:t>
      </w:r>
      <w:r w:rsidR="00E22D47">
        <w:fldChar w:fldCharType="begin"/>
      </w:r>
      <w:r w:rsidR="00E22D47">
        <w:instrText xml:space="preserve"> REF _Ref505518609 \r \h </w:instrText>
      </w:r>
      <w:r w:rsidR="00E22D47">
        <w:fldChar w:fldCharType="separate"/>
      </w:r>
      <w:r w:rsidR="007950E7">
        <w:t>0</w:t>
      </w:r>
      <w:r w:rsidR="00E22D47">
        <w:fldChar w:fldCharType="end"/>
      </w:r>
      <w:r w:rsidR="008D7AB2">
        <w:t xml:space="preserve"> </w:t>
      </w:r>
      <w:r w:rsidR="00F9162A" w:rsidRPr="00B13413">
        <w:t>for comprehensive dis</w:t>
      </w:r>
      <w:r w:rsidR="0023798D">
        <w:t>cussion of sensitivity analysis)</w:t>
      </w:r>
      <w:r w:rsidR="00F9162A" w:rsidRPr="00B13413">
        <w:t>. For these results to be used in a risk analysis, a subjective, often informal probability needs to be specified</w:t>
      </w:r>
      <w:r w:rsidR="00A62D0B">
        <w:t xml:space="preserve"> (e.g.</w:t>
      </w:r>
      <w:r w:rsidR="00F9162A" w:rsidRPr="00B13413">
        <w:t xml:space="preserve"> a description </w:t>
      </w:r>
      <w:r w:rsidR="00B12CD1" w:rsidRPr="00B13413">
        <w:t>such as</w:t>
      </w:r>
      <w:r w:rsidR="00F9162A" w:rsidRPr="00B13413">
        <w:t xml:space="preserve"> ‘worst case’</w:t>
      </w:r>
      <w:r w:rsidR="00A62D0B">
        <w:t>)</w:t>
      </w:r>
      <w:r w:rsidR="00F9162A" w:rsidRPr="00B13413">
        <w:t>.</w:t>
      </w:r>
    </w:p>
    <w:p w14:paraId="15E47146" w14:textId="7E1573D1" w:rsidR="001503DA" w:rsidRDefault="00910279" w:rsidP="00B13413">
      <w:pPr>
        <w:pStyle w:val="Bulletnum"/>
      </w:pPr>
      <w:r>
        <w:t xml:space="preserve">Deterministic modelling with </w:t>
      </w:r>
      <w:r w:rsidR="00FD0373">
        <w:t xml:space="preserve">linear </w:t>
      </w:r>
      <w:r>
        <w:t>probability quantification</w:t>
      </w:r>
    </w:p>
    <w:p w14:paraId="77DA3702" w14:textId="77777777" w:rsidR="001503DA" w:rsidRDefault="001503DA" w:rsidP="00B13413">
      <w:pPr>
        <w:pStyle w:val="BodyTextindent"/>
      </w:pPr>
      <w:r>
        <w:t xml:space="preserve">The model is calibrated (either automated or by trial and error) to obtain a single parameter combination that </w:t>
      </w:r>
      <w:r w:rsidR="00020069" w:rsidRPr="00020069">
        <w:t xml:space="preserve">is considered to be realistic and </w:t>
      </w:r>
      <w:r>
        <w:t>minimises the mismatch between observed and simulated values. The model is assumed to behave linearly in the vicinity of this optimal parameter combination</w:t>
      </w:r>
      <w:r w:rsidR="006A0223">
        <w:t xml:space="preserve"> and it is further assumed that the uncertainty in parameters and observations can be described through </w:t>
      </w:r>
      <w:r w:rsidR="009078D8">
        <w:t>multivariate normal distributions. This may require transforming parameters and observations through for instance a log-transform.</w:t>
      </w:r>
      <w:r w:rsidR="006A0223">
        <w:t xml:space="preserve"> Using linear error propagation equations, the predictive uncertainty can be expressed as a </w:t>
      </w:r>
      <w:r w:rsidR="00465F50">
        <w:t>confidence interval based on the standard deviation.</w:t>
      </w:r>
    </w:p>
    <w:p w14:paraId="097D4ADB" w14:textId="77777777" w:rsidR="00465F50" w:rsidRDefault="00910279" w:rsidP="00B13413">
      <w:pPr>
        <w:pStyle w:val="Bulletnum"/>
      </w:pPr>
      <w:r>
        <w:t>Stochastic modelling with Bayesian probability quantification</w:t>
      </w:r>
    </w:p>
    <w:p w14:paraId="26AD623E" w14:textId="77777777" w:rsidR="00465F50" w:rsidRDefault="00FD0373" w:rsidP="00B13413">
      <w:pPr>
        <w:pStyle w:val="BodyTextindent"/>
      </w:pPr>
      <w:r w:rsidRPr="00FD0373">
        <w:t>An ensemble of model predictions is generated, based on a large number of model evaluations with different parameter values that are all consistent with the observations</w:t>
      </w:r>
      <w:r w:rsidR="00B12CD1">
        <w:t>.</w:t>
      </w:r>
    </w:p>
    <w:p w14:paraId="649E9E37" w14:textId="5D7B9295" w:rsidR="007B03CD" w:rsidRDefault="00702DB3" w:rsidP="007B5C90">
      <w:pPr>
        <w:pStyle w:val="BodyText"/>
      </w:pPr>
      <w:r>
        <w:t>Each of these practical methods does not have to be applied to any case</w:t>
      </w:r>
      <w:r w:rsidR="00FD0373">
        <w:t>. There is not a single preferred method</w:t>
      </w:r>
      <w:r>
        <w:t xml:space="preserve">, and </w:t>
      </w:r>
      <w:r w:rsidR="00FD0373">
        <w:t xml:space="preserve">there may be </w:t>
      </w:r>
      <w:r>
        <w:t xml:space="preserve">alternative methods </w:t>
      </w:r>
      <w:r w:rsidR="00FD0373">
        <w:t xml:space="preserve">(not outlined herein) that </w:t>
      </w:r>
      <w:r>
        <w:t xml:space="preserve">may be </w:t>
      </w:r>
      <w:r w:rsidR="00FD0373">
        <w:t xml:space="preserve">justified as </w:t>
      </w:r>
      <w:r>
        <w:t xml:space="preserve">more suitable. </w:t>
      </w:r>
      <w:r w:rsidR="00FD0373">
        <w:t>It is, however, crucial to acknowledge that e</w:t>
      </w:r>
      <w:r w:rsidR="00A644FA">
        <w:t xml:space="preserve">ach </w:t>
      </w:r>
      <w:r>
        <w:t xml:space="preserve">uncertainty analysis method has </w:t>
      </w:r>
      <w:r w:rsidR="00910279">
        <w:t>different underpinning assumptions</w:t>
      </w:r>
      <w:r w:rsidR="00FD0373">
        <w:t>. I</w:t>
      </w:r>
      <w:r w:rsidR="00910279">
        <w:t xml:space="preserve">t is the role of the modeller to discuss and justify each assumption </w:t>
      </w:r>
      <w:r w:rsidR="00AA5C75">
        <w:t>in the technical report(s)</w:t>
      </w:r>
      <w:r w:rsidR="000F6917">
        <w:t xml:space="preserve"> contained in EISs</w:t>
      </w:r>
      <w:r w:rsidR="00AA5C75">
        <w:t xml:space="preserve"> </w:t>
      </w:r>
      <w:r w:rsidR="00910279">
        <w:t>in a manner that is open, transparent and amenable for scrutiny</w:t>
      </w:r>
      <w:r w:rsidR="00800AF5">
        <w:t>, as well as presenting the results clearly such they are not prone to misinterpretation</w:t>
      </w:r>
      <w:r w:rsidR="00910279">
        <w:t>.</w:t>
      </w:r>
      <w:r w:rsidR="007B03CD">
        <w:t xml:space="preserve"> </w:t>
      </w:r>
      <w:r w:rsidR="007B03CD" w:rsidRPr="00FD0373">
        <w:t xml:space="preserve">Section </w:t>
      </w:r>
      <w:r w:rsidR="00E22D47">
        <w:fldChar w:fldCharType="begin"/>
      </w:r>
      <w:r w:rsidR="00E22D47">
        <w:instrText xml:space="preserve"> REF _Ref505518655 \r \h </w:instrText>
      </w:r>
      <w:r w:rsidR="00E22D47">
        <w:fldChar w:fldCharType="separate"/>
      </w:r>
      <w:r w:rsidR="007950E7">
        <w:t>11</w:t>
      </w:r>
      <w:r w:rsidR="00E22D47">
        <w:fldChar w:fldCharType="end"/>
      </w:r>
      <w:r w:rsidR="007B03CD">
        <w:t xml:space="preserve"> discusses in greater detail the main assumptions, advantages and drawbacks of each group of uncertainty quantification techniques.</w:t>
      </w:r>
      <w:r w:rsidR="002171C0">
        <w:t xml:space="preserve"> </w:t>
      </w:r>
    </w:p>
    <w:p w14:paraId="34289EF0" w14:textId="77777777" w:rsidR="00910279" w:rsidRDefault="002171C0" w:rsidP="007B5C90">
      <w:pPr>
        <w:pStyle w:val="BodyText"/>
      </w:pPr>
      <w:r w:rsidRPr="00AA5C75">
        <w:t>The assumption hunting approach discussed by Peeters (2017</w:t>
      </w:r>
      <w:r w:rsidR="00A644FA" w:rsidRPr="00AA5C75">
        <w:t>a</w:t>
      </w:r>
      <w:r w:rsidRPr="00AA5C75">
        <w:t>)</w:t>
      </w:r>
      <w:r>
        <w:t xml:space="preserve"> provides a framework to systematically discuss assumptions in terms of the rationale behind the assumption chosen and its potential effects on the </w:t>
      </w:r>
      <w:r w:rsidR="00A62D0B">
        <w:t xml:space="preserve">simulations </w:t>
      </w:r>
      <w:r>
        <w:t xml:space="preserve">required of the model to address the project objectives. This is discussed in greater detail in </w:t>
      </w:r>
      <w:r w:rsidRPr="00180A37">
        <w:t xml:space="preserve">section </w:t>
      </w:r>
      <w:r w:rsidR="00E22D47">
        <w:fldChar w:fldCharType="begin"/>
      </w:r>
      <w:r w:rsidR="00E22D47">
        <w:instrText xml:space="preserve"> REF _Ref505518638 \r \h </w:instrText>
      </w:r>
      <w:r w:rsidR="00E22D47">
        <w:fldChar w:fldCharType="separate"/>
      </w:r>
      <w:r w:rsidR="007950E7">
        <w:t>11.4</w:t>
      </w:r>
      <w:r w:rsidR="00E22D47">
        <w:fldChar w:fldCharType="end"/>
      </w:r>
      <w:r w:rsidR="002E3F64">
        <w:t>.</w:t>
      </w:r>
    </w:p>
    <w:p w14:paraId="156639CD" w14:textId="77777777" w:rsidR="00B144AB" w:rsidRDefault="00B144AB" w:rsidP="00A70F07">
      <w:pPr>
        <w:pStyle w:val="BodyText"/>
      </w:pPr>
      <w:r>
        <w:t>Sensitivity analysis can play an important role in providing insight</w:t>
      </w:r>
      <w:r w:rsidR="00C16036">
        <w:t>s to</w:t>
      </w:r>
      <w:r>
        <w:t xml:space="preserve"> the model</w:t>
      </w:r>
      <w:r w:rsidR="00C16036">
        <w:t>led system</w:t>
      </w:r>
      <w:r>
        <w:t xml:space="preserve">, </w:t>
      </w:r>
      <w:r w:rsidR="00492C49">
        <w:t xml:space="preserve">by </w:t>
      </w:r>
      <w:r>
        <w:t xml:space="preserve">identifying which parameters can be constrained by data and which parameters </w:t>
      </w:r>
      <w:r w:rsidR="002E3F64">
        <w:t>have the greatest influence on the model outcomes. This is a first step in</w:t>
      </w:r>
      <w:r w:rsidR="002F304C">
        <w:t xml:space="preserve"> analysis of</w:t>
      </w:r>
      <w:r w:rsidR="002E3F64">
        <w:t xml:space="preserve"> data worth or </w:t>
      </w:r>
      <w:r w:rsidR="002F304C">
        <w:t xml:space="preserve">the </w:t>
      </w:r>
      <w:r w:rsidR="002E3F64">
        <w:t xml:space="preserve">value of information to guide further data collection, model development and monitoring design. </w:t>
      </w:r>
      <w:r w:rsidR="002E3F64" w:rsidRPr="00180A37">
        <w:t xml:space="preserve">Section </w:t>
      </w:r>
      <w:r w:rsidR="00E22D47">
        <w:fldChar w:fldCharType="begin"/>
      </w:r>
      <w:r w:rsidR="00E22D47">
        <w:instrText xml:space="preserve"> REF _Ref505518677 \r \h </w:instrText>
      </w:r>
      <w:r w:rsidR="00E22D47">
        <w:fldChar w:fldCharType="separate"/>
      </w:r>
      <w:r w:rsidR="007950E7">
        <w:t>0</w:t>
      </w:r>
      <w:r w:rsidR="00E22D47">
        <w:fldChar w:fldCharType="end"/>
      </w:r>
      <w:r w:rsidR="009A31CD" w:rsidRPr="00B13413">
        <w:t xml:space="preserve"> </w:t>
      </w:r>
      <w:r w:rsidR="002E3F64">
        <w:t>describes the role of sensitivity analysis in an uncertainty quantification workflow.</w:t>
      </w:r>
    </w:p>
    <w:p w14:paraId="0DC4346F" w14:textId="68B33618" w:rsidR="002171C0" w:rsidRDefault="009A31CD" w:rsidP="00E658CF">
      <w:pPr>
        <w:pStyle w:val="BodyText"/>
      </w:pPr>
      <w:r>
        <w:t>T</w:t>
      </w:r>
      <w:r w:rsidR="00C178D6">
        <w:t xml:space="preserve">here </w:t>
      </w:r>
      <w:r w:rsidR="000972AB">
        <w:t>is</w:t>
      </w:r>
      <w:r w:rsidR="002F304C">
        <w:t>,</w:t>
      </w:r>
      <w:r w:rsidR="00C178D6">
        <w:t xml:space="preserve"> </w:t>
      </w:r>
      <w:r>
        <w:t>however</w:t>
      </w:r>
      <w:r w:rsidR="002F304C">
        <w:t>,</w:t>
      </w:r>
      <w:r>
        <w:t xml:space="preserve"> </w:t>
      </w:r>
      <w:r w:rsidR="00C178D6">
        <w:t xml:space="preserve">a set of prerequisites </w:t>
      </w:r>
      <w:r w:rsidR="002F304C">
        <w:t xml:space="preserve">that </w:t>
      </w:r>
      <w:r w:rsidR="00C178D6">
        <w:t xml:space="preserve">a groundwater model </w:t>
      </w:r>
      <w:r w:rsidR="002F304C">
        <w:t>must</w:t>
      </w:r>
      <w:r w:rsidR="00C178D6">
        <w:t xml:space="preserve"> satisfy before </w:t>
      </w:r>
      <w:r w:rsidR="00B144AB">
        <w:t>any of the approaches listed above can be applied, which is the topic of next section</w:t>
      </w:r>
      <w:r w:rsidR="00C178D6">
        <w:t>.</w:t>
      </w:r>
    </w:p>
    <w:p w14:paraId="3B1C3A53" w14:textId="77777777" w:rsidR="00C178D6" w:rsidRDefault="009263FE" w:rsidP="009263FE">
      <w:pPr>
        <w:pStyle w:val="Heading1"/>
      </w:pPr>
      <w:bookmarkStart w:id="44" w:name="_Toc505681248"/>
      <w:r>
        <w:lastRenderedPageBreak/>
        <w:t>MODEL PREREQUISITES FOR UNCERTAINTY QUANTIFICATION</w:t>
      </w:r>
      <w:bookmarkEnd w:id="44"/>
    </w:p>
    <w:p w14:paraId="44F65E3D" w14:textId="77777777" w:rsidR="00973611" w:rsidRDefault="00AD3FDE" w:rsidP="00E658CF">
      <w:pPr>
        <w:pStyle w:val="BodyText"/>
      </w:pPr>
      <w:r>
        <w:t>The prerequisites for uncertainty quantification of groundwater model outcomes are</w:t>
      </w:r>
      <w:r w:rsidR="004443DC">
        <w:t xml:space="preserve"> listed below. If any of these prerequisites is not satisfied, </w:t>
      </w:r>
      <w:r w:rsidR="00471549">
        <w:t>adequate</w:t>
      </w:r>
      <w:r w:rsidR="004443DC">
        <w:t xml:space="preserve"> </w:t>
      </w:r>
      <w:r w:rsidR="00B54326">
        <w:t xml:space="preserve">quantification of </w:t>
      </w:r>
      <w:r w:rsidR="004443DC">
        <w:t xml:space="preserve">uncertainty </w:t>
      </w:r>
      <w:r w:rsidR="00471549">
        <w:t>is not possible</w:t>
      </w:r>
      <w:r w:rsidR="00B54326">
        <w:t xml:space="preserve"> (</w:t>
      </w:r>
      <w:r w:rsidR="00B54326" w:rsidRPr="00A644FA">
        <w:t>qualitative or semi-quantitative uncertainty analysis may be possible</w:t>
      </w:r>
      <w:r w:rsidR="00B54326">
        <w:t>)</w:t>
      </w:r>
      <w:r w:rsidR="00471549">
        <w:t>.</w:t>
      </w:r>
      <w:r w:rsidR="004443DC">
        <w:t xml:space="preserve"> </w:t>
      </w:r>
    </w:p>
    <w:p w14:paraId="3A8A2D11" w14:textId="77777777" w:rsidR="00AD3FDE" w:rsidRPr="00B13413" w:rsidRDefault="00AD3FDE" w:rsidP="00A62D0B">
      <w:pPr>
        <w:pStyle w:val="Heading2"/>
      </w:pPr>
      <w:bookmarkStart w:id="45" w:name="_Toc505681249"/>
      <w:r w:rsidRPr="00B13413">
        <w:t>Clearly defined model outcomes in space and time</w:t>
      </w:r>
      <w:bookmarkEnd w:id="45"/>
    </w:p>
    <w:p w14:paraId="61EFB606" w14:textId="77777777" w:rsidR="00FE092E" w:rsidRDefault="00C178D6" w:rsidP="00B13413">
      <w:pPr>
        <w:pStyle w:val="BodyText"/>
      </w:pPr>
      <w:r w:rsidRPr="007B5C90">
        <w:t xml:space="preserve">It is not possible to quantify the uncertainty of a groundwater model as a whole. It </w:t>
      </w:r>
      <w:r w:rsidRPr="00A70F07">
        <w:t xml:space="preserve">is only possible to quantify the uncertainty of model </w:t>
      </w:r>
      <w:r w:rsidR="00016B88">
        <w:t>simulation</w:t>
      </w:r>
      <w:r w:rsidRPr="00A70F07">
        <w:t>s</w:t>
      </w:r>
      <w:r w:rsidR="00EE7D5D" w:rsidRPr="00A70F07">
        <w:t>. It is therefore essential that the model outcomes that will be used to inform the decision</w:t>
      </w:r>
      <w:r w:rsidR="00B54326">
        <w:t>-</w:t>
      </w:r>
      <w:r w:rsidR="00EE7D5D" w:rsidRPr="00A70F07">
        <w:t>making process are explicitly defined in space and time</w:t>
      </w:r>
      <w:r w:rsidR="00EE7D5D" w:rsidRPr="009A6CFA">
        <w:t>. Examples are the maximum drawdown at a</w:t>
      </w:r>
      <w:r w:rsidR="00FE092E">
        <w:t xml:space="preserve"> </w:t>
      </w:r>
      <w:r w:rsidR="00B54326">
        <w:t>key</w:t>
      </w:r>
      <w:r w:rsidR="00B54326" w:rsidRPr="009A6CFA">
        <w:t xml:space="preserve"> </w:t>
      </w:r>
      <w:r w:rsidR="00EE7D5D" w:rsidRPr="009A6CFA">
        <w:t>bore</w:t>
      </w:r>
      <w:r w:rsidR="00B54326">
        <w:t xml:space="preserve"> or spring</w:t>
      </w:r>
      <w:r w:rsidR="00EE7D5D" w:rsidRPr="009A6CFA">
        <w:t xml:space="preserve">, the change in surface water groundwater exchange flux </w:t>
      </w:r>
      <w:r w:rsidR="00B54326">
        <w:t>along a river reach for a specific period</w:t>
      </w:r>
      <w:r w:rsidR="009517DD">
        <w:t xml:space="preserve"> </w:t>
      </w:r>
      <w:r w:rsidR="00EE7D5D" w:rsidRPr="009A6CFA">
        <w:t xml:space="preserve">or the drawdown contours </w:t>
      </w:r>
      <w:r w:rsidR="00B54326">
        <w:t>during or</w:t>
      </w:r>
      <w:r w:rsidR="00EE7D5D" w:rsidRPr="009A6CFA">
        <w:t xml:space="preserve"> after cessation of coal </w:t>
      </w:r>
      <w:r w:rsidR="00B54326">
        <w:t xml:space="preserve">or CSG </w:t>
      </w:r>
      <w:r w:rsidR="00EE7D5D" w:rsidRPr="009A6CFA">
        <w:t>development activities.</w:t>
      </w:r>
    </w:p>
    <w:p w14:paraId="4426DDA5" w14:textId="77777777" w:rsidR="007B03CD" w:rsidRDefault="007B03CD" w:rsidP="00B13413">
      <w:pPr>
        <w:pStyle w:val="BodyText"/>
      </w:pPr>
      <w:r>
        <w:t>Some policy documents</w:t>
      </w:r>
      <w:r w:rsidR="00324F77">
        <w:t xml:space="preserve"> explicitly</w:t>
      </w:r>
      <w:r>
        <w:t xml:space="preserve"> list trigger levels or impact thresholds</w:t>
      </w:r>
      <w:r w:rsidR="00324F77">
        <w:t xml:space="preserve"> (such as the NSW Aquifer Interference Policy). For assets where these are applicable, model outcomes can be specified </w:t>
      </w:r>
      <w:r w:rsidR="00380F39">
        <w:t xml:space="preserve">directly as a </w:t>
      </w:r>
      <w:r w:rsidR="00324F77">
        <w:t>function of these thresholds and trigger levels. If these are not available, the relevant model outcomes and threshold levels need to be discussed and agreed upon with the various stakeholders before modelling commences.</w:t>
      </w:r>
    </w:p>
    <w:p w14:paraId="2211D823" w14:textId="77777777" w:rsidR="00AD3FDE" w:rsidRPr="009A6CFA" w:rsidRDefault="00AD3FDE" w:rsidP="00A62D0B">
      <w:pPr>
        <w:pStyle w:val="Heading2"/>
      </w:pPr>
      <w:bookmarkStart w:id="46" w:name="_Toc505681250"/>
      <w:r w:rsidRPr="009A6CFA">
        <w:t>A list of parameters or model features that are included in the uncertainty analysis</w:t>
      </w:r>
      <w:bookmarkEnd w:id="46"/>
    </w:p>
    <w:p w14:paraId="219D7E59" w14:textId="77777777" w:rsidR="00EE7D5D" w:rsidRDefault="00EE7D5D" w:rsidP="00B13413">
      <w:pPr>
        <w:pStyle w:val="BodyText"/>
      </w:pPr>
      <w:r w:rsidRPr="009A6CFA">
        <w:t xml:space="preserve">There is a practical upper limit to the </w:t>
      </w:r>
      <w:r w:rsidR="00324F77">
        <w:t>number</w:t>
      </w:r>
      <w:r w:rsidR="00324F77" w:rsidRPr="009A6CFA">
        <w:t xml:space="preserve"> </w:t>
      </w:r>
      <w:r w:rsidRPr="009A6CFA">
        <w:t xml:space="preserve">of model </w:t>
      </w:r>
      <w:r w:rsidR="00324F77">
        <w:t xml:space="preserve">features </w:t>
      </w:r>
      <w:r w:rsidRPr="009A6CFA">
        <w:t>that can be inclu</w:t>
      </w:r>
      <w:r w:rsidRPr="00B13413">
        <w:t xml:space="preserve">ded in the uncertainty quantification. Before starting the analysis, a decision </w:t>
      </w:r>
      <w:r w:rsidR="00FE092E">
        <w:t xml:space="preserve">is needed </w:t>
      </w:r>
      <w:r w:rsidRPr="00B13413">
        <w:t>on which parameters to include and which parameters to fix</w:t>
      </w:r>
      <w:r w:rsidR="00FE092E">
        <w:t xml:space="preserve"> (exclude from the analysis)</w:t>
      </w:r>
      <w:r w:rsidRPr="00B13413">
        <w:t xml:space="preserve">. </w:t>
      </w:r>
      <w:r w:rsidR="007D2B61">
        <w:t>This selection needs to be done during the conceptualisation phase of the groundwater model as it affects the design and construction of the numerical model.</w:t>
      </w:r>
    </w:p>
    <w:p w14:paraId="3204E8AF" w14:textId="77777777" w:rsidR="007073F0" w:rsidRDefault="007D2B61" w:rsidP="00B13413">
      <w:pPr>
        <w:pStyle w:val="BodyText"/>
      </w:pPr>
      <w:r>
        <w:t xml:space="preserve">A more far-reaching consequence of this selection is that the uncertainty analysis will not result in a full probabilistic </w:t>
      </w:r>
      <w:r w:rsidR="00016B88">
        <w:t>simulation</w:t>
      </w:r>
      <w:r>
        <w:t>, but a probabilistic</w:t>
      </w:r>
      <w:r w:rsidR="00FE092E">
        <w:t xml:space="preserve"> simulation that is</w:t>
      </w:r>
      <w:r>
        <w:t xml:space="preserve"> conditional upon the source of uncert</w:t>
      </w:r>
      <w:r w:rsidR="00C63FE0">
        <w:t xml:space="preserve">ainty included in the analysis. It is paramount that </w:t>
      </w:r>
      <w:r w:rsidR="00FE092E">
        <w:t xml:space="preserve">these assumptions and their justifications are </w:t>
      </w:r>
      <w:r w:rsidR="00C63FE0">
        <w:t>communicated clearly so that reviewers, regulators and other stakeholders can easily identify which sources of uncertainty are included and which are not.</w:t>
      </w:r>
    </w:p>
    <w:p w14:paraId="015F5EF0" w14:textId="77777777" w:rsidR="00C63FE0" w:rsidRDefault="00C63FE0" w:rsidP="00B13413">
      <w:pPr>
        <w:pStyle w:val="BodyText"/>
      </w:pPr>
      <w:r>
        <w:t xml:space="preserve">The parameterisation of models traditionally </w:t>
      </w:r>
      <w:r w:rsidR="003E46A4">
        <w:t>h</w:t>
      </w:r>
      <w:r>
        <w:t xml:space="preserve">as </w:t>
      </w:r>
      <w:r w:rsidR="003E46A4">
        <w:t xml:space="preserve">a </w:t>
      </w:r>
      <w:r>
        <w:t xml:space="preserve">focus on </w:t>
      </w:r>
      <w:r w:rsidR="00981499">
        <w:t xml:space="preserve">(conditional) </w:t>
      </w:r>
      <w:r>
        <w:t xml:space="preserve">calibration, in which parameters are included to achieve the smallest residuals </w:t>
      </w:r>
      <w:r w:rsidR="00FE092E">
        <w:t xml:space="preserve">to historical measurements </w:t>
      </w:r>
      <w:r>
        <w:t>in a least-square</w:t>
      </w:r>
      <w:r w:rsidR="00FE092E">
        <w:t>s error term</w:t>
      </w:r>
      <w:r>
        <w:t xml:space="preserve"> sense. </w:t>
      </w:r>
      <w:r w:rsidR="00BF021B">
        <w:t xml:space="preserve">These are not necessary the same parameters that have the greatest influence on </w:t>
      </w:r>
      <w:r w:rsidR="00016B88">
        <w:t>simulation</w:t>
      </w:r>
      <w:r w:rsidR="00BF021B">
        <w:t xml:space="preserve">s. A trivial example is that effective porosity in a confined aquifer will have very limited influence on groundwater head </w:t>
      </w:r>
      <w:r w:rsidR="005B532C">
        <w:t>simulations but</w:t>
      </w:r>
      <w:r w:rsidR="00BF021B">
        <w:t xml:space="preserve"> will dominate any transport </w:t>
      </w:r>
      <w:r w:rsidR="00016B88">
        <w:t>simulation</w:t>
      </w:r>
      <w:r w:rsidR="00BF021B">
        <w:t>s.</w:t>
      </w:r>
    </w:p>
    <w:p w14:paraId="42C9DD1A" w14:textId="77777777" w:rsidR="00BF021B" w:rsidRPr="007B5C90" w:rsidRDefault="007073F0" w:rsidP="00B13413">
      <w:pPr>
        <w:pStyle w:val="BodyText"/>
      </w:pPr>
      <w:r>
        <w:t xml:space="preserve">Due to the many non-linearities inherent to groundwater modelling, identifying which parameters can be constrained by data and which are important </w:t>
      </w:r>
      <w:r w:rsidR="009D4BE3">
        <w:t xml:space="preserve">is often non-trivial. </w:t>
      </w:r>
      <w:r w:rsidR="00365714">
        <w:t xml:space="preserve">This requires a comprehensive sensitivity analysis, which is discussed in detail in </w:t>
      </w:r>
      <w:r w:rsidR="00365714" w:rsidRPr="00180A37">
        <w:t xml:space="preserve">section </w:t>
      </w:r>
      <w:r w:rsidR="00E22D47">
        <w:fldChar w:fldCharType="begin"/>
      </w:r>
      <w:r w:rsidR="00E22D47">
        <w:instrText xml:space="preserve"> REF _Ref505518703 \r \h </w:instrText>
      </w:r>
      <w:r w:rsidR="00E22D47">
        <w:fldChar w:fldCharType="separate"/>
      </w:r>
      <w:r w:rsidR="007950E7">
        <w:t>0</w:t>
      </w:r>
      <w:r w:rsidR="00E22D47">
        <w:fldChar w:fldCharType="end"/>
      </w:r>
      <w:r w:rsidR="00365714">
        <w:t>.</w:t>
      </w:r>
      <w:r w:rsidR="009D4BE3">
        <w:t xml:space="preserve"> </w:t>
      </w:r>
    </w:p>
    <w:p w14:paraId="553405F6" w14:textId="77777777" w:rsidR="00AD3FDE" w:rsidRPr="007B5C90" w:rsidRDefault="00AD3FDE" w:rsidP="00A62D0B">
      <w:pPr>
        <w:pStyle w:val="Heading2"/>
      </w:pPr>
      <w:bookmarkStart w:id="47" w:name="_Ref505518783"/>
      <w:bookmarkStart w:id="48" w:name="_Toc505681251"/>
      <w:r w:rsidRPr="007B5C90">
        <w:t>Probability distributions for each of the parameters included in the uncertainty analysis and a description of the covariance between parameters</w:t>
      </w:r>
      <w:bookmarkEnd w:id="47"/>
      <w:bookmarkEnd w:id="48"/>
    </w:p>
    <w:p w14:paraId="47D599AA" w14:textId="4E9E22CA" w:rsidR="00324F77" w:rsidRPr="009A6CFA" w:rsidRDefault="004443DC" w:rsidP="00B13413">
      <w:pPr>
        <w:pStyle w:val="BodyText"/>
      </w:pPr>
      <w:r w:rsidRPr="00A70F07">
        <w:t xml:space="preserve">For each of the </w:t>
      </w:r>
      <w:r w:rsidR="00FE092E">
        <w:t xml:space="preserve">three </w:t>
      </w:r>
      <w:r w:rsidR="00324F77">
        <w:t xml:space="preserve">types of </w:t>
      </w:r>
      <w:r w:rsidR="00380F39">
        <w:t xml:space="preserve">practical </w:t>
      </w:r>
      <w:r w:rsidR="00324F77">
        <w:t>uncertainty quantification</w:t>
      </w:r>
      <w:r w:rsidRPr="00A70F07">
        <w:t xml:space="preserve"> </w:t>
      </w:r>
      <w:r w:rsidR="00380F39">
        <w:t xml:space="preserve">methods </w:t>
      </w:r>
      <w:r w:rsidRPr="00A70F07">
        <w:t>listed above</w:t>
      </w:r>
      <w:r w:rsidR="00FE092E">
        <w:t xml:space="preserve"> in </w:t>
      </w:r>
      <w:r w:rsidR="00FE092E" w:rsidRPr="00180A37">
        <w:t xml:space="preserve">section </w:t>
      </w:r>
      <w:r w:rsidR="00E22D47">
        <w:fldChar w:fldCharType="begin"/>
      </w:r>
      <w:r w:rsidR="00E22D47">
        <w:instrText xml:space="preserve"> REF _Ref505518723 \r \h </w:instrText>
      </w:r>
      <w:r w:rsidR="00E22D47">
        <w:fldChar w:fldCharType="separate"/>
      </w:r>
      <w:r w:rsidR="007950E7">
        <w:t>0</w:t>
      </w:r>
      <w:r w:rsidR="00E22D47">
        <w:fldChar w:fldCharType="end"/>
      </w:r>
      <w:r w:rsidRPr="00A70F07">
        <w:t>, it is important to define the plausible range over which a parameter can vary. At it</w:t>
      </w:r>
      <w:r w:rsidRPr="009A6CFA">
        <w:t xml:space="preserve">s simplest, a uniform distribution describes a range between a minimal and maximal value. Normal or lognormal distributions are fully characterised by a mean and standard deviation, while empirical distributions can take an arbitrary, multimodal shape. </w:t>
      </w:r>
      <w:r w:rsidR="00DD2590">
        <w:t>Some</w:t>
      </w:r>
      <w:r w:rsidR="00DD2590" w:rsidRPr="009A6CFA">
        <w:t xml:space="preserve"> </w:t>
      </w:r>
      <w:r w:rsidRPr="009A6CFA">
        <w:t xml:space="preserve">parameters </w:t>
      </w:r>
      <w:r w:rsidR="00DD2590">
        <w:t>may</w:t>
      </w:r>
      <w:r w:rsidR="00DD2590" w:rsidRPr="009A6CFA">
        <w:t xml:space="preserve"> </w:t>
      </w:r>
      <w:r w:rsidRPr="009A6CFA">
        <w:t>be correlated</w:t>
      </w:r>
      <w:r w:rsidR="00DD2590">
        <w:t xml:space="preserve"> for lithological reasons</w:t>
      </w:r>
      <w:r w:rsidRPr="009A6CFA">
        <w:t>, such as</w:t>
      </w:r>
      <w:r w:rsidR="000F6917">
        <w:t xml:space="preserve"> hydraulic conductivity</w:t>
      </w:r>
      <w:r w:rsidRPr="009A6CFA">
        <w:t xml:space="preserve"> </w:t>
      </w:r>
      <w:r w:rsidR="000F6917">
        <w:t>(</w:t>
      </w:r>
      <w:r w:rsidRPr="009A6CFA">
        <w:t>K</w:t>
      </w:r>
      <w:r w:rsidR="000F6917">
        <w:t>)</w:t>
      </w:r>
      <w:r w:rsidRPr="009A6CFA">
        <w:t xml:space="preserve"> and </w:t>
      </w:r>
      <w:r w:rsidR="002677BF">
        <w:t>s</w:t>
      </w:r>
      <w:r w:rsidR="000F6917">
        <w:t>torativity (</w:t>
      </w:r>
      <w:r w:rsidRPr="009A6CFA">
        <w:t>S</w:t>
      </w:r>
      <w:r w:rsidR="000F6917">
        <w:t>)</w:t>
      </w:r>
      <w:r w:rsidRPr="009A6CFA">
        <w:t xml:space="preserve"> for instance, or </w:t>
      </w:r>
      <w:r w:rsidR="00DD2590">
        <w:t xml:space="preserve">may </w:t>
      </w:r>
      <w:r w:rsidRPr="009A6CFA">
        <w:t>be spatially correlated. This correlation needs to be expressed as a covariance between parameters.</w:t>
      </w:r>
      <w:r w:rsidR="00324F77">
        <w:t xml:space="preserve"> </w:t>
      </w:r>
      <w:r w:rsidR="00F03D5C">
        <w:t>In some models, the parameterisation can be quite complex, such as a depth</w:t>
      </w:r>
      <w:r w:rsidR="00AF415B">
        <w:t>-</w:t>
      </w:r>
      <w:r w:rsidR="00F03D5C">
        <w:t xml:space="preserve">dependent hydraulic conductivity or a multiplier on a spatially variable recharge field. For such complex parameterisation it is advisable to verify that the specified range of parameter values result in </w:t>
      </w:r>
      <w:r w:rsidR="00F03D5C">
        <w:lastRenderedPageBreak/>
        <w:t>plausible model input values.</w:t>
      </w:r>
    </w:p>
    <w:p w14:paraId="6874ECCA" w14:textId="77777777" w:rsidR="00AD3FDE" w:rsidRPr="00B13413" w:rsidRDefault="000F349F" w:rsidP="00FE092E">
      <w:pPr>
        <w:pStyle w:val="Heading2"/>
      </w:pPr>
      <w:bookmarkStart w:id="49" w:name="_Toc505681252"/>
      <w:r w:rsidRPr="00B13413">
        <w:t>A converging groundwater model over the entire plausible range of model parameters</w:t>
      </w:r>
      <w:bookmarkEnd w:id="49"/>
    </w:p>
    <w:p w14:paraId="68AD0002" w14:textId="77777777" w:rsidR="004443DC" w:rsidRDefault="004443DC" w:rsidP="00B13413">
      <w:pPr>
        <w:pStyle w:val="BodyText"/>
      </w:pPr>
      <w:r w:rsidRPr="00B13413">
        <w:t>It is essential</w:t>
      </w:r>
      <w:r w:rsidR="00471549" w:rsidRPr="00B13413">
        <w:t xml:space="preserve"> that the groundwater model can be evaluated over the entire range of parameter combinations defined above. It is recommended to submit the model to a stress test in which a number of extreme parameter combinations are tested for convergence before committing to a </w:t>
      </w:r>
      <w:r w:rsidR="00B41B7D">
        <w:t xml:space="preserve">computationally </w:t>
      </w:r>
      <w:r w:rsidR="00471549" w:rsidRPr="00B13413">
        <w:t xml:space="preserve">intensive automated </w:t>
      </w:r>
      <w:r w:rsidR="00981499">
        <w:t xml:space="preserve">conditional </w:t>
      </w:r>
      <w:r w:rsidR="00471549" w:rsidRPr="00B13413">
        <w:t>calibration or stochastic model evaluation.</w:t>
      </w:r>
    </w:p>
    <w:p w14:paraId="4FE64BE1" w14:textId="001C90C9" w:rsidR="00365714" w:rsidRPr="007B5C90" w:rsidRDefault="00365714" w:rsidP="00B13413">
      <w:pPr>
        <w:pStyle w:val="BodyText"/>
      </w:pPr>
      <w:r>
        <w:t>By strategically choosing parameter combinations, this stress test can yield very useful insight</w:t>
      </w:r>
      <w:r w:rsidR="00167CDF">
        <w:t>s on</w:t>
      </w:r>
      <w:r>
        <w:t xml:space="preserve"> parameter sensitivity and model behaviour (</w:t>
      </w:r>
      <w:r w:rsidR="00BB3C15">
        <w:t>for further infor</w:t>
      </w:r>
      <w:r w:rsidR="00444133">
        <w:t>mation, refer to Crosbie et al.</w:t>
      </w:r>
      <w:r w:rsidR="00BB3C15">
        <w:t xml:space="preserve"> 2016</w:t>
      </w:r>
      <w:r>
        <w:t>).</w:t>
      </w:r>
    </w:p>
    <w:p w14:paraId="50F9D9F1" w14:textId="77777777" w:rsidR="000F349F" w:rsidRPr="00A70F07" w:rsidRDefault="000F349F" w:rsidP="00A62D0B">
      <w:pPr>
        <w:pStyle w:val="Heading2"/>
      </w:pPr>
      <w:bookmarkStart w:id="50" w:name="_Ref505518798"/>
      <w:bookmarkStart w:id="51" w:name="_Ref505518842"/>
      <w:bookmarkStart w:id="52" w:name="_Toc505681253"/>
      <w:r w:rsidRPr="00A70F07">
        <w:t>The measurement uncertainty of each observation and/or a project</w:t>
      </w:r>
      <w:r w:rsidR="00167CDF">
        <w:t>-</w:t>
      </w:r>
      <w:r w:rsidRPr="00A70F07">
        <w:t>specific assessment of acceptable model to measurement misfit</w:t>
      </w:r>
      <w:bookmarkEnd w:id="50"/>
      <w:bookmarkEnd w:id="51"/>
      <w:bookmarkEnd w:id="52"/>
    </w:p>
    <w:p w14:paraId="1C2ADF46" w14:textId="77777777" w:rsidR="008C031E" w:rsidRDefault="00365714" w:rsidP="00B13413">
      <w:pPr>
        <w:pStyle w:val="BodyText"/>
      </w:pPr>
      <w:r>
        <w:t xml:space="preserve">The </w:t>
      </w:r>
      <w:r w:rsidR="008C031E">
        <w:t>reference</w:t>
      </w:r>
      <w:r>
        <w:t xml:space="preserve"> model </w:t>
      </w:r>
      <w:r w:rsidR="005670AC">
        <w:t xml:space="preserve">used </w:t>
      </w:r>
      <w:r>
        <w:t xml:space="preserve">in </w:t>
      </w:r>
      <w:r w:rsidR="005670AC">
        <w:t xml:space="preserve">the uncertainty </w:t>
      </w:r>
      <w:r>
        <w:t xml:space="preserve">scenario analysis </w:t>
      </w:r>
      <w:r w:rsidR="008C031E">
        <w:t xml:space="preserve">needs to have an acceptable misfit between simulated and observed data before it can be used in </w:t>
      </w:r>
      <w:r w:rsidR="00016B88">
        <w:t>simulation</w:t>
      </w:r>
      <w:r w:rsidR="008C031E">
        <w:t xml:space="preserve">s. </w:t>
      </w:r>
      <w:r w:rsidR="00CE6ED9">
        <w:t>In uncertainty quantification</w:t>
      </w:r>
      <w:r w:rsidR="00AF415B">
        <w:t>,</w:t>
      </w:r>
      <w:r w:rsidR="008C031E" w:rsidRPr="007B5C90">
        <w:t xml:space="preserve"> this misfit is used to obtain</w:t>
      </w:r>
      <w:r w:rsidR="00471549" w:rsidRPr="007B5C90">
        <w:t xml:space="preserve"> the probability of any parameter value</w:t>
      </w:r>
      <w:r w:rsidR="008C031E">
        <w:t>.</w:t>
      </w:r>
      <w:r w:rsidR="00471549" w:rsidRPr="007B5C90">
        <w:t xml:space="preserve"> The goal is to find parameter combinations tha</w:t>
      </w:r>
      <w:r w:rsidR="00471549" w:rsidRPr="00A70F07">
        <w:t xml:space="preserve">t result in model residuals that are equal to or smaller than the measurement uncertainty. </w:t>
      </w:r>
    </w:p>
    <w:p w14:paraId="33C44969" w14:textId="30053F54" w:rsidR="00471549" w:rsidRDefault="00471549" w:rsidP="00B13413">
      <w:pPr>
        <w:pStyle w:val="BodyText"/>
      </w:pPr>
      <w:r w:rsidRPr="007B5C90">
        <w:t xml:space="preserve">Observations </w:t>
      </w:r>
      <w:r w:rsidR="004D61B1">
        <w:t xml:space="preserve">can be </w:t>
      </w:r>
      <w:r w:rsidRPr="007B5C90">
        <w:t xml:space="preserve">affected by local processes not captured in the </w:t>
      </w:r>
      <w:r w:rsidR="005E36E4" w:rsidRPr="00A70F07">
        <w:t>model and it is therefore recommend</w:t>
      </w:r>
      <w:r w:rsidR="004D61B1">
        <w:t>ed</w:t>
      </w:r>
      <w:r w:rsidR="005E36E4" w:rsidRPr="00A70F07">
        <w:t xml:space="preserve"> to include these upscaling issues in the measurement uncertainty. Alternatively, one can think of the measurement uncertainty as </w:t>
      </w:r>
      <w:r w:rsidR="005E36E4" w:rsidRPr="009A6CFA">
        <w:t>the maxim</w:t>
      </w:r>
      <w:r w:rsidR="004D61B1">
        <w:t>um</w:t>
      </w:r>
      <w:r w:rsidR="005E36E4" w:rsidRPr="009A6CFA">
        <w:t xml:space="preserve"> acceptable </w:t>
      </w:r>
      <w:r w:rsidR="009517DD">
        <w:t xml:space="preserve">misfit of </w:t>
      </w:r>
      <w:r w:rsidR="005E36E4" w:rsidRPr="009A6CFA">
        <w:t>model to measure</w:t>
      </w:r>
      <w:r w:rsidR="009517DD">
        <w:t>d values</w:t>
      </w:r>
      <w:r w:rsidR="005E36E4" w:rsidRPr="009A6CFA">
        <w:t>. Defining this acceptable misfit is very much project</w:t>
      </w:r>
      <w:r w:rsidR="00AF415B">
        <w:t>-</w:t>
      </w:r>
      <w:r w:rsidR="005E36E4" w:rsidRPr="009A6CFA">
        <w:t xml:space="preserve"> and model</w:t>
      </w:r>
      <w:r w:rsidR="00AF415B">
        <w:t>-</w:t>
      </w:r>
      <w:r w:rsidR="005E36E4" w:rsidRPr="009A6CFA">
        <w:t>specific and it is the task of the modeller, in discussion with the client, regulator and other stakeholders, to define and justify the acceptable misfit and how to integrate this in the uncertainty quantification workflow.</w:t>
      </w:r>
    </w:p>
    <w:p w14:paraId="0C4117D7" w14:textId="77777777" w:rsidR="008C031E" w:rsidRDefault="009263FE" w:rsidP="009263FE">
      <w:pPr>
        <w:pStyle w:val="Heading1"/>
      </w:pPr>
      <w:bookmarkStart w:id="53" w:name="_Ref505518299"/>
      <w:bookmarkStart w:id="54" w:name="_Ref505518655"/>
      <w:bookmarkStart w:id="55" w:name="_Toc505681254"/>
      <w:r>
        <w:t>UNCERTAINTY QUANTIFICATION APPROACHES</w:t>
      </w:r>
      <w:bookmarkEnd w:id="53"/>
      <w:bookmarkEnd w:id="54"/>
      <w:bookmarkEnd w:id="55"/>
    </w:p>
    <w:p w14:paraId="383C4CA7" w14:textId="77777777" w:rsidR="00C3398B" w:rsidRDefault="008C031E" w:rsidP="00B13413">
      <w:pPr>
        <w:pStyle w:val="BodyText"/>
      </w:pPr>
      <w:r>
        <w:t xml:space="preserve">This section discusses in greater detail the three </w:t>
      </w:r>
      <w:r w:rsidR="00F03D5C">
        <w:t xml:space="preserve">types of </w:t>
      </w:r>
      <w:r>
        <w:t>uncertainty quantification appro</w:t>
      </w:r>
      <w:r w:rsidR="00141F94">
        <w:t>aches</w:t>
      </w:r>
      <w:r w:rsidR="004D61B1">
        <w:t xml:space="preserve"> listed in </w:t>
      </w:r>
      <w:r w:rsidR="004D61B1" w:rsidRPr="00180A37">
        <w:t xml:space="preserve">section </w:t>
      </w:r>
      <w:r w:rsidR="00E22D47">
        <w:fldChar w:fldCharType="begin"/>
      </w:r>
      <w:r w:rsidR="00E22D47">
        <w:instrText xml:space="preserve"> REF _Ref505518742 \r \h </w:instrText>
      </w:r>
      <w:r w:rsidR="00E22D47">
        <w:fldChar w:fldCharType="separate"/>
      </w:r>
      <w:r w:rsidR="007950E7">
        <w:t>0</w:t>
      </w:r>
      <w:r w:rsidR="00E22D47">
        <w:fldChar w:fldCharType="end"/>
      </w:r>
      <w:r w:rsidR="00141F94">
        <w:t>,</w:t>
      </w:r>
      <w:r>
        <w:t xml:space="preserve"> highlight</w:t>
      </w:r>
      <w:r w:rsidR="00141F94">
        <w:t>ing</w:t>
      </w:r>
      <w:r>
        <w:t xml:space="preserve"> the advantages</w:t>
      </w:r>
      <w:r w:rsidR="00B93D3D">
        <w:t>,</w:t>
      </w:r>
      <w:r>
        <w:t xml:space="preserve"> drawbacks </w:t>
      </w:r>
      <w:r w:rsidR="00B93D3D">
        <w:t xml:space="preserve">and potential pitfalls </w:t>
      </w:r>
      <w:r w:rsidR="00141F94">
        <w:t xml:space="preserve">of each method. </w:t>
      </w:r>
      <w:r w:rsidR="00B93D3D">
        <w:t xml:space="preserve">This document does not recommend any particular </w:t>
      </w:r>
      <w:r w:rsidR="00B41D15">
        <w:t>software,</w:t>
      </w:r>
      <w:r w:rsidR="00B93D3D">
        <w:t xml:space="preserve"> nor is it intended to give a step-by-step description of how to carry out an uncertainty analysis. This is covered in other publications such as Peeters (2017</w:t>
      </w:r>
      <w:r w:rsidR="00172B8E">
        <w:t>b</w:t>
      </w:r>
      <w:r w:rsidR="00B93D3D">
        <w:t xml:space="preserve">) and </w:t>
      </w:r>
      <w:r w:rsidR="00B93D3D" w:rsidRPr="00180A37">
        <w:t>Doherty (2015).</w:t>
      </w:r>
      <w:r w:rsidR="00B93D3D">
        <w:t xml:space="preserve"> </w:t>
      </w:r>
      <w:r w:rsidR="00141F94">
        <w:t xml:space="preserve">Each section </w:t>
      </w:r>
      <w:r w:rsidR="00B93D3D">
        <w:t xml:space="preserve">does however list the main assumptions for each approach </w:t>
      </w:r>
      <w:r w:rsidR="000958B3">
        <w:t>that need to be transparently justified in the modelling report.</w:t>
      </w:r>
    </w:p>
    <w:p w14:paraId="7C556952" w14:textId="77777777" w:rsidR="00C3398B" w:rsidRDefault="001D1925" w:rsidP="002523B7">
      <w:pPr>
        <w:pStyle w:val="Heading2"/>
      </w:pPr>
      <w:bookmarkStart w:id="56" w:name="_Ref505518571"/>
      <w:bookmarkStart w:id="57" w:name="_Toc505681255"/>
      <w:r>
        <w:t xml:space="preserve">Deterministic </w:t>
      </w:r>
      <w:r w:rsidR="00C3398B">
        <w:t xml:space="preserve">Scenario </w:t>
      </w:r>
      <w:r w:rsidR="005670AC">
        <w:t>A</w:t>
      </w:r>
      <w:r w:rsidR="00C3398B">
        <w:t xml:space="preserve">nalysis with </w:t>
      </w:r>
      <w:r w:rsidR="005670AC">
        <w:t>S</w:t>
      </w:r>
      <w:r w:rsidR="00C3398B">
        <w:t xml:space="preserve">ubjective </w:t>
      </w:r>
      <w:r w:rsidR="005670AC">
        <w:t>P</w:t>
      </w:r>
      <w:r w:rsidR="00C3398B">
        <w:t>robability</w:t>
      </w:r>
      <w:bookmarkEnd w:id="56"/>
      <w:bookmarkEnd w:id="57"/>
    </w:p>
    <w:p w14:paraId="73B67A01" w14:textId="77777777" w:rsidR="00E56E6B" w:rsidRDefault="004F1785" w:rsidP="00B13413">
      <w:pPr>
        <w:pStyle w:val="BodyText"/>
      </w:pPr>
      <w:r>
        <w:t>In scenario analysis</w:t>
      </w:r>
      <w:r w:rsidR="00DD371D">
        <w:t>,</w:t>
      </w:r>
      <w:r>
        <w:t xml:space="preserve"> a single realisation of a numerical model</w:t>
      </w:r>
      <w:r w:rsidR="00DF5E90">
        <w:t xml:space="preserve"> </w:t>
      </w:r>
      <w:r w:rsidR="00DF5E90" w:rsidRPr="00380F39">
        <w:t xml:space="preserve">(e.g. </w:t>
      </w:r>
      <w:r w:rsidR="00F03D5C" w:rsidRPr="00380F39">
        <w:t>the model that best fits the historical observations</w:t>
      </w:r>
      <w:r w:rsidR="00DF5E90" w:rsidRPr="00380F39">
        <w:t>)</w:t>
      </w:r>
      <w:r>
        <w:t xml:space="preserve"> is used to make </w:t>
      </w:r>
      <w:r w:rsidR="00981499">
        <w:t>simulation</w:t>
      </w:r>
      <w:r>
        <w:t xml:space="preserve">s. For such results to be useful in a risk framework, it is necessary to express the probability of this single realisation. This is a subjective assessment, based on the available knowledge of the system, the design of the model and the modeller’s experience. </w:t>
      </w:r>
    </w:p>
    <w:p w14:paraId="3A736516" w14:textId="545B3E60" w:rsidR="00E56E6B" w:rsidRDefault="004F1785" w:rsidP="00B13413">
      <w:pPr>
        <w:pStyle w:val="BodyText"/>
      </w:pPr>
      <w:r>
        <w:t>The model with parameter values that best match the observations is often described at the ‘most likely’</w:t>
      </w:r>
      <w:r w:rsidR="00871978">
        <w:t xml:space="preserve">. </w:t>
      </w:r>
      <w:r w:rsidR="00AD6C47">
        <w:t>Many modellers aim to be conservative in parameter selection, especially</w:t>
      </w:r>
      <w:r w:rsidR="001C7459">
        <w:t xml:space="preserve"> parameters</w:t>
      </w:r>
      <w:r w:rsidR="00AD6C47">
        <w:t xml:space="preserve"> that are not easily constrained by observations. In such situation</w:t>
      </w:r>
      <w:r w:rsidR="00E56E6B">
        <w:t>s</w:t>
      </w:r>
      <w:r w:rsidR="00AD6C47">
        <w:t xml:space="preserve">, where some aspects of the model will be ‘most likely’, while others are ‘conservative’, it becomes difficult to assess if the </w:t>
      </w:r>
      <w:r w:rsidR="00016B88">
        <w:t>simulation</w:t>
      </w:r>
      <w:r w:rsidR="00AD6C47">
        <w:t xml:space="preserve">s are ‘most likely’ or ‘conservative’ overall. </w:t>
      </w:r>
    </w:p>
    <w:p w14:paraId="77F9C60B" w14:textId="77777777" w:rsidR="00AD6C47" w:rsidRDefault="00AD6C47" w:rsidP="00B13413">
      <w:pPr>
        <w:pStyle w:val="BodyText"/>
      </w:pPr>
      <w:r>
        <w:t>To further complicate this issue, parameters are not necessar</w:t>
      </w:r>
      <w:r w:rsidR="00E56E6B">
        <w:t>il</w:t>
      </w:r>
      <w:r>
        <w:t xml:space="preserve">y conservative for all model outcomes. </w:t>
      </w:r>
      <w:r w:rsidR="00BB3C15">
        <w:t xml:space="preserve">By way of a simple </w:t>
      </w:r>
      <w:r w:rsidR="00E56E6B">
        <w:t xml:space="preserve">example, for </w:t>
      </w:r>
      <w:r>
        <w:t xml:space="preserve">a given pumping rate, high hydraulic conductivity values </w:t>
      </w:r>
      <w:r w:rsidR="00CA60DD">
        <w:t xml:space="preserve">can be </w:t>
      </w:r>
      <w:r>
        <w:t>conservative when calcula</w:t>
      </w:r>
      <w:r w:rsidR="004072C9">
        <w:t xml:space="preserve">ting </w:t>
      </w:r>
      <w:r w:rsidR="00B268E1">
        <w:t xml:space="preserve">the </w:t>
      </w:r>
      <w:r w:rsidR="00E56E6B" w:rsidRPr="00380F39">
        <w:t>time lags that affect</w:t>
      </w:r>
      <w:r w:rsidR="00E56E6B">
        <w:t xml:space="preserve"> </w:t>
      </w:r>
      <w:r w:rsidR="004072C9">
        <w:t>streamflow depletion. The higher the hydraulic conductivity is</w:t>
      </w:r>
      <w:r w:rsidR="00B268E1">
        <w:t>,</w:t>
      </w:r>
      <w:r w:rsidR="004072C9">
        <w:t xml:space="preserve"> however, the smaller the drawdown. High conductivity values are </w:t>
      </w:r>
      <w:r w:rsidR="007A583A">
        <w:t>in this case</w:t>
      </w:r>
      <w:r w:rsidR="004072C9">
        <w:t xml:space="preserve"> not conservative for drawdown </w:t>
      </w:r>
      <w:r w:rsidR="00016B88">
        <w:t>simulation</w:t>
      </w:r>
      <w:r w:rsidR="00B268E1">
        <w:t xml:space="preserve"> effect</w:t>
      </w:r>
      <w:r w:rsidR="004072C9">
        <w:t>s.</w:t>
      </w:r>
    </w:p>
    <w:p w14:paraId="442F9805" w14:textId="2739B5E7" w:rsidR="004072C9" w:rsidRDefault="004072C9" w:rsidP="00B13413">
      <w:pPr>
        <w:pStyle w:val="BodyText"/>
      </w:pPr>
      <w:r>
        <w:t xml:space="preserve">Perturbing parameter values in an ad-hoc sensitivity analysis </w:t>
      </w:r>
      <w:bookmarkStart w:id="58" w:name="_Hlk505524514"/>
      <w:r w:rsidR="00BE74D2">
        <w:t xml:space="preserve">(e.g. one parameter at a time) </w:t>
      </w:r>
      <w:bookmarkEnd w:id="58"/>
      <w:r>
        <w:t>by an arbitrary amo</w:t>
      </w:r>
      <w:r w:rsidR="00D4316A">
        <w:t>unt does provide some insight to</w:t>
      </w:r>
      <w:r>
        <w:t xml:space="preserve"> model behaviour, but is </w:t>
      </w:r>
      <w:r w:rsidR="007A583A">
        <w:t>not sufficient</w:t>
      </w:r>
      <w:r>
        <w:t xml:space="preserve"> </w:t>
      </w:r>
      <w:r w:rsidR="00B268E1">
        <w:t>for</w:t>
      </w:r>
      <w:r>
        <w:t xml:space="preserve"> uncertainty </w:t>
      </w:r>
      <w:r>
        <w:lastRenderedPageBreak/>
        <w:t>quantification</w:t>
      </w:r>
      <w:r w:rsidR="007A583A">
        <w:t xml:space="preserve"> if </w:t>
      </w:r>
      <w:r w:rsidR="00BA49C1">
        <w:t xml:space="preserve">the </w:t>
      </w:r>
      <w:r w:rsidR="007A583A">
        <w:t>following questions cannot be answered:</w:t>
      </w:r>
    </w:p>
    <w:p w14:paraId="70E7D3C0" w14:textId="77777777" w:rsidR="007A583A" w:rsidRDefault="007A583A" w:rsidP="0072154B">
      <w:pPr>
        <w:pStyle w:val="Bulletdot"/>
        <w:numPr>
          <w:ilvl w:val="0"/>
          <w:numId w:val="36"/>
        </w:numPr>
      </w:pPr>
      <w:r>
        <w:t xml:space="preserve">What is the probability of the perturbed value and corresponding </w:t>
      </w:r>
      <w:r w:rsidR="00016B88">
        <w:t>simulation</w:t>
      </w:r>
      <w:r>
        <w:t>s?</w:t>
      </w:r>
    </w:p>
    <w:p w14:paraId="08B36816" w14:textId="77777777" w:rsidR="007A583A" w:rsidRDefault="007A583A" w:rsidP="00C44302">
      <w:pPr>
        <w:pStyle w:val="Bulletdot"/>
        <w:numPr>
          <w:ilvl w:val="0"/>
          <w:numId w:val="36"/>
        </w:numPr>
      </w:pPr>
      <w:r>
        <w:t>How is the amount of perturbation determined and how does this relate to the probability distribution of the parameters (</w:t>
      </w:r>
      <w:r w:rsidRPr="00172B8E">
        <w:t xml:space="preserve">see </w:t>
      </w:r>
      <w:r w:rsidR="00180A37" w:rsidRPr="00172B8E">
        <w:t xml:space="preserve">section </w:t>
      </w:r>
      <w:r w:rsidR="00E22D47">
        <w:fldChar w:fldCharType="begin"/>
      </w:r>
      <w:r w:rsidR="00E22D47">
        <w:instrText xml:space="preserve"> REF _Ref505518783 \r \h </w:instrText>
      </w:r>
      <w:r w:rsidR="00E22D47">
        <w:fldChar w:fldCharType="separate"/>
      </w:r>
      <w:r w:rsidR="007950E7">
        <w:t>10.3</w:t>
      </w:r>
      <w:r w:rsidR="00E22D47">
        <w:fldChar w:fldCharType="end"/>
      </w:r>
      <w:r>
        <w:t>)?</w:t>
      </w:r>
    </w:p>
    <w:p w14:paraId="65ACC6DE" w14:textId="77777777" w:rsidR="007A583A" w:rsidRDefault="001A7CB9" w:rsidP="00C44302">
      <w:pPr>
        <w:pStyle w:val="Bulletdot"/>
        <w:numPr>
          <w:ilvl w:val="0"/>
          <w:numId w:val="36"/>
        </w:numPr>
      </w:pPr>
      <w:r>
        <w:t>A</w:t>
      </w:r>
      <w:r w:rsidR="007A583A">
        <w:t xml:space="preserve">re parameter interaction effects accounted </w:t>
      </w:r>
      <w:r>
        <w:t>for?</w:t>
      </w:r>
    </w:p>
    <w:p w14:paraId="3056194D" w14:textId="77777777" w:rsidR="003E33CA" w:rsidRDefault="001A7CB9" w:rsidP="007B5C90">
      <w:pPr>
        <w:pStyle w:val="BodyText"/>
      </w:pPr>
      <w:r>
        <w:t xml:space="preserve">Scenario analysis with subjective probability assessment is </w:t>
      </w:r>
      <w:r w:rsidRPr="00466600">
        <w:t>strongly</w:t>
      </w:r>
      <w:r>
        <w:t xml:space="preserve"> discouraged as </w:t>
      </w:r>
      <w:r w:rsidR="00DD371D">
        <w:t xml:space="preserve">an </w:t>
      </w:r>
      <w:r>
        <w:t>uncertainty quantification approach</w:t>
      </w:r>
      <w:r w:rsidR="00C165E1">
        <w:t>, especially since the subjectivity of the assessment can readily be questioned.</w:t>
      </w:r>
      <w:r w:rsidR="003D3239">
        <w:t xml:space="preserve"> </w:t>
      </w:r>
    </w:p>
    <w:p w14:paraId="721572F7" w14:textId="77777777" w:rsidR="00AD6C47" w:rsidRDefault="003D3239" w:rsidP="007B5C90">
      <w:pPr>
        <w:pStyle w:val="BodyText"/>
      </w:pPr>
      <w:r>
        <w:t>A comprehensive, formal sensitivity analysis</w:t>
      </w:r>
      <w:r w:rsidR="001D1925">
        <w:t xml:space="preserve"> is encouraged</w:t>
      </w:r>
      <w:r>
        <w:t xml:space="preserve">, such as through analysis of the Jacobian matrix of a model or an ensemble of model runs, </w:t>
      </w:r>
      <w:r w:rsidR="001D1925">
        <w:t xml:space="preserve">as it </w:t>
      </w:r>
      <w:r>
        <w:t>can be used to objectively assess the importance of particular parameter values</w:t>
      </w:r>
      <w:r w:rsidR="00843C9B" w:rsidRPr="00843C9B">
        <w:t xml:space="preserve"> </w:t>
      </w:r>
      <w:r w:rsidR="00843C9B">
        <w:t>and it will also allow a more robust uncertainty quantification</w:t>
      </w:r>
      <w:r w:rsidR="00B41B7D">
        <w:t xml:space="preserve"> (see section</w:t>
      </w:r>
      <w:r w:rsidR="00BA6B46">
        <w:t xml:space="preserve"> </w:t>
      </w:r>
      <w:r w:rsidR="00BA6B46">
        <w:fldChar w:fldCharType="begin"/>
      </w:r>
      <w:r w:rsidR="00BA6B46">
        <w:instrText xml:space="preserve"> REF _Ref505518824 \r \h </w:instrText>
      </w:r>
      <w:r w:rsidR="00BA6B46">
        <w:fldChar w:fldCharType="separate"/>
      </w:r>
      <w:r w:rsidR="007950E7">
        <w:t>0</w:t>
      </w:r>
      <w:r w:rsidR="00BA6B46">
        <w:fldChar w:fldCharType="end"/>
      </w:r>
      <w:r w:rsidR="00B41B7D">
        <w:t>)</w:t>
      </w:r>
      <w:r w:rsidR="00A51CE7">
        <w:t>.</w:t>
      </w:r>
    </w:p>
    <w:p w14:paraId="3BE85F53" w14:textId="58F45CF0" w:rsidR="003D3239" w:rsidRDefault="001A7CB9" w:rsidP="00A70F07">
      <w:pPr>
        <w:pStyle w:val="BodyText"/>
      </w:pPr>
      <w:r w:rsidRPr="001D1925">
        <w:t xml:space="preserve">This does not mean that the </w:t>
      </w:r>
      <w:r w:rsidR="003D3239" w:rsidRPr="001D1925">
        <w:t xml:space="preserve">scenario analysis </w:t>
      </w:r>
      <w:r w:rsidRPr="001D1925">
        <w:t>approach is without merit</w:t>
      </w:r>
      <w:r w:rsidR="003E33CA">
        <w:t>, whether or not a formal comprehensive sensitivity analysis is conducted</w:t>
      </w:r>
      <w:r w:rsidRPr="001D1925">
        <w:t xml:space="preserve">. </w:t>
      </w:r>
      <w:r w:rsidR="00F342FD" w:rsidRPr="001D1925">
        <w:t>If</w:t>
      </w:r>
      <w:r w:rsidRPr="001D1925">
        <w:t xml:space="preserve"> it can be established that the</w:t>
      </w:r>
      <w:r w:rsidRPr="00466600">
        <w:t xml:space="preserve"> conceptualisation and parameterisation is conservative, a scenario analysis can be used as a screening tool to delineate areas for further research and detailed modelling</w:t>
      </w:r>
      <w:r w:rsidR="004D6EC8" w:rsidRPr="00466600">
        <w:t xml:space="preserve">, or it may be used </w:t>
      </w:r>
      <w:r w:rsidR="000878ED">
        <w:t>as part of a</w:t>
      </w:r>
      <w:r w:rsidR="000878ED" w:rsidRPr="00466600">
        <w:t xml:space="preserve"> </w:t>
      </w:r>
      <w:r w:rsidR="004D6EC8" w:rsidRPr="00466600">
        <w:t>qualitative uncertainty analysis</w:t>
      </w:r>
      <w:r w:rsidR="00F342FD" w:rsidRPr="00466600">
        <w:t xml:space="preserve"> (more details are provided in </w:t>
      </w:r>
      <w:r w:rsidR="00F342FD" w:rsidRPr="001D1925">
        <w:t>Peeters 2017</w:t>
      </w:r>
      <w:r w:rsidR="007C7B0C">
        <w:t>b</w:t>
      </w:r>
      <w:r w:rsidR="00F342FD" w:rsidRPr="001D1925">
        <w:t>)</w:t>
      </w:r>
      <w:r w:rsidR="003E33CA">
        <w:t>, especially if a formal sensitivity analysis is undertaken</w:t>
      </w:r>
      <w:r w:rsidRPr="001D1925">
        <w:t>.</w:t>
      </w:r>
    </w:p>
    <w:p w14:paraId="5C9DB4B7" w14:textId="77777777" w:rsidR="00C3398B" w:rsidRDefault="00C3398B" w:rsidP="004D61B1">
      <w:pPr>
        <w:pStyle w:val="Heading2"/>
      </w:pPr>
      <w:bookmarkStart w:id="59" w:name="_Ref499646227"/>
      <w:bookmarkStart w:id="60" w:name="_Ref505518959"/>
      <w:bookmarkStart w:id="61" w:name="_Toc505681256"/>
      <w:r>
        <w:t xml:space="preserve">Deterministic </w:t>
      </w:r>
      <w:r w:rsidR="002A1B9B">
        <w:t>M</w:t>
      </w:r>
      <w:r>
        <w:t xml:space="preserve">odelling with </w:t>
      </w:r>
      <w:r w:rsidR="00B41B7D">
        <w:t xml:space="preserve">Linear </w:t>
      </w:r>
      <w:r w:rsidR="002A1B9B">
        <w:t>P</w:t>
      </w:r>
      <w:r>
        <w:t>robability</w:t>
      </w:r>
      <w:bookmarkEnd w:id="59"/>
      <w:r w:rsidR="00B41B7D">
        <w:t xml:space="preserve"> Quantification</w:t>
      </w:r>
      <w:bookmarkEnd w:id="60"/>
      <w:bookmarkEnd w:id="61"/>
    </w:p>
    <w:p w14:paraId="292AA7D9" w14:textId="77777777" w:rsidR="00CE7E58" w:rsidRDefault="00617538" w:rsidP="00B13413">
      <w:pPr>
        <w:pStyle w:val="BodyText"/>
      </w:pPr>
      <w:r>
        <w:t xml:space="preserve">Linear error propagation techniques can be used to </w:t>
      </w:r>
      <w:r w:rsidR="0050305E">
        <w:t xml:space="preserve">compute </w:t>
      </w:r>
      <w:r w:rsidR="00016B88">
        <w:t>simulation</w:t>
      </w:r>
      <w:r w:rsidR="0050305E">
        <w:t xml:space="preserve"> confidence intervals</w:t>
      </w:r>
      <w:r>
        <w:t xml:space="preserve"> for any given model with a single set of parameter values</w:t>
      </w:r>
      <w:r w:rsidR="00B05F08">
        <w:t xml:space="preserve"> (the conditionally calibrated model)</w:t>
      </w:r>
      <w:r>
        <w:t>.</w:t>
      </w:r>
      <w:r w:rsidR="0050305E">
        <w:t xml:space="preserve"> </w:t>
      </w:r>
      <w:r w:rsidR="00CE7E58">
        <w:t>In the following, this is referred to as the reference model</w:t>
      </w:r>
      <w:r w:rsidR="002A1B9B">
        <w:t xml:space="preserve"> </w:t>
      </w:r>
      <w:r w:rsidR="005D2CBB" w:rsidRPr="00B30F66">
        <w:t>(e.g. the model that best fits the historical observations)</w:t>
      </w:r>
      <w:r w:rsidR="005D2CBB">
        <w:t>.</w:t>
      </w:r>
      <w:r w:rsidR="005D2CBB" w:rsidDel="005D2CBB">
        <w:t xml:space="preserve"> </w:t>
      </w:r>
    </w:p>
    <w:p w14:paraId="647601BA" w14:textId="77777777" w:rsidR="00C165E1" w:rsidRDefault="0050305E" w:rsidP="00B13413">
      <w:pPr>
        <w:pStyle w:val="BodyText"/>
      </w:pPr>
      <w:r>
        <w:t>The</w:t>
      </w:r>
      <w:r w:rsidR="00CE7E58">
        <w:t>se linear error propagation techniques</w:t>
      </w:r>
      <w:r>
        <w:t xml:space="preserve"> form the basis of the PREDVAR and PREDUNC tools provided in the PEST package</w:t>
      </w:r>
      <w:r w:rsidR="00973D1B">
        <w:t xml:space="preserve"> (Doherty, 201</w:t>
      </w:r>
      <w:r w:rsidR="001B5765">
        <w:t>6</w:t>
      </w:r>
      <w:r w:rsidR="00973D1B">
        <w:t>)</w:t>
      </w:r>
      <w:r>
        <w:t>.</w:t>
      </w:r>
      <w:r w:rsidR="00617538">
        <w:t xml:space="preserve"> The main assumptions are that:</w:t>
      </w:r>
    </w:p>
    <w:p w14:paraId="1E2D2ADE" w14:textId="77777777" w:rsidR="00617538" w:rsidRDefault="00617538" w:rsidP="003E395F">
      <w:pPr>
        <w:pStyle w:val="Bulletnum"/>
        <w:numPr>
          <w:ilvl w:val="0"/>
          <w:numId w:val="32"/>
        </w:numPr>
        <w:ind w:left="426"/>
      </w:pPr>
      <w:r>
        <w:t>The model behaves linearly in the immediate vicinity of the selected parameter values.</w:t>
      </w:r>
    </w:p>
    <w:p w14:paraId="45D24883" w14:textId="77777777" w:rsidR="00617538" w:rsidRDefault="00617538" w:rsidP="003E395F">
      <w:pPr>
        <w:pStyle w:val="Bulletnum"/>
      </w:pPr>
      <w:r>
        <w:t>The parameter values, or their transformed values, are normally distributed. Interaction</w:t>
      </w:r>
      <w:r w:rsidR="00DD371D">
        <w:t>s</w:t>
      </w:r>
      <w:r>
        <w:t xml:space="preserve"> between parameters </w:t>
      </w:r>
      <w:r w:rsidR="0050305E">
        <w:t>are</w:t>
      </w:r>
      <w:r>
        <w:t xml:space="preserve"> described </w:t>
      </w:r>
      <w:r w:rsidR="0050305E">
        <w:t>through</w:t>
      </w:r>
      <w:r>
        <w:t xml:space="preserve"> multivariate normal distributions</w:t>
      </w:r>
      <w:r w:rsidR="003E395F">
        <w:t>.</w:t>
      </w:r>
    </w:p>
    <w:p w14:paraId="2F349678" w14:textId="77777777" w:rsidR="00CE7E58" w:rsidRPr="00DF5E90" w:rsidRDefault="00CE7E58" w:rsidP="003E395F">
      <w:pPr>
        <w:pStyle w:val="Bulletnum"/>
      </w:pPr>
      <w:r>
        <w:t xml:space="preserve">The parameter values used in the reference model represent </w:t>
      </w:r>
      <w:r w:rsidRPr="00DF5E90">
        <w:t>the mean of the</w:t>
      </w:r>
      <w:r w:rsidR="003E395F" w:rsidRPr="00DF5E90">
        <w:t xml:space="preserve"> normal distribution.</w:t>
      </w:r>
    </w:p>
    <w:p w14:paraId="0F7D3B02" w14:textId="77777777" w:rsidR="00617538" w:rsidRDefault="00617538" w:rsidP="003E395F">
      <w:pPr>
        <w:pStyle w:val="Bulletnum"/>
      </w:pPr>
      <w:r>
        <w:t xml:space="preserve">The measurement uncertainty is normally distributed. Correlation in measurement uncertainty </w:t>
      </w:r>
      <w:r w:rsidR="0050305E">
        <w:t>is</w:t>
      </w:r>
      <w:r>
        <w:t xml:space="preserve"> </w:t>
      </w:r>
      <w:r w:rsidR="0050305E">
        <w:t>captured through</w:t>
      </w:r>
      <w:r>
        <w:t xml:space="preserve"> a multivariate normal distribution</w:t>
      </w:r>
      <w:r w:rsidR="003E395F">
        <w:t>.</w:t>
      </w:r>
    </w:p>
    <w:p w14:paraId="524D8528" w14:textId="77777777" w:rsidR="00617538" w:rsidRDefault="00617538" w:rsidP="003E395F">
      <w:pPr>
        <w:pStyle w:val="Bulletnum"/>
      </w:pPr>
      <w:r>
        <w:t>The model outcomes are normally distributed</w:t>
      </w:r>
      <w:r w:rsidR="003E395F">
        <w:t>.</w:t>
      </w:r>
    </w:p>
    <w:p w14:paraId="02FA29AD" w14:textId="77777777" w:rsidR="00617538" w:rsidRDefault="0050305E" w:rsidP="007B5C90">
      <w:pPr>
        <w:pStyle w:val="BodyText"/>
      </w:pPr>
      <w:r>
        <w:t xml:space="preserve">The model is evaluated at least twice for each parameter. The change in model outcome corresponding to perturbing </w:t>
      </w:r>
      <w:r w:rsidR="00CE7E58">
        <w:t>each parameter in isolation</w:t>
      </w:r>
      <w:r>
        <w:t xml:space="preserve"> is captured </w:t>
      </w:r>
      <w:r w:rsidR="00CE7E58">
        <w:t>in what is referred to as the</w:t>
      </w:r>
      <w:r>
        <w:t xml:space="preserve"> Jacobia</w:t>
      </w:r>
      <w:r w:rsidR="00CE7E58">
        <w:t xml:space="preserve">n matrix. As shown in Moore and Doherty (2005), this matrix can be combined with the covariance matrix describing the uncertainty in parameters and the covariance matrix describing the measurement uncertainty to calculate the prediction uncertainty. The model outcomes of the reference model are considered </w:t>
      </w:r>
      <w:r w:rsidR="003E395F">
        <w:t xml:space="preserve">to be </w:t>
      </w:r>
      <w:r w:rsidR="00CE7E58">
        <w:t>the mean of a normal distribution and the result of the error propagation provides the standard deviation.</w:t>
      </w:r>
    </w:p>
    <w:p w14:paraId="521D72AA" w14:textId="77777777" w:rsidR="000878ED" w:rsidRDefault="00F47E80" w:rsidP="00A70F07">
      <w:pPr>
        <w:pStyle w:val="BodyText"/>
      </w:pPr>
      <w:r>
        <w:t xml:space="preserve">An automated </w:t>
      </w:r>
      <w:r w:rsidR="00981499">
        <w:t xml:space="preserve">conditional </w:t>
      </w:r>
      <w:r>
        <w:t xml:space="preserve">calibration seeks a parameter combination that provides a best fit in a least-squares sense, for instance by using the Levenberg-Marquardt algorithm as implemented in PEST. In subsequent linear error propagation, this parameter combination is then considered as the mean of the </w:t>
      </w:r>
      <w:r w:rsidR="005F1D98">
        <w:t xml:space="preserve">multivariate normal distribution. An automated </w:t>
      </w:r>
      <w:r w:rsidR="00981499">
        <w:t xml:space="preserve">conditional </w:t>
      </w:r>
      <w:r w:rsidR="005F1D98">
        <w:t>calibration</w:t>
      </w:r>
      <w:r w:rsidR="00B144AB">
        <w:t>, even when using regularisation,</w:t>
      </w:r>
      <w:r w:rsidR="005F1D98">
        <w:t xml:space="preserve"> can </w:t>
      </w:r>
      <w:r w:rsidR="00B144AB">
        <w:t xml:space="preserve">result in parameter combinations that are only a local rather than global minimum of the response surface. </w:t>
      </w:r>
    </w:p>
    <w:p w14:paraId="4EC4D307" w14:textId="1A1FC673" w:rsidR="00F47E80" w:rsidRDefault="00B144AB" w:rsidP="00A70F07">
      <w:pPr>
        <w:pStyle w:val="BodyText"/>
      </w:pPr>
      <w:r>
        <w:lastRenderedPageBreak/>
        <w:t xml:space="preserve">Another pitfall is that, due to parameter correlation, parameters compensate for </w:t>
      </w:r>
      <w:r w:rsidR="00D44AA7">
        <w:t xml:space="preserve">conceptual issues or for </w:t>
      </w:r>
      <w:r>
        <w:t xml:space="preserve">other parameters </w:t>
      </w:r>
      <w:r w:rsidR="003E395F" w:rsidRPr="00DF5E90">
        <w:t xml:space="preserve">(e.g. the response of an aquifer often depends on ratios of model parameters, such as </w:t>
      </w:r>
      <w:r w:rsidR="00D44AA7" w:rsidRPr="00DF5E90">
        <w:t xml:space="preserve">aquifer diffusivity (T/S), or </w:t>
      </w:r>
      <w:r w:rsidR="003E395F" w:rsidRPr="00DF5E90">
        <w:t xml:space="preserve">recharge and </w:t>
      </w:r>
      <w:r w:rsidR="00D44AA7" w:rsidRPr="00DF5E90">
        <w:t>transmissivity (R/T)</w:t>
      </w:r>
      <w:r w:rsidR="003E395F" w:rsidRPr="00DF5E90">
        <w:t xml:space="preserve">; Barnett et </w:t>
      </w:r>
      <w:r w:rsidR="00976EA7">
        <w:t>al.</w:t>
      </w:r>
      <w:r w:rsidR="003E395F" w:rsidRPr="00DF5E90">
        <w:t xml:space="preserve"> 2012)</w:t>
      </w:r>
      <w:r>
        <w:t xml:space="preserve">. The classic example is provided in Doherty (2010), where incorrectly specified head boundary conditions lead to a small residual in head values, but biased hydraulic conductivity estimates. Using such biased values in </w:t>
      </w:r>
      <w:r w:rsidR="00346EA5">
        <w:t xml:space="preserve">a </w:t>
      </w:r>
      <w:r w:rsidR="00016B88">
        <w:t>simulation</w:t>
      </w:r>
      <w:r>
        <w:t xml:space="preserve"> obviously compromises the </w:t>
      </w:r>
      <w:r w:rsidR="00016B88">
        <w:t>simulation</w:t>
      </w:r>
      <w:r>
        <w:t xml:space="preserve"> and its confidence intervals.</w:t>
      </w:r>
      <w:r w:rsidR="005D2CBB">
        <w:t xml:space="preserve"> Relatively low-cost data</w:t>
      </w:r>
      <w:r w:rsidR="00D05284">
        <w:t>-</w:t>
      </w:r>
      <w:r w:rsidR="005D2CBB">
        <w:t xml:space="preserve">gathering techniques, such </w:t>
      </w:r>
      <w:r w:rsidR="00466600">
        <w:t xml:space="preserve">as </w:t>
      </w:r>
      <w:r w:rsidR="005D2CBB">
        <w:t>a L</w:t>
      </w:r>
      <w:r w:rsidR="00466600">
        <w:t>i</w:t>
      </w:r>
      <w:r w:rsidR="005D2CBB">
        <w:t>DAR survey of river bed</w:t>
      </w:r>
      <w:r w:rsidR="00466600">
        <w:t xml:space="preserve"> and spring</w:t>
      </w:r>
      <w:r w:rsidR="005D2CBB">
        <w:t xml:space="preserve"> elevations, can greatly reduce the uncertainty in boundary conditions and by consequence, the uncertainty in inferred hydraulic property values.</w:t>
      </w:r>
    </w:p>
    <w:p w14:paraId="6FE09A44" w14:textId="77777777" w:rsidR="00B144AB" w:rsidRDefault="00CE6ED9" w:rsidP="00A70F07">
      <w:pPr>
        <w:pStyle w:val="BodyText"/>
      </w:pPr>
      <w:r>
        <w:t xml:space="preserve">Doherty (2015) and </w:t>
      </w:r>
      <w:r w:rsidRPr="00466600">
        <w:t>White et al. (</w:t>
      </w:r>
      <w:r w:rsidR="005D2CBB" w:rsidRPr="00466600">
        <w:t>2014</w:t>
      </w:r>
      <w:r w:rsidRPr="00466600">
        <w:t>)</w:t>
      </w:r>
      <w:r>
        <w:t xml:space="preserve"> provide some strategies to minimise bias in parameter values by pre-processing observations and using multi-component objective functions.</w:t>
      </w:r>
    </w:p>
    <w:p w14:paraId="168B2408" w14:textId="26DB1C10" w:rsidR="00B905D1" w:rsidRDefault="009A31CD" w:rsidP="00A70F07">
      <w:pPr>
        <w:pStyle w:val="BodyText"/>
      </w:pPr>
      <w:r>
        <w:t xml:space="preserve">As indicated in </w:t>
      </w:r>
      <w:r w:rsidRPr="00B41B7D">
        <w:t xml:space="preserve">section </w:t>
      </w:r>
      <w:r w:rsidR="00BA6B46">
        <w:fldChar w:fldCharType="begin"/>
      </w:r>
      <w:r w:rsidR="00BA6B46">
        <w:instrText xml:space="preserve"> REF _Ref505518842 \r \h </w:instrText>
      </w:r>
      <w:r w:rsidR="00BA6B46">
        <w:fldChar w:fldCharType="separate"/>
      </w:r>
      <w:r w:rsidR="007950E7">
        <w:t>10.5</w:t>
      </w:r>
      <w:r w:rsidR="00BA6B46">
        <w:fldChar w:fldCharType="end"/>
      </w:r>
      <w:r>
        <w:t xml:space="preserve">, it is essential that the measurement uncertainty for each observation is assessed, independent from the model. </w:t>
      </w:r>
      <w:r w:rsidR="004B0FE8">
        <w:t xml:space="preserve">Moore and Doherty (2005) show that the predictive uncertainty depends greatly on the measurement uncertainty and what is considered an acceptable model to measurement misfit. In </w:t>
      </w:r>
      <w:r w:rsidR="0038133D">
        <w:t>formal linear error propagation, the weights of observations in the objective function are inverse</w:t>
      </w:r>
      <w:r w:rsidR="00492C49">
        <w:t>ly</w:t>
      </w:r>
      <w:r w:rsidR="0038133D">
        <w:t xml:space="preserve"> proportional to the measurement uncertainty, i.e. measurements with small uncertainty will have greater weight. </w:t>
      </w:r>
      <w:r w:rsidR="00BE314D">
        <w:t xml:space="preserve">Adjusting weights of observations is a straightforward way to combine different types of observations, to emphasize observations that align with the model outcomes of interest, reflect the reliability of observations and compensate for scale and structural issues. </w:t>
      </w:r>
      <w:r w:rsidR="00D05284">
        <w:t>T</w:t>
      </w:r>
      <w:r w:rsidR="00BE314D">
        <w:t xml:space="preserve">o avoid criticism that the weighting of observations is a deliberate attempt to pervert the model outcome, the weighting </w:t>
      </w:r>
      <w:r w:rsidR="00D05284">
        <w:t xml:space="preserve">must be </w:t>
      </w:r>
      <w:r w:rsidR="00BE314D">
        <w:t xml:space="preserve">justified in a transparent way. </w:t>
      </w:r>
    </w:p>
    <w:p w14:paraId="72F20E29" w14:textId="56448B31" w:rsidR="009A31CD" w:rsidRDefault="00BE314D" w:rsidP="00A70F07">
      <w:pPr>
        <w:pStyle w:val="BodyText"/>
      </w:pPr>
      <w:r>
        <w:t>One way of expressing this is by presenting the confidence interval</w:t>
      </w:r>
      <w:r w:rsidR="00567FD0">
        <w:t xml:space="preserve"> </w:t>
      </w:r>
      <w:r w:rsidR="00B71FC7">
        <w:t xml:space="preserve">that </w:t>
      </w:r>
      <w:r w:rsidR="00567FD0">
        <w:t>a weight corresponds</w:t>
      </w:r>
      <w:r w:rsidR="00B905D1">
        <w:t xml:space="preserve"> to</w:t>
      </w:r>
      <w:r w:rsidR="00567FD0">
        <w:t xml:space="preserve">, assuming measurement error is normally distributed. A groundwater level measurement that is assigned a weight of 1 corresponds to </w:t>
      </w:r>
      <w:r w:rsidR="00DB11D0">
        <w:t xml:space="preserve">a </w:t>
      </w:r>
      <w:r w:rsidR="00567FD0">
        <w:t xml:space="preserve">normal distribution with </w:t>
      </w:r>
      <w:r w:rsidR="00DB11D0">
        <w:t xml:space="preserve">a </w:t>
      </w:r>
      <w:r w:rsidR="00567FD0">
        <w:t>mean equal to the observed value and</w:t>
      </w:r>
      <w:r w:rsidR="00DB11D0">
        <w:t xml:space="preserve"> a</w:t>
      </w:r>
      <w:r w:rsidR="00567FD0">
        <w:t xml:space="preserve"> standard deviation of 1</w:t>
      </w:r>
      <w:r w:rsidR="007A1FF0">
        <w:t xml:space="preserve"> </w:t>
      </w:r>
      <w:r w:rsidR="00567FD0">
        <w:t>m. If you consider model outcomes within two standard deviations as acceptable</w:t>
      </w:r>
      <w:r w:rsidR="00B905D1">
        <w:t xml:space="preserve"> (approximately containing 90% of the probability mass), any model outcome within 2</w:t>
      </w:r>
      <w:r w:rsidR="001A7403">
        <w:t xml:space="preserve"> </w:t>
      </w:r>
      <w:r w:rsidR="00B905D1">
        <w:t>m of the observed value is deemed acceptable.</w:t>
      </w:r>
    </w:p>
    <w:p w14:paraId="4B163122" w14:textId="77777777" w:rsidR="00B905D1" w:rsidRDefault="00B905D1" w:rsidP="009A6CFA">
      <w:pPr>
        <w:pStyle w:val="BodyText"/>
      </w:pPr>
      <w:r>
        <w:t>Note that giving all observations an equal weight is not recommended, as that implicitly assumes that the measurement and structural uncertainty is equal throughout the model domain, which is seldom an appropriate assumption.</w:t>
      </w:r>
    </w:p>
    <w:p w14:paraId="2D67B11B" w14:textId="77777777" w:rsidR="00A321B7" w:rsidRDefault="00CE7E58" w:rsidP="009A6CFA">
      <w:pPr>
        <w:pStyle w:val="BodyText"/>
      </w:pPr>
      <w:r>
        <w:t xml:space="preserve">Many outcomes </w:t>
      </w:r>
      <w:r w:rsidR="001767FE">
        <w:t>from</w:t>
      </w:r>
      <w:r>
        <w:t xml:space="preserve"> groundwater models are non-linear functions of the </w:t>
      </w:r>
      <w:r w:rsidR="00282312">
        <w:t xml:space="preserve">model parameters. A naïve application of linear error propagation </w:t>
      </w:r>
      <w:r w:rsidR="001767FE">
        <w:t xml:space="preserve">methods </w:t>
      </w:r>
      <w:r w:rsidR="00282312">
        <w:t>can</w:t>
      </w:r>
      <w:r w:rsidR="001767FE">
        <w:t xml:space="preserve"> thus</w:t>
      </w:r>
      <w:r w:rsidR="00282312">
        <w:t xml:space="preserve"> lead to nonsensical results. Consider for instance that </w:t>
      </w:r>
      <w:r w:rsidR="00A321B7">
        <w:t>an</w:t>
      </w:r>
      <w:r w:rsidR="00282312">
        <w:t xml:space="preserve"> analysis results in a drawdown prediction of 0.5 m with a standard deviation of 0.3 m. The 90</w:t>
      </w:r>
      <w:r w:rsidR="00282312" w:rsidRPr="00B13413">
        <w:rPr>
          <w:vertAlign w:val="superscript"/>
        </w:rPr>
        <w:t>th</w:t>
      </w:r>
      <w:r w:rsidR="00282312">
        <w:t xml:space="preserve"> percentile prediction interval for a normal distribution, defined as [</w:t>
      </w:r>
      <w:r w:rsidR="00282312" w:rsidRPr="00B13413">
        <w:rPr>
          <w:rFonts w:ascii="Symbol" w:hAnsi="Symbol"/>
        </w:rPr>
        <w:t></w:t>
      </w:r>
      <w:r w:rsidR="00282312">
        <w:t>-1.96</w:t>
      </w:r>
      <w:r w:rsidR="00A321B7" w:rsidRPr="00B13413">
        <w:rPr>
          <w:rFonts w:ascii="Symbol" w:hAnsi="Symbol"/>
        </w:rPr>
        <w:t></w:t>
      </w:r>
      <w:r w:rsidR="00282312">
        <w:t xml:space="preserve">, </w:t>
      </w:r>
      <w:r w:rsidR="00282312" w:rsidRPr="00B13413">
        <w:rPr>
          <w:rFonts w:ascii="Symbol" w:hAnsi="Symbol"/>
        </w:rPr>
        <w:t></w:t>
      </w:r>
      <w:r w:rsidR="00282312">
        <w:t>+1.96</w:t>
      </w:r>
      <w:r w:rsidR="00282312" w:rsidRPr="00B13413">
        <w:rPr>
          <w:rFonts w:ascii="Symbol" w:hAnsi="Symbol"/>
        </w:rPr>
        <w:t></w:t>
      </w:r>
      <w:r w:rsidR="00282312">
        <w:t>], then becomes [-0.088,</w:t>
      </w:r>
      <w:r w:rsidR="00A321B7">
        <w:t xml:space="preserve"> 1</w:t>
      </w:r>
      <w:r w:rsidR="00282312">
        <w:t>.088].</w:t>
      </w:r>
      <w:r w:rsidR="00F47E80">
        <w:t xml:space="preserve"> This would imply that in this model the development can cause a rise in groundwater levels.</w:t>
      </w:r>
    </w:p>
    <w:p w14:paraId="7E0224C8" w14:textId="77777777" w:rsidR="00F47E80" w:rsidRDefault="00772F15" w:rsidP="009A6CFA">
      <w:pPr>
        <w:pStyle w:val="BodyText"/>
      </w:pPr>
      <w:r>
        <w:t xml:space="preserve">The modelling team needs to verify and show that the model outcomes are </w:t>
      </w:r>
      <w:r w:rsidR="00EC0949">
        <w:t>sufficiently</w:t>
      </w:r>
      <w:r>
        <w:t xml:space="preserve"> close to a linear function of the parameters for</w:t>
      </w:r>
      <w:r w:rsidR="00EC0949">
        <w:t xml:space="preserve"> the linear error propagation to produce sensible results. </w:t>
      </w:r>
    </w:p>
    <w:p w14:paraId="334A13E7" w14:textId="77777777" w:rsidR="00CE7E58" w:rsidRPr="007B5C90" w:rsidRDefault="00EC0949" w:rsidP="009A6CFA">
      <w:pPr>
        <w:pStyle w:val="BodyText"/>
      </w:pPr>
      <w:r>
        <w:t xml:space="preserve">A final comment on the deterministic approach with linear error propagation, is that it is not straight-forward to consider multiple conceptualisations as the method is based on a single, deterministic reference model. </w:t>
      </w:r>
    </w:p>
    <w:p w14:paraId="3BEA5983" w14:textId="77777777" w:rsidR="008C031E" w:rsidRPr="007B5C90" w:rsidRDefault="00C3398B" w:rsidP="004D61B1">
      <w:pPr>
        <w:pStyle w:val="Heading2"/>
      </w:pPr>
      <w:bookmarkStart w:id="62" w:name="_Ref505518533"/>
      <w:bookmarkStart w:id="63" w:name="_Toc505681257"/>
      <w:r>
        <w:t xml:space="preserve">Stochastic </w:t>
      </w:r>
      <w:r w:rsidR="00B635DF">
        <w:t>M</w:t>
      </w:r>
      <w:r>
        <w:t xml:space="preserve">odelling with Bayesian </w:t>
      </w:r>
      <w:r w:rsidR="00B635DF">
        <w:t>P</w:t>
      </w:r>
      <w:r>
        <w:t>robability</w:t>
      </w:r>
      <w:bookmarkEnd w:id="62"/>
      <w:bookmarkEnd w:id="63"/>
      <w:r w:rsidR="008C031E">
        <w:t xml:space="preserve"> </w:t>
      </w:r>
    </w:p>
    <w:p w14:paraId="2878D334" w14:textId="77777777" w:rsidR="007B41A7" w:rsidRDefault="00EC0949" w:rsidP="00B13413">
      <w:pPr>
        <w:pStyle w:val="BodyText"/>
      </w:pPr>
      <w:r>
        <w:t xml:space="preserve">Stochastic </w:t>
      </w:r>
      <w:r w:rsidR="007E0CCC">
        <w:t xml:space="preserve">modelling relaxes many of the assumptions on linearity and normality of parameters by evaluating a large number of parameter combinations and presenting the results, the model outcomes, as an ensemble. </w:t>
      </w:r>
    </w:p>
    <w:p w14:paraId="3E4B38D9" w14:textId="77777777" w:rsidR="00E658CF" w:rsidRDefault="007E0CCC" w:rsidP="00B13413">
      <w:pPr>
        <w:pStyle w:val="BodyText"/>
      </w:pPr>
      <w:r>
        <w:t>In Bayesian inference</w:t>
      </w:r>
      <w:r w:rsidR="00701963">
        <w:t>,</w:t>
      </w:r>
      <w:r>
        <w:t xml:space="preserve"> a prior distribution is specified for each parameter (and eventual joint distribution between parameters), encapsulating the current state of information and knowledge. </w:t>
      </w:r>
      <w:r w:rsidR="00701963">
        <w:t xml:space="preserve">A </w:t>
      </w:r>
      <w:r>
        <w:t>sampling algorithm evaluates a large number of parameter combinations and preferably</w:t>
      </w:r>
      <w:r w:rsidR="00242F9C">
        <w:t xml:space="preserve"> retains </w:t>
      </w:r>
      <w:r w:rsidR="00242F9C">
        <w:lastRenderedPageBreak/>
        <w:t xml:space="preserve">parameter combinations with a high likelihood, i.e. a close fit to observations. The updated range of parameter values is called the posterior parameter distribution. This posterior parameter distribution is randomly </w:t>
      </w:r>
      <w:r w:rsidR="00371384">
        <w:t>sampled,</w:t>
      </w:r>
      <w:r w:rsidR="00242F9C">
        <w:t xml:space="preserve"> and the corresponding model outcomes form the posterior predictive distribution.</w:t>
      </w:r>
    </w:p>
    <w:p w14:paraId="66D0B732" w14:textId="77777777" w:rsidR="00242F9C" w:rsidRDefault="00242F9C" w:rsidP="00B13413">
      <w:pPr>
        <w:pStyle w:val="BodyText"/>
      </w:pPr>
      <w:r>
        <w:t>Th</w:t>
      </w:r>
      <w:r w:rsidR="00B85718">
        <w:t>is</w:t>
      </w:r>
      <w:r>
        <w:t xml:space="preserve"> stochastic approach of uncertainty quantification is the most generic and has the least stringent assumptions. There are nevertheless many challenges and pitfall</w:t>
      </w:r>
      <w:r w:rsidR="00B85718">
        <w:t>s</w:t>
      </w:r>
      <w:r>
        <w:t xml:space="preserve"> in implementing this approach.</w:t>
      </w:r>
    </w:p>
    <w:p w14:paraId="7010D540" w14:textId="77777777" w:rsidR="00242F9C" w:rsidRDefault="00242F9C" w:rsidP="00B13413">
      <w:pPr>
        <w:pStyle w:val="BodyText"/>
      </w:pPr>
      <w:r>
        <w:t xml:space="preserve">The largest drawback is the large number of model evaluations required. The advent of easily accessible supercomputer and cloud computing services </w:t>
      </w:r>
      <w:r w:rsidR="00B85718">
        <w:t xml:space="preserve">means </w:t>
      </w:r>
      <w:r>
        <w:t>that evaluating a model several hundreds or thousands of times become</w:t>
      </w:r>
      <w:r w:rsidR="00D05284">
        <w:t>s</w:t>
      </w:r>
      <w:r>
        <w:t xml:space="preserve"> feasible within the resources of a typical groundwater model project, even if a single model run requires more than an hour to converge. </w:t>
      </w:r>
      <w:r w:rsidR="00EA3DD3">
        <w:t>The largest bottleneck is not so much the run-time but ensuring the model is sufficiently stable that a large range of parameter combinations can be evaluated. Model emulation or surrogate models can partly alleviate the computational burden by replacing the original model with a low</w:t>
      </w:r>
      <w:r w:rsidR="00292554">
        <w:t>-</w:t>
      </w:r>
      <w:r w:rsidR="00EA3DD3">
        <w:t>resolution model or a statistical model (</w:t>
      </w:r>
      <w:r w:rsidR="00EA3DD3" w:rsidRPr="00343658">
        <w:t>Asher et al. 2015</w:t>
      </w:r>
      <w:r w:rsidR="00EA3DD3">
        <w:t xml:space="preserve">). </w:t>
      </w:r>
      <w:r w:rsidR="00F912A6">
        <w:t>Adequately training such a model does</w:t>
      </w:r>
      <w:r w:rsidR="00B85718">
        <w:t>,</w:t>
      </w:r>
      <w:r w:rsidR="00F912A6">
        <w:t xml:space="preserve"> however</w:t>
      </w:r>
      <w:r w:rsidR="00B85718">
        <w:t>,</w:t>
      </w:r>
      <w:r w:rsidR="00F912A6">
        <w:t xml:space="preserve"> </w:t>
      </w:r>
      <w:r w:rsidR="00C55062" w:rsidRPr="00B71FC7">
        <w:t>add another layer of uncertainty to the analysis</w:t>
      </w:r>
      <w:r w:rsidR="00C55062">
        <w:t xml:space="preserve">, </w:t>
      </w:r>
      <w:r w:rsidR="00B41B7D">
        <w:t xml:space="preserve">and it </w:t>
      </w:r>
      <w:r w:rsidR="00F912A6">
        <w:t>still require</w:t>
      </w:r>
      <w:r w:rsidR="00C55062">
        <w:t>s</w:t>
      </w:r>
      <w:r w:rsidR="00F912A6">
        <w:t xml:space="preserve"> hundreds to thousands of original model evaluations.</w:t>
      </w:r>
    </w:p>
    <w:p w14:paraId="50D1DB28" w14:textId="064339FA" w:rsidR="00F912A6" w:rsidRDefault="00F912A6" w:rsidP="00B13413">
      <w:pPr>
        <w:pStyle w:val="BodyText"/>
      </w:pPr>
      <w:r>
        <w:t xml:space="preserve">The number of model evaluations required </w:t>
      </w:r>
      <w:r w:rsidR="00D05284">
        <w:t xml:space="preserve">is </w:t>
      </w:r>
      <w:r>
        <w:t>problem</w:t>
      </w:r>
      <w:r w:rsidR="00D05284">
        <w:t>-</w:t>
      </w:r>
      <w:r>
        <w:t>specific. The number of samples from a posterior parameter or predictive distribution is considered sufficient if the moments of interest converge. If one is interested in the 95</w:t>
      </w:r>
      <w:r w:rsidRPr="00B13413">
        <w:rPr>
          <w:vertAlign w:val="superscript"/>
        </w:rPr>
        <w:t>th</w:t>
      </w:r>
      <w:r>
        <w:t xml:space="preserve"> percentile of a distribution, one has to verify that</w:t>
      </w:r>
      <w:r w:rsidR="00923B86">
        <w:t xml:space="preserve"> this summary statistic does not change with increasing number of model runs. Measures of central tendency, such as the mean and median, tend to converge quicker than the extremes of a distribution, such as the 95</w:t>
      </w:r>
      <w:r w:rsidR="00923B86" w:rsidRPr="00B13413">
        <w:rPr>
          <w:vertAlign w:val="superscript"/>
        </w:rPr>
        <w:t>th</w:t>
      </w:r>
      <w:r w:rsidR="00923B86">
        <w:t xml:space="preserve"> or 99</w:t>
      </w:r>
      <w:r w:rsidR="00923B86" w:rsidRPr="00B13413">
        <w:rPr>
          <w:vertAlign w:val="superscript"/>
        </w:rPr>
        <w:t>th</w:t>
      </w:r>
      <w:r w:rsidR="00923B86">
        <w:t xml:space="preserve"> percentile. The number of model runs required therefore depends on the shape of the posterior distribution as well as on the summary statistics of interest.</w:t>
      </w:r>
    </w:p>
    <w:p w14:paraId="1DD15E62" w14:textId="77777777" w:rsidR="00F912A6" w:rsidRDefault="00F912A6" w:rsidP="00B13413">
      <w:pPr>
        <w:pStyle w:val="BodyText"/>
      </w:pPr>
      <w:r>
        <w:t>The stochastic approach allows specif</w:t>
      </w:r>
      <w:r w:rsidR="00B85718">
        <w:t>ication of</w:t>
      </w:r>
      <w:r w:rsidR="00E13B4F">
        <w:t xml:space="preserve"> </w:t>
      </w:r>
      <w:r>
        <w:t xml:space="preserve">prior parameter distributions </w:t>
      </w:r>
      <w:r w:rsidR="00B85718">
        <w:t xml:space="preserve">other </w:t>
      </w:r>
      <w:r>
        <w:t xml:space="preserve">than Gaussian, </w:t>
      </w:r>
      <w:r w:rsidRPr="00343658">
        <w:t>with</w:t>
      </w:r>
      <w:r w:rsidR="00D05284">
        <w:t>,</w:t>
      </w:r>
      <w:r w:rsidRPr="00343658">
        <w:t xml:space="preserve"> as an extreme</w:t>
      </w:r>
      <w:r w:rsidR="00D05284">
        <w:t>,</w:t>
      </w:r>
      <w:r w:rsidRPr="00343658">
        <w:t xml:space="preserve"> a fully empirical parameter distribution</w:t>
      </w:r>
      <w:r>
        <w:t xml:space="preserve">. </w:t>
      </w:r>
      <w:r w:rsidR="00DF5E90">
        <w:t xml:space="preserve">The </w:t>
      </w:r>
      <w:r w:rsidR="00701963">
        <w:t>specification of these prior parameter distributions</w:t>
      </w:r>
      <w:r w:rsidR="00DF5E90">
        <w:t xml:space="preserve"> </w:t>
      </w:r>
      <w:r w:rsidR="00923B86">
        <w:t xml:space="preserve">is the most appropriate way to incorporate </w:t>
      </w:r>
      <w:r w:rsidR="00701963">
        <w:t>existing knowledge</w:t>
      </w:r>
      <w:r w:rsidR="00923B86">
        <w:t xml:space="preserve"> into the uncertainty quantification. If the observation data is very informative </w:t>
      </w:r>
      <w:r w:rsidR="00E13B4F">
        <w:t>(</w:t>
      </w:r>
      <w:r w:rsidR="00923B86">
        <w:t>i.e. can constrain many of the parameters</w:t>
      </w:r>
      <w:r w:rsidR="00E13B4F">
        <w:t>)</w:t>
      </w:r>
      <w:r w:rsidR="00923B86">
        <w:t>, specifying a too</w:t>
      </w:r>
      <w:r w:rsidR="00E13B4F">
        <w:t>-</w:t>
      </w:r>
      <w:r w:rsidR="00923B86">
        <w:t>narrow prior parameter distribution may result in not fully sampling parameter space and not including parameter combination</w:t>
      </w:r>
      <w:r w:rsidR="00E13B4F">
        <w:t>s</w:t>
      </w:r>
      <w:r w:rsidR="00923B86">
        <w:t xml:space="preserve"> that provide equal or better fits to the data. Conversely, specifying too wide a prior distribution will make the sampling algorithm very inefficient and </w:t>
      </w:r>
      <w:r w:rsidR="00E13B4F">
        <w:t xml:space="preserve">will </w:t>
      </w:r>
      <w:r w:rsidR="00175A78">
        <w:t>greatly increase the number of model evaluations required to find parameter combinations that fit the data.</w:t>
      </w:r>
    </w:p>
    <w:p w14:paraId="041E88B5" w14:textId="77777777" w:rsidR="00175A78" w:rsidRDefault="00175A78" w:rsidP="00B13413">
      <w:pPr>
        <w:pStyle w:val="BodyText"/>
      </w:pPr>
      <w:r>
        <w:t>Should the data not be very informative</w:t>
      </w:r>
      <w:r w:rsidR="00E13B4F">
        <w:t xml:space="preserve"> (i.e. </w:t>
      </w:r>
      <w:r w:rsidR="00E13B4F" w:rsidRPr="00343658">
        <w:t xml:space="preserve">the data </w:t>
      </w:r>
      <w:r w:rsidR="00701963" w:rsidRPr="00343658">
        <w:t>cannot constrain the parameters relevant to the model outcomes of interest</w:t>
      </w:r>
      <w:r w:rsidR="00E13B4F" w:rsidRPr="00343658">
        <w:t>)</w:t>
      </w:r>
      <w:r>
        <w:t>, the posterior parameter distributions will be nearly identical to the prior distributions. As with deterministic modelling with linear error propagation, it is essential to identify which parameters can be constrained by the available observations.</w:t>
      </w:r>
    </w:p>
    <w:p w14:paraId="226F3696" w14:textId="77777777" w:rsidR="00175A78" w:rsidRDefault="00175A78" w:rsidP="00B13413">
      <w:pPr>
        <w:pStyle w:val="BodyText"/>
      </w:pPr>
      <w:r>
        <w:t xml:space="preserve">Observations are introduced in the stochastic approach through the likelihood function. It can be shown that if measurement errors are assumed to be normally distributed, this is identical to linear error propagation. The discussion of weighting observations in previous </w:t>
      </w:r>
      <w:r w:rsidR="00E13B4F">
        <w:t xml:space="preserve">sections </w:t>
      </w:r>
      <w:r>
        <w:t xml:space="preserve">is also, if not more, applicable to the stochastic approach. </w:t>
      </w:r>
      <w:r w:rsidR="009F5487">
        <w:t>The modeller needs to specify the error model of the observations, independently of the model and to define what is an acceptable level of model to measurement misfit.</w:t>
      </w:r>
    </w:p>
    <w:p w14:paraId="1F8DE020" w14:textId="77777777" w:rsidR="00701963" w:rsidRDefault="00701963" w:rsidP="00B13413">
      <w:pPr>
        <w:pStyle w:val="BodyText"/>
      </w:pPr>
      <w:r>
        <w:t>Null-space Monte Carlo is a special case of a stochastic approach in which the posterior parameter distribution is not generated through sampling from prior parameter distributions, but in which the posterior parameter space is defined</w:t>
      </w:r>
      <w:r w:rsidR="00795A97">
        <w:t xml:space="preserve"> by the null-space. The null-space </w:t>
      </w:r>
      <w:r w:rsidR="005A6F6D">
        <w:t xml:space="preserve">is formed by </w:t>
      </w:r>
      <w:r w:rsidR="00795A97">
        <w:t xml:space="preserve">linear combinations of parameters that have no impact on the model objective function. Random sampling of the null-space ensures that all the model runs in the ensemble of model runs have a similar model-to-measurement misfit. This is a very efficient sampling algorithm, but still relies on parameter values that can be described through multivariate normal distributions and the definition of the null-space hinges on a linearization of a single model run through singular value </w:t>
      </w:r>
      <w:r w:rsidR="00795A97">
        <w:lastRenderedPageBreak/>
        <w:t>decomposition.</w:t>
      </w:r>
      <w:r>
        <w:t xml:space="preserve"> </w:t>
      </w:r>
    </w:p>
    <w:p w14:paraId="20DBF7FB" w14:textId="54C56CCE" w:rsidR="009F5487" w:rsidRDefault="009F5487" w:rsidP="00B13413">
      <w:pPr>
        <w:pStyle w:val="BodyText"/>
      </w:pPr>
      <w:r>
        <w:t>Approximate Bayesian Computation relaxes the need to have a closed-form, analytic expression of the likelihood function. This method, like the Generalized Likelihood Uncertainty Estimation (GLUE) technique, allows the modeller to specify how the likelihood is calculated. This can</w:t>
      </w:r>
      <w:r w:rsidR="00E13B4F">
        <w:t>,</w:t>
      </w:r>
      <w:r>
        <w:t xml:space="preserve"> for instance</w:t>
      </w:r>
      <w:r w:rsidR="00E13B4F">
        <w:t>,</w:t>
      </w:r>
      <w:r>
        <w:t xml:space="preserve"> be a set of constraints that need to be satisfied simultaneously (e.g. head residuals less than 2</w:t>
      </w:r>
      <w:r w:rsidR="00BC6141">
        <w:t xml:space="preserve"> </w:t>
      </w:r>
      <w:r>
        <w:t xml:space="preserve">m, flux residuals less than 1 ML/d and aquitard Kh less than aquifer Kh). This method allows much more flexibility in specifying the </w:t>
      </w:r>
      <w:r w:rsidR="005B532C">
        <w:t>likelihood and</w:t>
      </w:r>
      <w:r>
        <w:t xml:space="preserve"> is transparent and straightforward to communicate. It does again put the onus on the modell</w:t>
      </w:r>
      <w:r w:rsidR="00E13B4F">
        <w:t>er</w:t>
      </w:r>
      <w:r>
        <w:t xml:space="preserve"> to select and justify the likelihood functions.</w:t>
      </w:r>
    </w:p>
    <w:p w14:paraId="31C50F2F" w14:textId="77777777" w:rsidR="009B0385" w:rsidRDefault="009B0385" w:rsidP="00B13413">
      <w:pPr>
        <w:pStyle w:val="BodyText"/>
      </w:pPr>
      <w:r>
        <w:t>The stochastic approach is more amenable to accommodating multiple conceptualisations. In Bayesian Model Averaging, each conceptualisation is assigned a prior probability and included in the sampling.</w:t>
      </w:r>
    </w:p>
    <w:p w14:paraId="6FE43DFC" w14:textId="77777777" w:rsidR="00E658CF" w:rsidRDefault="0082043F" w:rsidP="00E658CF">
      <w:pPr>
        <w:pStyle w:val="Heading2"/>
      </w:pPr>
      <w:bookmarkStart w:id="64" w:name="_Ref505518638"/>
      <w:bookmarkStart w:id="65" w:name="_Toc505681258"/>
      <w:bookmarkEnd w:id="43"/>
      <w:r>
        <w:t xml:space="preserve">Qualitative </w:t>
      </w:r>
      <w:r w:rsidR="002D7DA8">
        <w:t>U</w:t>
      </w:r>
      <w:r>
        <w:t xml:space="preserve">ncertainty </w:t>
      </w:r>
      <w:r w:rsidR="002D7DA8">
        <w:t>A</w:t>
      </w:r>
      <w:r>
        <w:t>nalysis</w:t>
      </w:r>
      <w:r w:rsidR="002D7DA8">
        <w:t xml:space="preserve"> (</w:t>
      </w:r>
      <w:r w:rsidR="002D7DA8" w:rsidRPr="004E63B3">
        <w:t>A</w:t>
      </w:r>
      <w:r w:rsidR="009B0385" w:rsidRPr="004E63B3">
        <w:t xml:space="preserve">ssumption </w:t>
      </w:r>
      <w:r w:rsidR="002D7DA8" w:rsidRPr="004E63B3">
        <w:t>H</w:t>
      </w:r>
      <w:r w:rsidR="009B0385" w:rsidRPr="004E63B3">
        <w:t>unting</w:t>
      </w:r>
      <w:r w:rsidR="002D7DA8">
        <w:t>)</w:t>
      </w:r>
      <w:bookmarkEnd w:id="64"/>
      <w:bookmarkEnd w:id="65"/>
    </w:p>
    <w:p w14:paraId="222AEA6E" w14:textId="09B963E1" w:rsidR="007D5A53" w:rsidRDefault="0082043F" w:rsidP="00E658CF">
      <w:pPr>
        <w:pStyle w:val="BodyText"/>
      </w:pPr>
      <w:r>
        <w:t xml:space="preserve">As indicated in </w:t>
      </w:r>
      <w:r w:rsidRPr="00180A37">
        <w:t xml:space="preserve">section </w:t>
      </w:r>
      <w:r w:rsidR="00BA6B46">
        <w:fldChar w:fldCharType="begin"/>
      </w:r>
      <w:r w:rsidR="00BA6B46">
        <w:instrText xml:space="preserve"> REF _Ref499202318 \r \h </w:instrText>
      </w:r>
      <w:r w:rsidR="00BA6B46">
        <w:fldChar w:fldCharType="separate"/>
      </w:r>
      <w:r w:rsidR="007950E7">
        <w:t>6</w:t>
      </w:r>
      <w:r w:rsidR="00BA6B46">
        <w:fldChar w:fldCharType="end"/>
      </w:r>
      <w:r>
        <w:t xml:space="preserve">, each model, regardless of complexity or severity of potential impacts, needs to be subjected to </w:t>
      </w:r>
      <w:r w:rsidR="007D5A53">
        <w:t>a qualitative uncertainty analysis</w:t>
      </w:r>
      <w:r w:rsidR="00493ABF">
        <w:t xml:space="preserve"> in terms of</w:t>
      </w:r>
      <w:r w:rsidR="007D5A53">
        <w:t xml:space="preserve"> </w:t>
      </w:r>
      <w:r>
        <w:t xml:space="preserve">a systematic and rigorous assessment of the model assumptions </w:t>
      </w:r>
      <w:r w:rsidR="007D5A53">
        <w:t xml:space="preserve">and choices. The justification of model choices is standard practice in groundwater model reporting and the AGMG (Barnett et al. 2012) recommends a ‘limitations and opportunities’ section to highlight the main limitations that can influence results. </w:t>
      </w:r>
      <w:r w:rsidR="00F650AC">
        <w:t xml:space="preserve">From the previous section it is clear that each uncertainty quantification approach is based on a number of assumptions that need to be justified and checked. </w:t>
      </w:r>
    </w:p>
    <w:p w14:paraId="6370376E" w14:textId="453CF7B9" w:rsidR="00765B62" w:rsidRDefault="00F650AC" w:rsidP="00E658CF">
      <w:pPr>
        <w:pStyle w:val="BodyText"/>
      </w:pPr>
      <w:r>
        <w:t>In the Bioregional Assessments, this qualitative uncertainty analysis is presented together with the results of the uncertainty quantification (Peeters et al. 2016). Each assumption is scored on whether the assumption or model choice is driven by data availability, time and budget available for the project or technical challenges. The most important score</w:t>
      </w:r>
      <w:r w:rsidR="002D7DA8">
        <w:t>,</w:t>
      </w:r>
      <w:r>
        <w:t xml:space="preserve"> however</w:t>
      </w:r>
      <w:r w:rsidR="002D7DA8">
        <w:t>,</w:t>
      </w:r>
      <w:r>
        <w:t xml:space="preserve"> is the perceived effect </w:t>
      </w:r>
      <w:r w:rsidR="00765B62">
        <w:t xml:space="preserve">of the assumption </w:t>
      </w:r>
      <w:r>
        <w:t>on the model outcomes</w:t>
      </w:r>
      <w:r w:rsidR="00765B62">
        <w:t>.</w:t>
      </w:r>
      <w:r>
        <w:t xml:space="preserve"> </w:t>
      </w:r>
      <w:r w:rsidR="00765B62">
        <w:t>Summarising this discussion with the scoring system through a table allows reviewer</w:t>
      </w:r>
      <w:r w:rsidR="0081241D">
        <w:t xml:space="preserve">s and stakeholders </w:t>
      </w:r>
      <w:r w:rsidR="00765B62">
        <w:t>to quickly asses</w:t>
      </w:r>
      <w:r w:rsidR="00500804">
        <w:t>s</w:t>
      </w:r>
      <w:r w:rsidR="00765B62">
        <w:t xml:space="preserve"> the importance of the various model assumptions.</w:t>
      </w:r>
    </w:p>
    <w:p w14:paraId="630B5D03" w14:textId="77777777" w:rsidR="007D5A53" w:rsidRDefault="00765B62" w:rsidP="00E658CF">
      <w:pPr>
        <w:pStyle w:val="BodyText"/>
      </w:pPr>
      <w:r>
        <w:t xml:space="preserve">The qualitative uncertainty analysis has great potential as </w:t>
      </w:r>
      <w:r w:rsidR="002D7DA8">
        <w:t xml:space="preserve">a </w:t>
      </w:r>
      <w:r>
        <w:t xml:space="preserve">communication tool to engage stakeholders. It provides modellers and proponents an opportunity to transparently record that the effects of </w:t>
      </w:r>
      <w:r w:rsidR="00F509CC">
        <w:t xml:space="preserve">various </w:t>
      </w:r>
      <w:r>
        <w:t>assumption</w:t>
      </w:r>
      <w:r w:rsidR="00F509CC">
        <w:t>s</w:t>
      </w:r>
      <w:r>
        <w:t xml:space="preserve"> have been </w:t>
      </w:r>
      <w:r w:rsidR="002D7DA8">
        <w:t xml:space="preserve">logically </w:t>
      </w:r>
      <w:r>
        <w:t xml:space="preserve">considered in the modelling process. </w:t>
      </w:r>
      <w:r w:rsidR="00F509CC">
        <w:t xml:space="preserve">It also establishes a common ground between modellers and </w:t>
      </w:r>
      <w:r w:rsidR="002D7DA8">
        <w:t xml:space="preserve">independent </w:t>
      </w:r>
      <w:r w:rsidR="00F509CC">
        <w:t>reviewers, in which reviewers need to precisely articulate why they disagree with the scoring and reasoning presented.</w:t>
      </w:r>
    </w:p>
    <w:p w14:paraId="45FC2510" w14:textId="77777777" w:rsidR="00F509CC" w:rsidRDefault="00F509CC" w:rsidP="00E658CF">
      <w:pPr>
        <w:pStyle w:val="BodyText"/>
      </w:pPr>
      <w:r>
        <w:t>There are various ways to justify assumptions. For many issues in simulating coal development, there is academic and technical literature available that explores effects on simulation. Relevant examples are</w:t>
      </w:r>
      <w:r w:rsidR="00FC05E2">
        <w:t xml:space="preserve"> Brunner et al. (2010) on representing surface water groundwater connectivity in MODFLOW,</w:t>
      </w:r>
      <w:r>
        <w:t xml:space="preserve"> Her</w:t>
      </w:r>
      <w:r w:rsidR="00FC05E2">
        <w:t>c</w:t>
      </w:r>
      <w:r>
        <w:t>kenrath et al. (201</w:t>
      </w:r>
      <w:r w:rsidR="00FC05E2">
        <w:t>5</w:t>
      </w:r>
      <w:r>
        <w:t xml:space="preserve">) </w:t>
      </w:r>
      <w:r w:rsidR="002D7DA8">
        <w:t>and Cth (2014</w:t>
      </w:r>
      <w:r w:rsidR="00B5433A">
        <w:t>a</w:t>
      </w:r>
      <w:r w:rsidR="002D7DA8">
        <w:t xml:space="preserve">) </w:t>
      </w:r>
      <w:r>
        <w:t>on simulating dual phase flow for coal seam gas production, Cook et al. (2016) on propagation of depressurisation through aquitards and Doble et al. (2017) on the effect of leaky bores.</w:t>
      </w:r>
      <w:r w:rsidR="00FC05E2">
        <w:t xml:space="preserve"> The latter two </w:t>
      </w:r>
      <w:r w:rsidR="002D7DA8">
        <w:t>also</w:t>
      </w:r>
      <w:r w:rsidR="00FC05E2">
        <w:t xml:space="preserve"> explore the effects of assumptions from first principles, starting from the fundamental groundwater </w:t>
      </w:r>
      <w:r w:rsidR="00302F5F">
        <w:t>flow equations.</w:t>
      </w:r>
    </w:p>
    <w:p w14:paraId="7526C302" w14:textId="1C31A695" w:rsidR="00FC05E2" w:rsidRDefault="00FC05E2" w:rsidP="00E658CF">
      <w:pPr>
        <w:pStyle w:val="BodyText"/>
      </w:pPr>
      <w:r>
        <w:t>Another approach to test assumptions, especially to those very specific to the model study, is to carry out numerical experiments with a small-scale model.</w:t>
      </w:r>
      <w:r w:rsidR="00302F5F">
        <w:t xml:space="preserve"> Crosbie et al. (2016) analyse the effect of aquifer heterogeneity on regional drawdown </w:t>
      </w:r>
      <w:r w:rsidR="00981499">
        <w:t>simulation</w:t>
      </w:r>
      <w:r w:rsidR="00302F5F">
        <w:t>s</w:t>
      </w:r>
      <w:r w:rsidR="00500804">
        <w:t>.</w:t>
      </w:r>
      <w:r>
        <w:t xml:space="preserve"> </w:t>
      </w:r>
      <w:r w:rsidR="00302F5F">
        <w:t>Hayes and Nicol (2017) report building a simplified large</w:t>
      </w:r>
      <w:r w:rsidR="00500804">
        <w:t>-</w:t>
      </w:r>
      <w:r w:rsidR="00302F5F">
        <w:t>scale model to justify selection of boundary conditions, while Mackie (2013) explores the effect of aquitard heterogeneity through detailed small</w:t>
      </w:r>
      <w:r w:rsidR="00500804">
        <w:t>-</w:t>
      </w:r>
      <w:r w:rsidR="00302F5F">
        <w:t>scale stochastic analysis.</w:t>
      </w:r>
    </w:p>
    <w:p w14:paraId="6B1408A7" w14:textId="77777777" w:rsidR="00302F5F" w:rsidRDefault="00302F5F" w:rsidP="00E658CF">
      <w:pPr>
        <w:pStyle w:val="BodyText"/>
      </w:pPr>
      <w:r>
        <w:t>The most objective approach to assess the effect of an assumption is to incorporate the assumption in the parameterisation so that it can be tested through a formal, comprehensive sensitivity analysis, which is discussed in the next section.</w:t>
      </w:r>
    </w:p>
    <w:p w14:paraId="46F3E984" w14:textId="77777777" w:rsidR="003515C5" w:rsidRDefault="003515C5">
      <w:pPr>
        <w:widowControl/>
        <w:autoSpaceDE/>
        <w:autoSpaceDN/>
        <w:adjustRightInd/>
        <w:rPr>
          <w:b/>
          <w:bCs/>
          <w:i/>
          <w:iCs/>
          <w:sz w:val="22"/>
          <w:szCs w:val="22"/>
        </w:rPr>
      </w:pPr>
      <w:bookmarkStart w:id="66" w:name="_Ref505518609"/>
      <w:bookmarkStart w:id="67" w:name="_Ref505518677"/>
      <w:bookmarkStart w:id="68" w:name="_Ref505518703"/>
      <w:bookmarkStart w:id="69" w:name="_Ref505518824"/>
      <w:bookmarkStart w:id="70" w:name="_Toc505681259"/>
      <w:r>
        <w:br w:type="page"/>
      </w:r>
    </w:p>
    <w:p w14:paraId="7A9CE247" w14:textId="4B59969D" w:rsidR="00E658CF" w:rsidRDefault="009B0385" w:rsidP="00E658CF">
      <w:pPr>
        <w:pStyle w:val="Heading2"/>
      </w:pPr>
      <w:r>
        <w:lastRenderedPageBreak/>
        <w:t xml:space="preserve">Sensitivity </w:t>
      </w:r>
      <w:r w:rsidR="002D7DA8">
        <w:t>A</w:t>
      </w:r>
      <w:r>
        <w:t>nalysis</w:t>
      </w:r>
      <w:bookmarkEnd w:id="66"/>
      <w:bookmarkEnd w:id="67"/>
      <w:bookmarkEnd w:id="68"/>
      <w:bookmarkEnd w:id="69"/>
      <w:bookmarkEnd w:id="70"/>
    </w:p>
    <w:p w14:paraId="6FA1C87C" w14:textId="77777777" w:rsidR="00302F5F" w:rsidRDefault="00302F5F" w:rsidP="002D7DA8">
      <w:pPr>
        <w:pStyle w:val="BodyText"/>
      </w:pPr>
      <w:r w:rsidRPr="00AF07F6">
        <w:t>Saltelli (200</w:t>
      </w:r>
      <w:r w:rsidR="00E77017">
        <w:t>2</w:t>
      </w:r>
      <w:r w:rsidRPr="00AF07F6">
        <w:t>)</w:t>
      </w:r>
      <w:r>
        <w:t xml:space="preserve"> </w:t>
      </w:r>
      <w:r w:rsidR="0093676A">
        <w:t>defines sensitivity analysis as</w:t>
      </w:r>
      <w:r w:rsidR="002D7DA8">
        <w:t>: “</w:t>
      </w:r>
      <w:r>
        <w:t>The study of how uncertainty in the output of a model (numerical or otherwise) can be</w:t>
      </w:r>
      <w:r w:rsidR="0093676A">
        <w:t xml:space="preserve"> </w:t>
      </w:r>
      <w:r>
        <w:t>apportioned to different sources of uncertainty in the model input</w:t>
      </w:r>
      <w:r w:rsidR="002D7DA8">
        <w:t>.”</w:t>
      </w:r>
    </w:p>
    <w:p w14:paraId="2C951F48" w14:textId="77777777" w:rsidR="00F13895" w:rsidRDefault="0093676A" w:rsidP="00E658CF">
      <w:pPr>
        <w:pStyle w:val="BodyText"/>
      </w:pPr>
      <w:r>
        <w:t>In this definition, sensitivity analysis augments uncertainty quantification as it identifies which sources of uncertainty contribute most to predictive uncertainty. This is the first step in designing strategies to reduce predictive uncertainty by gathering new data or additional modelling.</w:t>
      </w:r>
    </w:p>
    <w:p w14:paraId="6FDDC5B9" w14:textId="1188C2AD" w:rsidR="0093676A" w:rsidRDefault="0093676A" w:rsidP="00E658CF">
      <w:pPr>
        <w:pStyle w:val="BodyText"/>
      </w:pPr>
      <w:r>
        <w:t>There is</w:t>
      </w:r>
      <w:r w:rsidR="00D43FA2">
        <w:t>,</w:t>
      </w:r>
      <w:r>
        <w:t xml:space="preserve"> however</w:t>
      </w:r>
      <w:r w:rsidR="00D43FA2">
        <w:t>,</w:t>
      </w:r>
      <w:r>
        <w:t xml:space="preserve"> an important role for sensitivity analysis as </w:t>
      </w:r>
      <w:r w:rsidR="006138F0">
        <w:t xml:space="preserve">a </w:t>
      </w:r>
      <w:r>
        <w:t>first step in an uncertainty quantification. The computational load of uncertainty quantification increases dramatically with increasing number of parameters. Factor screening or prioritisation aims to identify which parameters have the largest effect on model outcomes so that parameters with no or negligible effect can</w:t>
      </w:r>
      <w:r w:rsidR="00D43FA2">
        <w:t xml:space="preserve"> be</w:t>
      </w:r>
      <w:r>
        <w:t xml:space="preserve"> excluded from </w:t>
      </w:r>
      <w:r w:rsidR="004942B5">
        <w:t>the uncertainty quantification.</w:t>
      </w:r>
    </w:p>
    <w:p w14:paraId="29F74FBB" w14:textId="77777777" w:rsidR="004942B5" w:rsidRDefault="004942B5" w:rsidP="00E658CF">
      <w:pPr>
        <w:pStyle w:val="BodyText"/>
      </w:pPr>
      <w:r>
        <w:t>Closely related to this goal is parameter identifiability; only parameters to which the objective function is sensitive can be constrained by the observations. Hill and Tiedeman (2007) and Doherty and Hunt (2009) provide metrics for parameter identifiability from analysis of a Jacobian matrix, created through systematic, one-at-a-time perturbation of a single parameter set.</w:t>
      </w:r>
    </w:p>
    <w:p w14:paraId="0FBA86CA" w14:textId="77777777" w:rsidR="00FA2F71" w:rsidRDefault="000878ED" w:rsidP="00E658CF">
      <w:pPr>
        <w:pStyle w:val="BodyText"/>
      </w:pPr>
      <w:r>
        <w:t xml:space="preserve">For example, a </w:t>
      </w:r>
      <w:r w:rsidR="00FA2F71">
        <w:t xml:space="preserve">high value for the </w:t>
      </w:r>
      <w:r>
        <w:t xml:space="preserve">relative composite sensitivity (RCS) </w:t>
      </w:r>
      <w:r w:rsidR="00FA2F71">
        <w:t xml:space="preserve">factor </w:t>
      </w:r>
      <w:r>
        <w:t xml:space="preserve">calculated via PEST from the Jacobian matrix for a parameter indicates that the model calibration is sensitive to that parameter, but that the measurements have provided enough information to adequately constrain the uncertainty. A low RCS value, however, indicates that the model calibration is </w:t>
      </w:r>
      <w:r w:rsidR="00FA2F71">
        <w:t>not</w:t>
      </w:r>
      <w:r>
        <w:t xml:space="preserve"> sensitive to the parameter because the measurements do not inform/constrain the calibration, and thus the effect on predictive uncertainty should be</w:t>
      </w:r>
      <w:r w:rsidR="00FA2F71">
        <w:t xml:space="preserve"> evaluated.</w:t>
      </w:r>
      <w:r w:rsidR="00B41B7D">
        <w:t xml:space="preserve"> Note that a numerical criterion is not applicable to this guidance, as the RCS is a relative factor, and thus the assessment of high and low is relative to the RCS factors calculated for a model.</w:t>
      </w:r>
    </w:p>
    <w:p w14:paraId="01D19C4C" w14:textId="2AF470B5" w:rsidR="004942B5" w:rsidRPr="00201FC6" w:rsidRDefault="004942B5" w:rsidP="00E658CF">
      <w:pPr>
        <w:pStyle w:val="BodyText"/>
      </w:pPr>
      <w:r>
        <w:t>While this is a good starting point for a comprehensive sensitivity analysis, Saltelli and Annoni (2010) show that this can lead to misleading results, especially when the model is non-linear</w:t>
      </w:r>
      <w:r w:rsidR="00004B9D">
        <w:t xml:space="preserve"> and highly parameterised. Pianosi et al. (2016) provide a comprehensive overview of global sensitivity analysis methods and their application in environmental modelling. In the Bioregional Assessments (Peeters et al. 2016)</w:t>
      </w:r>
      <w:r w:rsidR="00500804">
        <w:t>,</w:t>
      </w:r>
      <w:r w:rsidR="00004B9D">
        <w:t xml:space="preserve"> the density</w:t>
      </w:r>
      <w:r w:rsidR="00500804">
        <w:t>-</w:t>
      </w:r>
      <w:r w:rsidR="00004B9D">
        <w:t>based approach by Plischke et al</w:t>
      </w:r>
      <w:r w:rsidR="0050782C">
        <w:t>.</w:t>
      </w:r>
      <w:r w:rsidR="00004B9D">
        <w:t xml:space="preserve"> (2013) is applied to all groundwater and surface water models. The advantages of this approach are that it makes no assumption on the shape of the correlation between parameter</w:t>
      </w:r>
      <w:r w:rsidR="00346EA5">
        <w:t>s</w:t>
      </w:r>
      <w:r w:rsidR="00004B9D">
        <w:t xml:space="preserve"> and </w:t>
      </w:r>
      <w:r w:rsidR="00981499">
        <w:t>simulation</w:t>
      </w:r>
      <w:r w:rsidR="00346EA5">
        <w:t>s</w:t>
      </w:r>
      <w:r w:rsidR="00004B9D">
        <w:t xml:space="preserve"> and it can </w:t>
      </w:r>
      <w:r w:rsidR="00C55062">
        <w:t xml:space="preserve">be </w:t>
      </w:r>
      <w:r w:rsidR="00004B9D">
        <w:t xml:space="preserve">applied to any given ensemble of model runs, i.e. there is no specified sampling algorithm </w:t>
      </w:r>
      <w:r w:rsidR="00004B9D" w:rsidRPr="00201FC6">
        <w:t>required.</w:t>
      </w:r>
    </w:p>
    <w:p w14:paraId="6165C9D4" w14:textId="77777777" w:rsidR="00492C49" w:rsidRPr="00201FC6" w:rsidRDefault="00D43FA2" w:rsidP="00492C49">
      <w:pPr>
        <w:rPr>
          <w:sz w:val="22"/>
          <w:szCs w:val="22"/>
        </w:rPr>
      </w:pPr>
      <w:r w:rsidRPr="00201FC6">
        <w:rPr>
          <w:sz w:val="22"/>
          <w:szCs w:val="22"/>
        </w:rPr>
        <w:t>These complex issues should be considered in any sensitivity analysis that supports uncertainty analysis, and the implications of the various assumptions and methods applied should be logically and transparently reported.</w:t>
      </w:r>
      <w:bookmarkStart w:id="71" w:name="_Ref499202420"/>
    </w:p>
    <w:p w14:paraId="18FCA908" w14:textId="77777777" w:rsidR="00E658CF" w:rsidRDefault="009263FE" w:rsidP="009263FE">
      <w:pPr>
        <w:pStyle w:val="Heading1"/>
      </w:pPr>
      <w:bookmarkStart w:id="72" w:name="_Toc505681260"/>
      <w:r>
        <w:t>ENGAGEMENT AND COMMUNICATION</w:t>
      </w:r>
      <w:bookmarkEnd w:id="71"/>
      <w:bookmarkEnd w:id="72"/>
    </w:p>
    <w:p w14:paraId="2FED4850" w14:textId="77777777" w:rsidR="00BE7685" w:rsidRDefault="00BE7685" w:rsidP="00BE7685">
      <w:pPr>
        <w:pStyle w:val="BodyText"/>
      </w:pPr>
      <w:r>
        <w:t xml:space="preserve">Effective communication requires engagement throughout the investigation, not simply at the end to present the results (Richardson et </w:t>
      </w:r>
      <w:r w:rsidR="00976EA7">
        <w:t>al.</w:t>
      </w:r>
      <w:r>
        <w:t xml:space="preserve"> 2017; Barnett et </w:t>
      </w:r>
      <w:r w:rsidR="00976EA7">
        <w:t>al.</w:t>
      </w:r>
      <w:r>
        <w:t xml:space="preserve"> 2012).</w:t>
      </w:r>
    </w:p>
    <w:p w14:paraId="3CFBE594" w14:textId="77777777" w:rsidR="006003E7" w:rsidRDefault="006003E7" w:rsidP="006003E7">
      <w:pPr>
        <w:pStyle w:val="BodyText"/>
      </w:pPr>
      <w:r w:rsidRPr="00442162">
        <w:t xml:space="preserve">The key to successful </w:t>
      </w:r>
      <w:r>
        <w:t xml:space="preserve">engagement and </w:t>
      </w:r>
      <w:r w:rsidRPr="00442162">
        <w:t xml:space="preserve">communication is to </w:t>
      </w:r>
      <w:r w:rsidR="002F7040">
        <w:t xml:space="preserve">design </w:t>
      </w:r>
      <w:r w:rsidR="00BE7685">
        <w:t xml:space="preserve">and undertake </w:t>
      </w:r>
      <w:r w:rsidR="002F7040">
        <w:t xml:space="preserve">the </w:t>
      </w:r>
      <w:r w:rsidR="00BE7685">
        <w:t xml:space="preserve">investigation </w:t>
      </w:r>
      <w:r w:rsidR="002F7040">
        <w:t xml:space="preserve">methodology and </w:t>
      </w:r>
      <w:r w:rsidRPr="00442162">
        <w:t xml:space="preserve">present the </w:t>
      </w:r>
      <w:r w:rsidR="00BE7685">
        <w:t xml:space="preserve">results and related </w:t>
      </w:r>
      <w:r w:rsidRPr="00442162">
        <w:t xml:space="preserve">information about uncertainty in a way that </w:t>
      </w:r>
      <w:r>
        <w:t xml:space="preserve">will </w:t>
      </w:r>
      <w:r w:rsidR="00531510">
        <w:t xml:space="preserve">allow </w:t>
      </w:r>
      <w:r w:rsidRPr="00442162">
        <w:t>decision</w:t>
      </w:r>
      <w:r w:rsidR="00531510">
        <w:t xml:space="preserve"> </w:t>
      </w:r>
      <w:r w:rsidRPr="00442162">
        <w:t>mak</w:t>
      </w:r>
      <w:r w:rsidR="00531510">
        <w:t>ers to understand the effects of uncertainty on project objectives</w:t>
      </w:r>
      <w:r>
        <w:t xml:space="preserve"> (Richardson et </w:t>
      </w:r>
      <w:r w:rsidR="00976EA7">
        <w:t>al.</w:t>
      </w:r>
      <w:r>
        <w:t xml:space="preserve"> 2017, cited in NCGRT, 2017); that is:</w:t>
      </w:r>
    </w:p>
    <w:p w14:paraId="26A3214E" w14:textId="77777777" w:rsidR="006003E7" w:rsidRPr="00540667" w:rsidRDefault="006003E7" w:rsidP="00540667">
      <w:pPr>
        <w:pStyle w:val="Bulletnum"/>
        <w:numPr>
          <w:ilvl w:val="0"/>
          <w:numId w:val="44"/>
        </w:numPr>
        <w:ind w:left="426"/>
      </w:pPr>
      <w:r w:rsidRPr="00540667">
        <w:t>based on agreed and transparent model objectives;</w:t>
      </w:r>
    </w:p>
    <w:p w14:paraId="5B416C33" w14:textId="77777777" w:rsidR="000E2E73" w:rsidRPr="00540667" w:rsidRDefault="00442162" w:rsidP="00540667">
      <w:pPr>
        <w:pStyle w:val="Bulletnum"/>
        <w:numPr>
          <w:ilvl w:val="0"/>
          <w:numId w:val="44"/>
        </w:numPr>
        <w:ind w:left="426"/>
      </w:pPr>
      <w:r w:rsidRPr="00540667">
        <w:t xml:space="preserve">tailored to decision-makers’ needs; </w:t>
      </w:r>
    </w:p>
    <w:p w14:paraId="77E0C993" w14:textId="77777777" w:rsidR="000E2E73" w:rsidRPr="00540667" w:rsidRDefault="00442162" w:rsidP="00540667">
      <w:pPr>
        <w:pStyle w:val="Bulletnum"/>
        <w:numPr>
          <w:ilvl w:val="0"/>
          <w:numId w:val="44"/>
        </w:numPr>
        <w:ind w:left="426"/>
      </w:pPr>
      <w:r w:rsidRPr="00540667">
        <w:t xml:space="preserve">focused on the messages that are </w:t>
      </w:r>
      <w:r w:rsidR="006003E7" w:rsidRPr="00540667">
        <w:t>relevant to their decisions;</w:t>
      </w:r>
    </w:p>
    <w:p w14:paraId="05A1FF92" w14:textId="77777777" w:rsidR="00BE7685" w:rsidRDefault="00442162" w:rsidP="00540667">
      <w:pPr>
        <w:pStyle w:val="Bulletnum"/>
        <w:numPr>
          <w:ilvl w:val="0"/>
          <w:numId w:val="44"/>
        </w:numPr>
        <w:ind w:left="426"/>
      </w:pPr>
      <w:r w:rsidRPr="00540667">
        <w:t>presented</w:t>
      </w:r>
      <w:r w:rsidRPr="00442162">
        <w:t xml:space="preserve"> i</w:t>
      </w:r>
      <w:r>
        <w:t>n plain and clear (precise, jargon-free</w:t>
      </w:r>
      <w:r w:rsidRPr="00442162">
        <w:t>) language</w:t>
      </w:r>
      <w:r w:rsidR="00220D49">
        <w:t>, made fully transparent for independent scrutiny</w:t>
      </w:r>
      <w:r w:rsidR="00800AF5">
        <w:t>, and not prone to misinterpretation</w:t>
      </w:r>
      <w:r w:rsidR="00BE7685">
        <w:t>.</w:t>
      </w:r>
    </w:p>
    <w:p w14:paraId="32D63E8F" w14:textId="77777777" w:rsidR="00E658CF" w:rsidRDefault="00E658CF" w:rsidP="00E658CF">
      <w:pPr>
        <w:pStyle w:val="Heading2"/>
      </w:pPr>
      <w:bookmarkStart w:id="73" w:name="_Ref499202425"/>
      <w:bookmarkStart w:id="74" w:name="_Toc505681261"/>
      <w:r>
        <w:lastRenderedPageBreak/>
        <w:t>Engagement</w:t>
      </w:r>
      <w:bookmarkEnd w:id="73"/>
      <w:bookmarkEnd w:id="74"/>
    </w:p>
    <w:p w14:paraId="602AC877" w14:textId="77777777" w:rsidR="002F7040" w:rsidRDefault="00DD6F4F" w:rsidP="002F7040">
      <w:pPr>
        <w:pStyle w:val="BodyText"/>
      </w:pPr>
      <w:r>
        <w:t>E</w:t>
      </w:r>
      <w:r w:rsidR="002F7040">
        <w:t xml:space="preserve">ngagement with regulatory agencies is required at the </w:t>
      </w:r>
      <w:r w:rsidR="00BE7685">
        <w:t xml:space="preserve">workflow </w:t>
      </w:r>
      <w:r w:rsidR="002F7040">
        <w:t xml:space="preserve">outset and at subsequent key stages, to discuss and agree the methodologies and understand the implications of the results. </w:t>
      </w:r>
      <w:r w:rsidR="00C90B6C">
        <w:t>Key points for engagement are indicated in the workflow (</w:t>
      </w:r>
      <w:r w:rsidR="00EF5C4E">
        <w:fldChar w:fldCharType="begin"/>
      </w:r>
      <w:r w:rsidR="00EF5C4E">
        <w:instrText xml:space="preserve"> REF _Ref499202271 \h </w:instrText>
      </w:r>
      <w:r w:rsidR="00EF5C4E">
        <w:fldChar w:fldCharType="separate"/>
      </w:r>
      <w:r w:rsidR="007950E7">
        <w:t xml:space="preserve">Table </w:t>
      </w:r>
      <w:r w:rsidR="007950E7">
        <w:rPr>
          <w:noProof/>
        </w:rPr>
        <w:t>1</w:t>
      </w:r>
      <w:r w:rsidR="00EF5C4E">
        <w:fldChar w:fldCharType="end"/>
      </w:r>
      <w:r w:rsidR="00EF5C4E">
        <w:t xml:space="preserve">; see section </w:t>
      </w:r>
      <w:r w:rsidR="00EF5C4E">
        <w:fldChar w:fldCharType="begin"/>
      </w:r>
      <w:r w:rsidR="00EF5C4E">
        <w:instrText xml:space="preserve"> REF _Ref499202318 \r \h </w:instrText>
      </w:r>
      <w:r w:rsidR="00EF5C4E">
        <w:fldChar w:fldCharType="separate"/>
      </w:r>
      <w:r w:rsidR="007950E7">
        <w:t>6</w:t>
      </w:r>
      <w:r w:rsidR="00EF5C4E">
        <w:fldChar w:fldCharType="end"/>
      </w:r>
      <w:r w:rsidR="00C90B6C">
        <w:t>).</w:t>
      </w:r>
    </w:p>
    <w:p w14:paraId="6459793C" w14:textId="77777777" w:rsidR="003F5BA4" w:rsidRDefault="003F5BA4" w:rsidP="003F5BA4">
      <w:pPr>
        <w:pStyle w:val="BodyText"/>
      </w:pPr>
      <w:r w:rsidRPr="00442162">
        <w:t>Th</w:t>
      </w:r>
      <w:r w:rsidR="00BE7685">
        <w:t xml:space="preserve">is </w:t>
      </w:r>
      <w:r w:rsidRPr="00442162">
        <w:t>require</w:t>
      </w:r>
      <w:r w:rsidR="00BE7685">
        <w:t>s</w:t>
      </w:r>
      <w:r w:rsidRPr="00442162">
        <w:t xml:space="preserve"> meaningful two-way dialogue between modellers and decision-makers </w:t>
      </w:r>
      <w:r w:rsidR="002F7040">
        <w:t>(</w:t>
      </w:r>
      <w:r w:rsidR="00BE7685">
        <w:t xml:space="preserve">representing key stakeholder organisations; the </w:t>
      </w:r>
      <w:r w:rsidR="002F7040">
        <w:t xml:space="preserve">proponent and </w:t>
      </w:r>
      <w:r w:rsidR="00BE7685">
        <w:t>the regulatory agencies)</w:t>
      </w:r>
      <w:r w:rsidRPr="00442162">
        <w:t>.</w:t>
      </w:r>
      <w:r w:rsidR="00FE3AA3" w:rsidRPr="00FE3AA3">
        <w:t xml:space="preserve"> Such discussions can occur on a ‘without prejudice basis’</w:t>
      </w:r>
      <w:r w:rsidR="00FE3AA3">
        <w:t>.</w:t>
      </w:r>
      <w:r>
        <w:t xml:space="preserve"> </w:t>
      </w:r>
      <w:r w:rsidRPr="000E2E73">
        <w:t xml:space="preserve">Communicating end-products to decision-makers is </w:t>
      </w:r>
      <w:r>
        <w:t>the</w:t>
      </w:r>
      <w:r w:rsidRPr="000E2E73">
        <w:t xml:space="preserve"> last step in what should be multiple communication steps beforehand.</w:t>
      </w:r>
    </w:p>
    <w:p w14:paraId="578CE43D" w14:textId="4EBBA99E" w:rsidR="003F5BA4" w:rsidRDefault="003F5BA4" w:rsidP="003F5BA4">
      <w:pPr>
        <w:pStyle w:val="BodyText"/>
      </w:pPr>
      <w:r w:rsidRPr="00442162">
        <w:t xml:space="preserve">Transparency about the modelling objectives is </w:t>
      </w:r>
      <w:r>
        <w:t>critical</w:t>
      </w:r>
      <w:r w:rsidRPr="00442162">
        <w:t>, and needs to be discussed early in the project workflow.</w:t>
      </w:r>
      <w:r>
        <w:t xml:space="preserve"> This may require agreement to develop more than one model in order to address what are quite different objectives, such as mine dewatering options (where data is often adequate) and/or impact assessment at sensitive receptors where data may be sparse. Using one model to address </w:t>
      </w:r>
      <w:r w:rsidR="00017ADC">
        <w:t xml:space="preserve">all </w:t>
      </w:r>
      <w:r>
        <w:t xml:space="preserve">issues has </w:t>
      </w:r>
      <w:r w:rsidR="00FE3AA3">
        <w:t xml:space="preserve">often </w:t>
      </w:r>
      <w:r>
        <w:t>delivered sub-optimal results in the past</w:t>
      </w:r>
      <w:r w:rsidR="00017ADC">
        <w:t>. However</w:t>
      </w:r>
      <w:r>
        <w:t>, recent advances in software (unstructured grids) and hardware</w:t>
      </w:r>
      <w:r w:rsidR="00BE7685">
        <w:t xml:space="preserve"> (networked processors)</w:t>
      </w:r>
      <w:r>
        <w:t xml:space="preserve"> </w:t>
      </w:r>
      <w:r w:rsidR="00BE7685">
        <w:t xml:space="preserve">mean that </w:t>
      </w:r>
      <w:r>
        <w:t xml:space="preserve">a well-designed </w:t>
      </w:r>
      <w:r w:rsidR="00E05605">
        <w:t>one</w:t>
      </w:r>
      <w:r w:rsidR="00F2055D">
        <w:t>-</w:t>
      </w:r>
      <w:r w:rsidR="00E05605">
        <w:t xml:space="preserve">model </w:t>
      </w:r>
      <w:r>
        <w:t>approach may be deemed adequate</w:t>
      </w:r>
      <w:r w:rsidR="00BE7685">
        <w:t xml:space="preserve"> provided it considers causal pathways </w:t>
      </w:r>
      <w:r w:rsidR="00E05605">
        <w:t>and evaluates the effects of uncertainties</w:t>
      </w:r>
      <w:r>
        <w:t>.</w:t>
      </w:r>
    </w:p>
    <w:p w14:paraId="531CD226" w14:textId="77777777" w:rsidR="0002448E" w:rsidRDefault="0002448E" w:rsidP="0002448E">
      <w:pPr>
        <w:pStyle w:val="BodyText"/>
      </w:pPr>
      <w:r w:rsidRPr="00017ADC">
        <w:t>Effective communication of uncertainty requires an understanding of the role of decision makers and their needs</w:t>
      </w:r>
      <w:r>
        <w:t xml:space="preserve">, and of </w:t>
      </w:r>
      <w:r w:rsidRPr="00017ADC">
        <w:t>how they interact with other parties informing and responding to the decision-making process</w:t>
      </w:r>
      <w:r>
        <w:t>. Richardson et al</w:t>
      </w:r>
      <w:r w:rsidR="0050782C">
        <w:t>.</w:t>
      </w:r>
      <w:r>
        <w:t xml:space="preserve"> (2017) identify five main actors in the water resource management process: the water manager (regulator), the modeller (technician), the reviewer (independent), the stakeholders/public and the project proponent.</w:t>
      </w:r>
      <w:r w:rsidRPr="0002448E">
        <w:t xml:space="preserve"> The water manager </w:t>
      </w:r>
      <w:r>
        <w:t xml:space="preserve">as </w:t>
      </w:r>
      <w:r w:rsidRPr="0002448E">
        <w:t>the primary decision maker</w:t>
      </w:r>
      <w:r>
        <w:t xml:space="preserve"> in licensing mining projects </w:t>
      </w:r>
      <w:r w:rsidRPr="0002448E">
        <w:t>should interact with all parties</w:t>
      </w:r>
      <w:r>
        <w:t>, including</w:t>
      </w:r>
      <w:r w:rsidRPr="0002448E">
        <w:t xml:space="preserve"> the public (e.g.</w:t>
      </w:r>
      <w:r>
        <w:t xml:space="preserve"> landholders</w:t>
      </w:r>
      <w:r w:rsidRPr="0002448E">
        <w:t>)</w:t>
      </w:r>
      <w:r>
        <w:t xml:space="preserve">, and so </w:t>
      </w:r>
      <w:r w:rsidRPr="0002448E">
        <w:t xml:space="preserve">will require the modeller to generate outputs that can </w:t>
      </w:r>
      <w:r>
        <w:t xml:space="preserve">be </w:t>
      </w:r>
      <w:r w:rsidRPr="0002448E">
        <w:t>understood by all stakeholder groups.</w:t>
      </w:r>
    </w:p>
    <w:p w14:paraId="13B6DB6B" w14:textId="77777777" w:rsidR="00E958CE" w:rsidRDefault="00E05605" w:rsidP="00E658CF">
      <w:pPr>
        <w:pStyle w:val="BodyText"/>
      </w:pPr>
      <w:r w:rsidRPr="00067631">
        <w:t xml:space="preserve">Together, the model </w:t>
      </w:r>
      <w:r w:rsidR="00006D1E">
        <w:t xml:space="preserve">impact assessment </w:t>
      </w:r>
      <w:r w:rsidRPr="00067631">
        <w:t xml:space="preserve">results and uncertainty analysis should be used by decision makers as a guide to the likelihood of consequences eventuating (be they beneficial or adverse) </w:t>
      </w:r>
      <w:r w:rsidR="0002448E">
        <w:t xml:space="preserve">and </w:t>
      </w:r>
      <w:r w:rsidR="00006D1E">
        <w:t>to</w:t>
      </w:r>
      <w:r w:rsidR="00017ADC">
        <w:t xml:space="preserve"> the</w:t>
      </w:r>
      <w:r w:rsidR="00006D1E">
        <w:t xml:space="preserve"> </w:t>
      </w:r>
      <w:r>
        <w:t>assess</w:t>
      </w:r>
      <w:r w:rsidR="00017ADC">
        <w:t xml:space="preserve">ment </w:t>
      </w:r>
      <w:r w:rsidR="00006D1E">
        <w:t xml:space="preserve">(by all parties) </w:t>
      </w:r>
      <w:r w:rsidR="00017ADC">
        <w:t>of</w:t>
      </w:r>
      <w:r>
        <w:t xml:space="preserve"> attractive and effective management </w:t>
      </w:r>
      <w:r w:rsidRPr="00067631">
        <w:t>action</w:t>
      </w:r>
      <w:r>
        <w:t>s/options</w:t>
      </w:r>
      <w:r w:rsidRPr="00067631">
        <w:t>.</w:t>
      </w:r>
      <w:r w:rsidR="00E958CE">
        <w:t xml:space="preserve"> </w:t>
      </w:r>
      <w:r w:rsidR="009F6CA2" w:rsidRPr="009F6CA2">
        <w:t xml:space="preserve">Positive or negative framing can be used in the decision </w:t>
      </w:r>
      <w:r w:rsidR="00E900B7">
        <w:t xml:space="preserve">support </w:t>
      </w:r>
      <w:r w:rsidR="009F6CA2" w:rsidRPr="009F6CA2">
        <w:t>context</w:t>
      </w:r>
      <w:r w:rsidR="00E900B7">
        <w:t xml:space="preserve">, meaning that </w:t>
      </w:r>
      <w:r w:rsidR="009F6CA2" w:rsidRPr="009F6CA2">
        <w:t xml:space="preserve">expressions </w:t>
      </w:r>
      <w:r w:rsidR="00E900B7">
        <w:t xml:space="preserve">should </w:t>
      </w:r>
      <w:r w:rsidR="009F6CA2" w:rsidRPr="009F6CA2">
        <w:t>take advantage of this priming (i.e. the direction and expression are consistent)</w:t>
      </w:r>
      <w:r w:rsidR="00E900B7">
        <w:t xml:space="preserve"> to reduce cognitive stress for all parties</w:t>
      </w:r>
      <w:r>
        <w:t>.</w:t>
      </w:r>
    </w:p>
    <w:p w14:paraId="690C42A7" w14:textId="77777777" w:rsidR="00CD29C9" w:rsidRDefault="00E05605" w:rsidP="00CD29C9">
      <w:pPr>
        <w:pStyle w:val="BodyText"/>
      </w:pPr>
      <w:r w:rsidRPr="005308FF">
        <w:t>2D and 3D visualisation of c</w:t>
      </w:r>
      <w:r w:rsidR="00CD29C9" w:rsidRPr="005308FF">
        <w:t>onceptual models</w:t>
      </w:r>
      <w:r w:rsidRPr="005308FF">
        <w:t xml:space="preserve"> and other data can be helpful </w:t>
      </w:r>
      <w:r w:rsidR="00CD29C9" w:rsidRPr="005308FF">
        <w:t>in explaining complex scientific processes</w:t>
      </w:r>
      <w:r w:rsidR="005308FF">
        <w:t xml:space="preserve"> </w:t>
      </w:r>
      <w:r w:rsidR="005308FF" w:rsidRPr="006C2CAB">
        <w:t xml:space="preserve">and communicating concepts and </w:t>
      </w:r>
      <w:r w:rsidR="005308FF">
        <w:t xml:space="preserve">simulation </w:t>
      </w:r>
      <w:r w:rsidR="005308FF" w:rsidRPr="006C2CAB">
        <w:t>results</w:t>
      </w:r>
      <w:r w:rsidR="005308FF">
        <w:t>. The AGMG (Barnett et al. 2012) present comprehensive guidance on reporting and visualisation issues</w:t>
      </w:r>
      <w:r w:rsidR="00CD29C9" w:rsidRPr="005308FF">
        <w:t>.</w:t>
      </w:r>
    </w:p>
    <w:p w14:paraId="1665F602" w14:textId="77777777" w:rsidR="00E658CF" w:rsidRDefault="00E658CF" w:rsidP="00FB7ADE">
      <w:pPr>
        <w:pStyle w:val="Heading2"/>
      </w:pPr>
      <w:bookmarkStart w:id="75" w:name="_Toc505681262"/>
      <w:r>
        <w:t xml:space="preserve">Calibrated </w:t>
      </w:r>
      <w:r w:rsidR="006E273C">
        <w:t>L</w:t>
      </w:r>
      <w:r>
        <w:t>anguage</w:t>
      </w:r>
      <w:bookmarkEnd w:id="75"/>
    </w:p>
    <w:p w14:paraId="609B6F6F" w14:textId="77777777" w:rsidR="003E726A" w:rsidRDefault="003E726A" w:rsidP="003E726A">
      <w:pPr>
        <w:pStyle w:val="BodyText"/>
      </w:pPr>
      <w:r w:rsidRPr="00FB7ADE">
        <w:t>Consistency and precision in language is required to help avoid subjective decision-making biases by the water manager or the project proponent.</w:t>
      </w:r>
      <w:r w:rsidR="007E3324">
        <w:t xml:space="preserve"> I</w:t>
      </w:r>
      <w:r w:rsidRPr="00FB7ADE">
        <w:t xml:space="preserve">t is critical </w:t>
      </w:r>
      <w:r w:rsidR="007E3324">
        <w:t xml:space="preserve">for all parties </w:t>
      </w:r>
      <w:r w:rsidRPr="00FB7ADE">
        <w:t xml:space="preserve">to not distort the </w:t>
      </w:r>
      <w:r w:rsidR="007E3324">
        <w:t xml:space="preserve">implications </w:t>
      </w:r>
      <w:r w:rsidRPr="00FB7ADE">
        <w:t>of the findings presented</w:t>
      </w:r>
      <w:r>
        <w:t xml:space="preserve"> in the assessment</w:t>
      </w:r>
      <w:r w:rsidR="0002188A">
        <w:t>, and for the modeller to present the methods and results in a way that is not prone to misinterpretation</w:t>
      </w:r>
      <w:r w:rsidRPr="00FB7ADE">
        <w:t>.</w:t>
      </w:r>
    </w:p>
    <w:p w14:paraId="460EE4D1" w14:textId="77777777" w:rsidR="003E726A" w:rsidRDefault="003E726A" w:rsidP="003E726A">
      <w:pPr>
        <w:pStyle w:val="BodyText"/>
      </w:pPr>
      <w:r w:rsidRPr="00FB7ADE">
        <w:t xml:space="preserve">For </w:t>
      </w:r>
      <w:r w:rsidR="006F4692">
        <w:t>any</w:t>
      </w:r>
      <w:r w:rsidRPr="00FB7ADE">
        <w:t xml:space="preserve"> decision-maker it is important to have a clear description of the confidence in the model’s ability to provide accurate </w:t>
      </w:r>
      <w:r w:rsidR="00016B88">
        <w:t>simulation</w:t>
      </w:r>
      <w:r w:rsidRPr="00FB7ADE">
        <w:t>s</w:t>
      </w:r>
      <w:r>
        <w:t xml:space="preserve"> along with a quantified level of uncertainty.</w:t>
      </w:r>
    </w:p>
    <w:p w14:paraId="446D0A8E" w14:textId="77777777" w:rsidR="006F4692" w:rsidRDefault="00067631" w:rsidP="00E658CF">
      <w:pPr>
        <w:pStyle w:val="BodyText"/>
      </w:pPr>
      <w:r w:rsidRPr="006E273C">
        <w:t>Confidence in this sense is a</w:t>
      </w:r>
      <w:r w:rsidR="001F762D" w:rsidRPr="006E273C">
        <w:t>n</w:t>
      </w:r>
      <w:r w:rsidRPr="006E273C">
        <w:t xml:space="preserve"> estimate of the quality of evidence and agreement among </w:t>
      </w:r>
      <w:r w:rsidR="003E726A" w:rsidRPr="006E273C">
        <w:t xml:space="preserve">information </w:t>
      </w:r>
      <w:r w:rsidRPr="006E273C">
        <w:t xml:space="preserve">sources about a given </w:t>
      </w:r>
      <w:r w:rsidR="00016B88">
        <w:t>simulation</w:t>
      </w:r>
      <w:r w:rsidR="003E726A" w:rsidRPr="006E273C">
        <w:t xml:space="preserve"> or </w:t>
      </w:r>
      <w:r w:rsidR="00780A83" w:rsidRPr="006E273C">
        <w:t>assessment (C</w:t>
      </w:r>
      <w:r w:rsidRPr="006E273C">
        <w:t>th, 2015</w:t>
      </w:r>
      <w:r w:rsidR="003E726A" w:rsidRPr="006E273C">
        <w:t>b</w:t>
      </w:r>
      <w:r w:rsidRPr="006E273C">
        <w:t xml:space="preserve">). </w:t>
      </w:r>
      <w:r w:rsidR="006F4692" w:rsidRPr="006E273C">
        <w:t xml:space="preserve">This should be discussed at the problem definition stage and throughout the workflow to avoid the potential for </w:t>
      </w:r>
      <w:r w:rsidR="008A1ABF" w:rsidRPr="006E273C">
        <w:t>the final results to be questioned due to non-alignment of views</w:t>
      </w:r>
      <w:r w:rsidR="006E273C" w:rsidRPr="006E273C">
        <w:t>, and to help prioritise data acquisition to reduce measurement and conceptual uncertainties</w:t>
      </w:r>
      <w:r w:rsidR="008A1ABF" w:rsidRPr="006E273C">
        <w:t>.</w:t>
      </w:r>
      <w:r w:rsidR="008A1ABF">
        <w:t xml:space="preserve"> </w:t>
      </w:r>
    </w:p>
    <w:p w14:paraId="263AC141" w14:textId="77777777" w:rsidR="008F4504" w:rsidRDefault="00067631" w:rsidP="00E658CF">
      <w:pPr>
        <w:pStyle w:val="BodyText"/>
      </w:pPr>
      <w:r>
        <w:t xml:space="preserve">The IPCC (2013) </w:t>
      </w:r>
      <w:r w:rsidR="006E273C">
        <w:t>devised</w:t>
      </w:r>
      <w:r w:rsidR="0006554A" w:rsidRPr="0006554A">
        <w:t xml:space="preserve"> </w:t>
      </w:r>
      <w:r w:rsidR="0006554A">
        <w:t xml:space="preserve">a set of narrative descriptors on the likelihood of future climate outcomes that relate directly to probability classes that reflect </w:t>
      </w:r>
      <w:r w:rsidR="006E273C">
        <w:t>uncertainty</w:t>
      </w:r>
      <w:r w:rsidR="003E726A">
        <w:t>.</w:t>
      </w:r>
      <w:r w:rsidR="006E273C">
        <w:t xml:space="preserve"> </w:t>
      </w:r>
      <w:r w:rsidR="00094D21">
        <w:t xml:space="preserve">Those principles have </w:t>
      </w:r>
      <w:r w:rsidR="003E726A">
        <w:t xml:space="preserve">been combined with </w:t>
      </w:r>
      <w:r w:rsidR="0006554A">
        <w:t>risk-based visualisation</w:t>
      </w:r>
      <w:r w:rsidR="003E726A">
        <w:t xml:space="preserve"> methods to develop a</w:t>
      </w:r>
      <w:r w:rsidR="0006554A">
        <w:t>n</w:t>
      </w:r>
      <w:r w:rsidR="003E726A">
        <w:t xml:space="preserve"> </w:t>
      </w:r>
      <w:r w:rsidR="005D4E4C" w:rsidRPr="005D4E4C">
        <w:t>approach</w:t>
      </w:r>
      <w:r w:rsidR="00FD2958">
        <w:t xml:space="preserve"> </w:t>
      </w:r>
      <w:r w:rsidR="005A4D48">
        <w:t>(</w:t>
      </w:r>
      <w:r w:rsidR="005A4D48">
        <w:fldChar w:fldCharType="begin"/>
      </w:r>
      <w:r w:rsidR="005A4D48">
        <w:instrText xml:space="preserve"> REF _Ref505447324 \h </w:instrText>
      </w:r>
      <w:r w:rsidR="005A4D48">
        <w:fldChar w:fldCharType="separate"/>
      </w:r>
      <w:r w:rsidR="007950E7">
        <w:t xml:space="preserve">Table </w:t>
      </w:r>
      <w:r w:rsidR="007950E7">
        <w:rPr>
          <w:noProof/>
        </w:rPr>
        <w:t>2</w:t>
      </w:r>
      <w:r w:rsidR="005A4D48">
        <w:fldChar w:fldCharType="end"/>
      </w:r>
      <w:r w:rsidR="005A4D48">
        <w:t>)</w:t>
      </w:r>
      <w:r w:rsidR="0006554A">
        <w:t xml:space="preserve"> </w:t>
      </w:r>
      <w:r w:rsidR="00FD2958">
        <w:t xml:space="preserve">that enhances communication effectiveness </w:t>
      </w:r>
      <w:r w:rsidR="0006554A">
        <w:t>for all parties</w:t>
      </w:r>
      <w:r w:rsidR="005A4D48">
        <w:t xml:space="preserve"> </w:t>
      </w:r>
      <w:r w:rsidR="005A4D48" w:rsidRPr="008F4504">
        <w:t xml:space="preserve">(Richardson et </w:t>
      </w:r>
      <w:r w:rsidR="005A4D48">
        <w:t>al.</w:t>
      </w:r>
      <w:r w:rsidR="005A4D48" w:rsidRPr="008F4504">
        <w:t xml:space="preserve"> 2017)</w:t>
      </w:r>
      <w:r w:rsidR="00407B8F">
        <w:t>, comprising</w:t>
      </w:r>
      <w:r w:rsidR="008F4504">
        <w:t>:</w:t>
      </w:r>
    </w:p>
    <w:p w14:paraId="3714A205" w14:textId="77777777" w:rsidR="008F4504" w:rsidRDefault="005D4E4C" w:rsidP="00714D8C">
      <w:pPr>
        <w:pStyle w:val="Bulletdot"/>
      </w:pPr>
      <w:r w:rsidRPr="008F4504">
        <w:lastRenderedPageBreak/>
        <w:t>the narrative descriptors of likelihood of a given outcome</w:t>
      </w:r>
      <w:r w:rsidR="008F4504">
        <w:t>,</w:t>
      </w:r>
      <w:r w:rsidRPr="008F4504">
        <w:t xml:space="preserve"> </w:t>
      </w:r>
      <w:r w:rsidR="008F4504">
        <w:t xml:space="preserve">coupled </w:t>
      </w:r>
      <w:r w:rsidRPr="008F4504">
        <w:t>with</w:t>
      </w:r>
    </w:p>
    <w:p w14:paraId="2D9877A1" w14:textId="77777777" w:rsidR="008F4504" w:rsidRDefault="005D4E4C" w:rsidP="00714D8C">
      <w:pPr>
        <w:pStyle w:val="Bulletdot"/>
      </w:pPr>
      <w:r w:rsidRPr="008F4504">
        <w:t>quantitative ranges in probabilities</w:t>
      </w:r>
      <w:r w:rsidR="003E726A" w:rsidRPr="008F4504">
        <w:t xml:space="preserve"> </w:t>
      </w:r>
      <w:r w:rsidRPr="008F4504">
        <w:t xml:space="preserve">from </w:t>
      </w:r>
      <w:r w:rsidR="00A05FE3" w:rsidRPr="008F4504">
        <w:t>an</w:t>
      </w:r>
      <w:r w:rsidRPr="008F4504">
        <w:t xml:space="preserve"> uncertainty analysis, </w:t>
      </w:r>
      <w:r w:rsidR="001F762D" w:rsidRPr="008F4504">
        <w:t xml:space="preserve">coupled with </w:t>
      </w:r>
    </w:p>
    <w:p w14:paraId="4D321ED9" w14:textId="77777777" w:rsidR="003E726A" w:rsidRDefault="005D4E4C" w:rsidP="00714D8C">
      <w:pPr>
        <w:pStyle w:val="Bulletdot"/>
      </w:pPr>
      <w:r w:rsidRPr="008F4504">
        <w:t xml:space="preserve">qualitative </w:t>
      </w:r>
      <w:r w:rsidR="003E726A" w:rsidRPr="008F4504">
        <w:t>visual methods</w:t>
      </w:r>
      <w:r w:rsidR="00FD2958">
        <w:t xml:space="preserve"> (risk-assessment style colour-coding)</w:t>
      </w:r>
      <w:r w:rsidR="003E726A" w:rsidRPr="008F4504">
        <w:t>.</w:t>
      </w:r>
      <w:r w:rsidR="008F4504" w:rsidRPr="008F4504">
        <w:t xml:space="preserve"> </w:t>
      </w:r>
    </w:p>
    <w:p w14:paraId="16D64FFD" w14:textId="77777777" w:rsidR="00022639" w:rsidRDefault="00022639" w:rsidP="00022639">
      <w:pPr>
        <w:pStyle w:val="BodyText"/>
      </w:pPr>
      <w:r>
        <w:t xml:space="preserve">Richardson et al. (2017) provide other examples of </w:t>
      </w:r>
      <w:r w:rsidRPr="008F4504">
        <w:t xml:space="preserve">the use of </w:t>
      </w:r>
      <w:r>
        <w:t xml:space="preserve">calibrated </w:t>
      </w:r>
      <w:r w:rsidRPr="008F4504">
        <w:t xml:space="preserve">language to rank confidence in </w:t>
      </w:r>
      <w:r>
        <w:t xml:space="preserve">uncertainty </w:t>
      </w:r>
      <w:r w:rsidRPr="008F4504">
        <w:t>analysis</w:t>
      </w:r>
      <w:r>
        <w:t xml:space="preserve">. For example, </w:t>
      </w:r>
      <w:r w:rsidRPr="008F4504">
        <w:t>combinations of agreement and evidence</w:t>
      </w:r>
      <w:r>
        <w:t xml:space="preserve"> are given, with ‘a</w:t>
      </w:r>
      <w:r w:rsidRPr="008F4504">
        <w:t>greement</w:t>
      </w:r>
      <w:r>
        <w:t xml:space="preserve">’ being </w:t>
      </w:r>
      <w:r w:rsidRPr="008F4504">
        <w:t xml:space="preserve">a qualitative term that </w:t>
      </w:r>
      <w:r>
        <w:t>sh</w:t>
      </w:r>
      <w:r w:rsidRPr="008F4504">
        <w:t xml:space="preserve">ould </w:t>
      </w:r>
      <w:r>
        <w:t xml:space="preserve">be developed by a </w:t>
      </w:r>
      <w:r w:rsidRPr="008F4504">
        <w:t>technical reference group</w:t>
      </w:r>
      <w:r>
        <w:t xml:space="preserve"> for a project.</w:t>
      </w:r>
    </w:p>
    <w:p w14:paraId="36C758A1" w14:textId="77777777" w:rsidR="009754FE" w:rsidRPr="008F4504" w:rsidRDefault="00EF5C4E" w:rsidP="00EF5C4E">
      <w:pPr>
        <w:pStyle w:val="Caption"/>
      </w:pPr>
      <w:bookmarkStart w:id="76" w:name="_Ref505447324"/>
      <w:bookmarkStart w:id="77" w:name="_Toc505519297"/>
      <w:r>
        <w:t xml:space="preserve">Table </w:t>
      </w:r>
      <w:r w:rsidR="00F65CC6">
        <w:fldChar w:fldCharType="begin"/>
      </w:r>
      <w:r w:rsidR="00F65CC6">
        <w:instrText xml:space="preserve"> SEQ Table \* ARABIC </w:instrText>
      </w:r>
      <w:r w:rsidR="00F65CC6">
        <w:fldChar w:fldCharType="separate"/>
      </w:r>
      <w:r w:rsidR="007950E7">
        <w:rPr>
          <w:noProof/>
        </w:rPr>
        <w:t>2</w:t>
      </w:r>
      <w:r w:rsidR="00F65CC6">
        <w:rPr>
          <w:noProof/>
        </w:rPr>
        <w:fldChar w:fldCharType="end"/>
      </w:r>
      <w:bookmarkEnd w:id="76"/>
      <w:r>
        <w:t xml:space="preserve"> - </w:t>
      </w:r>
      <w:r w:rsidRPr="009A0798">
        <w:t>combined numeric, narrative and visual approach to describing likelihood</w:t>
      </w:r>
      <w:bookmarkEnd w:id="77"/>
    </w:p>
    <w:p w14:paraId="189FE96A" w14:textId="77777777" w:rsidR="003E726A" w:rsidRDefault="00946DC5" w:rsidP="00E658CF">
      <w:pPr>
        <w:pStyle w:val="BodyText"/>
      </w:pPr>
      <w:r>
        <w:rPr>
          <w:noProof/>
        </w:rPr>
        <w:drawing>
          <wp:anchor distT="0" distB="0" distL="114300" distR="114300" simplePos="0" relativeHeight="251658240" behindDoc="0" locked="0" layoutInCell="1" allowOverlap="0" wp14:anchorId="5AAAB8F5" wp14:editId="62868517">
            <wp:simplePos x="0" y="0"/>
            <wp:positionH relativeFrom="column">
              <wp:posOffset>-5246</wp:posOffset>
            </wp:positionH>
            <wp:positionV relativeFrom="paragraph">
              <wp:posOffset>1325</wp:posOffset>
            </wp:positionV>
            <wp:extent cx="6241415" cy="1931670"/>
            <wp:effectExtent l="19050" t="19050" r="26035" b="11430"/>
            <wp:wrapTopAndBottom/>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41415" cy="19316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9CA4194" w14:textId="77777777" w:rsidR="0067556B" w:rsidRDefault="009263FE" w:rsidP="009263FE">
      <w:pPr>
        <w:pStyle w:val="Heading1"/>
      </w:pPr>
      <w:bookmarkStart w:id="78" w:name="_Toc505681263"/>
      <w:r>
        <w:t>CASE STUDY – MINING AREA C SOUTHERN FLANK VALLEY</w:t>
      </w:r>
      <w:bookmarkEnd w:id="78"/>
    </w:p>
    <w:p w14:paraId="6F429BD6" w14:textId="77777777" w:rsidR="00661548" w:rsidRDefault="00661548" w:rsidP="00661548">
      <w:pPr>
        <w:pStyle w:val="BodyText"/>
      </w:pPr>
      <w:r>
        <w:t>The Mining Area C (MAC) set of iron ore deposits (North and South Flank) is being developed by BHP Billiton in the Pilbara region of Western Australia.</w:t>
      </w:r>
      <w:r w:rsidR="00F86AAF">
        <w:t xml:space="preserve"> The methodology </w:t>
      </w:r>
      <w:r w:rsidR="00FB0903">
        <w:t xml:space="preserve">applied to the </w:t>
      </w:r>
      <w:r w:rsidR="00173B3F">
        <w:t>2017 MAC</w:t>
      </w:r>
      <w:r w:rsidR="00FB0903">
        <w:t xml:space="preserve"> assessment </w:t>
      </w:r>
      <w:r w:rsidR="00F86AAF">
        <w:t xml:space="preserve">involved </w:t>
      </w:r>
      <w:r w:rsidR="00F86AAF" w:rsidRPr="00F86AAF">
        <w:t>develop</w:t>
      </w:r>
      <w:r w:rsidR="00F86AAF">
        <w:t>ing</w:t>
      </w:r>
      <w:r w:rsidR="00F86AAF" w:rsidRPr="00F86AAF">
        <w:t xml:space="preserve"> multipl</w:t>
      </w:r>
      <w:r w:rsidR="00F86AAF">
        <w:t>e conceptual and numerical</w:t>
      </w:r>
      <w:r w:rsidR="00F86AAF" w:rsidRPr="00F86AAF">
        <w:t xml:space="preserve"> groundwater models representing different hydrogeological </w:t>
      </w:r>
      <w:r w:rsidR="00F86AAF">
        <w:t xml:space="preserve">and eco-hydrological </w:t>
      </w:r>
      <w:r w:rsidR="00F86AAF" w:rsidRPr="00F86AAF">
        <w:t>conceptualisation</w:t>
      </w:r>
      <w:r w:rsidR="00F86AAF">
        <w:t>s</w:t>
      </w:r>
      <w:r w:rsidR="00173B3F">
        <w:t>.</w:t>
      </w:r>
      <w:r w:rsidR="00FF3B64">
        <w:t xml:space="preserve"> </w:t>
      </w:r>
      <w:r w:rsidR="00173B3F">
        <w:t>A</w:t>
      </w:r>
      <w:r w:rsidR="00FF3B64">
        <w:t xml:space="preserve"> </w:t>
      </w:r>
      <w:r w:rsidR="00F86AAF">
        <w:t xml:space="preserve">comprehensive uncertainty analysis </w:t>
      </w:r>
      <w:r w:rsidR="00173B3F">
        <w:t xml:space="preserve">was </w:t>
      </w:r>
      <w:r w:rsidR="00F86AAF">
        <w:t xml:space="preserve">applied </w:t>
      </w:r>
      <w:r w:rsidR="00F86AAF" w:rsidRPr="00F86AAF">
        <w:t>to predict the range of impacts</w:t>
      </w:r>
      <w:r w:rsidR="00722BAE">
        <w:t xml:space="preserve"> and to mitigate and manage potential impacts on water-related receptors</w:t>
      </w:r>
      <w:r w:rsidR="00FF3B64">
        <w:t xml:space="preserve"> (BHPB, 2017</w:t>
      </w:r>
      <w:r w:rsidR="00F701B9">
        <w:t>a, b</w:t>
      </w:r>
      <w:r w:rsidR="00FF3B64">
        <w:t>)</w:t>
      </w:r>
      <w:r w:rsidR="00F86AAF">
        <w:t>.</w:t>
      </w:r>
      <w:r w:rsidR="00173B3F">
        <w:t xml:space="preserve"> </w:t>
      </w:r>
    </w:p>
    <w:p w14:paraId="69614F1C" w14:textId="77777777" w:rsidR="00F86AAF" w:rsidRDefault="00F86AAF" w:rsidP="00FF3B64">
      <w:pPr>
        <w:pStyle w:val="BodyText"/>
      </w:pPr>
      <w:r>
        <w:t xml:space="preserve">The BHP Billiton Water Resource Management Strategy (WRMS) is designed to mitigate and/or minimise operational impacts on surface water and groundwater as part of ‘business as usual’ activities. The </w:t>
      </w:r>
      <w:r w:rsidR="00FE29B9">
        <w:t>strategy</w:t>
      </w:r>
      <w:r>
        <w:t xml:space="preserve"> is consistent with the</w:t>
      </w:r>
      <w:r w:rsidR="00FE29B9">
        <w:t xml:space="preserve"> </w:t>
      </w:r>
      <w:r>
        <w:t>Western Australian Water in Mining Guideline (DoW</w:t>
      </w:r>
      <w:r w:rsidR="005B532C">
        <w:t>,</w:t>
      </w:r>
      <w:r>
        <w:t xml:space="preserve"> 2013)</w:t>
      </w:r>
      <w:r w:rsidR="00FE29B9">
        <w:t xml:space="preserve">, which </w:t>
      </w:r>
      <w:r w:rsidR="00FF3B64">
        <w:t>encourages a consultative and cooperative relationship between regulator and proponents, and facilitation of early identification of water management issues to clearly outline information requirements for assessment</w:t>
      </w:r>
      <w:r w:rsidR="00FE29B9">
        <w:t xml:space="preserve"> (as does this Explanatory Note)</w:t>
      </w:r>
      <w:r w:rsidR="00FF3B64">
        <w:t xml:space="preserve">. </w:t>
      </w:r>
    </w:p>
    <w:p w14:paraId="5524D470" w14:textId="77777777" w:rsidR="00DB60EB" w:rsidRDefault="00661548" w:rsidP="00DB60EB">
      <w:pPr>
        <w:pStyle w:val="BodyText"/>
      </w:pPr>
      <w:r>
        <w:t>The BHP</w:t>
      </w:r>
      <w:r w:rsidR="001F2E25">
        <w:t xml:space="preserve">B </w:t>
      </w:r>
      <w:r>
        <w:t xml:space="preserve">WRMS </w:t>
      </w:r>
      <w:r w:rsidR="001F2E25">
        <w:t xml:space="preserve">applies </w:t>
      </w:r>
      <w:r>
        <w:t>a risk-based approach that considers scientific uncertainty</w:t>
      </w:r>
      <w:r w:rsidR="001F2E25">
        <w:t>, along with e</w:t>
      </w:r>
      <w:r>
        <w:t>arly warning triggers and thresholds</w:t>
      </w:r>
      <w:r w:rsidR="001F2E25">
        <w:t xml:space="preserve"> of</w:t>
      </w:r>
      <w:r>
        <w:t xml:space="preserve"> hydrological change processes and ecosystem responses. In the early stages of the process, these triggers and thresholds are typically conservative and precautionary reflecting incomplete scientific knowledge.</w:t>
      </w:r>
      <w:r w:rsidR="00722BAE">
        <w:t xml:space="preserve"> </w:t>
      </w:r>
      <w:r>
        <w:t xml:space="preserve">As scientific understanding </w:t>
      </w:r>
      <w:r w:rsidR="00722BAE">
        <w:t>improves</w:t>
      </w:r>
      <w:r>
        <w:t xml:space="preserve">, the level of uncertainty </w:t>
      </w:r>
      <w:r w:rsidR="00722BAE">
        <w:t>reduces, and</w:t>
      </w:r>
      <w:r>
        <w:t xml:space="preserve"> management triggers and thresholds </w:t>
      </w:r>
      <w:r w:rsidR="00722BAE">
        <w:t xml:space="preserve">are </w:t>
      </w:r>
      <w:r>
        <w:t>iteratively refined.</w:t>
      </w:r>
      <w:r w:rsidR="00722BAE">
        <w:t xml:space="preserve"> </w:t>
      </w:r>
    </w:p>
    <w:p w14:paraId="00F6C2C7" w14:textId="1066F3BC" w:rsidR="00DB60EB" w:rsidRDefault="00722BAE" w:rsidP="00DB60EB">
      <w:pPr>
        <w:pStyle w:val="BodyText"/>
      </w:pPr>
      <w:r>
        <w:t>T</w:t>
      </w:r>
      <w:r w:rsidR="00DB60EB">
        <w:t xml:space="preserve">wo alternate </w:t>
      </w:r>
      <w:r>
        <w:t xml:space="preserve">groundwater </w:t>
      </w:r>
      <w:r w:rsidR="00DB60EB">
        <w:t>models were developed, each based on materially different hydrogeological conceptualisations</w:t>
      </w:r>
      <w:r w:rsidR="00A40673">
        <w:t>:</w:t>
      </w:r>
      <w:r w:rsidR="00DB60EB">
        <w:t xml:space="preserve"> one conservative with respect to the ease of drawdown propagation towards </w:t>
      </w:r>
      <w:r>
        <w:t>key ecological assets</w:t>
      </w:r>
      <w:r w:rsidR="00DB60EB">
        <w:t xml:space="preserve"> and the other less so. The models utilised different parameter combinations but were calibrated to the same </w:t>
      </w:r>
      <w:r>
        <w:t xml:space="preserve">key </w:t>
      </w:r>
      <w:r w:rsidR="00DB60EB">
        <w:t>observations</w:t>
      </w:r>
      <w:r>
        <w:t xml:space="preserve"> of</w:t>
      </w:r>
      <w:r w:rsidR="00DB60EB">
        <w:t xml:space="preserve"> groundwater levels, flows at Weeli Wolli Spring and the catchment water balance.</w:t>
      </w:r>
    </w:p>
    <w:p w14:paraId="159B09F6" w14:textId="77777777" w:rsidR="00022639" w:rsidRDefault="00661548" w:rsidP="00661548">
      <w:pPr>
        <w:pStyle w:val="BodyText"/>
      </w:pPr>
      <w:r>
        <w:t xml:space="preserve">To </w:t>
      </w:r>
      <w:r w:rsidR="004A56CA">
        <w:t xml:space="preserve">address </w:t>
      </w:r>
      <w:r>
        <w:t>uncertainty</w:t>
      </w:r>
      <w:r w:rsidR="004A56CA">
        <w:t>,</w:t>
      </w:r>
      <w:r>
        <w:t xml:space="preserve"> multiple model</w:t>
      </w:r>
      <w:r w:rsidR="004A56CA">
        <w:t xml:space="preserve"> scenarios were devised with the two alternate groundwater models, representing </w:t>
      </w:r>
      <w:r>
        <w:t>parameter</w:t>
      </w:r>
      <w:r w:rsidR="004A56CA">
        <w:t xml:space="preserve"> variability</w:t>
      </w:r>
      <w:r>
        <w:t xml:space="preserve"> </w:t>
      </w:r>
      <w:r w:rsidR="004A56CA">
        <w:t xml:space="preserve">and the (uncertain) potential hydraulic connections within and between the </w:t>
      </w:r>
      <w:r>
        <w:t xml:space="preserve">regional and orebody aquifers. The initial model set comprised 2000 </w:t>
      </w:r>
      <w:r>
        <w:lastRenderedPageBreak/>
        <w:t xml:space="preserve">variants, of these 192 calibrated with </w:t>
      </w:r>
      <w:r w:rsidR="00AC5520">
        <w:t xml:space="preserve">justified </w:t>
      </w:r>
      <w:r>
        <w:t xml:space="preserve">confidence to be used in the assessment. The resulting outputs </w:t>
      </w:r>
      <w:r w:rsidR="004A56CA">
        <w:t>we</w:t>
      </w:r>
      <w:r>
        <w:t xml:space="preserve">re presented as a range of drawdown responses </w:t>
      </w:r>
      <w:r w:rsidR="004A56CA">
        <w:t>due to</w:t>
      </w:r>
      <w:r>
        <w:t xml:space="preserve"> </w:t>
      </w:r>
      <w:r w:rsidR="004A56CA">
        <w:t xml:space="preserve">a range of </w:t>
      </w:r>
      <w:r>
        <w:t xml:space="preserve">dewatering </w:t>
      </w:r>
      <w:r w:rsidR="004A56CA">
        <w:t xml:space="preserve">volumes </w:t>
      </w:r>
      <w:r>
        <w:t>from proposed operations at South Flank, as well as cumulative response from other operations.</w:t>
      </w:r>
      <w:r w:rsidR="008509F3">
        <w:t xml:space="preserve"> </w:t>
      </w:r>
    </w:p>
    <w:p w14:paraId="77D9E8A6" w14:textId="58A124E6" w:rsidR="00661548" w:rsidRDefault="00173B3F" w:rsidP="00661548">
      <w:pPr>
        <w:pStyle w:val="BodyText"/>
      </w:pPr>
      <w:r>
        <w:t xml:space="preserve">The assessment recognised the temporal and spatial variance in water balances </w:t>
      </w:r>
      <w:r w:rsidR="00E945D4">
        <w:t>(</w:t>
      </w:r>
      <w:r w:rsidR="00E945D4">
        <w:fldChar w:fldCharType="begin"/>
      </w:r>
      <w:r w:rsidR="00E945D4">
        <w:instrText xml:space="preserve"> REF _Ref505447566 \h </w:instrText>
      </w:r>
      <w:r w:rsidR="00E945D4">
        <w:fldChar w:fldCharType="separate"/>
      </w:r>
      <w:r w:rsidR="007950E7">
        <w:t xml:space="preserve">Figure </w:t>
      </w:r>
      <w:r w:rsidR="007950E7">
        <w:rPr>
          <w:noProof/>
        </w:rPr>
        <w:t>6</w:t>
      </w:r>
      <w:r w:rsidR="00E945D4">
        <w:fldChar w:fldCharType="end"/>
      </w:r>
      <w:r w:rsidR="00E945D4">
        <w:t xml:space="preserve">) </w:t>
      </w:r>
      <w:r>
        <w:t xml:space="preserve">and cumulative effects from other mining activities in the area, with consideration of a mid and high case mine production schedule and options for mine closure strategies. </w:t>
      </w:r>
      <w:r w:rsidR="00222027">
        <w:t xml:space="preserve">The backfilling of pit voids to above the recovered standing water level (nominally 5 m above the groundwater level) </w:t>
      </w:r>
      <w:r>
        <w:t>wa</w:t>
      </w:r>
      <w:r w:rsidR="00222027">
        <w:t>s proposed as part of the mine closure strategy and thus was not considered to be a water</w:t>
      </w:r>
      <w:r w:rsidR="00A40673">
        <w:t>-</w:t>
      </w:r>
      <w:r w:rsidR="00222027">
        <w:t xml:space="preserve">affecting activity in terms of quantity or quality. </w:t>
      </w:r>
    </w:p>
    <w:p w14:paraId="7DBF1C2E" w14:textId="39116ED6" w:rsidR="00022639" w:rsidRDefault="00022639" w:rsidP="00022639">
      <w:pPr>
        <w:pStyle w:val="BodyText"/>
      </w:pPr>
      <w:r>
        <w:t>The predicted drawdown due to dewatering activities in the catchment was presented in terms of a range between the 20</w:t>
      </w:r>
      <w:r w:rsidRPr="004A56CA">
        <w:rPr>
          <w:vertAlign w:val="superscript"/>
        </w:rPr>
        <w:t>th</w:t>
      </w:r>
      <w:r>
        <w:t xml:space="preserve"> and 80</w:t>
      </w:r>
      <w:r w:rsidRPr="004A56CA">
        <w:rPr>
          <w:vertAlign w:val="superscript"/>
        </w:rPr>
        <w:t>th</w:t>
      </w:r>
      <w:r>
        <w:t xml:space="preserve"> percentile (P20 to P80) results. In this case, low percentiles represent a smaller drawdown footprint and dewatering requirement while the high percentiles represent a larger drawdown footprint and dewatering requirement. The range was not intended to represent confidence intervals</w:t>
      </w:r>
      <w:r w:rsidR="00A40673">
        <w:t xml:space="preserve"> but</w:t>
      </w:r>
      <w:r>
        <w:t xml:space="preserve"> rather that the most likely prediction lies somewhere within the P20 to P80 range at most locations within the catchment. </w:t>
      </w:r>
    </w:p>
    <w:p w14:paraId="27A8FA49" w14:textId="77777777" w:rsidR="00FE47AD" w:rsidRDefault="00FE47AD" w:rsidP="00022639">
      <w:pPr>
        <w:pStyle w:val="BodyText"/>
      </w:pPr>
    </w:p>
    <w:p w14:paraId="189699D0" w14:textId="77777777" w:rsidR="00E945D4" w:rsidRDefault="00022639" w:rsidP="00E945D4">
      <w:pPr>
        <w:pStyle w:val="Caption"/>
      </w:pPr>
      <w:bookmarkStart w:id="79" w:name="_Ref505447566"/>
      <w:r>
        <w:rPr>
          <w:noProof/>
        </w:rPr>
        <w:drawing>
          <wp:anchor distT="0" distB="0" distL="114300" distR="114300" simplePos="0" relativeHeight="251658248" behindDoc="0" locked="1" layoutInCell="1" allowOverlap="1" wp14:anchorId="5DACA762" wp14:editId="439E473F">
            <wp:simplePos x="0" y="0"/>
            <wp:positionH relativeFrom="column">
              <wp:posOffset>-56515</wp:posOffset>
            </wp:positionH>
            <wp:positionV relativeFrom="paragraph">
              <wp:posOffset>3175</wp:posOffset>
            </wp:positionV>
            <wp:extent cx="6085840" cy="2931160"/>
            <wp:effectExtent l="0" t="0" r="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5840" cy="2931160"/>
                    </a:xfrm>
                    <a:prstGeom prst="rect">
                      <a:avLst/>
                    </a:prstGeom>
                    <a:noFill/>
                  </pic:spPr>
                </pic:pic>
              </a:graphicData>
            </a:graphic>
            <wp14:sizeRelH relativeFrom="page">
              <wp14:pctWidth>0</wp14:pctWidth>
            </wp14:sizeRelH>
            <wp14:sizeRelV relativeFrom="page">
              <wp14:pctHeight>0</wp14:pctHeight>
            </wp14:sizeRelV>
          </wp:anchor>
        </w:drawing>
      </w:r>
      <w:r w:rsidR="00E945D4">
        <w:t xml:space="preserve">Figure </w:t>
      </w:r>
      <w:r w:rsidR="00F65CC6">
        <w:fldChar w:fldCharType="begin"/>
      </w:r>
      <w:r w:rsidR="00F65CC6">
        <w:instrText xml:space="preserve"> SE</w:instrText>
      </w:r>
      <w:r w:rsidR="00F65CC6">
        <w:instrText xml:space="preserve">Q Figure \* ARABIC </w:instrText>
      </w:r>
      <w:r w:rsidR="00F65CC6">
        <w:fldChar w:fldCharType="separate"/>
      </w:r>
      <w:r w:rsidR="007950E7">
        <w:rPr>
          <w:noProof/>
        </w:rPr>
        <w:t>6</w:t>
      </w:r>
      <w:r w:rsidR="00F65CC6">
        <w:rPr>
          <w:noProof/>
        </w:rPr>
        <w:fldChar w:fldCharType="end"/>
      </w:r>
      <w:bookmarkEnd w:id="79"/>
      <w:r w:rsidR="00E945D4">
        <w:t xml:space="preserve"> -</w:t>
      </w:r>
      <w:r w:rsidR="00E945D4" w:rsidRPr="00E945D4">
        <w:t xml:space="preserve"> </w:t>
      </w:r>
      <w:r w:rsidR="00E945D4">
        <w:t>c</w:t>
      </w:r>
      <w:r w:rsidR="00E945D4" w:rsidRPr="00E945D4">
        <w:t>ombined Mining Area C water balance showing annual dewatering estimates compared with water demand</w:t>
      </w:r>
      <w:r w:rsidR="003518D5">
        <w:t>, and the uncertainty range</w:t>
      </w:r>
      <w:r w:rsidR="00E945D4">
        <w:t xml:space="preserve"> (BHP Billiton, 2017</w:t>
      </w:r>
      <w:r w:rsidR="00D3546E">
        <w:t>a</w:t>
      </w:r>
      <w:r w:rsidR="00E945D4">
        <w:t>)</w:t>
      </w:r>
    </w:p>
    <w:p w14:paraId="64978B7D" w14:textId="77777777" w:rsidR="00E658CF" w:rsidRDefault="009263FE" w:rsidP="009263FE">
      <w:pPr>
        <w:pStyle w:val="Heading1"/>
      </w:pPr>
      <w:bookmarkStart w:id="80" w:name="_Toc505681264"/>
      <w:r>
        <w:t>FATAL FLAWS CHECKLIST</w:t>
      </w:r>
      <w:bookmarkEnd w:id="80"/>
    </w:p>
    <w:p w14:paraId="24CF2CD4" w14:textId="45995050" w:rsidR="000309F1" w:rsidRDefault="000309F1" w:rsidP="000309F1">
      <w:pPr>
        <w:pStyle w:val="BodyText"/>
      </w:pPr>
      <w:r>
        <w:t xml:space="preserve">The </w:t>
      </w:r>
      <w:r w:rsidR="008B3D61">
        <w:t xml:space="preserve">fatal flaws </w:t>
      </w:r>
      <w:r>
        <w:t xml:space="preserve">checklist </w:t>
      </w:r>
      <w:r w:rsidR="007C40E3">
        <w:t>(</w:t>
      </w:r>
      <w:r w:rsidR="009263FE">
        <w:fldChar w:fldCharType="begin"/>
      </w:r>
      <w:r w:rsidR="009263FE">
        <w:instrText xml:space="preserve"> REF _Ref505517507 \h </w:instrText>
      </w:r>
      <w:r w:rsidR="009263FE">
        <w:fldChar w:fldCharType="separate"/>
      </w:r>
      <w:r w:rsidR="007950E7">
        <w:rPr>
          <w:b/>
          <w:bCs/>
          <w:lang w:val="en-US"/>
        </w:rPr>
        <w:t>Error! Reference source not found.</w:t>
      </w:r>
      <w:r w:rsidR="009263FE">
        <w:fldChar w:fldCharType="end"/>
      </w:r>
      <w:r w:rsidR="007C40E3">
        <w:t xml:space="preserve">) </w:t>
      </w:r>
      <w:r>
        <w:t xml:space="preserve">comprises </w:t>
      </w:r>
      <w:r w:rsidR="00B6069F">
        <w:t>nine</w:t>
      </w:r>
      <w:r w:rsidR="00D3546E">
        <w:t xml:space="preserve"> </w:t>
      </w:r>
      <w:r w:rsidR="00F701B9">
        <w:t xml:space="preserve">sets of </w:t>
      </w:r>
      <w:r>
        <w:t xml:space="preserve">questions on essential aspects that any groundwater model uncertainty analysis needs to satisfy. </w:t>
      </w:r>
      <w:r w:rsidR="002F3EC2">
        <w:t xml:space="preserve">The first </w:t>
      </w:r>
      <w:r w:rsidR="00DD02B2">
        <w:t>two</w:t>
      </w:r>
      <w:r w:rsidR="002F3EC2">
        <w:t xml:space="preserve"> items can be viewed as a generic compliance checklist on whether uncertainty has been considered adequately (for the given risk context), and so </w:t>
      </w:r>
      <w:r w:rsidR="00F212BF">
        <w:t xml:space="preserve">they do </w:t>
      </w:r>
      <w:r w:rsidR="002F3EC2">
        <w:t xml:space="preserve">not require a specific technical skill set to consider. The last </w:t>
      </w:r>
      <w:r w:rsidR="00B6069F">
        <w:t>seven</w:t>
      </w:r>
      <w:r w:rsidR="002F3EC2">
        <w:t xml:space="preserve"> items comprise more technical issues that require a degree of specialist </w:t>
      </w:r>
      <w:r w:rsidR="00F212BF">
        <w:t xml:space="preserve">hydrogeology and modelling </w:t>
      </w:r>
      <w:r w:rsidR="002F3EC2">
        <w:t>skill to consider.</w:t>
      </w:r>
    </w:p>
    <w:p w14:paraId="3AF78281" w14:textId="77777777" w:rsidR="008B3D61" w:rsidRDefault="000309F1" w:rsidP="000309F1">
      <w:pPr>
        <w:pStyle w:val="BodyText"/>
      </w:pPr>
      <w:r w:rsidRPr="00613330">
        <w:t xml:space="preserve">The checklist should be considered in addition to the general guidance provided in the main body of the </w:t>
      </w:r>
      <w:r>
        <w:t>Explanatory Note and the IESC Information Guidelines</w:t>
      </w:r>
      <w:r w:rsidR="00F212BF">
        <w:t xml:space="preserve"> (including the checklist in the Information Guidelines)</w:t>
      </w:r>
      <w:r>
        <w:t>, as well as best practice requirements (</w:t>
      </w:r>
      <w:r w:rsidR="00757D36">
        <w:t xml:space="preserve">notably Table 9-1 of </w:t>
      </w:r>
      <w:r>
        <w:t xml:space="preserve">Barnett et </w:t>
      </w:r>
      <w:r w:rsidR="00976EA7">
        <w:t>al.</w:t>
      </w:r>
      <w:r>
        <w:t xml:space="preserve"> 2012)</w:t>
      </w:r>
      <w:r w:rsidR="00F212BF">
        <w:t>,</w:t>
      </w:r>
      <w:r>
        <w:t xml:space="preserve"> and </w:t>
      </w:r>
      <w:r w:rsidR="00F212BF">
        <w:t xml:space="preserve">the </w:t>
      </w:r>
      <w:r>
        <w:t>IESC recommendations on modelling methods (Commonwealth of Australia, 2014, 2015).</w:t>
      </w:r>
      <w:r w:rsidR="00A74350">
        <w:t xml:space="preserve"> </w:t>
      </w:r>
    </w:p>
    <w:p w14:paraId="44565F43" w14:textId="77777777" w:rsidR="00E773DF" w:rsidRDefault="00A74350" w:rsidP="000309F1">
      <w:pPr>
        <w:pStyle w:val="BodyText"/>
        <w:sectPr w:rsidR="00E773DF" w:rsidSect="00C62440">
          <w:headerReference w:type="default" r:id="rId36"/>
          <w:pgSz w:w="11910" w:h="16840"/>
          <w:pgMar w:top="1418" w:right="1021" w:bottom="1560" w:left="1298" w:header="283" w:footer="459" w:gutter="0"/>
          <w:pgNumType w:start="1"/>
          <w:cols w:space="720"/>
          <w:noEndnote/>
          <w:docGrid w:linePitch="326"/>
        </w:sectPr>
      </w:pPr>
      <w:r>
        <w:lastRenderedPageBreak/>
        <w:t xml:space="preserve">While the </w:t>
      </w:r>
      <w:r w:rsidR="00C518AF">
        <w:t xml:space="preserve">criteria are </w:t>
      </w:r>
      <w:r>
        <w:t xml:space="preserve">presented </w:t>
      </w:r>
      <w:r w:rsidR="00D04111">
        <w:t xml:space="preserve">in </w:t>
      </w:r>
      <w:r>
        <w:t xml:space="preserve">a </w:t>
      </w:r>
      <w:r w:rsidR="00C518AF">
        <w:t>checklist</w:t>
      </w:r>
      <w:r>
        <w:t xml:space="preserve"> </w:t>
      </w:r>
      <w:r w:rsidR="00D04111">
        <w:t>format, the answers must be provided with cross-reference</w:t>
      </w:r>
      <w:r w:rsidR="008B3D61">
        <w:t>s</w:t>
      </w:r>
      <w:r w:rsidR="00D04111">
        <w:t xml:space="preserve"> to where the objective evidence is provided </w:t>
      </w:r>
      <w:r w:rsidR="00A05E7D">
        <w:t xml:space="preserve">to address the issue </w:t>
      </w:r>
      <w:r w:rsidR="00D04111">
        <w:t>(</w:t>
      </w:r>
      <w:r w:rsidR="00A05E7D">
        <w:t xml:space="preserve">i.e. </w:t>
      </w:r>
      <w:r w:rsidR="008B3D61">
        <w:t xml:space="preserve">to </w:t>
      </w:r>
      <w:r w:rsidR="00E122E0">
        <w:t xml:space="preserve">identify </w:t>
      </w:r>
      <w:r w:rsidR="008B3D61">
        <w:t xml:space="preserve">specific </w:t>
      </w:r>
      <w:r w:rsidR="00C518AF">
        <w:t>parts</w:t>
      </w:r>
      <w:r w:rsidR="00A05E7D">
        <w:t xml:space="preserve"> or sub-sections</w:t>
      </w:r>
      <w:r w:rsidR="00C518AF">
        <w:t xml:space="preserve"> of </w:t>
      </w:r>
      <w:r w:rsidR="00D04111">
        <w:t>the EIS</w:t>
      </w:r>
      <w:r w:rsidR="008B3D61">
        <w:t>, not simply to a chapter</w:t>
      </w:r>
      <w:r w:rsidR="00A05E7D">
        <w:t>/section</w:t>
      </w:r>
      <w:r w:rsidR="00D04111">
        <w:t>).</w:t>
      </w:r>
    </w:p>
    <w:tbl>
      <w:tblPr>
        <w:tblW w:w="0" w:type="auto"/>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80"/>
      </w:tblGrid>
      <w:tr w:rsidR="00845346" w:rsidRPr="00D43FA2" w14:paraId="4A766D91" w14:textId="77777777" w:rsidTr="00845346">
        <w:trPr>
          <w:cantSplit/>
          <w:trHeight w:hRule="exact" w:val="464"/>
          <w:tblHeader/>
        </w:trPr>
        <w:tc>
          <w:tcPr>
            <w:tcW w:w="9380" w:type="dxa"/>
            <w:tcBorders>
              <w:top w:val="nil"/>
              <w:left w:val="nil"/>
              <w:bottom w:val="single" w:sz="12" w:space="0" w:color="auto"/>
              <w:right w:val="nil"/>
            </w:tcBorders>
          </w:tcPr>
          <w:p w14:paraId="4091635C" w14:textId="77777777" w:rsidR="00845346" w:rsidRDefault="00845346" w:rsidP="00845346">
            <w:pPr>
              <w:pStyle w:val="Caption"/>
              <w:keepNext/>
            </w:pPr>
            <w:r>
              <w:lastRenderedPageBreak/>
              <w:t xml:space="preserve">Table </w:t>
            </w:r>
            <w:r w:rsidR="00F65CC6">
              <w:fldChar w:fldCharType="begin"/>
            </w:r>
            <w:r w:rsidR="00F65CC6">
              <w:instrText xml:space="preserve"> SEQ Table \* ARABIC </w:instrText>
            </w:r>
            <w:r w:rsidR="00F65CC6">
              <w:fldChar w:fldCharType="separate"/>
            </w:r>
            <w:r w:rsidR="007950E7">
              <w:rPr>
                <w:noProof/>
              </w:rPr>
              <w:t>3</w:t>
            </w:r>
            <w:r w:rsidR="00F65CC6">
              <w:rPr>
                <w:noProof/>
              </w:rPr>
              <w:fldChar w:fldCharType="end"/>
            </w:r>
            <w:r>
              <w:t xml:space="preserve"> - </w:t>
            </w:r>
            <w:r w:rsidRPr="0010492F">
              <w:t>Fatal Flaws Review Checklist for Uncertainty Assessment</w:t>
            </w:r>
          </w:p>
          <w:p w14:paraId="249D87FB" w14:textId="77777777" w:rsidR="00845346" w:rsidRDefault="00845346" w:rsidP="00845346">
            <w:pPr>
              <w:pStyle w:val="TableParagraph"/>
              <w:ind w:left="0" w:firstLine="0"/>
            </w:pPr>
          </w:p>
        </w:tc>
      </w:tr>
      <w:tr w:rsidR="007C00E6" w:rsidRPr="00D43FA2" w14:paraId="751149E3" w14:textId="77777777" w:rsidTr="00845346">
        <w:trPr>
          <w:cantSplit/>
          <w:trHeight w:hRule="exact" w:val="3796"/>
          <w:tblHeader/>
        </w:trPr>
        <w:tc>
          <w:tcPr>
            <w:tcW w:w="9380" w:type="dxa"/>
            <w:tcBorders>
              <w:top w:val="single" w:sz="12" w:space="0" w:color="auto"/>
              <w:left w:val="single" w:sz="12" w:space="0" w:color="auto"/>
              <w:bottom w:val="single" w:sz="12" w:space="0" w:color="auto"/>
              <w:right w:val="single" w:sz="12" w:space="0" w:color="auto"/>
            </w:tcBorders>
          </w:tcPr>
          <w:p w14:paraId="3C563528" w14:textId="77777777" w:rsidR="007C00E6" w:rsidRDefault="00FC185C" w:rsidP="00FC185C">
            <w:pPr>
              <w:pStyle w:val="TableParagraph"/>
            </w:pPr>
            <w:r>
              <w:t>■</w:t>
            </w:r>
            <w:r w:rsidR="007C00E6" w:rsidRPr="007E3C35">
              <w:t xml:space="preserve"> </w:t>
            </w:r>
            <w:r w:rsidR="007C00E6">
              <w:t xml:space="preserve">Is there evidence of engagement (‘without prejudice’) between the project proponent and regulatory agencies, invoked </w:t>
            </w:r>
            <w:r w:rsidR="007C00E6" w:rsidRPr="00FC185C">
              <w:t>from</w:t>
            </w:r>
            <w:r w:rsidR="007C00E6">
              <w:t xml:space="preserve"> the project outset and at subsequent key stages:</w:t>
            </w:r>
          </w:p>
          <w:p w14:paraId="5242256F" w14:textId="77777777" w:rsidR="007C00E6" w:rsidRPr="007C00E6" w:rsidRDefault="007C00E6" w:rsidP="00FC185C">
            <w:pPr>
              <w:pStyle w:val="TableParagraphbullet"/>
            </w:pPr>
            <w:r w:rsidRPr="007C00E6">
              <w:t>to discuss and agree the project objectives and the modelling objectives?</w:t>
            </w:r>
          </w:p>
          <w:p w14:paraId="4EA2EE5D" w14:textId="77777777" w:rsidR="007C00E6" w:rsidRPr="007C00E6" w:rsidRDefault="007C00E6" w:rsidP="00FC185C">
            <w:pPr>
              <w:pStyle w:val="TableParagraphbullet"/>
            </w:pPr>
            <w:r w:rsidRPr="007C00E6">
              <w:t>to discuss and agree the uncertainty analysis methodologies, including the nature and scope of the (minimum requirement) qualitative uncertainty analysis, and the quantitative uncertainty analysis for high risk projects (i.e. most large coal mines and CSG projects)?</w:t>
            </w:r>
          </w:p>
          <w:p w14:paraId="5B9F33DC" w14:textId="77777777" w:rsidR="007C00E6" w:rsidRPr="007C00E6" w:rsidRDefault="007C00E6" w:rsidP="00FC185C">
            <w:pPr>
              <w:pStyle w:val="TableParagraphbullet"/>
            </w:pPr>
            <w:r w:rsidRPr="007C00E6">
              <w:t>to review the reporting on the modelling and uncertainty analyses, which must be presented in a manner that is open, transparent and amenable for scrutiny (and not prone to misinterpretation), and must include agreed justifications for invoking assumptions</w:t>
            </w:r>
            <w:r w:rsidR="00F701B9">
              <w:t>/criteria</w:t>
            </w:r>
            <w:r w:rsidRPr="007C00E6">
              <w:t xml:space="preserve"> applied to implement the methodology?</w:t>
            </w:r>
          </w:p>
          <w:p w14:paraId="0595631B" w14:textId="77777777" w:rsidR="007C00E6" w:rsidRPr="007C00E6" w:rsidRDefault="007C00E6" w:rsidP="00FC185C">
            <w:pPr>
              <w:pStyle w:val="TableParagraphbullet"/>
            </w:pPr>
            <w:r w:rsidRPr="007C00E6">
              <w:t>to understand the implications of the results in terms of environmental decision-making?</w:t>
            </w:r>
          </w:p>
          <w:p w14:paraId="4F07B0AA" w14:textId="77777777" w:rsidR="007C00E6" w:rsidRPr="007C00E6" w:rsidRDefault="007C00E6" w:rsidP="00FC185C">
            <w:pPr>
              <w:pStyle w:val="TableParagraphbullet"/>
            </w:pPr>
            <w:r w:rsidRPr="007C00E6">
              <w:t>to identify whether an independent technical review of the modelling and/or the uncertainty analysis is warranted</w:t>
            </w:r>
            <w:r w:rsidR="005E3210">
              <w:t>?</w:t>
            </w:r>
          </w:p>
        </w:tc>
      </w:tr>
      <w:tr w:rsidR="007C00E6" w:rsidRPr="007E3C35" w14:paraId="1A8C53F9" w14:textId="77777777" w:rsidTr="001C0824">
        <w:trPr>
          <w:cantSplit/>
          <w:trHeight w:hRule="exact" w:val="1622"/>
          <w:tblHeader/>
        </w:trPr>
        <w:tc>
          <w:tcPr>
            <w:tcW w:w="9380" w:type="dxa"/>
            <w:tcBorders>
              <w:top w:val="single" w:sz="12" w:space="0" w:color="auto"/>
              <w:left w:val="single" w:sz="12" w:space="0" w:color="auto"/>
              <w:bottom w:val="single" w:sz="12" w:space="0" w:color="auto"/>
              <w:right w:val="single" w:sz="12" w:space="0" w:color="auto"/>
            </w:tcBorders>
          </w:tcPr>
          <w:p w14:paraId="334C8B64" w14:textId="77777777" w:rsidR="007C00E6" w:rsidRPr="007E3C35" w:rsidRDefault="00FC185C" w:rsidP="00FC185C">
            <w:pPr>
              <w:pStyle w:val="TableParagraph"/>
            </w:pPr>
            <w:r>
              <w:t>■</w:t>
            </w:r>
            <w:r w:rsidR="007C00E6" w:rsidRPr="007E3C35">
              <w:t xml:space="preserve"> </w:t>
            </w:r>
            <w:r w:rsidR="007C00E6">
              <w:t>Is the modelling and uncertainty analysis methodology designed to provide information for decision makers on the effects of uncertainty on the project objectives (echoing the definition of risk in ISO31000:2009), and</w:t>
            </w:r>
            <w:r w:rsidR="001C0824">
              <w:t xml:space="preserve"> on</w:t>
            </w:r>
            <w:r w:rsidR="007C00E6">
              <w:t xml:space="preserve"> the effects of potential bias</w:t>
            </w:r>
            <w:r w:rsidR="001C0824">
              <w:t xml:space="preserve">? </w:t>
            </w:r>
            <w:r w:rsidR="001C0824">
              <w:br/>
              <w:t>I</w:t>
            </w:r>
            <w:r w:rsidR="007C00E6">
              <w:t>s the adopted complexity-simplicity balance commensurate with the overall risk context and the model purpose of investigating the uncertainty/risk issues (i.e. based on the evidence available of engagement identified in item 1)?</w:t>
            </w:r>
          </w:p>
        </w:tc>
      </w:tr>
      <w:tr w:rsidR="007C00E6" w:rsidRPr="007E3C35" w14:paraId="46928C63" w14:textId="77777777" w:rsidTr="001C0824">
        <w:trPr>
          <w:cantSplit/>
          <w:trHeight w:hRule="exact" w:val="1433"/>
          <w:tblHeader/>
        </w:trPr>
        <w:tc>
          <w:tcPr>
            <w:tcW w:w="9380" w:type="dxa"/>
            <w:tcBorders>
              <w:top w:val="single" w:sz="12" w:space="0" w:color="auto"/>
              <w:left w:val="single" w:sz="12" w:space="0" w:color="auto"/>
              <w:bottom w:val="single" w:sz="12" w:space="0" w:color="auto"/>
              <w:right w:val="single" w:sz="12" w:space="0" w:color="auto"/>
            </w:tcBorders>
          </w:tcPr>
          <w:p w14:paraId="147E265D" w14:textId="77777777" w:rsidR="007C00E6" w:rsidRPr="007E3C35" w:rsidRDefault="00FC185C" w:rsidP="00FC185C">
            <w:pPr>
              <w:pStyle w:val="TableParagraph"/>
            </w:pPr>
            <w:r>
              <w:t>■</w:t>
            </w:r>
            <w:r w:rsidR="007C00E6" w:rsidRPr="007E3C35">
              <w:t xml:space="preserve"> </w:t>
            </w:r>
            <w:r w:rsidR="007C00E6">
              <w:t xml:space="preserve">Has the uncertainty assessment and modelling methodology been designed </w:t>
            </w:r>
            <w:r w:rsidR="005E3210">
              <w:t xml:space="preserve">and implemented </w:t>
            </w:r>
            <w:r w:rsidR="007C00E6">
              <w:t xml:space="preserve">using all the available data, with detailed consideration of the </w:t>
            </w:r>
            <w:r w:rsidR="001C0824">
              <w:t xml:space="preserve">hydrological </w:t>
            </w:r>
            <w:r w:rsidR="007C00E6">
              <w:t>stressors arising from the development and from natural stressors including climate variability, and with unbiased consideration of water-related asset values and causal pathways for potential impacts (direct, indirect and cumulative)?</w:t>
            </w:r>
          </w:p>
        </w:tc>
      </w:tr>
      <w:tr w:rsidR="002407CB" w:rsidRPr="007E3C35" w14:paraId="1BFCADE7" w14:textId="77777777" w:rsidTr="005E3210">
        <w:trPr>
          <w:cantSplit/>
          <w:trHeight w:hRule="exact" w:val="1597"/>
          <w:tblHeader/>
        </w:trPr>
        <w:tc>
          <w:tcPr>
            <w:tcW w:w="9380" w:type="dxa"/>
          </w:tcPr>
          <w:p w14:paraId="7F207A31" w14:textId="77777777" w:rsidR="002407CB" w:rsidRPr="007E3C35" w:rsidRDefault="00FC185C" w:rsidP="00FC185C">
            <w:pPr>
              <w:pStyle w:val="TableParagraph"/>
            </w:pPr>
            <w:bookmarkStart w:id="81" w:name="Description_of_the_proposal"/>
            <w:bookmarkStart w:id="82" w:name="Groundwater"/>
            <w:bookmarkStart w:id="83" w:name="Analytical_and_numerical_modelling_"/>
            <w:bookmarkEnd w:id="81"/>
            <w:bookmarkEnd w:id="82"/>
            <w:bookmarkEnd w:id="83"/>
            <w:r>
              <w:t>■</w:t>
            </w:r>
            <w:r w:rsidR="002407CB" w:rsidRPr="007E3C35">
              <w:t xml:space="preserve"> </w:t>
            </w:r>
            <w:r w:rsidR="002407CB">
              <w:t xml:space="preserve">Where history-match </w:t>
            </w:r>
            <w:r w:rsidR="00981499">
              <w:t xml:space="preserve">conditional </w:t>
            </w:r>
            <w:r w:rsidR="002407CB">
              <w:t>calibration is undertaken</w:t>
            </w:r>
            <w:r w:rsidR="004E7B2D">
              <w:t>, ha</w:t>
            </w:r>
            <w:r w:rsidR="002407CB">
              <w:t xml:space="preserve">s </w:t>
            </w:r>
            <w:r w:rsidR="00981499">
              <w:t xml:space="preserve">it </w:t>
            </w:r>
            <w:r w:rsidR="004E7B2D">
              <w:t>minimised non-uniqueness and error variance</w:t>
            </w:r>
            <w:r w:rsidR="00F701B9">
              <w:t xml:space="preserve"> and if not, is a reasoned justification provided</w:t>
            </w:r>
            <w:r w:rsidR="001C0824">
              <w:t>?</w:t>
            </w:r>
            <w:r w:rsidR="004E7B2D">
              <w:t xml:space="preserve"> </w:t>
            </w:r>
            <w:r w:rsidR="00AC5520">
              <w:t xml:space="preserve">(AGMG recommends </w:t>
            </w:r>
            <w:r w:rsidR="004E7B2D">
              <w:t xml:space="preserve">fitting model outputs to </w:t>
            </w:r>
            <w:r w:rsidR="002407CB">
              <w:t>measured data on heads and discharges for a wide range of climate and hydrological stressor conditions, using Pilot Points and regularisation</w:t>
            </w:r>
            <w:r w:rsidR="00AC5520">
              <w:t>)</w:t>
            </w:r>
            <w:r w:rsidR="002407CB">
              <w:t>?</w:t>
            </w:r>
            <w:r w:rsidR="00F701B9">
              <w:t xml:space="preserve"> </w:t>
            </w:r>
            <w:r w:rsidR="00FD724B">
              <w:br/>
            </w:r>
            <w:r w:rsidR="00AC5520">
              <w:t>Is an acceptable level of model-to-measurement mismatch defined for the conditional calibration?</w:t>
            </w:r>
          </w:p>
        </w:tc>
      </w:tr>
      <w:tr w:rsidR="002407CB" w:rsidRPr="007E3C35" w14:paraId="1AC826D9" w14:textId="77777777" w:rsidTr="00FF4232">
        <w:trPr>
          <w:cantSplit/>
          <w:trHeight w:hRule="exact" w:val="1136"/>
          <w:tblHeader/>
        </w:trPr>
        <w:tc>
          <w:tcPr>
            <w:tcW w:w="9380" w:type="dxa"/>
          </w:tcPr>
          <w:p w14:paraId="47A83363" w14:textId="77777777" w:rsidR="002407CB" w:rsidRPr="002407CB" w:rsidRDefault="00FC185C" w:rsidP="00FC185C">
            <w:pPr>
              <w:pStyle w:val="TableParagraph"/>
            </w:pPr>
            <w:r>
              <w:t>■</w:t>
            </w:r>
            <w:r w:rsidR="002407CB">
              <w:t xml:space="preserve"> </w:t>
            </w:r>
            <w:r w:rsidR="004E7B2D">
              <w:t xml:space="preserve">Are all simulations consistent with all </w:t>
            </w:r>
            <w:r w:rsidR="00FF4232">
              <w:t xml:space="preserve">relevant </w:t>
            </w:r>
            <w:r w:rsidR="004E7B2D">
              <w:t>information/data</w:t>
            </w:r>
            <w:r w:rsidR="00F701B9">
              <w:t xml:space="preserve"> and if not, is a reasoned justification provided</w:t>
            </w:r>
            <w:r w:rsidR="00FF4232">
              <w:t>?</w:t>
            </w:r>
            <w:r w:rsidR="004E7B2D">
              <w:t xml:space="preserve"> </w:t>
            </w:r>
            <w:r w:rsidR="00925470">
              <w:t xml:space="preserve">(AGMG recommends </w:t>
            </w:r>
            <w:r w:rsidR="002407CB" w:rsidRPr="002407CB">
              <w:t>restrict</w:t>
            </w:r>
            <w:r w:rsidR="00925470">
              <w:t xml:space="preserve">ing </w:t>
            </w:r>
            <w:r w:rsidR="00FF4232">
              <w:t>predictions</w:t>
            </w:r>
            <w:r w:rsidR="002407CB" w:rsidRPr="002407CB">
              <w:t xml:space="preserve"> to the same types and magnitudes of variables used for </w:t>
            </w:r>
            <w:r w:rsidR="00981499">
              <w:t xml:space="preserve">conditional </w:t>
            </w:r>
            <w:r w:rsidR="002407CB" w:rsidRPr="002407CB">
              <w:t>calibration (</w:t>
            </w:r>
            <w:r w:rsidR="00F8617B">
              <w:t xml:space="preserve">e.g. </w:t>
            </w:r>
            <w:r w:rsidR="002407CB" w:rsidRPr="002407CB">
              <w:t xml:space="preserve">heads </w:t>
            </w:r>
            <w:r w:rsidR="00F8617B">
              <w:t>and</w:t>
            </w:r>
            <w:r w:rsidR="002407CB" w:rsidRPr="002407CB">
              <w:t xml:space="preserve"> fluxes) and to similar hydrological stressor regimes and timeframes</w:t>
            </w:r>
            <w:r w:rsidR="00FF4232">
              <w:t>)</w:t>
            </w:r>
            <w:r w:rsidR="004E7B2D">
              <w:t xml:space="preserve"> </w:t>
            </w:r>
          </w:p>
        </w:tc>
      </w:tr>
      <w:tr w:rsidR="002407CB" w:rsidRPr="007E3C35" w14:paraId="56998FE7" w14:textId="77777777" w:rsidTr="006D23F1">
        <w:trPr>
          <w:cantSplit/>
          <w:trHeight w:hRule="exact" w:val="890"/>
          <w:tblHeader/>
        </w:trPr>
        <w:tc>
          <w:tcPr>
            <w:tcW w:w="9380" w:type="dxa"/>
          </w:tcPr>
          <w:p w14:paraId="0B870A0F" w14:textId="77777777" w:rsidR="002407CB" w:rsidRPr="007E3C35" w:rsidRDefault="00FC185C" w:rsidP="00FC185C">
            <w:pPr>
              <w:pStyle w:val="TableParagraph"/>
            </w:pPr>
            <w:r>
              <w:t>■</w:t>
            </w:r>
            <w:r w:rsidR="002407CB" w:rsidRPr="007E3C35">
              <w:t xml:space="preserve"> </w:t>
            </w:r>
            <w:r w:rsidR="00537290" w:rsidRPr="00537290">
              <w:t xml:space="preserve">Has the model </w:t>
            </w:r>
            <w:r w:rsidR="00FF4232">
              <w:t xml:space="preserve">been submitted to stress testing </w:t>
            </w:r>
            <w:r w:rsidR="00FF4232" w:rsidRPr="00B96BAE">
              <w:t xml:space="preserve">in which a number of extreme parameter combinations </w:t>
            </w:r>
            <w:r w:rsidR="00FF4232">
              <w:t>(representative of a computationally</w:t>
            </w:r>
            <w:r w:rsidR="00FF4232" w:rsidRPr="00B96BAE">
              <w:t>-intensive</w:t>
            </w:r>
            <w:r w:rsidR="00FF4232">
              <w:t xml:space="preserve"> automated conditional calibration or </w:t>
            </w:r>
            <w:r w:rsidR="00FF4232" w:rsidRPr="00B96BAE">
              <w:t>stochastic model evaluation</w:t>
            </w:r>
            <w:r w:rsidR="00FF4232">
              <w:t>)</w:t>
            </w:r>
            <w:r w:rsidR="00FF4232" w:rsidRPr="00B96BAE">
              <w:t xml:space="preserve"> are tested for </w:t>
            </w:r>
            <w:r w:rsidR="00FF4232">
              <w:t xml:space="preserve">model </w:t>
            </w:r>
            <w:r w:rsidR="00537290" w:rsidRPr="00537290">
              <w:t>convergence?</w:t>
            </w:r>
          </w:p>
        </w:tc>
      </w:tr>
      <w:tr w:rsidR="002407CB" w:rsidRPr="007E3C35" w14:paraId="18C2BD49" w14:textId="77777777" w:rsidTr="00EC0AED">
        <w:trPr>
          <w:cantSplit/>
          <w:trHeight w:hRule="exact" w:val="976"/>
          <w:tblHeader/>
        </w:trPr>
        <w:tc>
          <w:tcPr>
            <w:tcW w:w="9380" w:type="dxa"/>
          </w:tcPr>
          <w:p w14:paraId="5C32826F" w14:textId="77777777" w:rsidR="002407CB" w:rsidRPr="007E3C35" w:rsidRDefault="00FC185C" w:rsidP="00FC185C">
            <w:pPr>
              <w:pStyle w:val="TableParagraph"/>
            </w:pPr>
            <w:r>
              <w:t>■</w:t>
            </w:r>
            <w:r w:rsidR="002407CB" w:rsidRPr="007E3C35">
              <w:t xml:space="preserve"> </w:t>
            </w:r>
            <w:r w:rsidR="00537290">
              <w:t>Has a parameter sensitivity analysis and/or a parameter identifiability analysis been completed</w:t>
            </w:r>
            <w:r w:rsidR="00572C36">
              <w:t xml:space="preserve"> </w:t>
            </w:r>
            <w:r w:rsidR="00572C36" w:rsidRPr="00572C36">
              <w:t>to identify which parameters can be constrained by the available observations and which parameters affect the simulations the most</w:t>
            </w:r>
            <w:r w:rsidR="00537290">
              <w:t xml:space="preserve">, and </w:t>
            </w:r>
            <w:r w:rsidR="00572C36">
              <w:t xml:space="preserve">are </w:t>
            </w:r>
            <w:r w:rsidR="00537290">
              <w:t>the implications discussed?</w:t>
            </w:r>
          </w:p>
        </w:tc>
      </w:tr>
      <w:tr w:rsidR="005E3210" w:rsidRPr="007E3C35" w14:paraId="51CF3D74" w14:textId="77777777" w:rsidTr="005E3210">
        <w:trPr>
          <w:cantSplit/>
          <w:trHeight w:hRule="exact" w:val="2088"/>
          <w:tblHeader/>
        </w:trPr>
        <w:tc>
          <w:tcPr>
            <w:tcW w:w="9380" w:type="dxa"/>
            <w:tcBorders>
              <w:top w:val="single" w:sz="12" w:space="0" w:color="auto"/>
              <w:left w:val="single" w:sz="12" w:space="0" w:color="auto"/>
              <w:bottom w:val="single" w:sz="12" w:space="0" w:color="auto"/>
              <w:right w:val="single" w:sz="12" w:space="0" w:color="auto"/>
            </w:tcBorders>
          </w:tcPr>
          <w:p w14:paraId="01E44EA6" w14:textId="77777777" w:rsidR="005E3210" w:rsidRDefault="005E3210" w:rsidP="000975D4">
            <w:pPr>
              <w:pStyle w:val="TableParagraph"/>
            </w:pPr>
            <w:r>
              <w:lastRenderedPageBreak/>
              <w:t>■</w:t>
            </w:r>
            <w:r w:rsidRPr="007E3C35">
              <w:t xml:space="preserve"> </w:t>
            </w:r>
            <w:r>
              <w:t xml:space="preserve">Have all reports been prepared in an </w:t>
            </w:r>
            <w:r w:rsidRPr="006A4357">
              <w:t>open</w:t>
            </w:r>
            <w:r>
              <w:t>, honest and</w:t>
            </w:r>
            <w:r w:rsidRPr="006A4357">
              <w:t xml:space="preserve"> transparent </w:t>
            </w:r>
            <w:r>
              <w:t>way that is:</w:t>
            </w:r>
          </w:p>
          <w:p w14:paraId="2EA9E177" w14:textId="77777777" w:rsidR="005E3210" w:rsidRPr="005E3210" w:rsidRDefault="005E3210" w:rsidP="000975D4">
            <w:pPr>
              <w:pStyle w:val="TableParagraphbullet"/>
              <w:rPr>
                <w:szCs w:val="24"/>
              </w:rPr>
            </w:pPr>
            <w:r w:rsidRPr="005E3210">
              <w:rPr>
                <w:szCs w:val="24"/>
              </w:rPr>
              <w:t>amenable for independent scrutiny and not prone to misinterpretation;</w:t>
            </w:r>
          </w:p>
          <w:p w14:paraId="463B5DB0" w14:textId="77777777" w:rsidR="005E3210" w:rsidRPr="005E3210" w:rsidRDefault="005E3210" w:rsidP="000975D4">
            <w:pPr>
              <w:pStyle w:val="TableParagraphbullet"/>
              <w:rPr>
                <w:szCs w:val="24"/>
              </w:rPr>
            </w:pPr>
            <w:r w:rsidRPr="005E3210">
              <w:rPr>
                <w:szCs w:val="24"/>
              </w:rPr>
              <w:t>based on agreed and transparent model objectives;</w:t>
            </w:r>
          </w:p>
          <w:p w14:paraId="6E85F00B" w14:textId="77777777" w:rsidR="005E3210" w:rsidRPr="005E3210" w:rsidRDefault="005E3210" w:rsidP="000975D4">
            <w:pPr>
              <w:pStyle w:val="TableParagraphbullet"/>
              <w:rPr>
                <w:szCs w:val="24"/>
              </w:rPr>
            </w:pPr>
            <w:r w:rsidRPr="005E3210">
              <w:rPr>
                <w:szCs w:val="24"/>
              </w:rPr>
              <w:t>tailored to decision-makers’ needs (focus on messages relevant to their decisions);</w:t>
            </w:r>
          </w:p>
          <w:p w14:paraId="2356BE4C" w14:textId="77777777" w:rsidR="005E3210" w:rsidRPr="005E3210" w:rsidRDefault="005E3210" w:rsidP="000975D4">
            <w:pPr>
              <w:pStyle w:val="TableParagraphbullet"/>
              <w:rPr>
                <w:szCs w:val="24"/>
              </w:rPr>
            </w:pPr>
            <w:r w:rsidRPr="005E3210">
              <w:rPr>
                <w:szCs w:val="24"/>
              </w:rPr>
              <w:t>presented in plain and clear language (precise, jargon-free, calibrated) and in conjunction with graphics in a manner that reduces cognitive strain.</w:t>
            </w:r>
          </w:p>
        </w:tc>
      </w:tr>
      <w:tr w:rsidR="00845346" w:rsidRPr="007E3C35" w14:paraId="12DFA5CC" w14:textId="77777777" w:rsidTr="00845346">
        <w:trPr>
          <w:cantSplit/>
          <w:trHeight w:hRule="exact" w:val="3753"/>
          <w:tblHeader/>
        </w:trPr>
        <w:tc>
          <w:tcPr>
            <w:tcW w:w="9380" w:type="dxa"/>
            <w:tcBorders>
              <w:top w:val="single" w:sz="12" w:space="0" w:color="auto"/>
              <w:left w:val="single" w:sz="12" w:space="0" w:color="auto"/>
              <w:bottom w:val="single" w:sz="12" w:space="0" w:color="auto"/>
              <w:right w:val="single" w:sz="12" w:space="0" w:color="auto"/>
            </w:tcBorders>
          </w:tcPr>
          <w:p w14:paraId="16756ECC" w14:textId="77777777" w:rsidR="00845346" w:rsidRDefault="00845346" w:rsidP="00845346">
            <w:pPr>
              <w:pStyle w:val="TableParagraph"/>
            </w:pPr>
            <w:r>
              <w:t xml:space="preserve">■ Do the hydrogeology and modelling reports present a transparent and logical discussion of the following? </w:t>
            </w:r>
          </w:p>
          <w:p w14:paraId="322851EA" w14:textId="77777777" w:rsidR="00845346" w:rsidRDefault="00845346" w:rsidP="00845346">
            <w:pPr>
              <w:pStyle w:val="TableParagraphbullet"/>
            </w:pPr>
            <w:r>
              <w:t>project objectives and the model objectives and uncertainty analysis methodologies</w:t>
            </w:r>
          </w:p>
          <w:p w14:paraId="4FDB54A0" w14:textId="77777777" w:rsidR="00845346" w:rsidRDefault="00845346" w:rsidP="00845346">
            <w:pPr>
              <w:pStyle w:val="TableParagraphbullet"/>
            </w:pPr>
            <w:r>
              <w:t xml:space="preserve">how the modelling objectives are defined in specific and measurable terms in space and time (e.g. threshold impacts of </w:t>
            </w:r>
            <w:r w:rsidRPr="00D95B07">
              <w:t>drawdown at a GDE of more than 2m in X years</w:t>
            </w:r>
            <w:r>
              <w:t>);</w:t>
            </w:r>
          </w:p>
          <w:p w14:paraId="2C4A5711" w14:textId="77777777" w:rsidR="00845346" w:rsidRDefault="00845346" w:rsidP="00845346">
            <w:pPr>
              <w:pStyle w:val="TableParagraphbullet"/>
            </w:pPr>
            <w:r>
              <w:t>hydrogeological conceptualisations and parameterisations;</w:t>
            </w:r>
          </w:p>
          <w:p w14:paraId="3AFAF1F4" w14:textId="77777777" w:rsidR="00845346" w:rsidRDefault="00845346" w:rsidP="00845346">
            <w:pPr>
              <w:pStyle w:val="TableParagraphbullet"/>
            </w:pPr>
            <w:r>
              <w:t>parameters to include in uncertainty quantification and related probability distributions;</w:t>
            </w:r>
          </w:p>
          <w:p w14:paraId="4821021F" w14:textId="77777777" w:rsidR="00845346" w:rsidRDefault="00845346" w:rsidP="00845346">
            <w:pPr>
              <w:pStyle w:val="TableParagraphbullet"/>
            </w:pPr>
            <w:r>
              <w:t xml:space="preserve">measurement uncertainty of each observation or model to measurement misfit criteria; </w:t>
            </w:r>
          </w:p>
          <w:p w14:paraId="355B28FE" w14:textId="77777777" w:rsidR="00845346" w:rsidRDefault="00845346" w:rsidP="00845346">
            <w:pPr>
              <w:pStyle w:val="TableParagraphbullet"/>
            </w:pPr>
            <w:r>
              <w:t xml:space="preserve">agreed justifications for invoking model/method assumptions/criteria and how those choices affect simulations and uncertainties; </w:t>
            </w:r>
          </w:p>
          <w:p w14:paraId="054067ED" w14:textId="77777777" w:rsidR="00845346" w:rsidRDefault="00845346" w:rsidP="00845346">
            <w:pPr>
              <w:pStyle w:val="TableParagraphbullet"/>
            </w:pPr>
            <w:r>
              <w:t xml:space="preserve">methods, simulations and results discussed using calibrated language and </w:t>
            </w:r>
            <w:r w:rsidRPr="00572C36">
              <w:t>presented in a way that reduces cognitive strain</w:t>
            </w:r>
            <w:r>
              <w:t xml:space="preserve"> and is not prone to misinterpretation.</w:t>
            </w:r>
          </w:p>
        </w:tc>
      </w:tr>
    </w:tbl>
    <w:p w14:paraId="28E84D84" w14:textId="77777777" w:rsidR="00BB551E" w:rsidRDefault="00BB551E" w:rsidP="00FD724B">
      <w:pPr>
        <w:pStyle w:val="BodyText"/>
      </w:pPr>
      <w:r>
        <w:rPr>
          <w:sz w:val="24"/>
        </w:rPr>
        <w:br w:type="page"/>
      </w:r>
    </w:p>
    <w:p w14:paraId="72F28296" w14:textId="77777777" w:rsidR="00FB7F92" w:rsidRDefault="00FB7F92" w:rsidP="009263FE">
      <w:pPr>
        <w:pStyle w:val="Heading1"/>
      </w:pPr>
      <w:bookmarkStart w:id="84" w:name="2.3_Water_and_salt_balances"/>
      <w:bookmarkStart w:id="85" w:name="Glossary"/>
      <w:bookmarkStart w:id="86" w:name="SUPPORTING_DOCUMENTS"/>
      <w:bookmarkStart w:id="87" w:name="_Toc505681265"/>
      <w:bookmarkEnd w:id="84"/>
      <w:bookmarkEnd w:id="85"/>
      <w:bookmarkEnd w:id="86"/>
      <w:r>
        <w:lastRenderedPageBreak/>
        <w:t>SUPPORTING DOCUMENTS</w:t>
      </w:r>
      <w:bookmarkEnd w:id="87"/>
    </w:p>
    <w:p w14:paraId="5C88B930" w14:textId="77777777" w:rsidR="00AF07F6" w:rsidRDefault="00AF07F6" w:rsidP="00AF07F6">
      <w:pPr>
        <w:pStyle w:val="BodyText"/>
      </w:pPr>
      <w:r w:rsidRPr="00466600">
        <w:t>Asher MJ</w:t>
      </w:r>
      <w:r>
        <w:t>,</w:t>
      </w:r>
      <w:r w:rsidRPr="00466600">
        <w:t xml:space="preserve"> Croke BFW</w:t>
      </w:r>
      <w:r>
        <w:t>,</w:t>
      </w:r>
      <w:r w:rsidRPr="00466600">
        <w:t xml:space="preserve"> Jakeman AJ </w:t>
      </w:r>
      <w:r>
        <w:t xml:space="preserve">and </w:t>
      </w:r>
      <w:r w:rsidRPr="00466600">
        <w:t>Peeters LJM (2015)</w:t>
      </w:r>
      <w:r>
        <w:t>.</w:t>
      </w:r>
      <w:r w:rsidRPr="00466600">
        <w:t xml:space="preserve"> A review of surrogate models and their application to groundwater </w:t>
      </w:r>
      <w:r>
        <w:t>modelling.</w:t>
      </w:r>
      <w:r w:rsidRPr="00466600">
        <w:t xml:space="preserve"> </w:t>
      </w:r>
      <w:r w:rsidRPr="009209A1">
        <w:rPr>
          <w:i/>
        </w:rPr>
        <w:t>Water Resources Research</w:t>
      </w:r>
      <w:r w:rsidRPr="00466600">
        <w:t>,</w:t>
      </w:r>
      <w:r>
        <w:t xml:space="preserve"> </w:t>
      </w:r>
      <w:r w:rsidRPr="009209A1">
        <w:rPr>
          <w:b/>
        </w:rPr>
        <w:t>51</w:t>
      </w:r>
      <w:r w:rsidRPr="00466600">
        <w:t>, 5957-5973</w:t>
      </w:r>
      <w:r>
        <w:t>.</w:t>
      </w:r>
      <w:r w:rsidRPr="00466600">
        <w:t xml:space="preserve"> </w:t>
      </w:r>
    </w:p>
    <w:p w14:paraId="04355AA8" w14:textId="77777777" w:rsidR="00AF07F6" w:rsidRDefault="00AF07F6" w:rsidP="00AF07F6">
      <w:pPr>
        <w:pStyle w:val="BodyText"/>
      </w:pPr>
      <w:r>
        <w:t>Barnett B, Townley LR, Post V, Evans RE, Hunt RJ, Peeters L, Richardson S, Werner AD, Knapton A and Boronkay A (2012). Australian groundwater modelling guidelines. Waterlines report, National Water Commission, Canberra.</w:t>
      </w:r>
      <w:r w:rsidR="0078268E">
        <w:t xml:space="preserve"> </w:t>
      </w:r>
      <w:hyperlink r:id="rId37" w:history="1">
        <w:r w:rsidRPr="00F51443">
          <w:rPr>
            <w:rStyle w:val="Hyperlink"/>
          </w:rPr>
          <w:t>http://webarchive.nla.gov.au/gov/20160615064846/http://archive.nwc.gov.au/library/waterlines/82</w:t>
        </w:r>
      </w:hyperlink>
    </w:p>
    <w:p w14:paraId="0DE387F2" w14:textId="77777777" w:rsidR="00B2294D" w:rsidRDefault="00B2294D" w:rsidP="00AF07F6">
      <w:pPr>
        <w:pStyle w:val="BodyText"/>
      </w:pPr>
      <w:r w:rsidRPr="00B2294D">
        <w:t>Barrett DJ, Couch CA, Metcalfe DJ, Lytton L, Adhikary DP and Schmidt RK (2013)</w:t>
      </w:r>
      <w:r>
        <w:t>.</w:t>
      </w:r>
      <w:r w:rsidRPr="00B2294D">
        <w:t xml:space="preserve"> Methodology for bioregional assessments of the impacts of coal seam gas and coal mining development on water resources. </w:t>
      </w:r>
      <w:r>
        <w:t>P</w:t>
      </w:r>
      <w:r w:rsidRPr="00B2294D">
        <w:t xml:space="preserve">repared for the Independent Expert Scientific Committee on Coal Seam Gas and Large Coal Mining Development through the Department of the Environment. </w:t>
      </w:r>
    </w:p>
    <w:p w14:paraId="6CE30922" w14:textId="77777777" w:rsidR="00AF07F6" w:rsidRDefault="00AF07F6" w:rsidP="00AF07F6">
      <w:pPr>
        <w:pStyle w:val="BodyText"/>
      </w:pPr>
      <w:r>
        <w:t>Begg S (2013). Uncertainty, decisions, models and people. 2nd AusIMM International Geometallurgy Conference (GeoMet 2013).</w:t>
      </w:r>
    </w:p>
    <w:p w14:paraId="5CE23C5C" w14:textId="77777777" w:rsidR="00AF07F6" w:rsidRDefault="00AF07F6" w:rsidP="00AF07F6">
      <w:pPr>
        <w:pStyle w:val="BodyText"/>
      </w:pPr>
      <w:r>
        <w:t>Beven K (1993). Prophecy, reality and uncertainty in distributed hydrological modelling</w:t>
      </w:r>
      <w:r w:rsidR="009209A1">
        <w:t>.</w:t>
      </w:r>
      <w:r>
        <w:t xml:space="preserve"> </w:t>
      </w:r>
      <w:r w:rsidRPr="009209A1">
        <w:rPr>
          <w:i/>
        </w:rPr>
        <w:t>Advances in Water Resources</w:t>
      </w:r>
      <w:r w:rsidR="009209A1">
        <w:t>,</w:t>
      </w:r>
      <w:r>
        <w:t xml:space="preserve"> </w:t>
      </w:r>
      <w:r w:rsidRPr="009209A1">
        <w:rPr>
          <w:b/>
        </w:rPr>
        <w:t>16</w:t>
      </w:r>
      <w:r>
        <w:t>, 41–51.</w:t>
      </w:r>
    </w:p>
    <w:p w14:paraId="6E327B8C" w14:textId="77777777" w:rsidR="00AF07F6" w:rsidRDefault="00AF07F6" w:rsidP="00AF07F6">
      <w:pPr>
        <w:pStyle w:val="BodyText"/>
      </w:pPr>
      <w:r>
        <w:t xml:space="preserve">Beven K and Young P (2013). A guide to good practice in modeling semantics for authors and referees. </w:t>
      </w:r>
      <w:r w:rsidRPr="009209A1">
        <w:rPr>
          <w:i/>
        </w:rPr>
        <w:t>Water Resources Research</w:t>
      </w:r>
      <w:r>
        <w:t xml:space="preserve">, </w:t>
      </w:r>
      <w:r w:rsidRPr="009209A1">
        <w:rPr>
          <w:b/>
        </w:rPr>
        <w:t>49</w:t>
      </w:r>
      <w:r w:rsidR="009209A1">
        <w:t xml:space="preserve">, </w:t>
      </w:r>
      <w:r>
        <w:t>5092-5098.</w:t>
      </w:r>
    </w:p>
    <w:p w14:paraId="21BA99CE" w14:textId="77777777" w:rsidR="00661548" w:rsidRDefault="00661548" w:rsidP="00661548">
      <w:pPr>
        <w:pStyle w:val="BodyText"/>
      </w:pPr>
      <w:r>
        <w:t>BHP Billiton (2017</w:t>
      </w:r>
      <w:r w:rsidR="00F701B9">
        <w:t>a</w:t>
      </w:r>
      <w:r>
        <w:t>). Mining Area C</w:t>
      </w:r>
      <w:r w:rsidR="00D3546E">
        <w:t xml:space="preserve"> Southern Flank Proposal</w:t>
      </w:r>
      <w:r>
        <w:t>: Hydrological Impact Assessment and Water Management Principles Summary</w:t>
      </w:r>
      <w:r w:rsidR="00D3546E">
        <w:t xml:space="preserve"> (Appendix 7)</w:t>
      </w:r>
      <w:r>
        <w:t>.</w:t>
      </w:r>
      <w:r w:rsidR="00D3546E">
        <w:t xml:space="preserve"> </w:t>
      </w:r>
      <w:hyperlink r:id="rId38" w:history="1">
        <w:r w:rsidRPr="008705AE">
          <w:rPr>
            <w:rStyle w:val="Hyperlink"/>
          </w:rPr>
          <w:t>www.epa.wa.gov.au/sites/default/files/PER_documentation/Appendix%207%20-%20Hydrological%20Impact%20Assessment.pdf</w:t>
        </w:r>
      </w:hyperlink>
    </w:p>
    <w:p w14:paraId="0EAB35B4" w14:textId="77777777" w:rsidR="00F86AAF" w:rsidRDefault="00F86AAF" w:rsidP="00661548">
      <w:pPr>
        <w:pStyle w:val="BodyText"/>
      </w:pPr>
      <w:r>
        <w:t>BHP Billiton (2017</w:t>
      </w:r>
      <w:r w:rsidR="00F701B9">
        <w:t>b</w:t>
      </w:r>
      <w:r>
        <w:t xml:space="preserve">). </w:t>
      </w:r>
      <w:r w:rsidR="00661548">
        <w:t>Mining Area C: Hydrological Impact Assessment and Water Management Plan Options Summary</w:t>
      </w:r>
      <w:r w:rsidR="00D3546E" w:rsidRPr="00D3546E">
        <w:t xml:space="preserve"> </w:t>
      </w:r>
      <w:r w:rsidR="00D3546E">
        <w:t>(Appendix 7; EMP rev6)</w:t>
      </w:r>
      <w:r>
        <w:t>.</w:t>
      </w:r>
      <w:r w:rsidR="0078268E">
        <w:t xml:space="preserve"> </w:t>
      </w:r>
      <w:hyperlink r:id="rId39" w:history="1">
        <w:r w:rsidRPr="008705AE">
          <w:rPr>
            <w:rStyle w:val="Hyperlink"/>
          </w:rPr>
          <w:t>www.epa.wa.gov.au/sites/default/files/PER_documentation/Appendix%207%20-%20Rev%206%20EMP%20Hydrological%20Impact%20and%20Management%20Summary.pdf</w:t>
        </w:r>
      </w:hyperlink>
    </w:p>
    <w:p w14:paraId="5937E0E7" w14:textId="77777777" w:rsidR="00AF07F6" w:rsidRDefault="00AF07F6" w:rsidP="00AF07F6">
      <w:pPr>
        <w:pStyle w:val="BodyText"/>
      </w:pPr>
      <w:r w:rsidRPr="00122D33">
        <w:t>Brunner P</w:t>
      </w:r>
      <w:r>
        <w:t>,</w:t>
      </w:r>
      <w:r w:rsidRPr="00122D33">
        <w:t xml:space="preserve"> Simmons C</w:t>
      </w:r>
      <w:r>
        <w:t>,</w:t>
      </w:r>
      <w:r w:rsidRPr="00122D33">
        <w:t xml:space="preserve"> Cook P </w:t>
      </w:r>
      <w:r>
        <w:t>and</w:t>
      </w:r>
      <w:r w:rsidRPr="00122D33">
        <w:t xml:space="preserve"> Therrien R. (2010)</w:t>
      </w:r>
      <w:r>
        <w:t>.</w:t>
      </w:r>
      <w:r w:rsidRPr="00122D33">
        <w:t xml:space="preserve"> Modeling Surface Water-Groundwater Interaction with MODFLOW: Some Considerations</w:t>
      </w:r>
      <w:r>
        <w:t>.</w:t>
      </w:r>
      <w:r w:rsidRPr="00122D33">
        <w:t xml:space="preserve"> </w:t>
      </w:r>
      <w:r w:rsidRPr="009209A1">
        <w:rPr>
          <w:i/>
        </w:rPr>
        <w:t>Ground Water</w:t>
      </w:r>
      <w:r w:rsidRPr="00122D33">
        <w:t xml:space="preserve">, </w:t>
      </w:r>
      <w:r w:rsidRPr="009209A1">
        <w:rPr>
          <w:b/>
        </w:rPr>
        <w:t>48</w:t>
      </w:r>
      <w:r w:rsidRPr="00122D33">
        <w:t>, 174-180</w:t>
      </w:r>
      <w:r>
        <w:t>.</w:t>
      </w:r>
    </w:p>
    <w:p w14:paraId="4FBBE5B1" w14:textId="77777777" w:rsidR="00AF07F6" w:rsidRDefault="00AF07F6" w:rsidP="00AF07F6">
      <w:pPr>
        <w:pStyle w:val="BodyText"/>
      </w:pPr>
      <w:r>
        <w:t xml:space="preserve">Bureau of Meteorology (2015). Atlas of Groundwater Dependent Ecosystems. </w:t>
      </w:r>
      <w:hyperlink r:id="rId40" w:history="1">
        <w:r w:rsidR="000558CF" w:rsidRPr="000558CF">
          <w:rPr>
            <w:rStyle w:val="Hyperlink"/>
          </w:rPr>
          <w:t>www.bom.gov.au/water/groundwater/gde/index.shtml</w:t>
        </w:r>
      </w:hyperlink>
    </w:p>
    <w:p w14:paraId="7667A717" w14:textId="77777777" w:rsidR="00026C1B" w:rsidRDefault="00026C1B" w:rsidP="00026C1B">
      <w:pPr>
        <w:pStyle w:val="BodyText"/>
      </w:pPr>
      <w:r>
        <w:t>Commonwealth of Australia (2009). The Australian Environment Act – Report of the Independent Review of the Environment Protection and Biodiversity Conservation Act 1999. October 2009.</w:t>
      </w:r>
      <w:r w:rsidR="0078268E">
        <w:t xml:space="preserve"> </w:t>
      </w:r>
      <w:hyperlink r:id="rId41" w:history="1">
        <w:r w:rsidRPr="00917428">
          <w:rPr>
            <w:rStyle w:val="Hyperlink"/>
          </w:rPr>
          <w:t>www.environment.gov.au/system/files/resources/5f3fdad6-30ba-48f7-ab17-c99e8bcc8d78/files/final-report.pdf</w:t>
        </w:r>
      </w:hyperlink>
    </w:p>
    <w:p w14:paraId="01821DDD" w14:textId="424A42ED" w:rsidR="00AF07F6" w:rsidRDefault="000309F1" w:rsidP="000309F1">
      <w:pPr>
        <w:pStyle w:val="BodyText"/>
      </w:pPr>
      <w:r>
        <w:t xml:space="preserve">Commonwealth of Australia </w:t>
      </w:r>
      <w:r w:rsidR="008F49C5">
        <w:t>(</w:t>
      </w:r>
      <w:r>
        <w:t>2013</w:t>
      </w:r>
      <w:r w:rsidR="008F49C5">
        <w:t>).</w:t>
      </w:r>
      <w:r>
        <w:t xml:space="preserve"> Significant Impact Guidelines</w:t>
      </w:r>
      <w:r w:rsidR="004C52D3">
        <w:t xml:space="preserve"> </w:t>
      </w:r>
      <w:r>
        <w:t>1.3: Coal seam gas and large coal mining developments - impacts on water resources</w:t>
      </w:r>
      <w:r w:rsidR="00AF07F6">
        <w:t>.</w:t>
      </w:r>
      <w:r>
        <w:t xml:space="preserve"> </w:t>
      </w:r>
      <w:hyperlink r:id="rId42" w:history="1">
        <w:r w:rsidR="000558CF" w:rsidRPr="000558CF">
          <w:rPr>
            <w:rStyle w:val="Hyperlink"/>
          </w:rPr>
          <w:t>http://www.environment.gov.au/system/files/resources/d078caf3-3923-4416-a743- 0988ac3f1ee1/files/sig-water-resources.pdf</w:t>
        </w:r>
      </w:hyperlink>
    </w:p>
    <w:p w14:paraId="77C0482D" w14:textId="77777777" w:rsidR="000309F1" w:rsidRDefault="000309F1" w:rsidP="000309F1">
      <w:pPr>
        <w:pStyle w:val="BodyText"/>
      </w:pPr>
      <w:r>
        <w:t xml:space="preserve">Commonwealth of Australia </w:t>
      </w:r>
      <w:r w:rsidR="008F49C5">
        <w:t>(</w:t>
      </w:r>
      <w:r>
        <w:t>2014</w:t>
      </w:r>
      <w:r w:rsidR="00E57E4F">
        <w:t>a</w:t>
      </w:r>
      <w:r w:rsidR="008F49C5">
        <w:t>).</w:t>
      </w:r>
      <w:r>
        <w:t xml:space="preserve"> Coal seam gas extraction: modelling groundwater impacts, prepared by Coffey Geotechnics for the Department of the Environment. </w:t>
      </w:r>
    </w:p>
    <w:p w14:paraId="269DDC96" w14:textId="77777777" w:rsidR="00B2294D" w:rsidRDefault="00B2294D" w:rsidP="00B2294D">
      <w:pPr>
        <w:pStyle w:val="BodyText"/>
      </w:pPr>
      <w:r>
        <w:t>Commonwealth of Australia (2014b). Subsidence from coal seam gas extraction in Australia. Prepared by SKM for the Department of the Environment.</w:t>
      </w:r>
    </w:p>
    <w:p w14:paraId="11243DA3" w14:textId="77777777" w:rsidR="00E57E4F" w:rsidRDefault="00E57E4F" w:rsidP="00E57E4F">
      <w:pPr>
        <w:pStyle w:val="BodyText"/>
      </w:pPr>
      <w:r>
        <w:t>Commonwealth of Australia (2014</w:t>
      </w:r>
      <w:r w:rsidR="00B2294D">
        <w:t>c</w:t>
      </w:r>
      <w:r>
        <w:t>). Subsidence from coal mining activities, Background review.</w:t>
      </w:r>
      <w:r w:rsidR="00057065">
        <w:t xml:space="preserve"> Prepared by SKM for the Department of the Environment.</w:t>
      </w:r>
    </w:p>
    <w:p w14:paraId="365D5335" w14:textId="77777777" w:rsidR="00AF07F6" w:rsidRDefault="000309F1" w:rsidP="000309F1">
      <w:pPr>
        <w:pStyle w:val="BodyText"/>
      </w:pPr>
      <w:r>
        <w:t xml:space="preserve">Commonwealth of Australia </w:t>
      </w:r>
      <w:r w:rsidR="008F49C5">
        <w:t>(</w:t>
      </w:r>
      <w:r>
        <w:t>2015a</w:t>
      </w:r>
      <w:r w:rsidR="008F49C5">
        <w:t>).</w:t>
      </w:r>
      <w:r>
        <w:t xml:space="preserve"> Independent Expert Scientific Committee on Coal Seam Gas and Large Coal Mining Development</w:t>
      </w:r>
      <w:r w:rsidR="00AF07F6">
        <w:t xml:space="preserve">. </w:t>
      </w:r>
      <w:hyperlink r:id="rId43" w:history="1">
        <w:r w:rsidR="00AF07F6" w:rsidRPr="00F51443">
          <w:rPr>
            <w:rStyle w:val="Hyperlink"/>
          </w:rPr>
          <w:t>http://iesc.environment.gov.au/</w:t>
        </w:r>
      </w:hyperlink>
    </w:p>
    <w:p w14:paraId="354DEC8D" w14:textId="77777777" w:rsidR="00AF07F6" w:rsidRDefault="000309F1" w:rsidP="000309F1">
      <w:pPr>
        <w:pStyle w:val="BodyText"/>
      </w:pPr>
      <w:r>
        <w:t xml:space="preserve">Commonwealth of Australia </w:t>
      </w:r>
      <w:r w:rsidR="008F49C5">
        <w:t>(</w:t>
      </w:r>
      <w:r>
        <w:t>2015b</w:t>
      </w:r>
      <w:r w:rsidR="008F49C5">
        <w:t>).</w:t>
      </w:r>
      <w:r>
        <w:t xml:space="preserve"> Information Guidelines for the Independent Expert Scientific Committee advice on coal seam gas and large coal mining development proposals, October 2015</w:t>
      </w:r>
      <w:r w:rsidR="00AF07F6">
        <w:t xml:space="preserve">. </w:t>
      </w:r>
      <w:hyperlink r:id="rId44" w:history="1">
        <w:r w:rsidR="00AF07F6" w:rsidRPr="00F51443">
          <w:rPr>
            <w:rStyle w:val="Hyperlink"/>
          </w:rPr>
          <w:t>http://iesc.environment.gov.au/</w:t>
        </w:r>
      </w:hyperlink>
    </w:p>
    <w:p w14:paraId="09789DF7" w14:textId="77777777" w:rsidR="00AF07F6" w:rsidRDefault="000309F1" w:rsidP="000309F1">
      <w:pPr>
        <w:pStyle w:val="BodyText"/>
      </w:pPr>
      <w:r>
        <w:t xml:space="preserve">Commonwealth of Australia </w:t>
      </w:r>
      <w:r w:rsidR="008F49C5">
        <w:t>(</w:t>
      </w:r>
      <w:r>
        <w:t>2015c</w:t>
      </w:r>
      <w:r w:rsidR="008F49C5">
        <w:t>).</w:t>
      </w:r>
      <w:r>
        <w:t xml:space="preserve"> Modelling water-related ecological responses to coal seam gas extraction and coal mining, prepared by Auricht Projects and the Commonwealth Scientific and Industrial Research Organisation (CSIRO) for the Department of the Environment, Commonwealth of Australia</w:t>
      </w:r>
      <w:r w:rsidR="0078268E">
        <w:t xml:space="preserve">. </w:t>
      </w:r>
      <w:hyperlink r:id="rId45" w:history="1">
        <w:r w:rsidR="00AF07F6" w:rsidRPr="00F51443">
          <w:rPr>
            <w:rStyle w:val="Hyperlink"/>
          </w:rPr>
          <w:t>http://www.environment.gov.au/system/files/resources/83770681-a40b-4fa2-bf6e- 8d41022873bd/files/modelling-water-related-ecological-responses-csg-extraction.pdf</w:t>
        </w:r>
      </w:hyperlink>
    </w:p>
    <w:p w14:paraId="7350BDCE" w14:textId="77777777" w:rsidR="000309F1" w:rsidRDefault="000309F1" w:rsidP="000309F1">
      <w:pPr>
        <w:pStyle w:val="BodyText"/>
      </w:pPr>
      <w:r>
        <w:t xml:space="preserve">Commonwealth of Australia </w:t>
      </w:r>
      <w:r w:rsidR="008F49C5">
        <w:t>(</w:t>
      </w:r>
      <w:r>
        <w:t>2017</w:t>
      </w:r>
      <w:r w:rsidR="008F49C5">
        <w:t>).</w:t>
      </w:r>
      <w:r>
        <w:t xml:space="preserve"> Bioregional Assessments</w:t>
      </w:r>
      <w:r w:rsidR="00C8569B">
        <w:t>.</w:t>
      </w:r>
      <w:r w:rsidR="000558CF">
        <w:t xml:space="preserve"> </w:t>
      </w:r>
      <w:hyperlink r:id="rId46" w:history="1">
        <w:r w:rsidR="000558CF" w:rsidRPr="00CA5071">
          <w:rPr>
            <w:rStyle w:val="Hyperlink"/>
          </w:rPr>
          <w:t>www.bioregionalassessments.gov.au/</w:t>
        </w:r>
      </w:hyperlink>
    </w:p>
    <w:p w14:paraId="7B8E8710" w14:textId="77777777" w:rsidR="00AF07F6" w:rsidRDefault="00AF07F6" w:rsidP="00AF07F6">
      <w:pPr>
        <w:pStyle w:val="BodyText"/>
      </w:pPr>
      <w:r w:rsidRPr="00122D33">
        <w:t>Cook P</w:t>
      </w:r>
      <w:r>
        <w:t>,</w:t>
      </w:r>
      <w:r w:rsidRPr="00122D33">
        <w:t xml:space="preserve"> Miller A</w:t>
      </w:r>
      <w:r>
        <w:t>,</w:t>
      </w:r>
      <w:r w:rsidRPr="00122D33">
        <w:t xml:space="preserve"> Shanafield M </w:t>
      </w:r>
      <w:r>
        <w:t>and</w:t>
      </w:r>
      <w:r w:rsidRPr="00122D33">
        <w:t xml:space="preserve"> Simmons C. (2016)</w:t>
      </w:r>
      <w:r>
        <w:t>.</w:t>
      </w:r>
      <w:r w:rsidRPr="00122D33">
        <w:t xml:space="preserve"> Predicting Water Resource Impacts of Unconventional Gas Using Simple Analytical Equations</w:t>
      </w:r>
      <w:r>
        <w:t>.</w:t>
      </w:r>
      <w:r w:rsidRPr="00122D33">
        <w:t xml:space="preserve"> </w:t>
      </w:r>
      <w:r w:rsidRPr="009209A1">
        <w:rPr>
          <w:i/>
        </w:rPr>
        <w:t>Ground</w:t>
      </w:r>
      <w:r w:rsidR="009209A1" w:rsidRPr="009209A1">
        <w:rPr>
          <w:i/>
        </w:rPr>
        <w:t xml:space="preserve"> W</w:t>
      </w:r>
      <w:r w:rsidRPr="009209A1">
        <w:rPr>
          <w:i/>
        </w:rPr>
        <w:t>ater</w:t>
      </w:r>
      <w:r w:rsidRPr="00122D33">
        <w:t xml:space="preserve">, </w:t>
      </w:r>
      <w:r>
        <w:t>December 2016.</w:t>
      </w:r>
    </w:p>
    <w:p w14:paraId="25E05B23" w14:textId="77777777" w:rsidR="00AF07F6" w:rsidRDefault="00AF07F6" w:rsidP="00AF07F6">
      <w:pPr>
        <w:pStyle w:val="BodyText"/>
      </w:pPr>
      <w:r w:rsidRPr="00122D33">
        <w:t>Crosbie R</w:t>
      </w:r>
      <w:r>
        <w:t>,</w:t>
      </w:r>
      <w:r w:rsidRPr="00122D33">
        <w:t xml:space="preserve"> Peeters L </w:t>
      </w:r>
      <w:r>
        <w:t>and</w:t>
      </w:r>
      <w:r w:rsidRPr="00122D33">
        <w:t xml:space="preserve"> Carey H. (2016)</w:t>
      </w:r>
      <w:r>
        <w:t>.</w:t>
      </w:r>
      <w:r w:rsidRPr="00122D33">
        <w:t xml:space="preserve"> Groundwater modelling. Submethodology M07 from the Bioregional Assessment Technical Programme</w:t>
      </w:r>
      <w:r>
        <w:t xml:space="preserve">. </w:t>
      </w:r>
    </w:p>
    <w:p w14:paraId="2B151DF7" w14:textId="77777777" w:rsidR="00D3546E" w:rsidRDefault="00D3546E" w:rsidP="00D3546E">
      <w:pPr>
        <w:pStyle w:val="BodyText"/>
      </w:pPr>
      <w:r>
        <w:t xml:space="preserve">Doble R and Crosbie R (2017). Review: Current and emerging methods for catchment-scale modelling of recharge and evapotranspiration from shallow groundwater. </w:t>
      </w:r>
      <w:r w:rsidRPr="009209A1">
        <w:rPr>
          <w:i/>
        </w:rPr>
        <w:t>Journal of Hydrogeology</w:t>
      </w:r>
      <w:r>
        <w:t xml:space="preserve">, </w:t>
      </w:r>
      <w:r w:rsidRPr="009209A1">
        <w:rPr>
          <w:b/>
        </w:rPr>
        <w:t>25</w:t>
      </w:r>
      <w:r>
        <w:t>, 3-23.</w:t>
      </w:r>
    </w:p>
    <w:p w14:paraId="642B54CF" w14:textId="1DF9F5D8" w:rsidR="00D3546E" w:rsidRDefault="00D3546E" w:rsidP="00D3546E">
      <w:pPr>
        <w:pStyle w:val="BodyText"/>
      </w:pPr>
      <w:r>
        <w:t>Doble R, McCallum J</w:t>
      </w:r>
      <w:r w:rsidR="00BE594A">
        <w:t>, Turnadge C, Peeters, L., Wu B and</w:t>
      </w:r>
      <w:r>
        <w:t xml:space="preserve"> Mallants D. (201</w:t>
      </w:r>
      <w:r w:rsidR="006C0877">
        <w:t>7</w:t>
      </w:r>
      <w:r>
        <w:t>). Modelling inter</w:t>
      </w:r>
      <w:r>
        <w:rPr>
          <w:rFonts w:ascii="Cambria Math" w:hAnsi="Cambria Math" w:cs="Cambria Math"/>
        </w:rPr>
        <w:t>‐</w:t>
      </w:r>
      <w:r>
        <w:t>aquifer leakage associated with well integrity failure. Prepared by the Commonwealth Scientific and Industrial Research Organisation (CSIRO), Canberra.</w:t>
      </w:r>
    </w:p>
    <w:p w14:paraId="6D617F5C" w14:textId="77777777" w:rsidR="00D44AA7" w:rsidRDefault="00D44AA7" w:rsidP="000309F1">
      <w:pPr>
        <w:pStyle w:val="BodyText"/>
      </w:pPr>
      <w:r w:rsidRPr="00D44AA7">
        <w:t>Doherty</w:t>
      </w:r>
      <w:r>
        <w:t xml:space="preserve"> J</w:t>
      </w:r>
      <w:r w:rsidRPr="00D44AA7">
        <w:t xml:space="preserve"> (2010). Model-based environmental decision-making. Watermark Numerical Computing. November 2010.</w:t>
      </w:r>
      <w:r>
        <w:t xml:space="preserve"> </w:t>
      </w:r>
      <w:r w:rsidRPr="00973D1B">
        <w:t xml:space="preserve">Downloadable from </w:t>
      </w:r>
      <w:hyperlink r:id="rId47" w:history="1">
        <w:r w:rsidR="00AF07F6" w:rsidRPr="00F51443">
          <w:rPr>
            <w:rStyle w:val="Hyperlink"/>
          </w:rPr>
          <w:t>www.pesthomepage.org</w:t>
        </w:r>
      </w:hyperlink>
      <w:r w:rsidRPr="00973D1B">
        <w:t>.</w:t>
      </w:r>
    </w:p>
    <w:p w14:paraId="505FD76B" w14:textId="77777777" w:rsidR="00973D1B" w:rsidRDefault="00973D1B" w:rsidP="00973D1B">
      <w:pPr>
        <w:pStyle w:val="BodyText"/>
      </w:pPr>
      <w:r w:rsidRPr="00973D1B">
        <w:t xml:space="preserve">Doherty J </w:t>
      </w:r>
      <w:r>
        <w:t>(</w:t>
      </w:r>
      <w:r w:rsidRPr="00973D1B">
        <w:t>2015</w:t>
      </w:r>
      <w:r>
        <w:t>)</w:t>
      </w:r>
      <w:r w:rsidRPr="00973D1B">
        <w:t xml:space="preserve">. Calibration and uncertainty analysis for complex environmental models. Published by Watermark Numerical Computing, Brisbane, Australia. 227pp. ISBN: 978-0-9943786-0-6. Downloadable from </w:t>
      </w:r>
      <w:hyperlink r:id="rId48" w:history="1">
        <w:r w:rsidR="00AF07F6" w:rsidRPr="00F51443">
          <w:rPr>
            <w:rStyle w:val="Hyperlink"/>
          </w:rPr>
          <w:t>www.pesthomepage.org</w:t>
        </w:r>
      </w:hyperlink>
      <w:r w:rsidRPr="00973D1B">
        <w:t>.</w:t>
      </w:r>
    </w:p>
    <w:p w14:paraId="07D80C66" w14:textId="77777777" w:rsidR="00843C9B" w:rsidRDefault="00843C9B" w:rsidP="00973D1B">
      <w:pPr>
        <w:pStyle w:val="BodyText"/>
      </w:pPr>
      <w:r w:rsidRPr="00843C9B">
        <w:t xml:space="preserve">Doherty J </w:t>
      </w:r>
      <w:r>
        <w:t>(</w:t>
      </w:r>
      <w:r w:rsidRPr="00843C9B">
        <w:t>2016</w:t>
      </w:r>
      <w:r>
        <w:t>)</w:t>
      </w:r>
      <w:r w:rsidRPr="00843C9B">
        <w:t>. PEST Model-Indepe</w:t>
      </w:r>
      <w:r>
        <w:t>n</w:t>
      </w:r>
      <w:r w:rsidRPr="00843C9B">
        <w:t>dent Parameter Estimation User Manual Part I: PEST Software. 6th ed. Brisbane: Watermark Numerical Computing</w:t>
      </w:r>
      <w:r>
        <w:t>.</w:t>
      </w:r>
      <w:r w:rsidR="006C0877" w:rsidRPr="006C0877">
        <w:t xml:space="preserve"> </w:t>
      </w:r>
      <w:hyperlink r:id="rId49" w:history="1">
        <w:r w:rsidR="006C0877" w:rsidRPr="00F51443">
          <w:rPr>
            <w:rStyle w:val="Hyperlink"/>
          </w:rPr>
          <w:t>www.pesthomepage.org</w:t>
        </w:r>
      </w:hyperlink>
    </w:p>
    <w:p w14:paraId="06606772" w14:textId="77777777" w:rsidR="00AF07F6" w:rsidRDefault="00AF07F6" w:rsidP="00AF07F6">
      <w:pPr>
        <w:pStyle w:val="BodyText"/>
      </w:pPr>
      <w:r w:rsidRPr="00FE0BC5">
        <w:t>Doherty J</w:t>
      </w:r>
      <w:r>
        <w:t xml:space="preserve"> and</w:t>
      </w:r>
      <w:r w:rsidRPr="00FE0BC5">
        <w:t xml:space="preserve"> Hunt RJ. (2009)</w:t>
      </w:r>
      <w:r>
        <w:t>.</w:t>
      </w:r>
      <w:r w:rsidRPr="00FE0BC5">
        <w:t xml:space="preserve"> Two statistics for evaluating parameter identifiability and error reduction</w:t>
      </w:r>
      <w:r>
        <w:t>.</w:t>
      </w:r>
      <w:r w:rsidRPr="00FE0BC5">
        <w:t xml:space="preserve"> </w:t>
      </w:r>
      <w:r w:rsidRPr="009209A1">
        <w:rPr>
          <w:i/>
        </w:rPr>
        <w:t>Journal of Hydrology</w:t>
      </w:r>
      <w:r w:rsidRPr="00FE0BC5">
        <w:t xml:space="preserve">, </w:t>
      </w:r>
      <w:r w:rsidRPr="009209A1">
        <w:rPr>
          <w:b/>
        </w:rPr>
        <w:t>366</w:t>
      </w:r>
      <w:r w:rsidRPr="00FE0BC5">
        <w:t>, 119-127</w:t>
      </w:r>
      <w:r>
        <w:t>.</w:t>
      </w:r>
      <w:r w:rsidRPr="00FE0BC5">
        <w:t xml:space="preserve"> </w:t>
      </w:r>
    </w:p>
    <w:p w14:paraId="3B6D3158" w14:textId="77777777" w:rsidR="000309F1" w:rsidRDefault="000309F1" w:rsidP="000309F1">
      <w:pPr>
        <w:pStyle w:val="BodyText"/>
      </w:pPr>
      <w:r>
        <w:t>Doherty J and Moore C (2017)</w:t>
      </w:r>
      <w:r w:rsidR="008F49C5">
        <w:t>.</w:t>
      </w:r>
      <w:r>
        <w:t xml:space="preserve"> Simple is beautiful. Background paper no.3</w:t>
      </w:r>
      <w:r w:rsidR="00316902">
        <w:t xml:space="preserve"> in Middlemis et al</w:t>
      </w:r>
      <w:r w:rsidR="0050782C">
        <w:t>.</w:t>
      </w:r>
      <w:r w:rsidR="00316902">
        <w:t xml:space="preserve"> (2018)</w:t>
      </w:r>
      <w:r>
        <w:t>, NCGRT National Groundwater Modelling Uncertainty Workshop, Sydney, 10 July 2017.</w:t>
      </w:r>
    </w:p>
    <w:p w14:paraId="670AC7E5" w14:textId="77777777" w:rsidR="00F86AAF" w:rsidRDefault="00F86AAF" w:rsidP="00F86AAF">
      <w:pPr>
        <w:pStyle w:val="BodyText"/>
      </w:pPr>
      <w:r>
        <w:t>DoW (2013). Western Australian Water in Mining Guideline. Water Licensing Delivery Series Report No. 12, Department of Water, Perth.</w:t>
      </w:r>
      <w:r w:rsidRPr="00F86AAF">
        <w:t xml:space="preserve"> </w:t>
      </w:r>
      <w:hyperlink r:id="rId50" w:history="1">
        <w:r w:rsidRPr="008705AE">
          <w:rPr>
            <w:rStyle w:val="Hyperlink"/>
          </w:rPr>
          <w:t>https://www.water.wa.gov.au/__data/assets/pdf_file/0019/1819/105195.pdf</w:t>
        </w:r>
      </w:hyperlink>
    </w:p>
    <w:p w14:paraId="23A38E9C" w14:textId="77777777" w:rsidR="00180A37" w:rsidRDefault="00180A37" w:rsidP="00180A37">
      <w:pPr>
        <w:pStyle w:val="BodyText"/>
      </w:pPr>
      <w:r>
        <w:t xml:space="preserve">Eamus D, Froend R, Loomes R, Hose G and Murray B. (2006). A functional methodology for determining the groundwater regime needed to maintain the health of groundwater-dependent vegetation. </w:t>
      </w:r>
      <w:r w:rsidRPr="009209A1">
        <w:rPr>
          <w:i/>
        </w:rPr>
        <w:t>Australian Journal of Botany</w:t>
      </w:r>
      <w:r>
        <w:t xml:space="preserve">, </w:t>
      </w:r>
      <w:r w:rsidRPr="009209A1">
        <w:rPr>
          <w:b/>
        </w:rPr>
        <w:t>54</w:t>
      </w:r>
      <w:r w:rsidR="009209A1">
        <w:t>,</w:t>
      </w:r>
      <w:r>
        <w:t xml:space="preserve"> 97–114.</w:t>
      </w:r>
      <w:r w:rsidRPr="00EF34BC">
        <w:t xml:space="preserve"> </w:t>
      </w:r>
    </w:p>
    <w:p w14:paraId="54A2B829" w14:textId="77777777" w:rsidR="00180A37" w:rsidRDefault="00180A37" w:rsidP="00180A37">
      <w:pPr>
        <w:pStyle w:val="BodyText"/>
      </w:pPr>
      <w:r>
        <w:t>Eamus D (2009). Identifying groundwater dependent ecosystems. A guide for land and water managers. Prepared by University of Technology Sydney for Land &amp; Water Australia. 16pp.</w:t>
      </w:r>
    </w:p>
    <w:p w14:paraId="017FCD4C" w14:textId="77777777" w:rsidR="00AF07F6" w:rsidRDefault="00180A37" w:rsidP="00180A37">
      <w:pPr>
        <w:pStyle w:val="BodyText"/>
      </w:pPr>
      <w:r>
        <w:t xml:space="preserve">Ferré T (2016). Seeing Things Differently: Rethinking the Relationship Between Data, Models, and Decision-Making. 2016 Darcy Lecture Series in Groundwater Science. </w:t>
      </w:r>
      <w:hyperlink r:id="rId51" w:history="1">
        <w:r w:rsidR="000558CF" w:rsidRPr="000558CF">
          <w:rPr>
            <w:rStyle w:val="Hyperlink"/>
          </w:rPr>
          <w:t>https://www.youtube.com/watch?v=6YnYGwYSmQk</w:t>
        </w:r>
      </w:hyperlink>
    </w:p>
    <w:p w14:paraId="1EF38C44" w14:textId="77777777" w:rsidR="00C2275B" w:rsidRDefault="00C2275B" w:rsidP="000309F1">
      <w:pPr>
        <w:pStyle w:val="BodyText"/>
      </w:pPr>
      <w:r>
        <w:t>Freeze</w:t>
      </w:r>
      <w:r w:rsidR="009209A1">
        <w:t xml:space="preserve"> RA, Massmann J, Smith L. Sperling T and James B. (1990). Hydrogeological Decision Analysis: 1. A Framework. </w:t>
      </w:r>
      <w:r w:rsidR="009209A1" w:rsidRPr="009209A1">
        <w:rPr>
          <w:i/>
        </w:rPr>
        <w:t>Ground Water</w:t>
      </w:r>
      <w:r w:rsidR="009209A1">
        <w:t xml:space="preserve">, </w:t>
      </w:r>
      <w:r w:rsidR="009209A1" w:rsidRPr="009209A1">
        <w:rPr>
          <w:b/>
        </w:rPr>
        <w:t>28</w:t>
      </w:r>
      <w:r w:rsidR="00BE74D2">
        <w:rPr>
          <w:b/>
        </w:rPr>
        <w:t>(</w:t>
      </w:r>
      <w:r w:rsidR="009209A1" w:rsidRPr="009209A1">
        <w:rPr>
          <w:b/>
        </w:rPr>
        <w:t>5</w:t>
      </w:r>
      <w:r w:rsidR="00BE74D2">
        <w:rPr>
          <w:b/>
        </w:rPr>
        <w:t>)</w:t>
      </w:r>
      <w:r w:rsidR="009209A1">
        <w:t>, 738-766.</w:t>
      </w:r>
    </w:p>
    <w:p w14:paraId="0058D444" w14:textId="77777777" w:rsidR="007B23BC" w:rsidRDefault="007B23BC" w:rsidP="000309F1">
      <w:pPr>
        <w:pStyle w:val="BodyText"/>
      </w:pPr>
      <w:r w:rsidRPr="007B23BC">
        <w:t>Guillaume J</w:t>
      </w:r>
      <w:r>
        <w:t>HA,</w:t>
      </w:r>
      <w:r w:rsidRPr="007B23BC">
        <w:t xml:space="preserve"> </w:t>
      </w:r>
      <w:r>
        <w:t>Hunt RJ, Comunian A, Blakers RS and Fu B</w:t>
      </w:r>
      <w:r w:rsidRPr="007B23BC">
        <w:t xml:space="preserve">. (2016). Methods for </w:t>
      </w:r>
      <w:r>
        <w:t>e</w:t>
      </w:r>
      <w:r w:rsidRPr="007B23BC">
        <w:t xml:space="preserve">xploring </w:t>
      </w:r>
      <w:r>
        <w:t>u</w:t>
      </w:r>
      <w:r w:rsidRPr="007B23BC">
        <w:t xml:space="preserve">ncertainty in </w:t>
      </w:r>
      <w:r>
        <w:t>g</w:t>
      </w:r>
      <w:r w:rsidRPr="007B23BC">
        <w:t xml:space="preserve">roundwater </w:t>
      </w:r>
      <w:r>
        <w:t>m</w:t>
      </w:r>
      <w:r w:rsidRPr="007B23BC">
        <w:t xml:space="preserve">anagement </w:t>
      </w:r>
      <w:r>
        <w:t>p</w:t>
      </w:r>
      <w:r w:rsidRPr="007B23BC">
        <w:t>redictions. A.J. Jakeman et al. (eds.), Integrated Groundwater Management</w:t>
      </w:r>
      <w:r>
        <w:t>.</w:t>
      </w:r>
      <w:r w:rsidRPr="007B23BC">
        <w:t xml:space="preserve"> Chapter 28: </w:t>
      </w:r>
      <w:r>
        <w:t>pp.</w:t>
      </w:r>
      <w:r w:rsidRPr="007B23BC">
        <w:t>711-737</w:t>
      </w:r>
    </w:p>
    <w:p w14:paraId="6AD3DF39" w14:textId="77777777" w:rsidR="000309F1" w:rsidRDefault="000309F1" w:rsidP="000309F1">
      <w:pPr>
        <w:pStyle w:val="BodyText"/>
      </w:pPr>
      <w:r>
        <w:t>Hayes P and Nicol C (2017)</w:t>
      </w:r>
      <w:r w:rsidR="008F49C5">
        <w:t>.</w:t>
      </w:r>
      <w:r>
        <w:t xml:space="preserve"> Uncertainty by Design: Sufficient model simplification to make predictive uncertainty analysis tractable. Background paper no.4</w:t>
      </w:r>
      <w:r w:rsidR="00316902">
        <w:t xml:space="preserve"> in Middlemis et al</w:t>
      </w:r>
      <w:r w:rsidR="0050782C">
        <w:t>.</w:t>
      </w:r>
      <w:r w:rsidR="00316902">
        <w:t xml:space="preserve"> (2018)</w:t>
      </w:r>
      <w:r>
        <w:t xml:space="preserve">, </w:t>
      </w:r>
      <w:r>
        <w:lastRenderedPageBreak/>
        <w:t>NCGRT National Groundwater Modelling Uncertainty Workshop, Sydney, 10 July 2017.</w:t>
      </w:r>
    </w:p>
    <w:p w14:paraId="5D277DD6" w14:textId="77777777" w:rsidR="00AF07F6" w:rsidRDefault="00AF07F6" w:rsidP="00AF07F6">
      <w:pPr>
        <w:pStyle w:val="BodyText"/>
      </w:pPr>
      <w:r w:rsidRPr="00122D33">
        <w:t>Herckenrath D</w:t>
      </w:r>
      <w:r>
        <w:t>,</w:t>
      </w:r>
      <w:r w:rsidRPr="00122D33">
        <w:t xml:space="preserve"> Doherty J </w:t>
      </w:r>
      <w:r>
        <w:t>and</w:t>
      </w:r>
      <w:r w:rsidRPr="00122D33">
        <w:t xml:space="preserve"> Panday S. (2015)</w:t>
      </w:r>
      <w:r>
        <w:t>.</w:t>
      </w:r>
      <w:r w:rsidRPr="00122D33">
        <w:t xml:space="preserve"> Incorporating the effect of gas in modelling the impact of CBM</w:t>
      </w:r>
      <w:r>
        <w:t xml:space="preserve"> </w:t>
      </w:r>
      <w:r w:rsidRPr="00122D33">
        <w:t>extraction on regional groundwater systems</w:t>
      </w:r>
      <w:r>
        <w:t>.</w:t>
      </w:r>
      <w:r w:rsidRPr="00122D33">
        <w:t xml:space="preserve"> </w:t>
      </w:r>
      <w:r w:rsidRPr="009209A1">
        <w:rPr>
          <w:i/>
        </w:rPr>
        <w:t>Journal of Hydrology</w:t>
      </w:r>
      <w:r w:rsidRPr="00122D33">
        <w:t xml:space="preserve">, </w:t>
      </w:r>
      <w:r w:rsidRPr="009209A1">
        <w:rPr>
          <w:b/>
        </w:rPr>
        <w:t>523</w:t>
      </w:r>
      <w:r w:rsidRPr="00122D33">
        <w:t>, 587-601</w:t>
      </w:r>
      <w:r>
        <w:t>.</w:t>
      </w:r>
    </w:p>
    <w:p w14:paraId="4F136F8E" w14:textId="77777777" w:rsidR="00AF07F6" w:rsidRDefault="00AF07F6" w:rsidP="00AF07F6">
      <w:pPr>
        <w:pStyle w:val="BodyText"/>
      </w:pPr>
      <w:r w:rsidRPr="00D316C3">
        <w:t>Hill MC</w:t>
      </w:r>
      <w:r>
        <w:t xml:space="preserve"> and </w:t>
      </w:r>
      <w:r w:rsidRPr="00D316C3">
        <w:t>Tiedeman CR. (2007)</w:t>
      </w:r>
      <w:r>
        <w:t>.</w:t>
      </w:r>
      <w:r w:rsidRPr="00D316C3">
        <w:t xml:space="preserve"> Effective groundwater model calibration</w:t>
      </w:r>
      <w:r>
        <w:t xml:space="preserve">. Wiley. 480pp. ISBN: </w:t>
      </w:r>
      <w:r w:rsidRPr="00D316C3">
        <w:t>978-0-471-77636-9</w:t>
      </w:r>
      <w:r>
        <w:t>.</w:t>
      </w:r>
    </w:p>
    <w:p w14:paraId="37AB7B3F" w14:textId="77777777" w:rsidR="00180A37" w:rsidRDefault="00180A37" w:rsidP="00180A37">
      <w:pPr>
        <w:pStyle w:val="BodyText"/>
      </w:pPr>
      <w:r>
        <w:t>Holland KL, Aryal SK, Bruce J, Carey H, Davies P, Ford J, Henderson B, Herr A, Janardhanan S, Merrin LE, Mitchell PJ, Mount RE, O’Grady AP, Ransley T, Sander R and Schmidt RK (2016). Conceptual modelling for the Maranoa-Balonne-Condamine subregion. Product 2.3 for the Maranoa-Balonne-Condamine subregion from the Northern Inland Catchments Bioregional Assessment. Department of the Environment and Energy, Bureau of Meteorology, CSIRO and Geoscience Australia, Australia.</w:t>
      </w:r>
      <w:r w:rsidR="00AF07F6">
        <w:t xml:space="preserve"> </w:t>
      </w:r>
      <w:hyperlink r:id="rId52" w:history="1">
        <w:r w:rsidRPr="00527442">
          <w:rPr>
            <w:rStyle w:val="Hyperlink"/>
          </w:rPr>
          <w:t>http://data.bioregionalassessments.gov.au/product/NIC/MBC/2.3</w:t>
        </w:r>
      </w:hyperlink>
      <w:r>
        <w:t>.</w:t>
      </w:r>
    </w:p>
    <w:p w14:paraId="48A3DF80" w14:textId="77777777" w:rsidR="00180A37" w:rsidRDefault="00180A37" w:rsidP="00180A37">
      <w:pPr>
        <w:pStyle w:val="BodyText"/>
      </w:pPr>
      <w:r>
        <w:t>IPCC (2013). Climate Change: The Physical Science Basis. Contribution of Working Group I to the Fifth Assessment Report of the Intergovernmental Panel on Climate Change, Cambridge, United Kingdom and New York, NY, USA, Cambridge University Press.</w:t>
      </w:r>
    </w:p>
    <w:p w14:paraId="51C21381" w14:textId="0E34E62B" w:rsidR="00AF07F6" w:rsidRPr="000309F1" w:rsidRDefault="00AF07F6" w:rsidP="00AF07F6">
      <w:pPr>
        <w:pStyle w:val="BodyText"/>
      </w:pPr>
      <w:r w:rsidRPr="00122D33">
        <w:t>Mackie</w:t>
      </w:r>
      <w:r w:rsidR="00BE594A">
        <w:t xml:space="preserve"> C</w:t>
      </w:r>
      <w:r w:rsidRPr="00122D33">
        <w:t xml:space="preserve"> (2013)</w:t>
      </w:r>
      <w:r>
        <w:t>.</w:t>
      </w:r>
      <w:r w:rsidRPr="00122D33">
        <w:t xml:space="preserve"> Wallarah 2 Coal Project, Environmental Impact Statement, Appendix I Groundwater Impact Assessment. Mackie Environmental</w:t>
      </w:r>
      <w:r>
        <w:t xml:space="preserve">. </w:t>
      </w:r>
      <w:r w:rsidRPr="00122D33">
        <w:t>April 2013</w:t>
      </w:r>
      <w:r>
        <w:t>.</w:t>
      </w:r>
    </w:p>
    <w:p w14:paraId="1D732C2F" w14:textId="2C4C6CDB" w:rsidR="00AF07F6" w:rsidRDefault="00AF07F6" w:rsidP="00AF07F6">
      <w:pPr>
        <w:pStyle w:val="BodyText"/>
      </w:pPr>
      <w:r w:rsidRPr="009F4D68">
        <w:t>Maier H</w:t>
      </w:r>
      <w:r>
        <w:t>,</w:t>
      </w:r>
      <w:r w:rsidRPr="009F4D68">
        <w:t xml:space="preserve"> Kapelan Z</w:t>
      </w:r>
      <w:r>
        <w:t>,</w:t>
      </w:r>
      <w:r w:rsidRPr="009F4D68">
        <w:t xml:space="preserve"> Kasprzyk J</w:t>
      </w:r>
      <w:r>
        <w:t>,</w:t>
      </w:r>
      <w:r w:rsidRPr="009F4D68">
        <w:t xml:space="preserve"> Kollat J</w:t>
      </w:r>
      <w:r>
        <w:t>,</w:t>
      </w:r>
      <w:r w:rsidRPr="009F4D68">
        <w:t xml:space="preserve"> Matott L</w:t>
      </w:r>
      <w:r>
        <w:t>,</w:t>
      </w:r>
      <w:r w:rsidRPr="009F4D68">
        <w:t xml:space="preserve"> Cunha M</w:t>
      </w:r>
      <w:r>
        <w:t>,</w:t>
      </w:r>
      <w:r w:rsidRPr="009F4D68">
        <w:t xml:space="preserve"> Dandy G</w:t>
      </w:r>
      <w:r>
        <w:t>,</w:t>
      </w:r>
      <w:r w:rsidRPr="009F4D68">
        <w:t xml:space="preserve"> Gibbs M</w:t>
      </w:r>
      <w:r>
        <w:t>,</w:t>
      </w:r>
      <w:r w:rsidRPr="009F4D68">
        <w:t xml:space="preserve"> Keedwell E</w:t>
      </w:r>
      <w:r>
        <w:t>,</w:t>
      </w:r>
      <w:r w:rsidRPr="009F4D68">
        <w:t xml:space="preserve"> Marchi A</w:t>
      </w:r>
      <w:r>
        <w:t>,</w:t>
      </w:r>
      <w:r w:rsidRPr="009F4D68">
        <w:t xml:space="preserve"> Ostfeld A</w:t>
      </w:r>
      <w:r>
        <w:t>,</w:t>
      </w:r>
      <w:r w:rsidRPr="009F4D68">
        <w:t xml:space="preserve"> Savic D</w:t>
      </w:r>
      <w:r>
        <w:t>,</w:t>
      </w:r>
      <w:r w:rsidRPr="009F4D68">
        <w:t xml:space="preserve"> Solomatine D</w:t>
      </w:r>
      <w:r>
        <w:t>,</w:t>
      </w:r>
      <w:r w:rsidRPr="009F4D68">
        <w:t xml:space="preserve"> Vrugt J</w:t>
      </w:r>
      <w:r>
        <w:t>,</w:t>
      </w:r>
      <w:r w:rsidRPr="009F4D68">
        <w:t xml:space="preserve"> Zecchin A</w:t>
      </w:r>
      <w:r>
        <w:t>,</w:t>
      </w:r>
      <w:r w:rsidRPr="009F4D68">
        <w:t xml:space="preserve"> Minsker B</w:t>
      </w:r>
      <w:r>
        <w:t>,</w:t>
      </w:r>
      <w:r w:rsidRPr="009F4D68">
        <w:t xml:space="preserve"> Barbour E</w:t>
      </w:r>
      <w:r>
        <w:t>,</w:t>
      </w:r>
      <w:r w:rsidRPr="009F4D68">
        <w:t xml:space="preserve"> Kuczera G</w:t>
      </w:r>
      <w:r>
        <w:t>,</w:t>
      </w:r>
      <w:r w:rsidRPr="009F4D68">
        <w:t xml:space="preserve"> Pasha F</w:t>
      </w:r>
      <w:r>
        <w:t>,</w:t>
      </w:r>
      <w:r w:rsidRPr="009F4D68">
        <w:t xml:space="preserve"> Castelletti A</w:t>
      </w:r>
      <w:r>
        <w:t>,</w:t>
      </w:r>
      <w:r w:rsidR="00BE594A">
        <w:t xml:space="preserve"> Giuliani M and</w:t>
      </w:r>
      <w:r w:rsidRPr="009F4D68">
        <w:t xml:space="preserve"> Reed P. (2014)</w:t>
      </w:r>
      <w:r>
        <w:t>.</w:t>
      </w:r>
      <w:r w:rsidRPr="009F4D68">
        <w:t xml:space="preserve"> Evolutionary algorithms and other metaheuristics in water resources: Current status, research challenges and future directions Environmental Modelling &amp; Software, 62, 271-299</w:t>
      </w:r>
      <w:r>
        <w:t>.</w:t>
      </w:r>
    </w:p>
    <w:p w14:paraId="6672C543" w14:textId="77777777" w:rsidR="008F49C5" w:rsidRDefault="00B8553B" w:rsidP="000309F1">
      <w:pPr>
        <w:pStyle w:val="BodyText"/>
      </w:pPr>
      <w:r>
        <w:t>Middlemis H, Walker G, Peeters L, Moore C, Hayes</w:t>
      </w:r>
      <w:r w:rsidR="00316902">
        <w:t xml:space="preserve"> P and Richardson S (2018). </w:t>
      </w:r>
      <w:r w:rsidR="008F49C5" w:rsidRPr="008F49C5">
        <w:t>National Groundwater</w:t>
      </w:r>
      <w:r w:rsidR="008F49C5">
        <w:t xml:space="preserve"> Modelling Uncertainty Workshop, </w:t>
      </w:r>
      <w:r w:rsidR="008F49C5" w:rsidRPr="008F49C5">
        <w:t>Sydney, 10 July 2017.</w:t>
      </w:r>
      <w:r w:rsidR="008F49C5">
        <w:t xml:space="preserve"> National Centre for Groundwater Research and Training.</w:t>
      </w:r>
    </w:p>
    <w:p w14:paraId="5C069266" w14:textId="77777777" w:rsidR="00180A37" w:rsidRDefault="00180A37" w:rsidP="00180A37">
      <w:pPr>
        <w:pStyle w:val="BodyText"/>
      </w:pPr>
      <w:r w:rsidRPr="003E395F">
        <w:t xml:space="preserve">Moore C and Doherty J </w:t>
      </w:r>
      <w:r>
        <w:t>(</w:t>
      </w:r>
      <w:r w:rsidRPr="003E395F">
        <w:t>2005</w:t>
      </w:r>
      <w:r>
        <w:t>)</w:t>
      </w:r>
      <w:r w:rsidRPr="003E395F">
        <w:t xml:space="preserve">. The role of the calibration process in reducing model predictive error. </w:t>
      </w:r>
      <w:r w:rsidRPr="009209A1">
        <w:rPr>
          <w:i/>
        </w:rPr>
        <w:t>Water Resources Research</w:t>
      </w:r>
      <w:r w:rsidRPr="003E395F">
        <w:t xml:space="preserve">. </w:t>
      </w:r>
      <w:r w:rsidRPr="009209A1">
        <w:rPr>
          <w:b/>
        </w:rPr>
        <w:t>41</w:t>
      </w:r>
      <w:r w:rsidR="00BE74D2">
        <w:rPr>
          <w:b/>
        </w:rPr>
        <w:t>(</w:t>
      </w:r>
      <w:r w:rsidR="009209A1" w:rsidRPr="009209A1">
        <w:rPr>
          <w:b/>
        </w:rPr>
        <w:t>5</w:t>
      </w:r>
      <w:r w:rsidR="00BE74D2">
        <w:rPr>
          <w:b/>
        </w:rPr>
        <w:t>)</w:t>
      </w:r>
      <w:r w:rsidRPr="003E395F">
        <w:t>.</w:t>
      </w:r>
    </w:p>
    <w:p w14:paraId="032B44F3" w14:textId="77777777" w:rsidR="00180A37" w:rsidRDefault="00180A37" w:rsidP="00180A37">
      <w:pPr>
        <w:pStyle w:val="BodyText"/>
      </w:pPr>
      <w:r>
        <w:t>Neuman SP and Wierenga PJ (2003). A comprehensive strategy of hydrogeologic modeling and uncertainty analysis for nuclear facilities and sites. Prepared by University of Arizona for the US Nuclear Regulatory Commission, Report NUREG/CR-6805.</w:t>
      </w:r>
    </w:p>
    <w:p w14:paraId="2E00D55A" w14:textId="77777777" w:rsidR="00180A37" w:rsidRDefault="00180A37" w:rsidP="00180A37">
      <w:pPr>
        <w:pStyle w:val="BodyText"/>
      </w:pPr>
      <w:r>
        <w:t>OGIA (2016a). Groundwater connectivity between the Condamine Alluvium and the Walloon Coal Measures.</w:t>
      </w:r>
      <w:r w:rsidRPr="0053036D">
        <w:t xml:space="preserve"> A hydrogeological investigation report</w:t>
      </w:r>
      <w:r>
        <w:t xml:space="preserve">. Compiled by The Office of Groundwater Impact Assessment, Department of Natural Resources and Mines.  August 2016. </w:t>
      </w:r>
    </w:p>
    <w:p w14:paraId="7105A494" w14:textId="77777777" w:rsidR="00180A37" w:rsidRDefault="00180A37" w:rsidP="00180A37">
      <w:pPr>
        <w:pStyle w:val="BodyText"/>
      </w:pPr>
      <w:r>
        <w:t>OGIA (2016b). Groundwater modelling report for the Surat Cumulative Management Area. Compiled by The Office of Groundwater Impact Assessment, Department of Natural Resources and Mines. September 2016.</w:t>
      </w:r>
    </w:p>
    <w:p w14:paraId="0087AC2B" w14:textId="77777777" w:rsidR="008F49C5" w:rsidRDefault="008F49C5" w:rsidP="000309F1">
      <w:pPr>
        <w:pStyle w:val="BodyText"/>
      </w:pPr>
      <w:r>
        <w:t xml:space="preserve">Peeters L (2017a) </w:t>
      </w:r>
      <w:r w:rsidR="00AA5C75" w:rsidRPr="00AA5C75">
        <w:t>Assumption Hunting in Groundwater Modeling: Find Assumptions Before They Find You</w:t>
      </w:r>
      <w:r w:rsidR="009209A1">
        <w:t>.</w:t>
      </w:r>
      <w:r w:rsidR="00AA5C75" w:rsidRPr="00AA5C75">
        <w:t xml:space="preserve"> </w:t>
      </w:r>
      <w:r w:rsidR="00AA5C75" w:rsidRPr="009209A1">
        <w:rPr>
          <w:i/>
        </w:rPr>
        <w:t>Ground</w:t>
      </w:r>
      <w:r w:rsidR="009209A1" w:rsidRPr="009209A1">
        <w:rPr>
          <w:i/>
        </w:rPr>
        <w:t xml:space="preserve"> W</w:t>
      </w:r>
      <w:r w:rsidR="00AA5C75" w:rsidRPr="009209A1">
        <w:rPr>
          <w:i/>
        </w:rPr>
        <w:t>ater</w:t>
      </w:r>
      <w:r w:rsidR="00AA5C75" w:rsidRPr="00AA5C75">
        <w:t xml:space="preserve">, </w:t>
      </w:r>
      <w:r w:rsidR="00AA5C75" w:rsidRPr="009209A1">
        <w:rPr>
          <w:b/>
        </w:rPr>
        <w:t>55</w:t>
      </w:r>
      <w:r w:rsidR="00AA5C75" w:rsidRPr="00AA5C75">
        <w:t>, 665-669</w:t>
      </w:r>
      <w:r w:rsidR="00AF07F6">
        <w:t>.</w:t>
      </w:r>
    </w:p>
    <w:p w14:paraId="6FE49E66" w14:textId="77777777" w:rsidR="000309F1" w:rsidRDefault="000309F1" w:rsidP="000309F1">
      <w:pPr>
        <w:pStyle w:val="BodyText"/>
      </w:pPr>
      <w:r>
        <w:t>Peeters L (2017</w:t>
      </w:r>
      <w:r w:rsidR="008F49C5">
        <w:t>b</w:t>
      </w:r>
      <w:r>
        <w:t>)</w:t>
      </w:r>
      <w:r w:rsidR="008F49C5">
        <w:t>.</w:t>
      </w:r>
      <w:r>
        <w:t xml:space="preserve"> Uncertainty analysis in groundwater modelling: where to start? Background paper no.2</w:t>
      </w:r>
      <w:r w:rsidR="00316902">
        <w:t xml:space="preserve"> in Middlemis et al</w:t>
      </w:r>
      <w:r w:rsidR="0050782C">
        <w:t>.</w:t>
      </w:r>
      <w:r w:rsidR="00316902">
        <w:t xml:space="preserve"> (2018)</w:t>
      </w:r>
      <w:r>
        <w:t>, NCGRT National Groundwater Modelling Uncertainty Workshop, Sydney, 10 July 2017.</w:t>
      </w:r>
    </w:p>
    <w:p w14:paraId="309D9269" w14:textId="77777777" w:rsidR="00AF07F6" w:rsidRDefault="00AF07F6" w:rsidP="00AF07F6">
      <w:pPr>
        <w:pStyle w:val="BodyText"/>
      </w:pPr>
      <w:r w:rsidRPr="002D7DA8">
        <w:t>Peeters L</w:t>
      </w:r>
      <w:r>
        <w:t>,</w:t>
      </w:r>
      <w:r w:rsidRPr="002D7DA8">
        <w:t xml:space="preserve"> Pagendam D</w:t>
      </w:r>
      <w:r>
        <w:t>,</w:t>
      </w:r>
      <w:r w:rsidRPr="002D7DA8">
        <w:t xml:space="preserve"> Gao L</w:t>
      </w:r>
      <w:r>
        <w:t>,</w:t>
      </w:r>
      <w:r w:rsidRPr="002D7DA8">
        <w:t xml:space="preserve"> Hosack G</w:t>
      </w:r>
      <w:r>
        <w:t>,</w:t>
      </w:r>
      <w:r w:rsidRPr="002D7DA8">
        <w:t xml:space="preserve"> Jiang W</w:t>
      </w:r>
      <w:r>
        <w:t xml:space="preserve"> and</w:t>
      </w:r>
      <w:r w:rsidRPr="002D7DA8">
        <w:t xml:space="preserve"> Henderson B. (2016)</w:t>
      </w:r>
      <w:r>
        <w:t>.</w:t>
      </w:r>
      <w:r w:rsidRPr="002D7DA8">
        <w:t xml:space="preserve"> Propagating uncertainty through models. Submethodology M09 from the Bioregional Assessment Technical Programme.</w:t>
      </w:r>
    </w:p>
    <w:p w14:paraId="2806A5FB" w14:textId="77777777" w:rsidR="00AF07F6" w:rsidRDefault="00AF07F6" w:rsidP="00AF07F6">
      <w:pPr>
        <w:pStyle w:val="BodyText"/>
      </w:pPr>
      <w:r w:rsidRPr="00FE0BC5">
        <w:t>Pianosi F</w:t>
      </w:r>
      <w:r>
        <w:t>,</w:t>
      </w:r>
      <w:r w:rsidRPr="00FE0BC5">
        <w:t xml:space="preserve"> Beven K</w:t>
      </w:r>
      <w:r>
        <w:t>,</w:t>
      </w:r>
      <w:r w:rsidRPr="00FE0BC5">
        <w:t xml:space="preserve"> Freer J</w:t>
      </w:r>
      <w:r>
        <w:t>,</w:t>
      </w:r>
      <w:r w:rsidRPr="00FE0BC5">
        <w:t xml:space="preserve"> Hall JW</w:t>
      </w:r>
      <w:r>
        <w:t>,</w:t>
      </w:r>
      <w:r w:rsidRPr="00FE0BC5">
        <w:t xml:space="preserve"> Rougier J</w:t>
      </w:r>
      <w:r>
        <w:t>,</w:t>
      </w:r>
      <w:r w:rsidRPr="00FE0BC5">
        <w:t xml:space="preserve"> Stephenson DB </w:t>
      </w:r>
      <w:r>
        <w:t xml:space="preserve">and </w:t>
      </w:r>
      <w:r w:rsidRPr="00FE0BC5">
        <w:t>Wagener T. (2016)</w:t>
      </w:r>
      <w:r>
        <w:t>.</w:t>
      </w:r>
      <w:r w:rsidRPr="00FE0BC5">
        <w:t xml:space="preserve"> Sensitivity analysis of environmental models: A systematic review with practical workflow</w:t>
      </w:r>
      <w:r>
        <w:t>.</w:t>
      </w:r>
      <w:r w:rsidRPr="00FE0BC5">
        <w:t xml:space="preserve"> </w:t>
      </w:r>
      <w:r w:rsidRPr="009209A1">
        <w:rPr>
          <w:i/>
        </w:rPr>
        <w:t>Environmental Modelling and Software</w:t>
      </w:r>
      <w:r w:rsidRPr="00FE0BC5">
        <w:t xml:space="preserve">, </w:t>
      </w:r>
      <w:r w:rsidRPr="009209A1">
        <w:rPr>
          <w:b/>
        </w:rPr>
        <w:t>79</w:t>
      </w:r>
      <w:r w:rsidRPr="00FE0BC5">
        <w:t>, 214</w:t>
      </w:r>
      <w:r>
        <w:t>–</w:t>
      </w:r>
      <w:r w:rsidRPr="00FE0BC5">
        <w:t>232</w:t>
      </w:r>
      <w:r>
        <w:t xml:space="preserve">. </w:t>
      </w:r>
    </w:p>
    <w:p w14:paraId="221A4DE0" w14:textId="77777777" w:rsidR="00AF07F6" w:rsidRDefault="00AF07F6" w:rsidP="00AF07F6">
      <w:pPr>
        <w:pStyle w:val="BodyText"/>
      </w:pPr>
      <w:r w:rsidRPr="00FE0BC5">
        <w:t>Plischke E</w:t>
      </w:r>
      <w:r>
        <w:t>,</w:t>
      </w:r>
      <w:r w:rsidRPr="00FE0BC5">
        <w:t xml:space="preserve"> Borgonovo E </w:t>
      </w:r>
      <w:r>
        <w:t>and</w:t>
      </w:r>
      <w:r w:rsidRPr="00FE0BC5">
        <w:t xml:space="preserve"> Smith CL. (2013)</w:t>
      </w:r>
      <w:r>
        <w:t>.</w:t>
      </w:r>
      <w:r w:rsidRPr="00FE0BC5">
        <w:t xml:space="preserve"> Global sensitivity measures from given data</w:t>
      </w:r>
      <w:r>
        <w:t>.</w:t>
      </w:r>
      <w:r w:rsidRPr="00FE0BC5">
        <w:t xml:space="preserve"> </w:t>
      </w:r>
      <w:r w:rsidRPr="009209A1">
        <w:rPr>
          <w:i/>
        </w:rPr>
        <w:lastRenderedPageBreak/>
        <w:t>European Journal of Operational Research</w:t>
      </w:r>
      <w:r w:rsidRPr="00FE0BC5">
        <w:t xml:space="preserve">, </w:t>
      </w:r>
      <w:r w:rsidRPr="009209A1">
        <w:rPr>
          <w:b/>
        </w:rPr>
        <w:t>226</w:t>
      </w:r>
      <w:r w:rsidRPr="00FE0BC5">
        <w:t>, 536-550</w:t>
      </w:r>
      <w:r>
        <w:t>.</w:t>
      </w:r>
      <w:r w:rsidRPr="00FE0BC5">
        <w:t xml:space="preserve"> </w:t>
      </w:r>
    </w:p>
    <w:p w14:paraId="662A4CFC" w14:textId="77777777" w:rsidR="00180A37" w:rsidRDefault="00180A37" w:rsidP="000309F1">
      <w:pPr>
        <w:pStyle w:val="BodyText"/>
      </w:pPr>
      <w:r>
        <w:t xml:space="preserve">QLC 48 (2015). Adani Mining Pty Ltd v Land Services of Coast and Country inc. &amp; Ors [2015]. Land Court of Queensland. </w:t>
      </w:r>
    </w:p>
    <w:p w14:paraId="7FD84BBD" w14:textId="77777777" w:rsidR="005B532C" w:rsidRDefault="005B532C" w:rsidP="005B532C">
      <w:pPr>
        <w:pStyle w:val="BodyText"/>
      </w:pPr>
      <w:r>
        <w:t xml:space="preserve">Refsgaard JC, Christensen S, Sonnenborg TO, Seifert D, Højberg AL and Troldborg L. (2012). Review of strategies for handling geological uncertainty in groundwater flow and transport modeling. </w:t>
      </w:r>
      <w:r w:rsidRPr="005B532C">
        <w:rPr>
          <w:i/>
        </w:rPr>
        <w:t>Advances in Water Resources</w:t>
      </w:r>
      <w:r w:rsidR="00BE74D2">
        <w:rPr>
          <w:i/>
        </w:rPr>
        <w:t>,</w:t>
      </w:r>
      <w:r>
        <w:t xml:space="preserve"> </w:t>
      </w:r>
      <w:r w:rsidRPr="005B532C">
        <w:rPr>
          <w:b/>
        </w:rPr>
        <w:t>36</w:t>
      </w:r>
      <w:r>
        <w:t>, 36-50.</w:t>
      </w:r>
    </w:p>
    <w:p w14:paraId="27DE9CF4" w14:textId="77777777" w:rsidR="00AF07F6" w:rsidRDefault="00AF07F6" w:rsidP="00AF07F6">
      <w:pPr>
        <w:pStyle w:val="BodyText"/>
      </w:pPr>
      <w:r>
        <w:t xml:space="preserve">Richardson S, Irvine E, Froend R, Boon P, Barber S and Bonneville B. (2011). Australian groundwater-dependent ecosystem toolbox part 1: assessment framework. Waterlines report, National Water Commission, Canberra. </w:t>
      </w:r>
      <w:r w:rsidR="000558CF">
        <w:br/>
      </w:r>
      <w:hyperlink r:id="rId53" w:history="1">
        <w:r w:rsidR="000558CF" w:rsidRPr="000558CF">
          <w:rPr>
            <w:rStyle w:val="Hyperlink"/>
          </w:rPr>
          <w:t>http://webarchive.nla.gov.au/gov/20160615084626/</w:t>
        </w:r>
        <w:r w:rsidR="000558CF" w:rsidRPr="0078268E">
          <w:rPr>
            <w:rStyle w:val="Hyperlink"/>
          </w:rPr>
          <w:t>http</w:t>
        </w:r>
        <w:r w:rsidR="000558CF" w:rsidRPr="000558CF">
          <w:rPr>
            <w:rStyle w:val="Hyperlink"/>
          </w:rPr>
          <w:t>://archive.nwc.gov.au/library/waterlines/69-70</w:t>
        </w:r>
      </w:hyperlink>
    </w:p>
    <w:p w14:paraId="223809E5" w14:textId="77777777" w:rsidR="000309F1" w:rsidRDefault="000309F1" w:rsidP="000309F1">
      <w:pPr>
        <w:pStyle w:val="BodyText"/>
      </w:pPr>
      <w:r>
        <w:t>Richardson S, McMillan M and Currie D (2017) Communicating uncertainty to decision-makers and stakeholders. Background paper no.5</w:t>
      </w:r>
      <w:r w:rsidR="00316902">
        <w:t xml:space="preserve"> in Middlemis et al</w:t>
      </w:r>
      <w:r w:rsidR="0050782C">
        <w:t>.</w:t>
      </w:r>
      <w:r w:rsidR="00316902">
        <w:t xml:space="preserve"> (2018)</w:t>
      </w:r>
      <w:r>
        <w:t>, NCGRT National Groundwater Modelling Uncertainty Workshop, Sydney, 10 July 2017.</w:t>
      </w:r>
    </w:p>
    <w:p w14:paraId="5AE05415" w14:textId="77777777" w:rsidR="00F921C7" w:rsidRDefault="00F921C7" w:rsidP="00AF07F6">
      <w:pPr>
        <w:pStyle w:val="BodyText"/>
      </w:pPr>
      <w:r>
        <w:t xml:space="preserve">Saltelli A (2002). Sensitivity analysis for importance assessment. in </w:t>
      </w:r>
      <w:r w:rsidRPr="00F921C7">
        <w:rPr>
          <w:i/>
        </w:rPr>
        <w:t>Risk Analysis</w:t>
      </w:r>
      <w:r>
        <w:t xml:space="preserve"> </w:t>
      </w:r>
      <w:r w:rsidRPr="00F921C7">
        <w:rPr>
          <w:b/>
        </w:rPr>
        <w:t>22</w:t>
      </w:r>
      <w:r>
        <w:t>, pp.579-590.</w:t>
      </w:r>
    </w:p>
    <w:p w14:paraId="6B0684D0" w14:textId="77777777" w:rsidR="00AF07F6" w:rsidRDefault="00AF07F6" w:rsidP="00AF07F6">
      <w:pPr>
        <w:pStyle w:val="BodyText"/>
      </w:pPr>
      <w:r w:rsidRPr="00FE0BC5">
        <w:t xml:space="preserve">Saltelli A </w:t>
      </w:r>
      <w:r>
        <w:t>and</w:t>
      </w:r>
      <w:r w:rsidRPr="00FE0BC5">
        <w:t xml:space="preserve"> Annoni P. (2010)</w:t>
      </w:r>
      <w:r>
        <w:t>.</w:t>
      </w:r>
      <w:r w:rsidRPr="00FE0BC5">
        <w:t xml:space="preserve"> How to avoid a perfunctory sensitivity analysis</w:t>
      </w:r>
      <w:r>
        <w:t xml:space="preserve">. </w:t>
      </w:r>
      <w:r w:rsidRPr="009209A1">
        <w:rPr>
          <w:i/>
        </w:rPr>
        <w:t>Environmental Modelling and Software</w:t>
      </w:r>
      <w:r w:rsidRPr="00FE0BC5">
        <w:t xml:space="preserve">, </w:t>
      </w:r>
      <w:r w:rsidRPr="009209A1">
        <w:rPr>
          <w:b/>
        </w:rPr>
        <w:t>25</w:t>
      </w:r>
      <w:r w:rsidRPr="00FE0BC5">
        <w:t>, 1508-1517</w:t>
      </w:r>
      <w:r>
        <w:t>.</w:t>
      </w:r>
    </w:p>
    <w:p w14:paraId="742221EF" w14:textId="77777777" w:rsidR="00AF07F6" w:rsidRPr="00DD2590" w:rsidRDefault="00AF07F6" w:rsidP="00AF07F6">
      <w:pPr>
        <w:pStyle w:val="BodyText"/>
      </w:pPr>
      <w:r w:rsidRPr="00DD2590">
        <w:t xml:space="preserve">Saltelli A and Funtowicz S (2014). When All Models Are Wrong. </w:t>
      </w:r>
      <w:r w:rsidRPr="009209A1">
        <w:rPr>
          <w:i/>
        </w:rPr>
        <w:t>Issues in Science and Technology</w:t>
      </w:r>
      <w:r w:rsidRPr="00DD2590">
        <w:t xml:space="preserve">, </w:t>
      </w:r>
      <w:r w:rsidRPr="009209A1">
        <w:rPr>
          <w:b/>
        </w:rPr>
        <w:t>30</w:t>
      </w:r>
      <w:r w:rsidRPr="00DD2590">
        <w:t>, 79-85.</w:t>
      </w:r>
    </w:p>
    <w:p w14:paraId="5C7CD020" w14:textId="0AF8E7ED" w:rsidR="00E6430E" w:rsidRDefault="00E6430E" w:rsidP="00E6430E">
      <w:pPr>
        <w:pStyle w:val="BodyText"/>
      </w:pPr>
      <w:r>
        <w:t>Voss C (2011</w:t>
      </w:r>
      <w:r w:rsidR="00F949D5">
        <w:t>a</w:t>
      </w:r>
      <w:r>
        <w:t xml:space="preserve">). Editor’s message: Groundwater modeling fantasies — part 1, adrift in the details. </w:t>
      </w:r>
      <w:r w:rsidRPr="009209A1">
        <w:rPr>
          <w:i/>
        </w:rPr>
        <w:t>Hydrogeol</w:t>
      </w:r>
      <w:r w:rsidR="00371384" w:rsidRPr="009209A1">
        <w:rPr>
          <w:i/>
        </w:rPr>
        <w:t>ogy</w:t>
      </w:r>
      <w:r w:rsidRPr="009209A1">
        <w:rPr>
          <w:i/>
        </w:rPr>
        <w:t xml:space="preserve"> J</w:t>
      </w:r>
      <w:r w:rsidR="00371384" w:rsidRPr="009209A1">
        <w:rPr>
          <w:i/>
        </w:rPr>
        <w:t>ournal</w:t>
      </w:r>
      <w:r w:rsidR="009209A1">
        <w:t>,</w:t>
      </w:r>
      <w:r>
        <w:t xml:space="preserve"> </w:t>
      </w:r>
      <w:r w:rsidRPr="009209A1">
        <w:rPr>
          <w:b/>
        </w:rPr>
        <w:t>19</w:t>
      </w:r>
      <w:r w:rsidR="009209A1">
        <w:t xml:space="preserve">, </w:t>
      </w:r>
      <w:r>
        <w:t>1281-1284.</w:t>
      </w:r>
    </w:p>
    <w:p w14:paraId="3B4930AB" w14:textId="18C9268F" w:rsidR="00E6430E" w:rsidRDefault="00BE594A" w:rsidP="00E6430E">
      <w:pPr>
        <w:pStyle w:val="BodyText"/>
      </w:pPr>
      <w:r>
        <w:t>Voss C</w:t>
      </w:r>
      <w:r w:rsidR="00E6430E">
        <w:t xml:space="preserve"> (2011</w:t>
      </w:r>
      <w:r w:rsidR="00F949D5">
        <w:t>b</w:t>
      </w:r>
      <w:r w:rsidR="00E6430E">
        <w:t xml:space="preserve">). Editor’s message: Groundwater modeling fantasies — part 2, down to earth. </w:t>
      </w:r>
      <w:r w:rsidR="00E6430E" w:rsidRPr="009209A1">
        <w:rPr>
          <w:i/>
        </w:rPr>
        <w:t>Hydrogeol</w:t>
      </w:r>
      <w:r w:rsidR="00371384" w:rsidRPr="009209A1">
        <w:rPr>
          <w:i/>
        </w:rPr>
        <w:t>ogy</w:t>
      </w:r>
      <w:r w:rsidR="00E6430E" w:rsidRPr="009209A1">
        <w:rPr>
          <w:i/>
        </w:rPr>
        <w:t xml:space="preserve"> J</w:t>
      </w:r>
      <w:r w:rsidR="00371384" w:rsidRPr="009209A1">
        <w:rPr>
          <w:i/>
        </w:rPr>
        <w:t>ournal</w:t>
      </w:r>
      <w:r w:rsidR="009209A1">
        <w:t>,</w:t>
      </w:r>
      <w:r w:rsidR="00E6430E">
        <w:t xml:space="preserve"> </w:t>
      </w:r>
      <w:r w:rsidR="00E6430E" w:rsidRPr="009209A1">
        <w:rPr>
          <w:b/>
        </w:rPr>
        <w:t>19</w:t>
      </w:r>
      <w:r w:rsidR="009209A1">
        <w:t xml:space="preserve">, </w:t>
      </w:r>
      <w:r w:rsidR="00E6430E">
        <w:t>1455-1458.</w:t>
      </w:r>
    </w:p>
    <w:p w14:paraId="01DCF02F" w14:textId="77777777" w:rsidR="00026C1B" w:rsidRDefault="000309F1" w:rsidP="00AF07F6">
      <w:pPr>
        <w:pStyle w:val="BodyText"/>
      </w:pPr>
      <w:r>
        <w:t>Walker G (2017)</w:t>
      </w:r>
      <w:r w:rsidR="00AF07F6">
        <w:t>.</w:t>
      </w:r>
      <w:r>
        <w:t xml:space="preserve"> Predictive uncertainty in groundwater modelling: how is it best used? Background paper no.1</w:t>
      </w:r>
      <w:r w:rsidR="00316902">
        <w:t xml:space="preserve"> in Middlemis et al</w:t>
      </w:r>
      <w:r w:rsidR="0050782C">
        <w:t>.</w:t>
      </w:r>
      <w:r w:rsidR="00316902">
        <w:t xml:space="preserve"> (2018)</w:t>
      </w:r>
      <w:r>
        <w:t>, NCGRT National Groundwater Modelling Uncertainty Workshop, Sydney, 10 July 2017.</w:t>
      </w:r>
    </w:p>
    <w:p w14:paraId="13F6E94F" w14:textId="77777777" w:rsidR="00BE74D2" w:rsidRPr="000309F1" w:rsidRDefault="00BE74D2" w:rsidP="00AF07F6">
      <w:pPr>
        <w:pStyle w:val="BodyText"/>
      </w:pPr>
      <w:bookmarkStart w:id="88" w:name="_Hlk505524527"/>
      <w:r w:rsidRPr="00BE74D2">
        <w:t>White JT, Doherty</w:t>
      </w:r>
      <w:r>
        <w:t xml:space="preserve"> JE</w:t>
      </w:r>
      <w:r w:rsidRPr="00BE74D2">
        <w:t xml:space="preserve"> and Hughes</w:t>
      </w:r>
      <w:r>
        <w:t xml:space="preserve"> JD. (2014).</w:t>
      </w:r>
      <w:r w:rsidRPr="00BE74D2">
        <w:t xml:space="preserve"> Quantifying the predictive consequences of model error with linear subspace analysis. </w:t>
      </w:r>
      <w:r w:rsidRPr="00BE74D2">
        <w:rPr>
          <w:i/>
        </w:rPr>
        <w:t>Water Resources Research</w:t>
      </w:r>
      <w:r>
        <w:t>,</w:t>
      </w:r>
      <w:r w:rsidRPr="00BE74D2">
        <w:t xml:space="preserve"> </w:t>
      </w:r>
      <w:r w:rsidRPr="00BE74D2">
        <w:rPr>
          <w:b/>
        </w:rPr>
        <w:t>50(2)</w:t>
      </w:r>
      <w:r w:rsidRPr="00BE74D2">
        <w:t>, 1152–1173.</w:t>
      </w:r>
      <w:bookmarkEnd w:id="88"/>
    </w:p>
    <w:sectPr w:rsidR="00BE74D2" w:rsidRPr="000309F1" w:rsidSect="00E773DF">
      <w:pgSz w:w="11910" w:h="16840"/>
      <w:pgMar w:top="1418" w:right="1021" w:bottom="1560" w:left="1298" w:header="283" w:footer="459"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FDD9AD" w14:textId="77777777" w:rsidR="00A44B0E" w:rsidRDefault="00A44B0E">
      <w:r>
        <w:separator/>
      </w:r>
    </w:p>
  </w:endnote>
  <w:endnote w:type="continuationSeparator" w:id="0">
    <w:p w14:paraId="1DA3A3FA" w14:textId="77777777" w:rsidR="00A44B0E" w:rsidRDefault="00A44B0E">
      <w:r>
        <w:continuationSeparator/>
      </w:r>
    </w:p>
  </w:endnote>
  <w:endnote w:type="continuationNotice" w:id="1">
    <w:p w14:paraId="180BA443" w14:textId="77777777" w:rsidR="00A44B0E" w:rsidRDefault="00A44B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Bold">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D5EE3" w14:textId="77777777" w:rsidR="00DB690E" w:rsidRDefault="00DB69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FC704" w14:textId="4AE3C8C3" w:rsidR="00A44B0E" w:rsidRDefault="00A44B0E" w:rsidP="0077320D">
    <w:pPr>
      <w:pStyle w:val="Footer"/>
      <w:jc w:val="center"/>
      <w:rPr>
        <w:noProof/>
      </w:rPr>
    </w:pPr>
    <w:r w:rsidRPr="00C801E5">
      <w:fldChar w:fldCharType="begin"/>
    </w:r>
    <w:r w:rsidRPr="00C801E5">
      <w:instrText xml:space="preserve"> PAGE   \* MERGEFORMAT </w:instrText>
    </w:r>
    <w:r w:rsidRPr="00C801E5">
      <w:fldChar w:fldCharType="separate"/>
    </w:r>
    <w:r w:rsidR="00F65CC6">
      <w:rPr>
        <w:noProof/>
      </w:rPr>
      <w:t>13</w:t>
    </w:r>
    <w:r w:rsidRPr="00C801E5">
      <w:rPr>
        <w:noProof/>
      </w:rPr>
      <w:fldChar w:fldCharType="end"/>
    </w:r>
  </w:p>
  <w:p w14:paraId="2A0AC3D1" w14:textId="77777777" w:rsidR="00A44B0E" w:rsidRPr="00C801E5" w:rsidRDefault="00A44B0E" w:rsidP="0077320D">
    <w:pPr>
      <w:pStyle w:val="Footer"/>
      <w:jc w:val="center"/>
      <w:rP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14EB0" w14:textId="6B5F5C37" w:rsidR="00A44B0E" w:rsidRDefault="00A44B0E" w:rsidP="00BB12AF">
    <w:pPr>
      <w:pStyle w:val="Footer"/>
      <w:ind w:firstLine="7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FBF64" w14:textId="77777777" w:rsidR="00A44B0E" w:rsidRPr="00696692" w:rsidRDefault="00A44B0E" w:rsidP="007A3B92">
    <w:pPr>
      <w:pStyle w:val="Footer"/>
      <w:jc w:val="center"/>
      <w:rPr>
        <w:rFonts w:asciiTheme="majorHAnsi" w:hAnsiTheme="majorHAnsi"/>
        <w:szCs w:val="18"/>
      </w:rPr>
    </w:pPr>
    <w:r w:rsidRPr="00696692">
      <w:rPr>
        <w:rFonts w:asciiTheme="majorHAnsi" w:hAnsiTheme="majorHAnsi"/>
        <w:szCs w:val="18"/>
      </w:rPr>
      <w:t xml:space="preserve">THIS </w:t>
    </w:r>
    <w:r>
      <w:rPr>
        <w:rFonts w:asciiTheme="majorHAnsi" w:hAnsiTheme="majorHAnsi"/>
        <w:szCs w:val="18"/>
      </w:rPr>
      <w:t>INITIATIVE</w:t>
    </w:r>
    <w:r w:rsidRPr="00696692">
      <w:rPr>
        <w:rFonts w:asciiTheme="majorHAnsi" w:hAnsiTheme="majorHAnsi"/>
        <w:szCs w:val="18"/>
      </w:rPr>
      <w:t xml:space="preserve"> IS FUNDED BY THE</w:t>
    </w:r>
    <w:r>
      <w:rPr>
        <w:rFonts w:asciiTheme="majorHAnsi" w:hAnsiTheme="majorHAnsi"/>
        <w:szCs w:val="18"/>
      </w:rPr>
      <w:t xml:space="preserve"> AUSTRALIAN GOVERNMENT</w:t>
    </w:r>
    <w:r w:rsidRPr="00696692">
      <w:rPr>
        <w:rFonts w:asciiTheme="majorHAnsi" w:hAnsiTheme="majorHAnsi"/>
        <w:szCs w:val="18"/>
      </w:rPr>
      <w:t xml:space="preserve"> DEPARTMENT OF THE ENVIRONMENT</w:t>
    </w:r>
    <w:r>
      <w:rPr>
        <w:rFonts w:asciiTheme="majorHAnsi" w:hAnsiTheme="majorHAnsi"/>
        <w:szCs w:val="18"/>
      </w:rPr>
      <w:t xml:space="preserve"> AND ENERGY</w:t>
    </w:r>
  </w:p>
  <w:p w14:paraId="39EE289C" w14:textId="77777777" w:rsidR="00A44B0E" w:rsidRDefault="00A44B0E" w:rsidP="00BB12AF">
    <w:pPr>
      <w:pStyle w:val="Footer"/>
      <w:ind w:firstLine="7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344CD" w14:textId="3D6855C3" w:rsidR="00A44B0E" w:rsidRPr="00696692" w:rsidRDefault="00A44B0E" w:rsidP="0077676B">
    <w:pPr>
      <w:pStyle w:val="Footer"/>
      <w:rPr>
        <w:rFonts w:asciiTheme="majorHAnsi" w:hAnsiTheme="majorHAnsi"/>
        <w:szCs w:val="18"/>
      </w:rPr>
    </w:pPr>
  </w:p>
  <w:p w14:paraId="730372F8" w14:textId="77777777" w:rsidR="00A44B0E" w:rsidRDefault="00A44B0E" w:rsidP="00BB12AF">
    <w:pPr>
      <w:pStyle w:val="Footer"/>
      <w:ind w:firstLine="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A8D6E5" w14:textId="77777777" w:rsidR="00A44B0E" w:rsidRDefault="00A44B0E">
      <w:r>
        <w:separator/>
      </w:r>
    </w:p>
  </w:footnote>
  <w:footnote w:type="continuationSeparator" w:id="0">
    <w:p w14:paraId="35BF9C04" w14:textId="77777777" w:rsidR="00A44B0E" w:rsidRDefault="00A44B0E">
      <w:r>
        <w:continuationSeparator/>
      </w:r>
    </w:p>
  </w:footnote>
  <w:footnote w:type="continuationNotice" w:id="1">
    <w:p w14:paraId="7B293D30" w14:textId="77777777" w:rsidR="00A44B0E" w:rsidRDefault="00A44B0E"/>
  </w:footnote>
  <w:footnote w:id="2">
    <w:p w14:paraId="78DF89DE" w14:textId="77777777" w:rsidR="00A44B0E" w:rsidRDefault="00A44B0E">
      <w:pPr>
        <w:pStyle w:val="FootnoteText"/>
      </w:pPr>
      <w:r>
        <w:rPr>
          <w:rStyle w:val="FootnoteReference"/>
        </w:rPr>
        <w:footnoteRef/>
      </w:r>
      <w:r>
        <w:t xml:space="preserve"> </w:t>
      </w:r>
      <w:r w:rsidRPr="00952CE5">
        <w:t>Biased analysis may be acceptable, provided an extremely conservative methodology is applied logically, justified transparently and documented comprehensively (e.g. Ferré, 2017).</w:t>
      </w:r>
    </w:p>
  </w:footnote>
  <w:footnote w:id="3">
    <w:p w14:paraId="32B8F7CB" w14:textId="77777777" w:rsidR="00A44B0E" w:rsidRDefault="00A44B0E">
      <w:pPr>
        <w:pStyle w:val="FootnoteText"/>
      </w:pPr>
      <w:r>
        <w:rPr>
          <w:rStyle w:val="FootnoteReference"/>
        </w:rPr>
        <w:footnoteRef/>
      </w:r>
      <w:r>
        <w:t xml:space="preserve"> </w:t>
      </w:r>
      <w:r w:rsidRPr="00FD39C0">
        <w:t>Minimum error variance means minimum spread of the error</w:t>
      </w:r>
      <w:r>
        <w:t>;</w:t>
      </w:r>
      <w:r w:rsidRPr="00FD39C0">
        <w:t xml:space="preserve"> </w:t>
      </w:r>
      <w:r>
        <w:t>i</w:t>
      </w:r>
      <w:r w:rsidRPr="00FD39C0">
        <w:t>t does not mean that the bias of a simulation is minimised</w:t>
      </w:r>
      <w:r>
        <w:t xml:space="preserve"> – see the bias and error graphic shown in Figure 1 (section </w:t>
      </w:r>
      <w:r>
        <w:fldChar w:fldCharType="begin"/>
      </w:r>
      <w:r>
        <w:instrText xml:space="preserve"> REF _Ref505518915 \r \h </w:instrText>
      </w:r>
      <w:r>
        <w:fldChar w:fldCharType="separate"/>
      </w:r>
      <w:r w:rsidR="007950E7">
        <w:t>2</w:t>
      </w:r>
      <w:r>
        <w:fldChar w:fldCharType="end"/>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83774" w14:textId="77777777" w:rsidR="00DB690E" w:rsidRDefault="00DB69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52910"/>
      <w:docPartObj>
        <w:docPartGallery w:val="Watermarks"/>
        <w:docPartUnique/>
      </w:docPartObj>
    </w:sdtPr>
    <w:sdtEndPr/>
    <w:sdtContent>
      <w:p w14:paraId="0ADAFEEA" w14:textId="36375A9B" w:rsidR="00A44B0E" w:rsidRDefault="00F65CC6" w:rsidP="00681976">
        <w:pPr>
          <w:pStyle w:val="Header"/>
        </w:pPr>
        <w:r>
          <w:rPr>
            <w:lang w:val="en-US" w:eastAsia="en-US"/>
          </w:rPr>
          <w:pict w14:anchorId="592CED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77" type="#_x0000_t136" style="position:absolute;margin-left:0;margin-top:0;width:412.4pt;height:247.45pt;rotation:315;z-index:-25165618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478FD2A3" w14:textId="2015BF43" w:rsidR="00A44B0E" w:rsidRDefault="00A44B0E" w:rsidP="007F5235">
    <w:pPr>
      <w:pStyle w:val="Header"/>
    </w:pPr>
    <w:r>
      <mc:AlternateContent>
        <mc:Choice Requires="wps">
          <w:drawing>
            <wp:anchor distT="0" distB="0" distL="114300" distR="114300" simplePos="0" relativeHeight="251658244" behindDoc="1" locked="0" layoutInCell="0" allowOverlap="1" wp14:anchorId="137F0942" wp14:editId="76511814">
              <wp:simplePos x="0" y="0"/>
              <wp:positionH relativeFrom="margin">
                <wp:align>center</wp:align>
              </wp:positionH>
              <wp:positionV relativeFrom="margin">
                <wp:align>center</wp:align>
              </wp:positionV>
              <wp:extent cx="5890895" cy="2356485"/>
              <wp:effectExtent l="0" t="1600200" r="0" b="1291590"/>
              <wp:wrapNone/>
              <wp:docPr id="7"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90895" cy="23564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52ED16" w14:textId="77777777" w:rsidR="00A44B0E" w:rsidRDefault="00A44B0E" w:rsidP="004E798F">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7F0942" id="_x0000_t202" coordsize="21600,21600" o:spt="202" path="m,l,21600r21600,l21600,xe">
              <v:stroke joinstyle="miter"/>
              <v:path gradientshapeok="t" o:connecttype="rect"/>
            </v:shapetype>
            <v:shape id="WordArt 23" o:spid="_x0000_s1027" type="#_x0000_t202" style="position:absolute;margin-left:0;margin-top:0;width:463.85pt;height:185.5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6VdhwIAAP0EAAAOAAAAZHJzL2Uyb0RvYy54bWysVMtu2zAQvBfoPxC8O3pEciwhcmAncS9p&#10;GyAucqZFymIrPkrSloyi/94lpbzaS1HUB5pcrWZnd4a6vBpEh47MWK5khZOzGCMma0W53Ff4y3Yz&#10;W2BkHZGUdEqyCp+YxVfL9+8ue12yVLWqo8wgAJG27HWFW+d0GUW2bpkg9kxpJuFho4wgDo5mH1FD&#10;ekAXXZTG8TzqlaHaqJpZC9Gb8SFeBvymYbX73DSWOdRVGLi5sJqw7vwaLS9JuTdEt7yeaJB/YCEI&#10;l1D0GeqGOIIOhv8BJXhtlFWNO6uViFTT8JqFHqCbJP6tm4eWaBZ6geFY/Twm+/9g60/He4M4rfAF&#10;RpIIkOgRJroyDqXnfjq9tiUkPWhIc8NaDaBy6NTqO1V/s0iq65bIPVsZo/qWEQrsEsCawqGH7UkD&#10;cIhu2eBuKQchEg8fvcIfi1lfadd/VBReIQenQrWhMQIZ5V9bFLH/hTAMEAEjUPb0rCYUQDUEc0hc&#10;FDlGNTxLz/N5tshDSVJ6NK+WNtZ9YEogv6mwAbsEWHK8s86ze0nx6YAM8Wk3yvujSNIsXqfFbDNf&#10;XMyyTZbPiot4MYuTYl3M46zIbjY/PWiSlS2nlMk7LtmT1ZLs76ScTD+aJJgN9RUu8jQPfK3qON3w&#10;rvPcrNnvrjuDjsR7fpzV2MubNKMOkkKclF6022nvCO/GffSWcRgGDODpPwwiqOcFG6Vzw24ARC/p&#10;TtET6NjDzaqw/X4ghoEnDuJaASkwQmOUmIzmz56G12A7PBKjJzkclLvvnm5W0MTn7elkVEK/ApDo&#10;4MJCrygPrhg7nZIn/UbUMBu9AkdteBD3hefkQ7hjob3pe+Av8etzyHr5ai1/AQAA//8DAFBLAwQU&#10;AAYACAAAACEAV0rQXtsAAAAFAQAADwAAAGRycy9kb3ducmV2LnhtbEyPzU7DMBCE70i8g7VI3KiT&#10;ViIQ4lSIiEOP/RFnN94mAXsdYqdJeXoWLnBZaTSjmW+L9eysOOMQOk8K0kUCAqn2pqNGwWH/evcA&#10;IkRNRltPqOCCAdbl9VWhc+Mn2uJ5FxvBJRRyraCNsc+lDHWLToeF75HYO/nB6chyaKQZ9MTlzspl&#10;ktxLpzvihVb3+NJi/bEbnQLzdbr0q2nabzbbavy0XVXh27tStzfz8xOIiHP8C8MPPqNDyUxHP5IJ&#10;wirgR+LvZe9xmWUgjgpWWZqCLAv5n778BgAA//8DAFBLAQItABQABgAIAAAAIQC2gziS/gAAAOEB&#10;AAATAAAAAAAAAAAAAAAAAAAAAABbQ29udGVudF9UeXBlc10ueG1sUEsBAi0AFAAGAAgAAAAhADj9&#10;If/WAAAAlAEAAAsAAAAAAAAAAAAAAAAALwEAAF9yZWxzLy5yZWxzUEsBAi0AFAAGAAgAAAAhAJ8j&#10;pV2HAgAA/QQAAA4AAAAAAAAAAAAAAAAALgIAAGRycy9lMm9Eb2MueG1sUEsBAi0AFAAGAAgAAAAh&#10;AFdK0F7bAAAABQEAAA8AAAAAAAAAAAAAAAAA4QQAAGRycy9kb3ducmV2LnhtbFBLBQYAAAAABAAE&#10;APMAAADpBQAAAAA=&#10;" o:allowincell="f" filled="f" stroked="f">
              <v:stroke joinstyle="round"/>
              <o:lock v:ext="edit" shapetype="t"/>
              <v:textbox style="mso-fit-shape-to-text:t">
                <w:txbxContent>
                  <w:p w14:paraId="2C52ED16" w14:textId="77777777" w:rsidR="00A44B0E" w:rsidRDefault="00A44B0E" w:rsidP="004E798F">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 xml:space="preserve">     </w:t>
                    </w:r>
                  </w:p>
                </w:txbxContent>
              </v:textbox>
              <w10:wrap anchorx="margin" anchory="margin"/>
            </v:shape>
          </w:pict>
        </mc:Fallback>
      </mc:AlternateContent>
    </w:r>
  </w:p>
  <w:p w14:paraId="7390910D" w14:textId="77777777" w:rsidR="00A44B0E" w:rsidRDefault="00A44B0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430E8" w14:textId="1294FAD7" w:rsidR="00A44B0E" w:rsidRPr="004C6527" w:rsidRDefault="00DB690E" w:rsidP="004C6527">
    <w:pPr>
      <w:pStyle w:val="Header"/>
      <w:jc w:val="center"/>
      <w:rPr>
        <w:b/>
      </w:rPr>
    </w:pPr>
    <w:r w:rsidRPr="00CF6D24">
      <w:rPr>
        <w:b/>
      </w:rPr>
      <mc:AlternateContent>
        <mc:Choice Requires="wps">
          <w:drawing>
            <wp:anchor distT="45720" distB="45720" distL="114300" distR="114300" simplePos="0" relativeHeight="251662346" behindDoc="0" locked="0" layoutInCell="1" allowOverlap="1" wp14:anchorId="09930C84" wp14:editId="57E7DB5F">
              <wp:simplePos x="0" y="0"/>
              <wp:positionH relativeFrom="column">
                <wp:posOffset>1642745</wp:posOffset>
              </wp:positionH>
              <wp:positionV relativeFrom="paragraph">
                <wp:posOffset>901700</wp:posOffset>
              </wp:positionV>
              <wp:extent cx="2733675" cy="28575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85750"/>
                      </a:xfrm>
                      <a:prstGeom prst="rect">
                        <a:avLst/>
                      </a:prstGeom>
                      <a:solidFill>
                        <a:srgbClr val="FFFFFF"/>
                      </a:solidFill>
                      <a:ln w="9525">
                        <a:noFill/>
                        <a:miter lim="800000"/>
                        <a:headEnd/>
                        <a:tailEnd/>
                      </a:ln>
                    </wps:spPr>
                    <wps:txbx>
                      <w:txbxContent>
                        <w:p w14:paraId="1DB1BDED" w14:textId="77777777" w:rsidR="00DB690E" w:rsidRPr="00772B54" w:rsidRDefault="00DB690E" w:rsidP="00DB690E">
                          <w:pPr>
                            <w:jc w:val="center"/>
                            <w:rPr>
                              <w:rFonts w:asciiTheme="majorHAnsi" w:hAnsiTheme="majorHAnsi"/>
                              <w:b/>
                              <w:color w:val="FF0000"/>
                            </w:rPr>
                          </w:pPr>
                          <w:r w:rsidRPr="00772B54">
                            <w:rPr>
                              <w:rFonts w:asciiTheme="majorHAnsi" w:hAnsiTheme="majorHAnsi"/>
                              <w:b/>
                              <w:color w:val="FF0000"/>
                            </w:rPr>
                            <w:t>Consultation draft – not for official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930C84" id="_x0000_t202" coordsize="21600,21600" o:spt="202" path="m,l,21600r21600,l21600,xe">
              <v:stroke joinstyle="miter"/>
              <v:path gradientshapeok="t" o:connecttype="rect"/>
            </v:shapetype>
            <v:shape id="Text Box 2" o:spid="_x0000_s1028" type="#_x0000_t202" style="position:absolute;left:0;text-align:left;margin-left:129.35pt;margin-top:71pt;width:215.25pt;height:22.5pt;z-index:2516623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qXIgIAACIEAAAOAAAAZHJzL2Uyb0RvYy54bWysU9uO2yAQfa/Uf0C8N068cZK14qy22aaq&#10;tL1Iu/0AjHGMCgwFEjv9+g44m0bbt6o8IIYZDjNnzqzvBq3IUTgvwVR0NplSIgyHRpp9Rb8/796t&#10;KPGBmYYpMKKiJ+Hp3ebtm3VvS5FDB6oRjiCI8WVvK9qFYMss87wTmvkJWGHQ2YLTLKDp9lnjWI/o&#10;WmX5dLrIenCNdcCF93j7MDrpJuG3reDha9t6EYiqKOYW0u7SXsc926xZuXfMdpKf02D/kIVm0uCn&#10;F6gHFhg5OPkXlJbcgYc2TDjoDNpWcpFqwGpm01fVPHXMilQLkuPthSb//2D5l+M3R2RT0QUlhmls&#10;0bMYAnkPA8kjO731JQY9WQwLA15jl1Ol3j4C/+GJgW3HzF7cOwd9J1iD2c3iy+zq6YjjI0jdf4YG&#10;v2GHAAloaJ2O1CEZBNGxS6dLZ2IqHC/z5c3NYllQwtGXr4plkVqXsfLltXU+fBSgSTxU1GHnEzo7&#10;PvoQs2HlS0j8zIOSzU4qlQy3r7fKkSNDlezSSgW8ClOG9BW9LfIiIRuI75OAtAyoYiV1RVfTuEZd&#10;RTY+mCaFBCbVeMZMlDnTExkZuQlDPaQ+XFivoTkhXw5G0eKQ4aED94uSHgVbUf/zwJygRH0yyPnt&#10;bD6PCk/GvFjmaLhrT33tYYYjVEUDJeNxG9JURDoM3GNvWploi00cMzmnjEJMbJ6HJir92k5Rf0Z7&#10;8xsAAP//AwBQSwMEFAAGAAgAAAAhAK9o9CPeAAAACwEAAA8AAABkcnMvZG93bnJldi54bWxMj0FP&#10;g0AQhe8m/ofNmHgxdpG0QJGlURON19b+gAGmQGRnCbst9N87nvQ47315816xW+ygLjT53rGBp1UE&#10;irh2Tc+tgePX+2MGygfkBgfHZOBKHnbl7U2BeeNm3tPlEFolIexzNNCFMOZa+7oji37lRmLxTm6y&#10;GOScWt1MOEu4HXQcRYm22LN86HCkt47q78PZGjh9zg+b7Vx9hGO6Xyev2KeVuxpzf7e8PIMKtIQ/&#10;GH7rS3UopVPlztx4NRiIN1kqqBjrWEYJkWTbGFQlSpZGoMtC/99Q/gAAAP//AwBQSwECLQAUAAYA&#10;CAAAACEAtoM4kv4AAADhAQAAEwAAAAAAAAAAAAAAAAAAAAAAW0NvbnRlbnRfVHlwZXNdLnhtbFBL&#10;AQItABQABgAIAAAAIQA4/SH/1gAAAJQBAAALAAAAAAAAAAAAAAAAAC8BAABfcmVscy8ucmVsc1BL&#10;AQItABQABgAIAAAAIQD5soqXIgIAACIEAAAOAAAAAAAAAAAAAAAAAC4CAABkcnMvZTJvRG9jLnht&#10;bFBLAQItABQABgAIAAAAIQCvaPQj3gAAAAsBAAAPAAAAAAAAAAAAAAAAAHwEAABkcnMvZG93bnJl&#10;di54bWxQSwUGAAAAAAQABADzAAAAhwUAAAAA&#10;" stroked="f">
              <v:textbox>
                <w:txbxContent>
                  <w:p w14:paraId="1DB1BDED" w14:textId="77777777" w:rsidR="00DB690E" w:rsidRPr="00772B54" w:rsidRDefault="00DB690E" w:rsidP="00DB690E">
                    <w:pPr>
                      <w:jc w:val="center"/>
                      <w:rPr>
                        <w:rFonts w:asciiTheme="majorHAnsi" w:hAnsiTheme="majorHAnsi"/>
                        <w:b/>
                        <w:color w:val="FF0000"/>
                      </w:rPr>
                    </w:pPr>
                    <w:r w:rsidRPr="00772B54">
                      <w:rPr>
                        <w:rFonts w:asciiTheme="majorHAnsi" w:hAnsiTheme="majorHAnsi"/>
                        <w:b/>
                        <w:color w:val="FF0000"/>
                      </w:rPr>
                      <w:t>Consultation draft – not for official use</w:t>
                    </w:r>
                  </w:p>
                </w:txbxContent>
              </v:textbox>
              <w10:wrap type="square"/>
            </v:shape>
          </w:pict>
        </mc:Fallback>
      </mc:AlternateContent>
    </w:r>
    <w:r w:rsidR="004C6527" w:rsidRPr="004C6527">
      <w:rPr>
        <w:b/>
      </w:rPr>
      <w:t>Consultation on Uncertainty Analysis in Groundwater Modelling Explanatory Note.</w:t>
    </w:r>
  </w:p>
  <w:p w14:paraId="30D5275F" w14:textId="0CC23C6E" w:rsidR="00A44B0E" w:rsidRDefault="00A44B0E" w:rsidP="0077320D">
    <w:pPr>
      <w:pStyle w:val="Header"/>
    </w:pPr>
    <w:r w:rsidRPr="00076FD2">
      <w:drawing>
        <wp:anchor distT="0" distB="0" distL="114300" distR="114300" simplePos="0" relativeHeight="251658240" behindDoc="0" locked="0" layoutInCell="1" allowOverlap="1" wp14:anchorId="202251A5" wp14:editId="5FA2F2EB">
          <wp:simplePos x="0" y="0"/>
          <wp:positionH relativeFrom="page">
            <wp:posOffset>-9525</wp:posOffset>
          </wp:positionH>
          <wp:positionV relativeFrom="paragraph">
            <wp:posOffset>-465455</wp:posOffset>
          </wp:positionV>
          <wp:extent cx="7724775" cy="2000250"/>
          <wp:effectExtent l="0" t="0" r="9525" b="0"/>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t="8627" b="9021"/>
                  <a:stretch/>
                </pic:blipFill>
                <pic:spPr bwMode="auto">
                  <a:xfrm>
                    <a:off x="0" y="0"/>
                    <a:ext cx="7724775" cy="2000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606A5" w14:textId="77777777" w:rsidR="00A44B0E" w:rsidRDefault="00F65CC6" w:rsidP="00681976">
    <w:pPr>
      <w:pStyle w:val="Header"/>
    </w:pPr>
    <w:r>
      <w:pict w14:anchorId="41D5F4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4" type="#_x0000_t136" style="position:absolute;margin-left:0;margin-top:0;width:463.85pt;height:185.55pt;rotation:315;z-index:-251658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00637E11" w14:textId="44618CD0" w:rsidR="00A44B0E" w:rsidRDefault="00A44B0E" w:rsidP="007A3B92">
    <w:pPr>
      <w:pStyle w:val="Header"/>
    </w:pPr>
    <w:r>
      <w:drawing>
        <wp:anchor distT="0" distB="0" distL="114300" distR="114300" simplePos="0" relativeHeight="251658246" behindDoc="1" locked="0" layoutInCell="1" allowOverlap="1" wp14:anchorId="676DF52C" wp14:editId="1BD29435">
          <wp:simplePos x="0" y="0"/>
          <wp:positionH relativeFrom="page">
            <wp:align>right</wp:align>
          </wp:positionH>
          <wp:positionV relativeFrom="margin">
            <wp:posOffset>-964565</wp:posOffset>
          </wp:positionV>
          <wp:extent cx="7559040" cy="9432290"/>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extLst>
                      <a:ext uri="{28A0092B-C50C-407E-A947-70E740481C1C}">
                        <a14:useLocalDpi xmlns:a14="http://schemas.microsoft.com/office/drawing/2010/main" val="0"/>
                      </a:ext>
                    </a:extLst>
                  </a:blip>
                  <a:srcRect b="11784"/>
                  <a:stretch>
                    <a:fillRect/>
                  </a:stretch>
                </pic:blipFill>
                <pic:spPr bwMode="auto">
                  <a:xfrm>
                    <a:off x="0" y="0"/>
                    <a:ext cx="7559040" cy="9432290"/>
                  </a:xfrm>
                  <a:prstGeom prst="rect">
                    <a:avLst/>
                  </a:prstGeom>
                  <a:noFill/>
                </pic:spPr>
              </pic:pic>
            </a:graphicData>
          </a:graphic>
          <wp14:sizeRelH relativeFrom="page">
            <wp14:pctWidth>0</wp14:pctWidth>
          </wp14:sizeRelH>
          <wp14:sizeRelV relativeFrom="page">
            <wp14:pctHeight>0</wp14:pctHeight>
          </wp14:sizeRelV>
        </wp:anchor>
      </w:drawing>
    </w:r>
  </w:p>
  <w:p w14:paraId="6F7F0745" w14:textId="37799CF1" w:rsidR="00A44B0E" w:rsidRDefault="00F65CC6" w:rsidP="007F5235">
    <w:pPr>
      <w:pStyle w:val="Header"/>
    </w:pPr>
    <w:r>
      <w:pict w14:anchorId="2AE35D4C">
        <v:shape id="_x0000_s2072" type="#_x0000_t136" style="position:absolute;margin-left:0;margin-top:0;width:463.85pt;height:185.55pt;rotation:315;z-index:-25165823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7746DA06" w14:textId="49B3627B" w:rsidR="00A44B0E" w:rsidRDefault="00A44B0E" w:rsidP="0077320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34BF4" w14:textId="77777777" w:rsidR="00A44B0E" w:rsidRDefault="00F65CC6" w:rsidP="00681976">
    <w:pPr>
      <w:pStyle w:val="Header"/>
    </w:pPr>
    <w:r>
      <w:pict w14:anchorId="225E31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5" type="#_x0000_t136" style="position:absolute;margin-left:0;margin-top:0;width:463.85pt;height:185.55pt;rotation:315;z-index:-25165823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34D0D59A" w14:textId="059A37A8" w:rsidR="00A44B0E" w:rsidRPr="007A3B92" w:rsidRDefault="00A44B0E" w:rsidP="007A3B9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2C735" w14:textId="6F8CD01D" w:rsidR="00A44B0E" w:rsidRDefault="00A44B0E" w:rsidP="0077320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9FB3C" w14:textId="77777777" w:rsidR="00A44B0E" w:rsidRDefault="00F65CC6" w:rsidP="00C62440">
    <w:pPr>
      <w:pStyle w:val="Header"/>
    </w:pPr>
    <w:sdt>
      <w:sdtPr>
        <w:id w:val="-489255867"/>
        <w:docPartObj>
          <w:docPartGallery w:val="Watermarks"/>
          <w:docPartUnique/>
        </w:docPartObj>
      </w:sdtPr>
      <w:sdtEndPr/>
      <w:sdtContent>
        <w:r w:rsidR="00A44B0E">
          <mc:AlternateContent>
            <mc:Choice Requires="wps">
              <w:drawing>
                <wp:anchor distT="0" distB="0" distL="114300" distR="114300" simplePos="0" relativeHeight="251658241" behindDoc="1" locked="0" layoutInCell="0" allowOverlap="1" wp14:anchorId="5A01246F" wp14:editId="78E610F5">
                  <wp:simplePos x="0" y="0"/>
                  <wp:positionH relativeFrom="margin">
                    <wp:align>center</wp:align>
                  </wp:positionH>
                  <wp:positionV relativeFrom="margin">
                    <wp:align>center</wp:align>
                  </wp:positionV>
                  <wp:extent cx="5237480" cy="3142615"/>
                  <wp:effectExtent l="0" t="1143000" r="0" b="657860"/>
                  <wp:wrapNone/>
                  <wp:docPr id="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0C2F32" w14:textId="77777777" w:rsidR="00A44B0E" w:rsidRDefault="00A44B0E" w:rsidP="004E798F">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01246F" id="_x0000_t202" coordsize="21600,21600" o:spt="202" path="m,l,21600r21600,l21600,xe">
                  <v:stroke joinstyle="miter"/>
                  <v:path gradientshapeok="t" o:connecttype="rect"/>
                </v:shapetype>
                <v:shape id="WordArt 5" o:spid="_x0000_s1028" type="#_x0000_t202" style="position:absolute;margin-left:0;margin-top:0;width:412.4pt;height:247.4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nYhwIAAAMFAAAOAAAAZHJzL2Uyb0RvYy54bWysVMlu2zAQvRfoPxC8O1oiO5YQOcjmXtI2&#10;QFzkTIuUxVZcStKWjKL/3iHFbO2lKOoDTQ1Hb+bNe9T5xSh6dGDGciVrnJ2kGDHZKMrlrsZfNuvZ&#10;EiPriKSkV5LV+Mgsvli9f3c+6IrlqlM9ZQYBiLTVoGvcOaerJLFNxwSxJ0ozCYetMoI4eDS7hBoy&#10;ALrokzxNF8mgDNVGNcxaiN5Mh3gV8NuWNe5z21rmUF9j6M2F1YR169dkdU6qnSG6401sg/xDF4Jw&#10;CUWfoW6II2hv+B9QgjdGWdW6k0aJRLUtb1jgAGyy9Dc2Dx3RLHCB4Vj9PCb7/2CbT4d7gzgF7TCS&#10;RIBEjzDRS+PQ3A9n0LaCnAcNWW68UqNP9EStvlPNN4ukuu6I3LFLY9TQMUKhOQ8Vw4HC5qgBN0Q3&#10;bHS3lIMOmYdPXuFPxayvtB0+KgqvkL1TodrYGoGM8q8ty9T/Qhjmh6AjEPb4LCYUQA0E5/npWbGE&#10;owbOTrMiX2SBUUIqj+Y5aGPdB6YE8psaG3BLgCWHO+t8dy8pPh2QIR53k7o/yiwv0qu8nK0Xy7NZ&#10;sS7ms/IsXc7SrLwqF2lRFjfrnx40K6qOU8rkHZfsyWlZ8XdKRs9PHgleQ0ONy3k+D/1a1XO65n3v&#10;e7Nmt73uDToQb/lpVhOXN2lG7SWFOKm8aLdx7wjvp33ytuMwDBjA038YRFDPCzZJ58btGK0EwF7Z&#10;raJHkHOA+1Vj+31PDANr7MW1gt7AD61RItrNP/tuvBSb8ZEYHVVxUPW+f7pfQRqft6PRroR+BSDR&#10;w7UFymgezDERjslRxgk1jEhfgrHWPGj80me0I9y0wDJ+FfxVfv0csl6+XatfAAAA//8DAFBLAwQU&#10;AAYACAAAACEAOy2kaNsAAAAFAQAADwAAAGRycy9kb3ducmV2LnhtbEyPwU7DMBBE70j8g7VI3KjT&#10;EqE2xKkQEYce2yLObrxNQu11iJ0m5etZuNDLSKtZzbzJ15Oz4ox9aD0pmM8SEEiVNy3VCt73bw9L&#10;ECFqMtp6QgUXDLAubm9ynRk/0hbPu1gLDqGQaQVNjF0mZagadDrMfIfE3tH3Tkc++1qaXo8c7qxc&#10;JMmTdLolbmh0h68NVqfd4BSY7+OlexzH/WazLYcv25YlfnwqdX83vTyDiDjF/2f4xWd0KJjp4Acy&#10;QVgFPCT+KXvLRcozDgrSVboCWeTymr74AQAA//8DAFBLAQItABQABgAIAAAAIQC2gziS/gAAAOEB&#10;AAATAAAAAAAAAAAAAAAAAAAAAABbQ29udGVudF9UeXBlc10ueG1sUEsBAi0AFAAGAAgAAAAhADj9&#10;If/WAAAAlAEAAAsAAAAAAAAAAAAAAAAALwEAAF9yZWxzLy5yZWxzUEsBAi0AFAAGAAgAAAAhAGwd&#10;CdiHAgAAAwUAAA4AAAAAAAAAAAAAAAAALgIAAGRycy9lMm9Eb2MueG1sUEsBAi0AFAAGAAgAAAAh&#10;ADstpGjbAAAABQEAAA8AAAAAAAAAAAAAAAAA4QQAAGRycy9kb3ducmV2LnhtbFBLBQYAAAAABAAE&#10;APMAAADpBQAAAAA=&#10;" o:allowincell="f" filled="f" stroked="f">
                  <v:stroke joinstyle="round"/>
                  <o:lock v:ext="edit" shapetype="t"/>
                  <v:textbox style="mso-fit-shape-to-text:t">
                    <w:txbxContent>
                      <w:p w14:paraId="4D0C2F32" w14:textId="77777777" w:rsidR="00A44B0E" w:rsidRDefault="00A44B0E" w:rsidP="004E798F">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 xml:space="preserve">     </w:t>
                        </w:r>
                      </w:p>
                    </w:txbxContent>
                  </v:textbox>
                  <w10:wrap anchorx="margin" anchory="margin"/>
                </v:shape>
              </w:pict>
            </mc:Fallback>
          </mc:AlternateContent>
        </w:r>
      </w:sdtContent>
    </w:sdt>
    <w:r>
      <w:pict w14:anchorId="5C919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6" type="#_x0000_t136" style="position:absolute;margin-left:0;margin-top:0;width:463.85pt;height:185.55pt;rotation:315;z-index:-25165823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0F508CB8" w14:textId="2D258868" w:rsidR="00A44B0E" w:rsidRDefault="00A44B0E" w:rsidP="00AD51B5">
    <w:pPr>
      <w:pStyle w:val="Header"/>
      <w:jc w:val="center"/>
    </w:pPr>
    <w:r w:rsidRPr="004328AA">
      <w:t>Explanatory Note</w:t>
    </w:r>
    <w:r>
      <w:t>,</w:t>
    </w:r>
    <w:r w:rsidRPr="004328AA">
      <w:t xml:space="preserve"> </w:t>
    </w:r>
    <w:r>
      <w:t>Uncertainty Analysis in Groundwater Modelling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numFmt w:val="bullet"/>
      <w:lvlText w:val=""/>
      <w:lvlJc w:val="left"/>
      <w:pPr>
        <w:ind w:left="488" w:hanging="370"/>
      </w:pPr>
      <w:rPr>
        <w:rFonts w:ascii="Symbol" w:hAnsi="Symbol" w:cs="Symbol"/>
        <w:b w:val="0"/>
        <w:bCs w:val="0"/>
        <w:w w:val="100"/>
        <w:sz w:val="22"/>
        <w:szCs w:val="22"/>
      </w:rPr>
    </w:lvl>
    <w:lvl w:ilvl="1">
      <w:numFmt w:val="bullet"/>
      <w:lvlText w:val="•"/>
      <w:lvlJc w:val="left"/>
      <w:pPr>
        <w:ind w:left="864" w:hanging="370"/>
      </w:pPr>
    </w:lvl>
    <w:lvl w:ilvl="2">
      <w:numFmt w:val="bullet"/>
      <w:lvlText w:val="•"/>
      <w:lvlJc w:val="left"/>
      <w:pPr>
        <w:ind w:left="1249" w:hanging="370"/>
      </w:pPr>
    </w:lvl>
    <w:lvl w:ilvl="3">
      <w:numFmt w:val="bullet"/>
      <w:lvlText w:val="•"/>
      <w:lvlJc w:val="left"/>
      <w:pPr>
        <w:ind w:left="1634" w:hanging="370"/>
      </w:pPr>
    </w:lvl>
    <w:lvl w:ilvl="4">
      <w:numFmt w:val="bullet"/>
      <w:lvlText w:val="•"/>
      <w:lvlJc w:val="left"/>
      <w:pPr>
        <w:ind w:left="2019" w:hanging="370"/>
      </w:pPr>
    </w:lvl>
    <w:lvl w:ilvl="5">
      <w:numFmt w:val="bullet"/>
      <w:lvlText w:val="•"/>
      <w:lvlJc w:val="left"/>
      <w:pPr>
        <w:ind w:left="2404" w:hanging="370"/>
      </w:pPr>
    </w:lvl>
    <w:lvl w:ilvl="6">
      <w:numFmt w:val="bullet"/>
      <w:lvlText w:val="•"/>
      <w:lvlJc w:val="left"/>
      <w:pPr>
        <w:ind w:left="2788" w:hanging="370"/>
      </w:pPr>
    </w:lvl>
    <w:lvl w:ilvl="7">
      <w:numFmt w:val="bullet"/>
      <w:lvlText w:val="•"/>
      <w:lvlJc w:val="left"/>
      <w:pPr>
        <w:ind w:left="3173" w:hanging="370"/>
      </w:pPr>
    </w:lvl>
    <w:lvl w:ilvl="8">
      <w:numFmt w:val="bullet"/>
      <w:lvlText w:val="•"/>
      <w:lvlJc w:val="left"/>
      <w:pPr>
        <w:ind w:left="3558" w:hanging="370"/>
      </w:pPr>
    </w:lvl>
  </w:abstractNum>
  <w:abstractNum w:abstractNumId="1" w15:restartNumberingAfterBreak="0">
    <w:nsid w:val="00000403"/>
    <w:multiLevelType w:val="multilevel"/>
    <w:tmpl w:val="F8BC1108"/>
    <w:lvl w:ilvl="0">
      <w:start w:val="1"/>
      <w:numFmt w:val="decimal"/>
      <w:lvlText w:val="%1."/>
      <w:lvlJc w:val="left"/>
      <w:pPr>
        <w:ind w:left="118" w:hanging="269"/>
      </w:pPr>
      <w:rPr>
        <w:rFonts w:ascii="Arial" w:hAnsi="Arial" w:cs="Arial"/>
        <w:b/>
        <w:bCs/>
        <w:w w:val="99"/>
        <w:sz w:val="24"/>
        <w:szCs w:val="24"/>
      </w:rPr>
    </w:lvl>
    <w:lvl w:ilvl="1">
      <w:start w:val="1"/>
      <w:numFmt w:val="decimal"/>
      <w:lvlText w:val="%1.%2"/>
      <w:lvlJc w:val="left"/>
      <w:pPr>
        <w:ind w:left="489" w:hanging="370"/>
      </w:pPr>
      <w:rPr>
        <w:rFonts w:ascii="Arial" w:hAnsi="Arial" w:cs="Arial"/>
        <w:b/>
        <w:bCs/>
        <w:i/>
        <w:iCs/>
        <w:spacing w:val="-1"/>
        <w:w w:val="100"/>
        <w:sz w:val="22"/>
        <w:szCs w:val="22"/>
      </w:rPr>
    </w:lvl>
    <w:lvl w:ilvl="2">
      <w:numFmt w:val="bullet"/>
      <w:lvlText w:val="•"/>
      <w:lvlJc w:val="left"/>
      <w:pPr>
        <w:ind w:left="357" w:hanging="370"/>
      </w:pPr>
    </w:lvl>
    <w:lvl w:ilvl="3">
      <w:numFmt w:val="bullet"/>
      <w:lvlText w:val="•"/>
      <w:lvlJc w:val="left"/>
      <w:pPr>
        <w:ind w:left="235" w:hanging="370"/>
      </w:pPr>
    </w:lvl>
    <w:lvl w:ilvl="4">
      <w:numFmt w:val="bullet"/>
      <w:lvlText w:val="•"/>
      <w:lvlJc w:val="left"/>
      <w:pPr>
        <w:ind w:left="113" w:hanging="370"/>
      </w:pPr>
    </w:lvl>
    <w:lvl w:ilvl="5">
      <w:numFmt w:val="bullet"/>
      <w:lvlText w:val="•"/>
      <w:lvlJc w:val="left"/>
      <w:pPr>
        <w:ind w:hanging="370"/>
      </w:pPr>
    </w:lvl>
    <w:lvl w:ilvl="6">
      <w:numFmt w:val="bullet"/>
      <w:lvlText w:val="•"/>
      <w:lvlJc w:val="left"/>
      <w:pPr>
        <w:ind w:hanging="370"/>
      </w:pPr>
    </w:lvl>
    <w:lvl w:ilvl="7">
      <w:numFmt w:val="bullet"/>
      <w:lvlText w:val="•"/>
      <w:lvlJc w:val="left"/>
      <w:pPr>
        <w:ind w:hanging="370"/>
      </w:pPr>
    </w:lvl>
    <w:lvl w:ilvl="8">
      <w:numFmt w:val="bullet"/>
      <w:lvlText w:val="•"/>
      <w:lvlJc w:val="left"/>
      <w:pPr>
        <w:ind w:hanging="370"/>
      </w:pPr>
    </w:lvl>
  </w:abstractNum>
  <w:abstractNum w:abstractNumId="2" w15:restartNumberingAfterBreak="0">
    <w:nsid w:val="00000404"/>
    <w:multiLevelType w:val="multilevel"/>
    <w:tmpl w:val="00000887"/>
    <w:lvl w:ilvl="0">
      <w:numFmt w:val="bullet"/>
      <w:lvlText w:val="□"/>
      <w:lvlJc w:val="left"/>
      <w:pPr>
        <w:ind w:left="463" w:hanging="360"/>
      </w:pPr>
      <w:rPr>
        <w:rFonts w:ascii="Arial" w:hAnsi="Arial" w:cs="Arial"/>
        <w:b w:val="0"/>
        <w:bCs w:val="0"/>
        <w:w w:val="99"/>
        <w:sz w:val="32"/>
        <w:szCs w:val="32"/>
      </w:rPr>
    </w:lvl>
    <w:lvl w:ilvl="1">
      <w:numFmt w:val="bullet"/>
      <w:lvlText w:val=""/>
      <w:lvlJc w:val="left"/>
      <w:pPr>
        <w:ind w:left="823" w:hanging="360"/>
      </w:pPr>
      <w:rPr>
        <w:rFonts w:ascii="Symbol" w:hAnsi="Symbol" w:cs="Symbol"/>
        <w:b w:val="0"/>
        <w:bCs w:val="0"/>
        <w:w w:val="99"/>
        <w:sz w:val="20"/>
        <w:szCs w:val="20"/>
      </w:rPr>
    </w:lvl>
    <w:lvl w:ilvl="2">
      <w:numFmt w:val="bullet"/>
      <w:lvlText w:val="•"/>
      <w:lvlJc w:val="left"/>
      <w:pPr>
        <w:ind w:left="1237" w:hanging="360"/>
      </w:pPr>
    </w:lvl>
    <w:lvl w:ilvl="3">
      <w:numFmt w:val="bullet"/>
      <w:lvlText w:val="•"/>
      <w:lvlJc w:val="left"/>
      <w:pPr>
        <w:ind w:left="1655" w:hanging="360"/>
      </w:pPr>
    </w:lvl>
    <w:lvl w:ilvl="4">
      <w:numFmt w:val="bullet"/>
      <w:lvlText w:val="•"/>
      <w:lvlJc w:val="left"/>
      <w:pPr>
        <w:ind w:left="2073" w:hanging="360"/>
      </w:pPr>
    </w:lvl>
    <w:lvl w:ilvl="5">
      <w:numFmt w:val="bullet"/>
      <w:lvlText w:val="•"/>
      <w:lvlJc w:val="left"/>
      <w:pPr>
        <w:ind w:left="2491" w:hanging="360"/>
      </w:pPr>
    </w:lvl>
    <w:lvl w:ilvl="6">
      <w:numFmt w:val="bullet"/>
      <w:lvlText w:val="•"/>
      <w:lvlJc w:val="left"/>
      <w:pPr>
        <w:ind w:left="2909" w:hanging="360"/>
      </w:pPr>
    </w:lvl>
    <w:lvl w:ilvl="7">
      <w:numFmt w:val="bullet"/>
      <w:lvlText w:val="•"/>
      <w:lvlJc w:val="left"/>
      <w:pPr>
        <w:ind w:left="3327" w:hanging="360"/>
      </w:pPr>
    </w:lvl>
    <w:lvl w:ilvl="8">
      <w:numFmt w:val="bullet"/>
      <w:lvlText w:val="•"/>
      <w:lvlJc w:val="left"/>
      <w:pPr>
        <w:ind w:left="3745" w:hanging="360"/>
      </w:pPr>
    </w:lvl>
  </w:abstractNum>
  <w:abstractNum w:abstractNumId="3" w15:restartNumberingAfterBreak="0">
    <w:nsid w:val="00000405"/>
    <w:multiLevelType w:val="multilevel"/>
    <w:tmpl w:val="00000888"/>
    <w:lvl w:ilvl="0">
      <w:numFmt w:val="bullet"/>
      <w:lvlText w:val=""/>
      <w:lvlJc w:val="left"/>
      <w:pPr>
        <w:ind w:left="823" w:hanging="360"/>
      </w:pPr>
      <w:rPr>
        <w:rFonts w:ascii="Symbol" w:hAnsi="Symbol" w:cs="Symbol"/>
        <w:b w:val="0"/>
        <w:bCs w:val="0"/>
        <w:w w:val="99"/>
        <w:sz w:val="20"/>
        <w:szCs w:val="20"/>
      </w:rPr>
    </w:lvl>
    <w:lvl w:ilvl="1">
      <w:numFmt w:val="bullet"/>
      <w:lvlText w:val="•"/>
      <w:lvlJc w:val="left"/>
      <w:pPr>
        <w:ind w:left="1196" w:hanging="360"/>
      </w:pPr>
    </w:lvl>
    <w:lvl w:ilvl="2">
      <w:numFmt w:val="bullet"/>
      <w:lvlText w:val="•"/>
      <w:lvlJc w:val="left"/>
      <w:pPr>
        <w:ind w:left="1572" w:hanging="360"/>
      </w:pPr>
    </w:lvl>
    <w:lvl w:ilvl="3">
      <w:numFmt w:val="bullet"/>
      <w:lvlText w:val="•"/>
      <w:lvlJc w:val="left"/>
      <w:pPr>
        <w:ind w:left="1948" w:hanging="360"/>
      </w:pPr>
    </w:lvl>
    <w:lvl w:ilvl="4">
      <w:numFmt w:val="bullet"/>
      <w:lvlText w:val="•"/>
      <w:lvlJc w:val="left"/>
      <w:pPr>
        <w:ind w:left="2324" w:hanging="360"/>
      </w:pPr>
    </w:lvl>
    <w:lvl w:ilvl="5">
      <w:numFmt w:val="bullet"/>
      <w:lvlText w:val="•"/>
      <w:lvlJc w:val="left"/>
      <w:pPr>
        <w:ind w:left="2700" w:hanging="360"/>
      </w:pPr>
    </w:lvl>
    <w:lvl w:ilvl="6">
      <w:numFmt w:val="bullet"/>
      <w:lvlText w:val="•"/>
      <w:lvlJc w:val="left"/>
      <w:pPr>
        <w:ind w:left="3076" w:hanging="360"/>
      </w:pPr>
    </w:lvl>
    <w:lvl w:ilvl="7">
      <w:numFmt w:val="bullet"/>
      <w:lvlText w:val="•"/>
      <w:lvlJc w:val="left"/>
      <w:pPr>
        <w:ind w:left="3453" w:hanging="360"/>
      </w:pPr>
    </w:lvl>
    <w:lvl w:ilvl="8">
      <w:numFmt w:val="bullet"/>
      <w:lvlText w:val="•"/>
      <w:lvlJc w:val="left"/>
      <w:pPr>
        <w:ind w:left="3829" w:hanging="360"/>
      </w:pPr>
    </w:lvl>
  </w:abstractNum>
  <w:abstractNum w:abstractNumId="4" w15:restartNumberingAfterBreak="0">
    <w:nsid w:val="00000406"/>
    <w:multiLevelType w:val="multilevel"/>
    <w:tmpl w:val="00000889"/>
    <w:lvl w:ilvl="0">
      <w:numFmt w:val="bullet"/>
      <w:lvlText w:val="□"/>
      <w:lvlJc w:val="left"/>
      <w:pPr>
        <w:ind w:left="463" w:hanging="360"/>
      </w:pPr>
      <w:rPr>
        <w:rFonts w:ascii="Arial" w:hAnsi="Arial" w:cs="Arial"/>
        <w:b w:val="0"/>
        <w:bCs w:val="0"/>
        <w:w w:val="99"/>
        <w:sz w:val="32"/>
        <w:szCs w:val="32"/>
      </w:rPr>
    </w:lvl>
    <w:lvl w:ilvl="1">
      <w:numFmt w:val="bullet"/>
      <w:lvlText w:val=""/>
      <w:lvlJc w:val="left"/>
      <w:pPr>
        <w:ind w:left="823" w:hanging="360"/>
      </w:pPr>
      <w:rPr>
        <w:rFonts w:ascii="Symbol" w:hAnsi="Symbol" w:cs="Symbol"/>
        <w:b w:val="0"/>
        <w:bCs w:val="0"/>
        <w:w w:val="99"/>
        <w:sz w:val="20"/>
        <w:szCs w:val="20"/>
      </w:rPr>
    </w:lvl>
    <w:lvl w:ilvl="2">
      <w:numFmt w:val="bullet"/>
      <w:lvlText w:val="•"/>
      <w:lvlJc w:val="left"/>
      <w:pPr>
        <w:ind w:left="1237" w:hanging="360"/>
      </w:pPr>
    </w:lvl>
    <w:lvl w:ilvl="3">
      <w:numFmt w:val="bullet"/>
      <w:lvlText w:val="•"/>
      <w:lvlJc w:val="left"/>
      <w:pPr>
        <w:ind w:left="1655" w:hanging="360"/>
      </w:pPr>
    </w:lvl>
    <w:lvl w:ilvl="4">
      <w:numFmt w:val="bullet"/>
      <w:lvlText w:val="•"/>
      <w:lvlJc w:val="left"/>
      <w:pPr>
        <w:ind w:left="2073" w:hanging="360"/>
      </w:pPr>
    </w:lvl>
    <w:lvl w:ilvl="5">
      <w:numFmt w:val="bullet"/>
      <w:lvlText w:val="•"/>
      <w:lvlJc w:val="left"/>
      <w:pPr>
        <w:ind w:left="2491" w:hanging="360"/>
      </w:pPr>
    </w:lvl>
    <w:lvl w:ilvl="6">
      <w:numFmt w:val="bullet"/>
      <w:lvlText w:val="•"/>
      <w:lvlJc w:val="left"/>
      <w:pPr>
        <w:ind w:left="2909" w:hanging="360"/>
      </w:pPr>
    </w:lvl>
    <w:lvl w:ilvl="7">
      <w:numFmt w:val="bullet"/>
      <w:lvlText w:val="•"/>
      <w:lvlJc w:val="left"/>
      <w:pPr>
        <w:ind w:left="3327" w:hanging="360"/>
      </w:pPr>
    </w:lvl>
    <w:lvl w:ilvl="8">
      <w:numFmt w:val="bullet"/>
      <w:lvlText w:val="•"/>
      <w:lvlJc w:val="left"/>
      <w:pPr>
        <w:ind w:left="3745" w:hanging="360"/>
      </w:pPr>
    </w:lvl>
  </w:abstractNum>
  <w:abstractNum w:abstractNumId="5" w15:restartNumberingAfterBreak="0">
    <w:nsid w:val="00000407"/>
    <w:multiLevelType w:val="multilevel"/>
    <w:tmpl w:val="0000088A"/>
    <w:lvl w:ilvl="0">
      <w:numFmt w:val="bullet"/>
      <w:lvlText w:val="□"/>
      <w:lvlJc w:val="left"/>
      <w:pPr>
        <w:ind w:left="463" w:hanging="360"/>
      </w:pPr>
      <w:rPr>
        <w:rFonts w:ascii="Arial" w:hAnsi="Arial" w:cs="Arial"/>
        <w:b w:val="0"/>
        <w:bCs w:val="0"/>
        <w:w w:val="99"/>
        <w:sz w:val="32"/>
        <w:szCs w:val="32"/>
      </w:rPr>
    </w:lvl>
    <w:lvl w:ilvl="1">
      <w:numFmt w:val="bullet"/>
      <w:lvlText w:val=""/>
      <w:lvlJc w:val="left"/>
      <w:pPr>
        <w:ind w:left="868" w:hanging="360"/>
      </w:pPr>
      <w:rPr>
        <w:rFonts w:ascii="Symbol" w:hAnsi="Symbol" w:cs="Symbol"/>
        <w:b w:val="0"/>
        <w:bCs w:val="0"/>
        <w:w w:val="99"/>
        <w:sz w:val="20"/>
        <w:szCs w:val="20"/>
      </w:rPr>
    </w:lvl>
    <w:lvl w:ilvl="2">
      <w:numFmt w:val="bullet"/>
      <w:lvlText w:val="•"/>
      <w:lvlJc w:val="left"/>
      <w:pPr>
        <w:ind w:left="1273" w:hanging="360"/>
      </w:pPr>
    </w:lvl>
    <w:lvl w:ilvl="3">
      <w:numFmt w:val="bullet"/>
      <w:lvlText w:val="•"/>
      <w:lvlJc w:val="left"/>
      <w:pPr>
        <w:ind w:left="1687" w:hanging="360"/>
      </w:pPr>
    </w:lvl>
    <w:lvl w:ilvl="4">
      <w:numFmt w:val="bullet"/>
      <w:lvlText w:val="•"/>
      <w:lvlJc w:val="left"/>
      <w:pPr>
        <w:ind w:left="2100" w:hanging="360"/>
      </w:pPr>
    </w:lvl>
    <w:lvl w:ilvl="5">
      <w:numFmt w:val="bullet"/>
      <w:lvlText w:val="•"/>
      <w:lvlJc w:val="left"/>
      <w:pPr>
        <w:ind w:left="2514" w:hanging="360"/>
      </w:pPr>
    </w:lvl>
    <w:lvl w:ilvl="6">
      <w:numFmt w:val="bullet"/>
      <w:lvlText w:val="•"/>
      <w:lvlJc w:val="left"/>
      <w:pPr>
        <w:ind w:left="2927" w:hanging="360"/>
      </w:pPr>
    </w:lvl>
    <w:lvl w:ilvl="7">
      <w:numFmt w:val="bullet"/>
      <w:lvlText w:val="•"/>
      <w:lvlJc w:val="left"/>
      <w:pPr>
        <w:ind w:left="3341" w:hanging="360"/>
      </w:pPr>
    </w:lvl>
    <w:lvl w:ilvl="8">
      <w:numFmt w:val="bullet"/>
      <w:lvlText w:val="•"/>
      <w:lvlJc w:val="left"/>
      <w:pPr>
        <w:ind w:left="3754" w:hanging="360"/>
      </w:pPr>
    </w:lvl>
  </w:abstractNum>
  <w:abstractNum w:abstractNumId="6" w15:restartNumberingAfterBreak="0">
    <w:nsid w:val="00000408"/>
    <w:multiLevelType w:val="multilevel"/>
    <w:tmpl w:val="0000088B"/>
    <w:lvl w:ilvl="0">
      <w:numFmt w:val="bullet"/>
      <w:lvlText w:val=""/>
      <w:lvlJc w:val="left"/>
      <w:pPr>
        <w:ind w:left="868" w:hanging="360"/>
      </w:pPr>
      <w:rPr>
        <w:rFonts w:ascii="Symbol" w:hAnsi="Symbol" w:cs="Symbol"/>
        <w:b w:val="0"/>
        <w:bCs w:val="0"/>
        <w:w w:val="99"/>
        <w:sz w:val="20"/>
        <w:szCs w:val="20"/>
      </w:rPr>
    </w:lvl>
    <w:lvl w:ilvl="1">
      <w:numFmt w:val="bullet"/>
      <w:lvlText w:val="•"/>
      <w:lvlJc w:val="left"/>
      <w:pPr>
        <w:ind w:left="1232" w:hanging="360"/>
      </w:pPr>
    </w:lvl>
    <w:lvl w:ilvl="2">
      <w:numFmt w:val="bullet"/>
      <w:lvlText w:val="•"/>
      <w:lvlJc w:val="left"/>
      <w:pPr>
        <w:ind w:left="1604" w:hanging="360"/>
      </w:pPr>
    </w:lvl>
    <w:lvl w:ilvl="3">
      <w:numFmt w:val="bullet"/>
      <w:lvlText w:val="•"/>
      <w:lvlJc w:val="left"/>
      <w:pPr>
        <w:ind w:left="1976" w:hanging="360"/>
      </w:pPr>
    </w:lvl>
    <w:lvl w:ilvl="4">
      <w:numFmt w:val="bullet"/>
      <w:lvlText w:val="•"/>
      <w:lvlJc w:val="left"/>
      <w:pPr>
        <w:ind w:left="2348" w:hanging="360"/>
      </w:pPr>
    </w:lvl>
    <w:lvl w:ilvl="5">
      <w:numFmt w:val="bullet"/>
      <w:lvlText w:val="•"/>
      <w:lvlJc w:val="left"/>
      <w:pPr>
        <w:ind w:left="2720" w:hanging="360"/>
      </w:pPr>
    </w:lvl>
    <w:lvl w:ilvl="6">
      <w:numFmt w:val="bullet"/>
      <w:lvlText w:val="•"/>
      <w:lvlJc w:val="left"/>
      <w:pPr>
        <w:ind w:left="3092" w:hanging="360"/>
      </w:pPr>
    </w:lvl>
    <w:lvl w:ilvl="7">
      <w:numFmt w:val="bullet"/>
      <w:lvlText w:val="•"/>
      <w:lvlJc w:val="left"/>
      <w:pPr>
        <w:ind w:left="3465" w:hanging="360"/>
      </w:pPr>
    </w:lvl>
    <w:lvl w:ilvl="8">
      <w:numFmt w:val="bullet"/>
      <w:lvlText w:val="•"/>
      <w:lvlJc w:val="left"/>
      <w:pPr>
        <w:ind w:left="3837" w:hanging="360"/>
      </w:pPr>
    </w:lvl>
  </w:abstractNum>
  <w:abstractNum w:abstractNumId="7" w15:restartNumberingAfterBreak="0">
    <w:nsid w:val="00000409"/>
    <w:multiLevelType w:val="multilevel"/>
    <w:tmpl w:val="0000088C"/>
    <w:lvl w:ilvl="0">
      <w:numFmt w:val="bullet"/>
      <w:lvlText w:val=""/>
      <w:lvlJc w:val="left"/>
      <w:pPr>
        <w:ind w:left="823" w:hanging="360"/>
      </w:pPr>
      <w:rPr>
        <w:rFonts w:ascii="Symbol" w:hAnsi="Symbol" w:cs="Symbol"/>
        <w:b w:val="0"/>
        <w:bCs w:val="0"/>
        <w:w w:val="99"/>
        <w:sz w:val="20"/>
        <w:szCs w:val="20"/>
      </w:rPr>
    </w:lvl>
    <w:lvl w:ilvl="1">
      <w:numFmt w:val="bullet"/>
      <w:lvlText w:val="•"/>
      <w:lvlJc w:val="left"/>
      <w:pPr>
        <w:ind w:left="1196" w:hanging="360"/>
      </w:pPr>
    </w:lvl>
    <w:lvl w:ilvl="2">
      <w:numFmt w:val="bullet"/>
      <w:lvlText w:val="•"/>
      <w:lvlJc w:val="left"/>
      <w:pPr>
        <w:ind w:left="1572" w:hanging="360"/>
      </w:pPr>
    </w:lvl>
    <w:lvl w:ilvl="3">
      <w:numFmt w:val="bullet"/>
      <w:lvlText w:val="•"/>
      <w:lvlJc w:val="left"/>
      <w:pPr>
        <w:ind w:left="1948" w:hanging="360"/>
      </w:pPr>
    </w:lvl>
    <w:lvl w:ilvl="4">
      <w:numFmt w:val="bullet"/>
      <w:lvlText w:val="•"/>
      <w:lvlJc w:val="left"/>
      <w:pPr>
        <w:ind w:left="2324" w:hanging="360"/>
      </w:pPr>
    </w:lvl>
    <w:lvl w:ilvl="5">
      <w:numFmt w:val="bullet"/>
      <w:lvlText w:val="•"/>
      <w:lvlJc w:val="left"/>
      <w:pPr>
        <w:ind w:left="2700" w:hanging="360"/>
      </w:pPr>
    </w:lvl>
    <w:lvl w:ilvl="6">
      <w:numFmt w:val="bullet"/>
      <w:lvlText w:val="•"/>
      <w:lvlJc w:val="left"/>
      <w:pPr>
        <w:ind w:left="3076" w:hanging="360"/>
      </w:pPr>
    </w:lvl>
    <w:lvl w:ilvl="7">
      <w:numFmt w:val="bullet"/>
      <w:lvlText w:val="•"/>
      <w:lvlJc w:val="left"/>
      <w:pPr>
        <w:ind w:left="3453" w:hanging="360"/>
      </w:pPr>
    </w:lvl>
    <w:lvl w:ilvl="8">
      <w:numFmt w:val="bullet"/>
      <w:lvlText w:val="•"/>
      <w:lvlJc w:val="left"/>
      <w:pPr>
        <w:ind w:left="3829" w:hanging="360"/>
      </w:pPr>
    </w:lvl>
  </w:abstractNum>
  <w:abstractNum w:abstractNumId="8" w15:restartNumberingAfterBreak="0">
    <w:nsid w:val="0000040A"/>
    <w:multiLevelType w:val="multilevel"/>
    <w:tmpl w:val="0000088D"/>
    <w:lvl w:ilvl="0">
      <w:numFmt w:val="bullet"/>
      <w:lvlText w:val="□"/>
      <w:lvlJc w:val="left"/>
      <w:pPr>
        <w:ind w:left="463" w:hanging="360"/>
      </w:pPr>
      <w:rPr>
        <w:rFonts w:ascii="Arial" w:hAnsi="Arial" w:cs="Arial"/>
        <w:b w:val="0"/>
        <w:bCs w:val="0"/>
        <w:w w:val="99"/>
        <w:sz w:val="32"/>
        <w:szCs w:val="32"/>
      </w:rPr>
    </w:lvl>
    <w:lvl w:ilvl="1">
      <w:numFmt w:val="bullet"/>
      <w:lvlText w:val=""/>
      <w:lvlJc w:val="left"/>
      <w:pPr>
        <w:ind w:left="823" w:hanging="360"/>
      </w:pPr>
      <w:rPr>
        <w:rFonts w:ascii="Symbol" w:hAnsi="Symbol" w:cs="Symbol"/>
        <w:b w:val="0"/>
        <w:bCs w:val="0"/>
        <w:w w:val="99"/>
        <w:sz w:val="20"/>
        <w:szCs w:val="20"/>
      </w:rPr>
    </w:lvl>
    <w:lvl w:ilvl="2">
      <w:numFmt w:val="bullet"/>
      <w:lvlText w:val="•"/>
      <w:lvlJc w:val="left"/>
      <w:pPr>
        <w:ind w:left="1237" w:hanging="360"/>
      </w:pPr>
    </w:lvl>
    <w:lvl w:ilvl="3">
      <w:numFmt w:val="bullet"/>
      <w:lvlText w:val="•"/>
      <w:lvlJc w:val="left"/>
      <w:pPr>
        <w:ind w:left="1655" w:hanging="360"/>
      </w:pPr>
    </w:lvl>
    <w:lvl w:ilvl="4">
      <w:numFmt w:val="bullet"/>
      <w:lvlText w:val="•"/>
      <w:lvlJc w:val="left"/>
      <w:pPr>
        <w:ind w:left="2073" w:hanging="360"/>
      </w:pPr>
    </w:lvl>
    <w:lvl w:ilvl="5">
      <w:numFmt w:val="bullet"/>
      <w:lvlText w:val="•"/>
      <w:lvlJc w:val="left"/>
      <w:pPr>
        <w:ind w:left="2491" w:hanging="360"/>
      </w:pPr>
    </w:lvl>
    <w:lvl w:ilvl="6">
      <w:numFmt w:val="bullet"/>
      <w:lvlText w:val="•"/>
      <w:lvlJc w:val="left"/>
      <w:pPr>
        <w:ind w:left="2909" w:hanging="360"/>
      </w:pPr>
    </w:lvl>
    <w:lvl w:ilvl="7">
      <w:numFmt w:val="bullet"/>
      <w:lvlText w:val="•"/>
      <w:lvlJc w:val="left"/>
      <w:pPr>
        <w:ind w:left="3327" w:hanging="360"/>
      </w:pPr>
    </w:lvl>
    <w:lvl w:ilvl="8">
      <w:numFmt w:val="bullet"/>
      <w:lvlText w:val="•"/>
      <w:lvlJc w:val="left"/>
      <w:pPr>
        <w:ind w:left="3745" w:hanging="360"/>
      </w:pPr>
    </w:lvl>
  </w:abstractNum>
  <w:abstractNum w:abstractNumId="9" w15:restartNumberingAfterBreak="0">
    <w:nsid w:val="0000040B"/>
    <w:multiLevelType w:val="multilevel"/>
    <w:tmpl w:val="0000088E"/>
    <w:lvl w:ilvl="0">
      <w:numFmt w:val="bullet"/>
      <w:lvlText w:val="□"/>
      <w:lvlJc w:val="left"/>
      <w:pPr>
        <w:ind w:left="460" w:hanging="360"/>
      </w:pPr>
      <w:rPr>
        <w:rFonts w:ascii="Arial" w:hAnsi="Arial" w:cs="Arial"/>
        <w:b w:val="0"/>
        <w:bCs w:val="0"/>
        <w:w w:val="99"/>
        <w:sz w:val="32"/>
        <w:szCs w:val="32"/>
      </w:rPr>
    </w:lvl>
    <w:lvl w:ilvl="1">
      <w:numFmt w:val="bullet"/>
      <w:lvlText w:val=""/>
      <w:lvlJc w:val="left"/>
      <w:pPr>
        <w:ind w:left="820" w:hanging="360"/>
      </w:pPr>
      <w:rPr>
        <w:rFonts w:ascii="Symbol" w:hAnsi="Symbol" w:cs="Symbol"/>
        <w:b w:val="0"/>
        <w:bCs w:val="0"/>
        <w:w w:val="99"/>
        <w:sz w:val="20"/>
        <w:szCs w:val="20"/>
      </w:rPr>
    </w:lvl>
    <w:lvl w:ilvl="2">
      <w:numFmt w:val="bullet"/>
      <w:lvlText w:val="•"/>
      <w:lvlJc w:val="left"/>
      <w:pPr>
        <w:ind w:left="1240" w:hanging="360"/>
      </w:pPr>
    </w:lvl>
    <w:lvl w:ilvl="3">
      <w:numFmt w:val="bullet"/>
      <w:lvlText w:val="•"/>
      <w:lvlJc w:val="left"/>
      <w:pPr>
        <w:ind w:left="1660" w:hanging="360"/>
      </w:pPr>
    </w:lvl>
    <w:lvl w:ilvl="4">
      <w:numFmt w:val="bullet"/>
      <w:lvlText w:val="•"/>
      <w:lvlJc w:val="left"/>
      <w:pPr>
        <w:ind w:left="2080" w:hanging="360"/>
      </w:pPr>
    </w:lvl>
    <w:lvl w:ilvl="5">
      <w:numFmt w:val="bullet"/>
      <w:lvlText w:val="•"/>
      <w:lvlJc w:val="left"/>
      <w:pPr>
        <w:ind w:left="2500" w:hanging="360"/>
      </w:pPr>
    </w:lvl>
    <w:lvl w:ilvl="6">
      <w:numFmt w:val="bullet"/>
      <w:lvlText w:val="•"/>
      <w:lvlJc w:val="left"/>
      <w:pPr>
        <w:ind w:left="2920" w:hanging="360"/>
      </w:pPr>
    </w:lvl>
    <w:lvl w:ilvl="7">
      <w:numFmt w:val="bullet"/>
      <w:lvlText w:val="•"/>
      <w:lvlJc w:val="left"/>
      <w:pPr>
        <w:ind w:left="3340" w:hanging="360"/>
      </w:pPr>
    </w:lvl>
    <w:lvl w:ilvl="8">
      <w:numFmt w:val="bullet"/>
      <w:lvlText w:val="•"/>
      <w:lvlJc w:val="left"/>
      <w:pPr>
        <w:ind w:left="3760" w:hanging="360"/>
      </w:pPr>
    </w:lvl>
  </w:abstractNum>
  <w:abstractNum w:abstractNumId="10" w15:restartNumberingAfterBreak="0">
    <w:nsid w:val="0000040C"/>
    <w:multiLevelType w:val="multilevel"/>
    <w:tmpl w:val="0000088F"/>
    <w:lvl w:ilvl="0">
      <w:numFmt w:val="bullet"/>
      <w:lvlText w:val="□"/>
      <w:lvlJc w:val="left"/>
      <w:pPr>
        <w:ind w:left="460" w:hanging="360"/>
      </w:pPr>
      <w:rPr>
        <w:rFonts w:ascii="Arial" w:hAnsi="Arial" w:cs="Arial"/>
        <w:b w:val="0"/>
        <w:bCs w:val="0"/>
        <w:w w:val="99"/>
        <w:sz w:val="32"/>
        <w:szCs w:val="32"/>
      </w:rPr>
    </w:lvl>
    <w:lvl w:ilvl="1">
      <w:numFmt w:val="bullet"/>
      <w:lvlText w:val=""/>
      <w:lvlJc w:val="left"/>
      <w:pPr>
        <w:ind w:left="820" w:hanging="360"/>
      </w:pPr>
      <w:rPr>
        <w:rFonts w:ascii="Symbol" w:hAnsi="Symbol" w:cs="Symbol"/>
        <w:b w:val="0"/>
        <w:bCs w:val="0"/>
        <w:w w:val="99"/>
        <w:sz w:val="20"/>
        <w:szCs w:val="20"/>
      </w:rPr>
    </w:lvl>
    <w:lvl w:ilvl="2">
      <w:numFmt w:val="bullet"/>
      <w:lvlText w:val="•"/>
      <w:lvlJc w:val="left"/>
      <w:pPr>
        <w:ind w:left="1240" w:hanging="360"/>
      </w:pPr>
    </w:lvl>
    <w:lvl w:ilvl="3">
      <w:numFmt w:val="bullet"/>
      <w:lvlText w:val="•"/>
      <w:lvlJc w:val="left"/>
      <w:pPr>
        <w:ind w:left="1660" w:hanging="360"/>
      </w:pPr>
    </w:lvl>
    <w:lvl w:ilvl="4">
      <w:numFmt w:val="bullet"/>
      <w:lvlText w:val="•"/>
      <w:lvlJc w:val="left"/>
      <w:pPr>
        <w:ind w:left="2080" w:hanging="360"/>
      </w:pPr>
    </w:lvl>
    <w:lvl w:ilvl="5">
      <w:numFmt w:val="bullet"/>
      <w:lvlText w:val="•"/>
      <w:lvlJc w:val="left"/>
      <w:pPr>
        <w:ind w:left="2500" w:hanging="360"/>
      </w:pPr>
    </w:lvl>
    <w:lvl w:ilvl="6">
      <w:numFmt w:val="bullet"/>
      <w:lvlText w:val="•"/>
      <w:lvlJc w:val="left"/>
      <w:pPr>
        <w:ind w:left="2920" w:hanging="360"/>
      </w:pPr>
    </w:lvl>
    <w:lvl w:ilvl="7">
      <w:numFmt w:val="bullet"/>
      <w:lvlText w:val="•"/>
      <w:lvlJc w:val="left"/>
      <w:pPr>
        <w:ind w:left="3340" w:hanging="360"/>
      </w:pPr>
    </w:lvl>
    <w:lvl w:ilvl="8">
      <w:numFmt w:val="bullet"/>
      <w:lvlText w:val="•"/>
      <w:lvlJc w:val="left"/>
      <w:pPr>
        <w:ind w:left="3760" w:hanging="360"/>
      </w:pPr>
    </w:lvl>
  </w:abstractNum>
  <w:abstractNum w:abstractNumId="11" w15:restartNumberingAfterBreak="0">
    <w:nsid w:val="0000040D"/>
    <w:multiLevelType w:val="multilevel"/>
    <w:tmpl w:val="00000890"/>
    <w:lvl w:ilvl="0">
      <w:numFmt w:val="bullet"/>
      <w:lvlText w:val="□"/>
      <w:lvlJc w:val="left"/>
      <w:pPr>
        <w:ind w:left="460" w:hanging="360"/>
      </w:pPr>
      <w:rPr>
        <w:rFonts w:ascii="Arial" w:hAnsi="Arial" w:cs="Arial"/>
        <w:b w:val="0"/>
        <w:bCs w:val="0"/>
        <w:w w:val="99"/>
        <w:sz w:val="32"/>
        <w:szCs w:val="32"/>
      </w:rPr>
    </w:lvl>
    <w:lvl w:ilvl="1">
      <w:numFmt w:val="bullet"/>
      <w:lvlText w:val=""/>
      <w:lvlJc w:val="left"/>
      <w:pPr>
        <w:ind w:left="820" w:hanging="360"/>
      </w:pPr>
      <w:rPr>
        <w:rFonts w:ascii="Symbol" w:hAnsi="Symbol" w:cs="Symbol"/>
        <w:b w:val="0"/>
        <w:bCs w:val="0"/>
        <w:w w:val="99"/>
        <w:sz w:val="20"/>
        <w:szCs w:val="20"/>
      </w:rPr>
    </w:lvl>
    <w:lvl w:ilvl="2">
      <w:numFmt w:val="bullet"/>
      <w:lvlText w:val="•"/>
      <w:lvlJc w:val="left"/>
      <w:pPr>
        <w:ind w:left="1240" w:hanging="360"/>
      </w:pPr>
    </w:lvl>
    <w:lvl w:ilvl="3">
      <w:numFmt w:val="bullet"/>
      <w:lvlText w:val="•"/>
      <w:lvlJc w:val="left"/>
      <w:pPr>
        <w:ind w:left="1660" w:hanging="360"/>
      </w:pPr>
    </w:lvl>
    <w:lvl w:ilvl="4">
      <w:numFmt w:val="bullet"/>
      <w:lvlText w:val="•"/>
      <w:lvlJc w:val="left"/>
      <w:pPr>
        <w:ind w:left="2080" w:hanging="360"/>
      </w:pPr>
    </w:lvl>
    <w:lvl w:ilvl="5">
      <w:numFmt w:val="bullet"/>
      <w:lvlText w:val="•"/>
      <w:lvlJc w:val="left"/>
      <w:pPr>
        <w:ind w:left="2500" w:hanging="360"/>
      </w:pPr>
    </w:lvl>
    <w:lvl w:ilvl="6">
      <w:numFmt w:val="bullet"/>
      <w:lvlText w:val="•"/>
      <w:lvlJc w:val="left"/>
      <w:pPr>
        <w:ind w:left="2920" w:hanging="360"/>
      </w:pPr>
    </w:lvl>
    <w:lvl w:ilvl="7">
      <w:numFmt w:val="bullet"/>
      <w:lvlText w:val="•"/>
      <w:lvlJc w:val="left"/>
      <w:pPr>
        <w:ind w:left="3340" w:hanging="360"/>
      </w:pPr>
    </w:lvl>
    <w:lvl w:ilvl="8">
      <w:numFmt w:val="bullet"/>
      <w:lvlText w:val="•"/>
      <w:lvlJc w:val="left"/>
      <w:pPr>
        <w:ind w:left="3760" w:hanging="360"/>
      </w:pPr>
    </w:lvl>
  </w:abstractNum>
  <w:abstractNum w:abstractNumId="12" w15:restartNumberingAfterBreak="0">
    <w:nsid w:val="00AD1173"/>
    <w:multiLevelType w:val="hybridMultilevel"/>
    <w:tmpl w:val="087258F2"/>
    <w:lvl w:ilvl="0" w:tplc="9D6CE2C4">
      <w:start w:val="1"/>
      <w:numFmt w:val="decimal"/>
      <w:pStyle w:val="Bulletnum"/>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3D105CE"/>
    <w:multiLevelType w:val="hybridMultilevel"/>
    <w:tmpl w:val="D7788F5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361C6C"/>
    <w:multiLevelType w:val="hybridMultilevel"/>
    <w:tmpl w:val="282A4D0C"/>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15" w15:restartNumberingAfterBreak="0">
    <w:nsid w:val="0B0C7B58"/>
    <w:multiLevelType w:val="hybridMultilevel"/>
    <w:tmpl w:val="89307CF8"/>
    <w:lvl w:ilvl="0" w:tplc="B252607A">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CD61B96"/>
    <w:multiLevelType w:val="hybridMultilevel"/>
    <w:tmpl w:val="257A2A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1EB27E8"/>
    <w:multiLevelType w:val="hybridMultilevel"/>
    <w:tmpl w:val="726E62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7DE6242"/>
    <w:multiLevelType w:val="hybridMultilevel"/>
    <w:tmpl w:val="A3B49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83A28AD"/>
    <w:multiLevelType w:val="hybridMultilevel"/>
    <w:tmpl w:val="49F4A5E6"/>
    <w:lvl w:ilvl="0" w:tplc="BAEA2AB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0796D02"/>
    <w:multiLevelType w:val="hybridMultilevel"/>
    <w:tmpl w:val="80441D52"/>
    <w:lvl w:ilvl="0" w:tplc="B252607A">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0EA5E2E"/>
    <w:multiLevelType w:val="hybridMultilevel"/>
    <w:tmpl w:val="B49A294E"/>
    <w:lvl w:ilvl="0" w:tplc="573E36A2">
      <w:start w:val="1"/>
      <w:numFmt w:val="bullet"/>
      <w:pStyle w:val="TableParagraph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2" w15:restartNumberingAfterBreak="0">
    <w:nsid w:val="2F771208"/>
    <w:multiLevelType w:val="hybridMultilevel"/>
    <w:tmpl w:val="5F746540"/>
    <w:lvl w:ilvl="0" w:tplc="BAEA2AB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90F25F7"/>
    <w:multiLevelType w:val="hybridMultilevel"/>
    <w:tmpl w:val="9D6804B6"/>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24" w15:restartNumberingAfterBreak="0">
    <w:nsid w:val="3DF8249E"/>
    <w:multiLevelType w:val="hybridMultilevel"/>
    <w:tmpl w:val="07B650E2"/>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25" w15:restartNumberingAfterBreak="0">
    <w:nsid w:val="441B03BC"/>
    <w:multiLevelType w:val="hybridMultilevel"/>
    <w:tmpl w:val="D42A0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1E6657"/>
    <w:multiLevelType w:val="hybridMultilevel"/>
    <w:tmpl w:val="AC501E1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B6400C3"/>
    <w:multiLevelType w:val="hybridMultilevel"/>
    <w:tmpl w:val="5F74535E"/>
    <w:lvl w:ilvl="0" w:tplc="C43CE3D6">
      <w:start w:val="1"/>
      <w:numFmt w:val="bullet"/>
      <w:pStyle w:val="ListParagraph"/>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28" w15:restartNumberingAfterBreak="0">
    <w:nsid w:val="4D090E4A"/>
    <w:multiLevelType w:val="hybridMultilevel"/>
    <w:tmpl w:val="D41E39A6"/>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29" w15:restartNumberingAfterBreak="0">
    <w:nsid w:val="4F4F5220"/>
    <w:multiLevelType w:val="multilevel"/>
    <w:tmpl w:val="367CBBA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540B6A77"/>
    <w:multiLevelType w:val="hybridMultilevel"/>
    <w:tmpl w:val="4F002EDC"/>
    <w:lvl w:ilvl="0" w:tplc="BAEA2AB8">
      <w:start w:val="1"/>
      <w:numFmt w:val="lowerRoman"/>
      <w:lvlText w:val="(%1)"/>
      <w:lvlJc w:val="left"/>
      <w:pPr>
        <w:ind w:left="838" w:hanging="360"/>
      </w:pPr>
      <w:rPr>
        <w:rFonts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31" w15:restartNumberingAfterBreak="0">
    <w:nsid w:val="5707725C"/>
    <w:multiLevelType w:val="hybridMultilevel"/>
    <w:tmpl w:val="2A6855A8"/>
    <w:lvl w:ilvl="0" w:tplc="707CBFE4">
      <w:start w:val="1"/>
      <w:numFmt w:val="bullet"/>
      <w:pStyle w:val="Bulletdo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233D04"/>
    <w:multiLevelType w:val="hybridMultilevel"/>
    <w:tmpl w:val="29E81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C7A74C1"/>
    <w:multiLevelType w:val="hybridMultilevel"/>
    <w:tmpl w:val="D578D5AC"/>
    <w:lvl w:ilvl="0" w:tplc="BAEA2AB8">
      <w:start w:val="1"/>
      <w:numFmt w:val="decimal"/>
      <w:lvlText w:val="%1."/>
      <w:lvlJc w:val="left"/>
      <w:pPr>
        <w:ind w:left="838" w:hanging="360"/>
      </w:pPr>
      <w:rPr>
        <w:rFonts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34" w15:restartNumberingAfterBreak="0">
    <w:nsid w:val="5D141184"/>
    <w:multiLevelType w:val="hybridMultilevel"/>
    <w:tmpl w:val="52726C52"/>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35" w15:restartNumberingAfterBreak="0">
    <w:nsid w:val="5F300FC6"/>
    <w:multiLevelType w:val="hybridMultilevel"/>
    <w:tmpl w:val="D578D5AC"/>
    <w:lvl w:ilvl="0" w:tplc="BAEA2AB8">
      <w:start w:val="1"/>
      <w:numFmt w:val="decimal"/>
      <w:lvlText w:val="%1."/>
      <w:lvlJc w:val="left"/>
      <w:pPr>
        <w:ind w:left="838" w:hanging="360"/>
      </w:pPr>
      <w:rPr>
        <w:rFonts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36" w15:restartNumberingAfterBreak="0">
    <w:nsid w:val="7716504F"/>
    <w:multiLevelType w:val="multilevel"/>
    <w:tmpl w:val="A0CA1240"/>
    <w:lvl w:ilvl="0">
      <w:start w:val="1"/>
      <w:numFmt w:val="decimal"/>
      <w:lvlText w:val="%1."/>
      <w:lvlJc w:val="left"/>
      <w:pPr>
        <w:ind w:left="118" w:hanging="269"/>
      </w:pPr>
      <w:rPr>
        <w:rFonts w:ascii="Arial" w:hAnsi="Arial" w:cs="Arial"/>
        <w:b/>
        <w:bCs/>
        <w:w w:val="99"/>
        <w:sz w:val="24"/>
        <w:szCs w:val="24"/>
      </w:rPr>
    </w:lvl>
    <w:lvl w:ilvl="1">
      <w:start w:val="1"/>
      <w:numFmt w:val="decimal"/>
      <w:lvlText w:val="%1.%2"/>
      <w:lvlJc w:val="left"/>
      <w:pPr>
        <w:ind w:left="489" w:hanging="370"/>
      </w:pPr>
      <w:rPr>
        <w:rFonts w:ascii="Arial" w:hAnsi="Arial" w:cs="Arial"/>
        <w:b/>
        <w:bCs/>
        <w:i/>
        <w:iCs/>
        <w:spacing w:val="-1"/>
        <w:w w:val="100"/>
        <w:sz w:val="22"/>
        <w:szCs w:val="22"/>
      </w:rPr>
    </w:lvl>
    <w:lvl w:ilvl="2">
      <w:numFmt w:val="bullet"/>
      <w:lvlText w:val="•"/>
      <w:lvlJc w:val="left"/>
      <w:pPr>
        <w:ind w:left="357" w:hanging="370"/>
      </w:pPr>
    </w:lvl>
    <w:lvl w:ilvl="3">
      <w:numFmt w:val="bullet"/>
      <w:lvlText w:val="•"/>
      <w:lvlJc w:val="left"/>
      <w:pPr>
        <w:ind w:left="235" w:hanging="370"/>
      </w:pPr>
    </w:lvl>
    <w:lvl w:ilvl="4">
      <w:numFmt w:val="bullet"/>
      <w:lvlText w:val="•"/>
      <w:lvlJc w:val="left"/>
      <w:pPr>
        <w:ind w:left="113" w:hanging="370"/>
      </w:pPr>
    </w:lvl>
    <w:lvl w:ilvl="5">
      <w:numFmt w:val="bullet"/>
      <w:lvlText w:val="•"/>
      <w:lvlJc w:val="left"/>
      <w:pPr>
        <w:ind w:hanging="370"/>
      </w:pPr>
    </w:lvl>
    <w:lvl w:ilvl="6">
      <w:numFmt w:val="bullet"/>
      <w:lvlText w:val="•"/>
      <w:lvlJc w:val="left"/>
      <w:pPr>
        <w:ind w:hanging="370"/>
      </w:pPr>
    </w:lvl>
    <w:lvl w:ilvl="7">
      <w:numFmt w:val="bullet"/>
      <w:lvlText w:val="•"/>
      <w:lvlJc w:val="left"/>
      <w:pPr>
        <w:ind w:hanging="370"/>
      </w:pPr>
    </w:lvl>
    <w:lvl w:ilvl="8">
      <w:numFmt w:val="bullet"/>
      <w:lvlText w:val="•"/>
      <w:lvlJc w:val="left"/>
      <w:pPr>
        <w:ind w:hanging="370"/>
      </w:pPr>
    </w:lvl>
  </w:abstractNum>
  <w:abstractNum w:abstractNumId="37" w15:restartNumberingAfterBreak="0">
    <w:nsid w:val="7E6B1CE1"/>
    <w:multiLevelType w:val="hybridMultilevel"/>
    <w:tmpl w:val="573E7A88"/>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38" w15:restartNumberingAfterBreak="0">
    <w:nsid w:val="7EA84874"/>
    <w:multiLevelType w:val="hybridMultilevel"/>
    <w:tmpl w:val="C1DCAF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0"/>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25"/>
  </w:num>
  <w:num w:numId="14">
    <w:abstractNumId w:val="24"/>
  </w:num>
  <w:num w:numId="15">
    <w:abstractNumId w:val="32"/>
  </w:num>
  <w:num w:numId="16">
    <w:abstractNumId w:val="23"/>
  </w:num>
  <w:num w:numId="17">
    <w:abstractNumId w:val="22"/>
  </w:num>
  <w:num w:numId="18">
    <w:abstractNumId w:val="28"/>
  </w:num>
  <w:num w:numId="19">
    <w:abstractNumId w:val="27"/>
  </w:num>
  <w:num w:numId="20">
    <w:abstractNumId w:val="35"/>
  </w:num>
  <w:num w:numId="21">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2">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3">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4">
    <w:abstractNumId w:val="36"/>
  </w:num>
  <w:num w:numId="25">
    <w:abstractNumId w:val="38"/>
  </w:num>
  <w:num w:numId="26">
    <w:abstractNumId w:val="12"/>
  </w:num>
  <w:num w:numId="27">
    <w:abstractNumId w:val="29"/>
  </w:num>
  <w:num w:numId="28">
    <w:abstractNumId w:val="15"/>
  </w:num>
  <w:num w:numId="29">
    <w:abstractNumId w:val="13"/>
  </w:num>
  <w:num w:numId="30">
    <w:abstractNumId w:val="20"/>
  </w:num>
  <w:num w:numId="31">
    <w:abstractNumId w:val="16"/>
  </w:num>
  <w:num w:numId="32">
    <w:abstractNumId w:val="12"/>
    <w:lvlOverride w:ilvl="0">
      <w:startOverride w:val="1"/>
    </w:lvlOverride>
  </w:num>
  <w:num w:numId="33">
    <w:abstractNumId w:val="34"/>
  </w:num>
  <w:num w:numId="34">
    <w:abstractNumId w:val="35"/>
    <w:lvlOverride w:ilvl="0">
      <w:startOverride w:val="1"/>
    </w:lvlOverride>
  </w:num>
  <w:num w:numId="35">
    <w:abstractNumId w:val="14"/>
  </w:num>
  <w:num w:numId="36">
    <w:abstractNumId w:val="37"/>
  </w:num>
  <w:num w:numId="37">
    <w:abstractNumId w:val="35"/>
    <w:lvlOverride w:ilvl="0">
      <w:startOverride w:val="1"/>
    </w:lvlOverride>
  </w:num>
  <w:num w:numId="38">
    <w:abstractNumId w:val="33"/>
  </w:num>
  <w:num w:numId="39">
    <w:abstractNumId w:val="30"/>
  </w:num>
  <w:num w:numId="40">
    <w:abstractNumId w:val="17"/>
  </w:num>
  <w:num w:numId="41">
    <w:abstractNumId w:val="12"/>
    <w:lvlOverride w:ilvl="0">
      <w:startOverride w:val="1"/>
    </w:lvlOverride>
  </w:num>
  <w:num w:numId="42">
    <w:abstractNumId w:val="12"/>
    <w:lvlOverride w:ilvl="0">
      <w:startOverride w:val="1"/>
    </w:lvlOverride>
  </w:num>
  <w:num w:numId="43">
    <w:abstractNumId w:val="19"/>
  </w:num>
  <w:num w:numId="44">
    <w:abstractNumId w:val="12"/>
    <w:lvlOverride w:ilvl="0">
      <w:startOverride w:val="1"/>
    </w:lvlOverride>
  </w:num>
  <w:num w:numId="45">
    <w:abstractNumId w:val="31"/>
  </w:num>
  <w:num w:numId="46">
    <w:abstractNumId w:val="21"/>
  </w:num>
  <w:num w:numId="47">
    <w:abstractNumId w:val="26"/>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78" fill="f" fillcolor="white" stroke="f">
      <v:fill color="white" on="f"/>
      <v:stroke on="f"/>
    </o:shapedefaults>
    <o:shapelayout v:ext="edit">
      <o:idmap v:ext="edit" data="2"/>
    </o:shapelayout>
  </w:hdrShapeDefaults>
  <w:footnotePr>
    <w:footnote w:id="-1"/>
    <w:footnote w:id="0"/>
    <w:footnote w:id="1"/>
  </w:footnotePr>
  <w:endnotePr>
    <w:endnote w:id="-1"/>
    <w:endnote w:id="0"/>
    <w:endnote w:id="1"/>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D16"/>
    <w:rsid w:val="000000AC"/>
    <w:rsid w:val="00000AB1"/>
    <w:rsid w:val="000010CC"/>
    <w:rsid w:val="0000432F"/>
    <w:rsid w:val="00004B9D"/>
    <w:rsid w:val="000061B1"/>
    <w:rsid w:val="00006D1E"/>
    <w:rsid w:val="0001179B"/>
    <w:rsid w:val="000120D8"/>
    <w:rsid w:val="0001231D"/>
    <w:rsid w:val="00013296"/>
    <w:rsid w:val="000140B6"/>
    <w:rsid w:val="00016524"/>
    <w:rsid w:val="00016612"/>
    <w:rsid w:val="00016B88"/>
    <w:rsid w:val="00017525"/>
    <w:rsid w:val="00017ADC"/>
    <w:rsid w:val="00017BDE"/>
    <w:rsid w:val="00020069"/>
    <w:rsid w:val="0002188A"/>
    <w:rsid w:val="00022639"/>
    <w:rsid w:val="00022B9E"/>
    <w:rsid w:val="00024321"/>
    <w:rsid w:val="0002448E"/>
    <w:rsid w:val="00026179"/>
    <w:rsid w:val="000262AF"/>
    <w:rsid w:val="00026C1B"/>
    <w:rsid w:val="00026C37"/>
    <w:rsid w:val="00026CAD"/>
    <w:rsid w:val="00030065"/>
    <w:rsid w:val="000309F1"/>
    <w:rsid w:val="00032D4F"/>
    <w:rsid w:val="00032F81"/>
    <w:rsid w:val="00033FFF"/>
    <w:rsid w:val="0003584D"/>
    <w:rsid w:val="00040729"/>
    <w:rsid w:val="00044BB3"/>
    <w:rsid w:val="0005169C"/>
    <w:rsid w:val="0005423A"/>
    <w:rsid w:val="00054C26"/>
    <w:rsid w:val="000558CF"/>
    <w:rsid w:val="00057065"/>
    <w:rsid w:val="00062FB5"/>
    <w:rsid w:val="0006554A"/>
    <w:rsid w:val="00067631"/>
    <w:rsid w:val="00073297"/>
    <w:rsid w:val="000759C5"/>
    <w:rsid w:val="000802A8"/>
    <w:rsid w:val="000806D9"/>
    <w:rsid w:val="0008424B"/>
    <w:rsid w:val="0008441B"/>
    <w:rsid w:val="000878ED"/>
    <w:rsid w:val="000937C0"/>
    <w:rsid w:val="00093B3F"/>
    <w:rsid w:val="00094D21"/>
    <w:rsid w:val="000958B3"/>
    <w:rsid w:val="000970C2"/>
    <w:rsid w:val="000972AB"/>
    <w:rsid w:val="000975D4"/>
    <w:rsid w:val="000A013B"/>
    <w:rsid w:val="000A03F1"/>
    <w:rsid w:val="000A0DB8"/>
    <w:rsid w:val="000A3962"/>
    <w:rsid w:val="000A5889"/>
    <w:rsid w:val="000A7BF3"/>
    <w:rsid w:val="000B39AE"/>
    <w:rsid w:val="000B4F13"/>
    <w:rsid w:val="000B7C09"/>
    <w:rsid w:val="000C47FE"/>
    <w:rsid w:val="000C5FF2"/>
    <w:rsid w:val="000C7B16"/>
    <w:rsid w:val="000D2F32"/>
    <w:rsid w:val="000E26C2"/>
    <w:rsid w:val="000E2E73"/>
    <w:rsid w:val="000E7CB0"/>
    <w:rsid w:val="000F06D6"/>
    <w:rsid w:val="000F349F"/>
    <w:rsid w:val="000F6391"/>
    <w:rsid w:val="000F6917"/>
    <w:rsid w:val="00100D8A"/>
    <w:rsid w:val="0010215A"/>
    <w:rsid w:val="00104673"/>
    <w:rsid w:val="001048DA"/>
    <w:rsid w:val="0010676F"/>
    <w:rsid w:val="00106C91"/>
    <w:rsid w:val="00117EBE"/>
    <w:rsid w:val="00120FDF"/>
    <w:rsid w:val="00121135"/>
    <w:rsid w:val="001220BF"/>
    <w:rsid w:val="00122D33"/>
    <w:rsid w:val="00124317"/>
    <w:rsid w:val="00125C92"/>
    <w:rsid w:val="00126832"/>
    <w:rsid w:val="00127269"/>
    <w:rsid w:val="00127BF6"/>
    <w:rsid w:val="001301C1"/>
    <w:rsid w:val="00130C42"/>
    <w:rsid w:val="0013147B"/>
    <w:rsid w:val="00132FD0"/>
    <w:rsid w:val="0013376E"/>
    <w:rsid w:val="00136E4C"/>
    <w:rsid w:val="00137C72"/>
    <w:rsid w:val="001402BC"/>
    <w:rsid w:val="00140CCB"/>
    <w:rsid w:val="00141F94"/>
    <w:rsid w:val="00142545"/>
    <w:rsid w:val="0014313A"/>
    <w:rsid w:val="001503DA"/>
    <w:rsid w:val="001513C5"/>
    <w:rsid w:val="0015242A"/>
    <w:rsid w:val="00154B95"/>
    <w:rsid w:val="00154DEC"/>
    <w:rsid w:val="00161721"/>
    <w:rsid w:val="00162814"/>
    <w:rsid w:val="001635C4"/>
    <w:rsid w:val="00164715"/>
    <w:rsid w:val="001648FB"/>
    <w:rsid w:val="00166D25"/>
    <w:rsid w:val="00167CDF"/>
    <w:rsid w:val="00172B8E"/>
    <w:rsid w:val="00173B3F"/>
    <w:rsid w:val="0017486C"/>
    <w:rsid w:val="001757B5"/>
    <w:rsid w:val="00175A78"/>
    <w:rsid w:val="001764E1"/>
    <w:rsid w:val="001767FE"/>
    <w:rsid w:val="00180A37"/>
    <w:rsid w:val="00181422"/>
    <w:rsid w:val="001831C7"/>
    <w:rsid w:val="001838CF"/>
    <w:rsid w:val="001876EF"/>
    <w:rsid w:val="001905B2"/>
    <w:rsid w:val="001927A1"/>
    <w:rsid w:val="00193AFD"/>
    <w:rsid w:val="001961E2"/>
    <w:rsid w:val="001A0E22"/>
    <w:rsid w:val="001A1930"/>
    <w:rsid w:val="001A1D2D"/>
    <w:rsid w:val="001A72C6"/>
    <w:rsid w:val="001A7403"/>
    <w:rsid w:val="001A7CB9"/>
    <w:rsid w:val="001B1526"/>
    <w:rsid w:val="001B336A"/>
    <w:rsid w:val="001B5765"/>
    <w:rsid w:val="001B5EB3"/>
    <w:rsid w:val="001B61DD"/>
    <w:rsid w:val="001C0824"/>
    <w:rsid w:val="001C0D87"/>
    <w:rsid w:val="001C7459"/>
    <w:rsid w:val="001D07B7"/>
    <w:rsid w:val="001D0BD8"/>
    <w:rsid w:val="001D1925"/>
    <w:rsid w:val="001D2196"/>
    <w:rsid w:val="001D5589"/>
    <w:rsid w:val="001D5679"/>
    <w:rsid w:val="001D5FFF"/>
    <w:rsid w:val="001E1B4B"/>
    <w:rsid w:val="001E1D7B"/>
    <w:rsid w:val="001E3451"/>
    <w:rsid w:val="001E69BC"/>
    <w:rsid w:val="001F13E5"/>
    <w:rsid w:val="001F15A6"/>
    <w:rsid w:val="001F19F7"/>
    <w:rsid w:val="001F2943"/>
    <w:rsid w:val="001F2CD2"/>
    <w:rsid w:val="001F2E25"/>
    <w:rsid w:val="001F4E02"/>
    <w:rsid w:val="001F5A84"/>
    <w:rsid w:val="001F682F"/>
    <w:rsid w:val="001F698C"/>
    <w:rsid w:val="001F762D"/>
    <w:rsid w:val="00200422"/>
    <w:rsid w:val="00201FC6"/>
    <w:rsid w:val="0020329C"/>
    <w:rsid w:val="00203A48"/>
    <w:rsid w:val="002041A9"/>
    <w:rsid w:val="00207610"/>
    <w:rsid w:val="00210633"/>
    <w:rsid w:val="0021165D"/>
    <w:rsid w:val="0021471F"/>
    <w:rsid w:val="002171C0"/>
    <w:rsid w:val="00220D49"/>
    <w:rsid w:val="00222027"/>
    <w:rsid w:val="00223075"/>
    <w:rsid w:val="00224262"/>
    <w:rsid w:val="00224912"/>
    <w:rsid w:val="0023264D"/>
    <w:rsid w:val="00236508"/>
    <w:rsid w:val="002368B2"/>
    <w:rsid w:val="00237729"/>
    <w:rsid w:val="0023798D"/>
    <w:rsid w:val="002407CB"/>
    <w:rsid w:val="00241B98"/>
    <w:rsid w:val="00242B03"/>
    <w:rsid w:val="00242F9C"/>
    <w:rsid w:val="002456E7"/>
    <w:rsid w:val="002523B7"/>
    <w:rsid w:val="002528FB"/>
    <w:rsid w:val="002573D2"/>
    <w:rsid w:val="00260975"/>
    <w:rsid w:val="002677BF"/>
    <w:rsid w:val="00267DFD"/>
    <w:rsid w:val="00274F78"/>
    <w:rsid w:val="00276A2D"/>
    <w:rsid w:val="0028139C"/>
    <w:rsid w:val="00282312"/>
    <w:rsid w:val="00285AC0"/>
    <w:rsid w:val="002879A5"/>
    <w:rsid w:val="00291D40"/>
    <w:rsid w:val="00291F71"/>
    <w:rsid w:val="00292554"/>
    <w:rsid w:val="002931CD"/>
    <w:rsid w:val="002941D6"/>
    <w:rsid w:val="0029434C"/>
    <w:rsid w:val="002952AE"/>
    <w:rsid w:val="00297857"/>
    <w:rsid w:val="00297FA7"/>
    <w:rsid w:val="002A1B9B"/>
    <w:rsid w:val="002A2FB0"/>
    <w:rsid w:val="002A2FB4"/>
    <w:rsid w:val="002A5471"/>
    <w:rsid w:val="002A7934"/>
    <w:rsid w:val="002A79D5"/>
    <w:rsid w:val="002B30BD"/>
    <w:rsid w:val="002B31BC"/>
    <w:rsid w:val="002B6030"/>
    <w:rsid w:val="002B7240"/>
    <w:rsid w:val="002C5F3D"/>
    <w:rsid w:val="002C664D"/>
    <w:rsid w:val="002D1956"/>
    <w:rsid w:val="002D7DA8"/>
    <w:rsid w:val="002E0A59"/>
    <w:rsid w:val="002E243F"/>
    <w:rsid w:val="002E3ADF"/>
    <w:rsid w:val="002E3B93"/>
    <w:rsid w:val="002E3F64"/>
    <w:rsid w:val="002E4696"/>
    <w:rsid w:val="002E5F0E"/>
    <w:rsid w:val="002E652B"/>
    <w:rsid w:val="002F1553"/>
    <w:rsid w:val="002F1B4B"/>
    <w:rsid w:val="002F2F58"/>
    <w:rsid w:val="002F304C"/>
    <w:rsid w:val="002F3EC2"/>
    <w:rsid w:val="002F563B"/>
    <w:rsid w:val="002F7040"/>
    <w:rsid w:val="002F7C73"/>
    <w:rsid w:val="00302757"/>
    <w:rsid w:val="00302F5F"/>
    <w:rsid w:val="00304977"/>
    <w:rsid w:val="00304BCF"/>
    <w:rsid w:val="003067C6"/>
    <w:rsid w:val="00306FB9"/>
    <w:rsid w:val="00312A3F"/>
    <w:rsid w:val="00314079"/>
    <w:rsid w:val="003145F5"/>
    <w:rsid w:val="00314EAC"/>
    <w:rsid w:val="00315350"/>
    <w:rsid w:val="00316902"/>
    <w:rsid w:val="003202E6"/>
    <w:rsid w:val="00321FBA"/>
    <w:rsid w:val="003236E7"/>
    <w:rsid w:val="00324F77"/>
    <w:rsid w:val="00325609"/>
    <w:rsid w:val="00327BFA"/>
    <w:rsid w:val="003301AA"/>
    <w:rsid w:val="0033199D"/>
    <w:rsid w:val="00335527"/>
    <w:rsid w:val="00335FE6"/>
    <w:rsid w:val="00336996"/>
    <w:rsid w:val="003402A8"/>
    <w:rsid w:val="00342C4A"/>
    <w:rsid w:val="00343658"/>
    <w:rsid w:val="00346EA5"/>
    <w:rsid w:val="00347982"/>
    <w:rsid w:val="003515C5"/>
    <w:rsid w:val="003518D5"/>
    <w:rsid w:val="00354EEA"/>
    <w:rsid w:val="00357966"/>
    <w:rsid w:val="0036108C"/>
    <w:rsid w:val="003618B4"/>
    <w:rsid w:val="003645FB"/>
    <w:rsid w:val="00365714"/>
    <w:rsid w:val="00367E03"/>
    <w:rsid w:val="00371384"/>
    <w:rsid w:val="0037346A"/>
    <w:rsid w:val="0037370C"/>
    <w:rsid w:val="00380F39"/>
    <w:rsid w:val="0038133D"/>
    <w:rsid w:val="003815E5"/>
    <w:rsid w:val="00385ED9"/>
    <w:rsid w:val="00390602"/>
    <w:rsid w:val="003919E0"/>
    <w:rsid w:val="00391D28"/>
    <w:rsid w:val="00392BE7"/>
    <w:rsid w:val="003A1E99"/>
    <w:rsid w:val="003A27F6"/>
    <w:rsid w:val="003A2C17"/>
    <w:rsid w:val="003A6B98"/>
    <w:rsid w:val="003B14C0"/>
    <w:rsid w:val="003B4528"/>
    <w:rsid w:val="003C0A2C"/>
    <w:rsid w:val="003C4D2A"/>
    <w:rsid w:val="003C5132"/>
    <w:rsid w:val="003D3239"/>
    <w:rsid w:val="003D3378"/>
    <w:rsid w:val="003D338A"/>
    <w:rsid w:val="003D39FE"/>
    <w:rsid w:val="003D430B"/>
    <w:rsid w:val="003D4E78"/>
    <w:rsid w:val="003E0A47"/>
    <w:rsid w:val="003E28AC"/>
    <w:rsid w:val="003E33CA"/>
    <w:rsid w:val="003E34C0"/>
    <w:rsid w:val="003E395F"/>
    <w:rsid w:val="003E46A4"/>
    <w:rsid w:val="003E726A"/>
    <w:rsid w:val="003F32ED"/>
    <w:rsid w:val="003F5BA4"/>
    <w:rsid w:val="003F67C8"/>
    <w:rsid w:val="003F7406"/>
    <w:rsid w:val="003F76BD"/>
    <w:rsid w:val="004035BD"/>
    <w:rsid w:val="00405C27"/>
    <w:rsid w:val="00406073"/>
    <w:rsid w:val="00406519"/>
    <w:rsid w:val="00406D97"/>
    <w:rsid w:val="004072C9"/>
    <w:rsid w:val="00407B8F"/>
    <w:rsid w:val="004118B7"/>
    <w:rsid w:val="00411AA8"/>
    <w:rsid w:val="004205B9"/>
    <w:rsid w:val="004269EB"/>
    <w:rsid w:val="00430DD5"/>
    <w:rsid w:val="004328AA"/>
    <w:rsid w:val="00432A12"/>
    <w:rsid w:val="00441050"/>
    <w:rsid w:val="00441922"/>
    <w:rsid w:val="00442162"/>
    <w:rsid w:val="00443998"/>
    <w:rsid w:val="00444133"/>
    <w:rsid w:val="004443DC"/>
    <w:rsid w:val="00456C7A"/>
    <w:rsid w:val="00464BC7"/>
    <w:rsid w:val="00465F50"/>
    <w:rsid w:val="00466600"/>
    <w:rsid w:val="00470858"/>
    <w:rsid w:val="00471549"/>
    <w:rsid w:val="00471B5E"/>
    <w:rsid w:val="00474BAC"/>
    <w:rsid w:val="00474FFE"/>
    <w:rsid w:val="004775CA"/>
    <w:rsid w:val="00482813"/>
    <w:rsid w:val="00486A3F"/>
    <w:rsid w:val="00487C96"/>
    <w:rsid w:val="004903B1"/>
    <w:rsid w:val="0049221E"/>
    <w:rsid w:val="00492C49"/>
    <w:rsid w:val="00493ABF"/>
    <w:rsid w:val="00493CA1"/>
    <w:rsid w:val="004942B5"/>
    <w:rsid w:val="004978E1"/>
    <w:rsid w:val="00497A9F"/>
    <w:rsid w:val="004A1266"/>
    <w:rsid w:val="004A1BE1"/>
    <w:rsid w:val="004A1EE0"/>
    <w:rsid w:val="004A3AF0"/>
    <w:rsid w:val="004A4200"/>
    <w:rsid w:val="004A4C5F"/>
    <w:rsid w:val="004A56CA"/>
    <w:rsid w:val="004B0FE8"/>
    <w:rsid w:val="004B36B2"/>
    <w:rsid w:val="004B460C"/>
    <w:rsid w:val="004B655D"/>
    <w:rsid w:val="004B7233"/>
    <w:rsid w:val="004C37BE"/>
    <w:rsid w:val="004C52D3"/>
    <w:rsid w:val="004C6527"/>
    <w:rsid w:val="004C654E"/>
    <w:rsid w:val="004C712C"/>
    <w:rsid w:val="004C75D8"/>
    <w:rsid w:val="004D2030"/>
    <w:rsid w:val="004D2A6A"/>
    <w:rsid w:val="004D336E"/>
    <w:rsid w:val="004D4EEA"/>
    <w:rsid w:val="004D5E5E"/>
    <w:rsid w:val="004D61B1"/>
    <w:rsid w:val="004D6EC8"/>
    <w:rsid w:val="004E0105"/>
    <w:rsid w:val="004E63B3"/>
    <w:rsid w:val="004E798F"/>
    <w:rsid w:val="004E7B2D"/>
    <w:rsid w:val="004E7D85"/>
    <w:rsid w:val="004F1151"/>
    <w:rsid w:val="004F157C"/>
    <w:rsid w:val="004F1785"/>
    <w:rsid w:val="004F1EA5"/>
    <w:rsid w:val="004F274C"/>
    <w:rsid w:val="004F351A"/>
    <w:rsid w:val="00500804"/>
    <w:rsid w:val="0050305E"/>
    <w:rsid w:val="0050782C"/>
    <w:rsid w:val="0051169F"/>
    <w:rsid w:val="00513B15"/>
    <w:rsid w:val="00514FC7"/>
    <w:rsid w:val="00515140"/>
    <w:rsid w:val="00517FCE"/>
    <w:rsid w:val="00520720"/>
    <w:rsid w:val="0052236F"/>
    <w:rsid w:val="00525166"/>
    <w:rsid w:val="005271F1"/>
    <w:rsid w:val="005301FC"/>
    <w:rsid w:val="0053036D"/>
    <w:rsid w:val="005308FF"/>
    <w:rsid w:val="00531510"/>
    <w:rsid w:val="005335EF"/>
    <w:rsid w:val="00533DEE"/>
    <w:rsid w:val="00537290"/>
    <w:rsid w:val="00540667"/>
    <w:rsid w:val="0054387B"/>
    <w:rsid w:val="005506D7"/>
    <w:rsid w:val="00550D5F"/>
    <w:rsid w:val="00554EFE"/>
    <w:rsid w:val="00564013"/>
    <w:rsid w:val="0056477C"/>
    <w:rsid w:val="00564ED8"/>
    <w:rsid w:val="005670AC"/>
    <w:rsid w:val="00567FD0"/>
    <w:rsid w:val="00572C36"/>
    <w:rsid w:val="00573BC8"/>
    <w:rsid w:val="00577508"/>
    <w:rsid w:val="0057760C"/>
    <w:rsid w:val="00581B71"/>
    <w:rsid w:val="00584981"/>
    <w:rsid w:val="00590294"/>
    <w:rsid w:val="00592762"/>
    <w:rsid w:val="00594A49"/>
    <w:rsid w:val="00595549"/>
    <w:rsid w:val="00595C4F"/>
    <w:rsid w:val="005A0DED"/>
    <w:rsid w:val="005A4D48"/>
    <w:rsid w:val="005A4D4C"/>
    <w:rsid w:val="005A6F6D"/>
    <w:rsid w:val="005A78A0"/>
    <w:rsid w:val="005B532C"/>
    <w:rsid w:val="005C0432"/>
    <w:rsid w:val="005C09D9"/>
    <w:rsid w:val="005C16AD"/>
    <w:rsid w:val="005C400A"/>
    <w:rsid w:val="005C6D77"/>
    <w:rsid w:val="005C777C"/>
    <w:rsid w:val="005D1560"/>
    <w:rsid w:val="005D17F1"/>
    <w:rsid w:val="005D1929"/>
    <w:rsid w:val="005D2CBB"/>
    <w:rsid w:val="005D3DFC"/>
    <w:rsid w:val="005D4E4C"/>
    <w:rsid w:val="005D5C19"/>
    <w:rsid w:val="005D6106"/>
    <w:rsid w:val="005E064B"/>
    <w:rsid w:val="005E15AA"/>
    <w:rsid w:val="005E3210"/>
    <w:rsid w:val="005E36E4"/>
    <w:rsid w:val="005E3B01"/>
    <w:rsid w:val="005E430E"/>
    <w:rsid w:val="005F0439"/>
    <w:rsid w:val="005F1D98"/>
    <w:rsid w:val="005F2526"/>
    <w:rsid w:val="005F311E"/>
    <w:rsid w:val="005F34DB"/>
    <w:rsid w:val="005F4D9E"/>
    <w:rsid w:val="005F591A"/>
    <w:rsid w:val="005F7180"/>
    <w:rsid w:val="006003E7"/>
    <w:rsid w:val="006007E2"/>
    <w:rsid w:val="00600E22"/>
    <w:rsid w:val="0060168E"/>
    <w:rsid w:val="00602A7C"/>
    <w:rsid w:val="00603D69"/>
    <w:rsid w:val="00604903"/>
    <w:rsid w:val="00604D96"/>
    <w:rsid w:val="00604F69"/>
    <w:rsid w:val="00613330"/>
    <w:rsid w:val="006138F0"/>
    <w:rsid w:val="00614FF6"/>
    <w:rsid w:val="00617538"/>
    <w:rsid w:val="00621488"/>
    <w:rsid w:val="006225B7"/>
    <w:rsid w:val="00622DBC"/>
    <w:rsid w:val="00622DCB"/>
    <w:rsid w:val="00623C89"/>
    <w:rsid w:val="006317E6"/>
    <w:rsid w:val="00632E8B"/>
    <w:rsid w:val="006343AA"/>
    <w:rsid w:val="00643C75"/>
    <w:rsid w:val="00643DB8"/>
    <w:rsid w:val="00645F95"/>
    <w:rsid w:val="006471B4"/>
    <w:rsid w:val="006506DE"/>
    <w:rsid w:val="0065182C"/>
    <w:rsid w:val="0065500D"/>
    <w:rsid w:val="00660A18"/>
    <w:rsid w:val="00661548"/>
    <w:rsid w:val="00661772"/>
    <w:rsid w:val="006649D5"/>
    <w:rsid w:val="0066529F"/>
    <w:rsid w:val="0067556B"/>
    <w:rsid w:val="00676FF2"/>
    <w:rsid w:val="00677B2C"/>
    <w:rsid w:val="00677E83"/>
    <w:rsid w:val="00681976"/>
    <w:rsid w:val="00682058"/>
    <w:rsid w:val="006847BB"/>
    <w:rsid w:val="00685113"/>
    <w:rsid w:val="00686E9E"/>
    <w:rsid w:val="00690493"/>
    <w:rsid w:val="006914DE"/>
    <w:rsid w:val="00692BC7"/>
    <w:rsid w:val="006932CA"/>
    <w:rsid w:val="00694715"/>
    <w:rsid w:val="006A0223"/>
    <w:rsid w:val="006A3D38"/>
    <w:rsid w:val="006A4067"/>
    <w:rsid w:val="006A4357"/>
    <w:rsid w:val="006A4EC2"/>
    <w:rsid w:val="006A7B38"/>
    <w:rsid w:val="006B734C"/>
    <w:rsid w:val="006B73D7"/>
    <w:rsid w:val="006B7D7C"/>
    <w:rsid w:val="006B7EE8"/>
    <w:rsid w:val="006C0877"/>
    <w:rsid w:val="006C2004"/>
    <w:rsid w:val="006C2CAB"/>
    <w:rsid w:val="006C5BC6"/>
    <w:rsid w:val="006C6C1F"/>
    <w:rsid w:val="006C750D"/>
    <w:rsid w:val="006D23F1"/>
    <w:rsid w:val="006D5869"/>
    <w:rsid w:val="006E273C"/>
    <w:rsid w:val="006E462F"/>
    <w:rsid w:val="006F3401"/>
    <w:rsid w:val="006F3C7E"/>
    <w:rsid w:val="006F438A"/>
    <w:rsid w:val="006F4692"/>
    <w:rsid w:val="006F5742"/>
    <w:rsid w:val="00701963"/>
    <w:rsid w:val="00702AAD"/>
    <w:rsid w:val="00702DB3"/>
    <w:rsid w:val="00706267"/>
    <w:rsid w:val="007073F0"/>
    <w:rsid w:val="00712606"/>
    <w:rsid w:val="00714D8C"/>
    <w:rsid w:val="007152CF"/>
    <w:rsid w:val="00716A84"/>
    <w:rsid w:val="00716D00"/>
    <w:rsid w:val="00716E28"/>
    <w:rsid w:val="00717376"/>
    <w:rsid w:val="0072154B"/>
    <w:rsid w:val="00721672"/>
    <w:rsid w:val="007220FB"/>
    <w:rsid w:val="007221ED"/>
    <w:rsid w:val="00722BAE"/>
    <w:rsid w:val="00722E60"/>
    <w:rsid w:val="007240D5"/>
    <w:rsid w:val="0072689B"/>
    <w:rsid w:val="00731D4A"/>
    <w:rsid w:val="00735246"/>
    <w:rsid w:val="00747771"/>
    <w:rsid w:val="00747837"/>
    <w:rsid w:val="00747B10"/>
    <w:rsid w:val="00747F82"/>
    <w:rsid w:val="00750F38"/>
    <w:rsid w:val="00752F2B"/>
    <w:rsid w:val="007539D0"/>
    <w:rsid w:val="00753F54"/>
    <w:rsid w:val="0075586C"/>
    <w:rsid w:val="0075605E"/>
    <w:rsid w:val="00756850"/>
    <w:rsid w:val="007575FC"/>
    <w:rsid w:val="00757D36"/>
    <w:rsid w:val="00765B62"/>
    <w:rsid w:val="00766B63"/>
    <w:rsid w:val="00772195"/>
    <w:rsid w:val="00772F15"/>
    <w:rsid w:val="0077320D"/>
    <w:rsid w:val="00776016"/>
    <w:rsid w:val="0077676B"/>
    <w:rsid w:val="00780A83"/>
    <w:rsid w:val="0078268E"/>
    <w:rsid w:val="00783DBE"/>
    <w:rsid w:val="00785587"/>
    <w:rsid w:val="0078589F"/>
    <w:rsid w:val="007950E7"/>
    <w:rsid w:val="00795A97"/>
    <w:rsid w:val="00797FED"/>
    <w:rsid w:val="007A1FF0"/>
    <w:rsid w:val="007A3A0D"/>
    <w:rsid w:val="007A3B92"/>
    <w:rsid w:val="007A583A"/>
    <w:rsid w:val="007B03CD"/>
    <w:rsid w:val="007B23BC"/>
    <w:rsid w:val="007B2BD1"/>
    <w:rsid w:val="007B393C"/>
    <w:rsid w:val="007B41A7"/>
    <w:rsid w:val="007B5C90"/>
    <w:rsid w:val="007B6A0F"/>
    <w:rsid w:val="007C00E6"/>
    <w:rsid w:val="007C40E3"/>
    <w:rsid w:val="007C52B5"/>
    <w:rsid w:val="007C7B0C"/>
    <w:rsid w:val="007C7CB7"/>
    <w:rsid w:val="007D1F34"/>
    <w:rsid w:val="007D2B61"/>
    <w:rsid w:val="007D59D4"/>
    <w:rsid w:val="007D5A53"/>
    <w:rsid w:val="007D5C32"/>
    <w:rsid w:val="007E0CCC"/>
    <w:rsid w:val="007E3324"/>
    <w:rsid w:val="007E3C35"/>
    <w:rsid w:val="007E638E"/>
    <w:rsid w:val="007E6C87"/>
    <w:rsid w:val="007F008C"/>
    <w:rsid w:val="007F33D5"/>
    <w:rsid w:val="007F38BE"/>
    <w:rsid w:val="007F5235"/>
    <w:rsid w:val="007F55BF"/>
    <w:rsid w:val="00800AF5"/>
    <w:rsid w:val="008014B7"/>
    <w:rsid w:val="0080681E"/>
    <w:rsid w:val="0081241D"/>
    <w:rsid w:val="0081287A"/>
    <w:rsid w:val="00814101"/>
    <w:rsid w:val="00814F22"/>
    <w:rsid w:val="00815C93"/>
    <w:rsid w:val="0082043F"/>
    <w:rsid w:val="00826CAB"/>
    <w:rsid w:val="008276DD"/>
    <w:rsid w:val="0082783C"/>
    <w:rsid w:val="008332ED"/>
    <w:rsid w:val="00834F90"/>
    <w:rsid w:val="00835677"/>
    <w:rsid w:val="008409BE"/>
    <w:rsid w:val="00840C21"/>
    <w:rsid w:val="00843C9B"/>
    <w:rsid w:val="008443E0"/>
    <w:rsid w:val="00845346"/>
    <w:rsid w:val="0084753F"/>
    <w:rsid w:val="008502B6"/>
    <w:rsid w:val="008509F3"/>
    <w:rsid w:val="00851015"/>
    <w:rsid w:val="00852E0E"/>
    <w:rsid w:val="008530A9"/>
    <w:rsid w:val="008538FC"/>
    <w:rsid w:val="00853DD7"/>
    <w:rsid w:val="00855F10"/>
    <w:rsid w:val="00857851"/>
    <w:rsid w:val="00861139"/>
    <w:rsid w:val="00862A0A"/>
    <w:rsid w:val="008655C4"/>
    <w:rsid w:val="00866F1E"/>
    <w:rsid w:val="0087070F"/>
    <w:rsid w:val="00871978"/>
    <w:rsid w:val="00871F63"/>
    <w:rsid w:val="00873138"/>
    <w:rsid w:val="0087534D"/>
    <w:rsid w:val="00875BDC"/>
    <w:rsid w:val="00877A19"/>
    <w:rsid w:val="00880370"/>
    <w:rsid w:val="008869EF"/>
    <w:rsid w:val="008932AE"/>
    <w:rsid w:val="00894689"/>
    <w:rsid w:val="00897B84"/>
    <w:rsid w:val="008A12D3"/>
    <w:rsid w:val="008A1ABF"/>
    <w:rsid w:val="008A26B8"/>
    <w:rsid w:val="008A3839"/>
    <w:rsid w:val="008A3BF5"/>
    <w:rsid w:val="008A3FB0"/>
    <w:rsid w:val="008A5741"/>
    <w:rsid w:val="008B3D61"/>
    <w:rsid w:val="008B7A03"/>
    <w:rsid w:val="008C031E"/>
    <w:rsid w:val="008C2433"/>
    <w:rsid w:val="008C2922"/>
    <w:rsid w:val="008C5FFF"/>
    <w:rsid w:val="008C66D8"/>
    <w:rsid w:val="008C7432"/>
    <w:rsid w:val="008D46E9"/>
    <w:rsid w:val="008D7AB2"/>
    <w:rsid w:val="008D7D37"/>
    <w:rsid w:val="008E4DBF"/>
    <w:rsid w:val="008E51B8"/>
    <w:rsid w:val="008F0459"/>
    <w:rsid w:val="008F32FD"/>
    <w:rsid w:val="008F4504"/>
    <w:rsid w:val="008F49C5"/>
    <w:rsid w:val="008F6CA8"/>
    <w:rsid w:val="009078D8"/>
    <w:rsid w:val="00907C7D"/>
    <w:rsid w:val="00910279"/>
    <w:rsid w:val="0091410A"/>
    <w:rsid w:val="009209A1"/>
    <w:rsid w:val="00923B86"/>
    <w:rsid w:val="00925470"/>
    <w:rsid w:val="009263FE"/>
    <w:rsid w:val="009304D2"/>
    <w:rsid w:val="009338ED"/>
    <w:rsid w:val="00936400"/>
    <w:rsid w:val="0093676A"/>
    <w:rsid w:val="0094126E"/>
    <w:rsid w:val="00943ED6"/>
    <w:rsid w:val="00946DC5"/>
    <w:rsid w:val="0095043A"/>
    <w:rsid w:val="009517DD"/>
    <w:rsid w:val="00952CE5"/>
    <w:rsid w:val="00952D00"/>
    <w:rsid w:val="00956A59"/>
    <w:rsid w:val="00956D3D"/>
    <w:rsid w:val="00963FD7"/>
    <w:rsid w:val="00965D9C"/>
    <w:rsid w:val="00967371"/>
    <w:rsid w:val="009678E5"/>
    <w:rsid w:val="0097193B"/>
    <w:rsid w:val="00972F0F"/>
    <w:rsid w:val="00973611"/>
    <w:rsid w:val="00973A69"/>
    <w:rsid w:val="00973D1B"/>
    <w:rsid w:val="009754FE"/>
    <w:rsid w:val="00976EA7"/>
    <w:rsid w:val="009777F4"/>
    <w:rsid w:val="00981499"/>
    <w:rsid w:val="009823B3"/>
    <w:rsid w:val="00987A0D"/>
    <w:rsid w:val="00990E6D"/>
    <w:rsid w:val="00991911"/>
    <w:rsid w:val="009953BB"/>
    <w:rsid w:val="009973BA"/>
    <w:rsid w:val="009A31CD"/>
    <w:rsid w:val="009A3562"/>
    <w:rsid w:val="009A5FA0"/>
    <w:rsid w:val="009A6CFA"/>
    <w:rsid w:val="009B0385"/>
    <w:rsid w:val="009B39BE"/>
    <w:rsid w:val="009B72A8"/>
    <w:rsid w:val="009C24D1"/>
    <w:rsid w:val="009C2B3F"/>
    <w:rsid w:val="009D2460"/>
    <w:rsid w:val="009D4BE3"/>
    <w:rsid w:val="009E1BAC"/>
    <w:rsid w:val="009E2F3D"/>
    <w:rsid w:val="009E35C7"/>
    <w:rsid w:val="009E4A19"/>
    <w:rsid w:val="009E4CAA"/>
    <w:rsid w:val="009E5326"/>
    <w:rsid w:val="009E6DAD"/>
    <w:rsid w:val="009E711A"/>
    <w:rsid w:val="009E77A3"/>
    <w:rsid w:val="009E792F"/>
    <w:rsid w:val="009F4D68"/>
    <w:rsid w:val="009F5487"/>
    <w:rsid w:val="009F6CA2"/>
    <w:rsid w:val="00A05E7D"/>
    <w:rsid w:val="00A05FE3"/>
    <w:rsid w:val="00A07546"/>
    <w:rsid w:val="00A1257A"/>
    <w:rsid w:val="00A15642"/>
    <w:rsid w:val="00A158CA"/>
    <w:rsid w:val="00A17A57"/>
    <w:rsid w:val="00A24718"/>
    <w:rsid w:val="00A2487B"/>
    <w:rsid w:val="00A26FA2"/>
    <w:rsid w:val="00A27F43"/>
    <w:rsid w:val="00A30BE5"/>
    <w:rsid w:val="00A30C0D"/>
    <w:rsid w:val="00A30F72"/>
    <w:rsid w:val="00A321B7"/>
    <w:rsid w:val="00A321C3"/>
    <w:rsid w:val="00A33BC8"/>
    <w:rsid w:val="00A361B5"/>
    <w:rsid w:val="00A3709D"/>
    <w:rsid w:val="00A37CF4"/>
    <w:rsid w:val="00A37D8B"/>
    <w:rsid w:val="00A40673"/>
    <w:rsid w:val="00A40BD4"/>
    <w:rsid w:val="00A415B5"/>
    <w:rsid w:val="00A44B0E"/>
    <w:rsid w:val="00A45A5D"/>
    <w:rsid w:val="00A50743"/>
    <w:rsid w:val="00A51CE7"/>
    <w:rsid w:val="00A53DA4"/>
    <w:rsid w:val="00A54150"/>
    <w:rsid w:val="00A55984"/>
    <w:rsid w:val="00A6071A"/>
    <w:rsid w:val="00A60BBB"/>
    <w:rsid w:val="00A62861"/>
    <w:rsid w:val="00A62D0B"/>
    <w:rsid w:val="00A644FA"/>
    <w:rsid w:val="00A67795"/>
    <w:rsid w:val="00A70F07"/>
    <w:rsid w:val="00A724BC"/>
    <w:rsid w:val="00A72593"/>
    <w:rsid w:val="00A734E2"/>
    <w:rsid w:val="00A74350"/>
    <w:rsid w:val="00A7450B"/>
    <w:rsid w:val="00A755DA"/>
    <w:rsid w:val="00A75602"/>
    <w:rsid w:val="00A847CC"/>
    <w:rsid w:val="00A85FE2"/>
    <w:rsid w:val="00A86A9F"/>
    <w:rsid w:val="00A93C9F"/>
    <w:rsid w:val="00A93E72"/>
    <w:rsid w:val="00A95561"/>
    <w:rsid w:val="00AA3174"/>
    <w:rsid w:val="00AA48B2"/>
    <w:rsid w:val="00AA4FE7"/>
    <w:rsid w:val="00AA59A7"/>
    <w:rsid w:val="00AA5B49"/>
    <w:rsid w:val="00AA5C75"/>
    <w:rsid w:val="00AB238F"/>
    <w:rsid w:val="00AB6222"/>
    <w:rsid w:val="00AC1F0B"/>
    <w:rsid w:val="00AC41B9"/>
    <w:rsid w:val="00AC5127"/>
    <w:rsid w:val="00AC5520"/>
    <w:rsid w:val="00AC6834"/>
    <w:rsid w:val="00AD3FDE"/>
    <w:rsid w:val="00AD51B5"/>
    <w:rsid w:val="00AD6001"/>
    <w:rsid w:val="00AD6C47"/>
    <w:rsid w:val="00AE1243"/>
    <w:rsid w:val="00AE2881"/>
    <w:rsid w:val="00AF07F6"/>
    <w:rsid w:val="00AF415B"/>
    <w:rsid w:val="00AF59AA"/>
    <w:rsid w:val="00AF7D70"/>
    <w:rsid w:val="00B009B5"/>
    <w:rsid w:val="00B00BAF"/>
    <w:rsid w:val="00B0440A"/>
    <w:rsid w:val="00B05580"/>
    <w:rsid w:val="00B05F08"/>
    <w:rsid w:val="00B10261"/>
    <w:rsid w:val="00B1219A"/>
    <w:rsid w:val="00B126EF"/>
    <w:rsid w:val="00B12CD1"/>
    <w:rsid w:val="00B13413"/>
    <w:rsid w:val="00B13488"/>
    <w:rsid w:val="00B144AB"/>
    <w:rsid w:val="00B164C1"/>
    <w:rsid w:val="00B21A85"/>
    <w:rsid w:val="00B22402"/>
    <w:rsid w:val="00B2294D"/>
    <w:rsid w:val="00B2548C"/>
    <w:rsid w:val="00B268E1"/>
    <w:rsid w:val="00B35950"/>
    <w:rsid w:val="00B3674E"/>
    <w:rsid w:val="00B41B7D"/>
    <w:rsid w:val="00B41D15"/>
    <w:rsid w:val="00B42D09"/>
    <w:rsid w:val="00B44E9F"/>
    <w:rsid w:val="00B45515"/>
    <w:rsid w:val="00B47999"/>
    <w:rsid w:val="00B54326"/>
    <w:rsid w:val="00B5433A"/>
    <w:rsid w:val="00B56E50"/>
    <w:rsid w:val="00B57868"/>
    <w:rsid w:val="00B6069F"/>
    <w:rsid w:val="00B635DF"/>
    <w:rsid w:val="00B701DC"/>
    <w:rsid w:val="00B71FC7"/>
    <w:rsid w:val="00B7383E"/>
    <w:rsid w:val="00B738ED"/>
    <w:rsid w:val="00B81721"/>
    <w:rsid w:val="00B81773"/>
    <w:rsid w:val="00B8385E"/>
    <w:rsid w:val="00B83F22"/>
    <w:rsid w:val="00B8553B"/>
    <w:rsid w:val="00B85718"/>
    <w:rsid w:val="00B86F08"/>
    <w:rsid w:val="00B905D1"/>
    <w:rsid w:val="00B91BAC"/>
    <w:rsid w:val="00B93CC4"/>
    <w:rsid w:val="00B93D3D"/>
    <w:rsid w:val="00B94A58"/>
    <w:rsid w:val="00B95584"/>
    <w:rsid w:val="00B95798"/>
    <w:rsid w:val="00B96BAE"/>
    <w:rsid w:val="00B97037"/>
    <w:rsid w:val="00BA37FC"/>
    <w:rsid w:val="00BA49C1"/>
    <w:rsid w:val="00BA6B46"/>
    <w:rsid w:val="00BB12AF"/>
    <w:rsid w:val="00BB3C15"/>
    <w:rsid w:val="00BB551E"/>
    <w:rsid w:val="00BB56E1"/>
    <w:rsid w:val="00BB672D"/>
    <w:rsid w:val="00BB6FF1"/>
    <w:rsid w:val="00BB799E"/>
    <w:rsid w:val="00BC05D0"/>
    <w:rsid w:val="00BC120F"/>
    <w:rsid w:val="00BC336C"/>
    <w:rsid w:val="00BC501E"/>
    <w:rsid w:val="00BC5B5A"/>
    <w:rsid w:val="00BC6141"/>
    <w:rsid w:val="00BD2B7C"/>
    <w:rsid w:val="00BD56C7"/>
    <w:rsid w:val="00BE314D"/>
    <w:rsid w:val="00BE4112"/>
    <w:rsid w:val="00BE594A"/>
    <w:rsid w:val="00BE74D2"/>
    <w:rsid w:val="00BE7685"/>
    <w:rsid w:val="00BF021B"/>
    <w:rsid w:val="00BF0818"/>
    <w:rsid w:val="00BF55B3"/>
    <w:rsid w:val="00BF7259"/>
    <w:rsid w:val="00BF7BE3"/>
    <w:rsid w:val="00BF7C32"/>
    <w:rsid w:val="00C004B3"/>
    <w:rsid w:val="00C11619"/>
    <w:rsid w:val="00C14368"/>
    <w:rsid w:val="00C14458"/>
    <w:rsid w:val="00C14981"/>
    <w:rsid w:val="00C16036"/>
    <w:rsid w:val="00C1605A"/>
    <w:rsid w:val="00C162EF"/>
    <w:rsid w:val="00C165E1"/>
    <w:rsid w:val="00C178D6"/>
    <w:rsid w:val="00C21AE3"/>
    <w:rsid w:val="00C2275B"/>
    <w:rsid w:val="00C235A0"/>
    <w:rsid w:val="00C27B42"/>
    <w:rsid w:val="00C30A4B"/>
    <w:rsid w:val="00C30B16"/>
    <w:rsid w:val="00C3398B"/>
    <w:rsid w:val="00C41026"/>
    <w:rsid w:val="00C44302"/>
    <w:rsid w:val="00C509BD"/>
    <w:rsid w:val="00C51023"/>
    <w:rsid w:val="00C518AF"/>
    <w:rsid w:val="00C52D52"/>
    <w:rsid w:val="00C52F6B"/>
    <w:rsid w:val="00C54027"/>
    <w:rsid w:val="00C55062"/>
    <w:rsid w:val="00C55F6A"/>
    <w:rsid w:val="00C57542"/>
    <w:rsid w:val="00C60370"/>
    <w:rsid w:val="00C62440"/>
    <w:rsid w:val="00C63FE0"/>
    <w:rsid w:val="00C7021E"/>
    <w:rsid w:val="00C714AD"/>
    <w:rsid w:val="00C72979"/>
    <w:rsid w:val="00C72D88"/>
    <w:rsid w:val="00C76678"/>
    <w:rsid w:val="00C77F2F"/>
    <w:rsid w:val="00C801E5"/>
    <w:rsid w:val="00C80B4C"/>
    <w:rsid w:val="00C818E3"/>
    <w:rsid w:val="00C82454"/>
    <w:rsid w:val="00C83514"/>
    <w:rsid w:val="00C84254"/>
    <w:rsid w:val="00C8569B"/>
    <w:rsid w:val="00C85C8B"/>
    <w:rsid w:val="00C90B6C"/>
    <w:rsid w:val="00C94DE5"/>
    <w:rsid w:val="00C952EC"/>
    <w:rsid w:val="00C9546A"/>
    <w:rsid w:val="00C95DAB"/>
    <w:rsid w:val="00CA1519"/>
    <w:rsid w:val="00CA3D32"/>
    <w:rsid w:val="00CA4500"/>
    <w:rsid w:val="00CA554F"/>
    <w:rsid w:val="00CA60DD"/>
    <w:rsid w:val="00CB2D16"/>
    <w:rsid w:val="00CC0F50"/>
    <w:rsid w:val="00CC2325"/>
    <w:rsid w:val="00CC40E4"/>
    <w:rsid w:val="00CC48CF"/>
    <w:rsid w:val="00CC60E6"/>
    <w:rsid w:val="00CC6CA7"/>
    <w:rsid w:val="00CD082B"/>
    <w:rsid w:val="00CD29C9"/>
    <w:rsid w:val="00CD5320"/>
    <w:rsid w:val="00CE0435"/>
    <w:rsid w:val="00CE2DFF"/>
    <w:rsid w:val="00CE39C9"/>
    <w:rsid w:val="00CE6E7C"/>
    <w:rsid w:val="00CE6ED9"/>
    <w:rsid w:val="00CE736E"/>
    <w:rsid w:val="00CE7E58"/>
    <w:rsid w:val="00CF59FD"/>
    <w:rsid w:val="00D0011A"/>
    <w:rsid w:val="00D04111"/>
    <w:rsid w:val="00D05284"/>
    <w:rsid w:val="00D05D62"/>
    <w:rsid w:val="00D069E7"/>
    <w:rsid w:val="00D134F9"/>
    <w:rsid w:val="00D14895"/>
    <w:rsid w:val="00D15AF7"/>
    <w:rsid w:val="00D23F12"/>
    <w:rsid w:val="00D244FD"/>
    <w:rsid w:val="00D24E1B"/>
    <w:rsid w:val="00D252D1"/>
    <w:rsid w:val="00D27137"/>
    <w:rsid w:val="00D30B70"/>
    <w:rsid w:val="00D316C3"/>
    <w:rsid w:val="00D33743"/>
    <w:rsid w:val="00D33C59"/>
    <w:rsid w:val="00D34A78"/>
    <w:rsid w:val="00D3546E"/>
    <w:rsid w:val="00D35AC1"/>
    <w:rsid w:val="00D4031B"/>
    <w:rsid w:val="00D4316A"/>
    <w:rsid w:val="00D43A0B"/>
    <w:rsid w:val="00D43FA2"/>
    <w:rsid w:val="00D44AA7"/>
    <w:rsid w:val="00D46D5C"/>
    <w:rsid w:val="00D5085F"/>
    <w:rsid w:val="00D51133"/>
    <w:rsid w:val="00D512B0"/>
    <w:rsid w:val="00D54FCC"/>
    <w:rsid w:val="00D56047"/>
    <w:rsid w:val="00D57A67"/>
    <w:rsid w:val="00D6369C"/>
    <w:rsid w:val="00D76DD0"/>
    <w:rsid w:val="00D927E8"/>
    <w:rsid w:val="00D92E1A"/>
    <w:rsid w:val="00D957C3"/>
    <w:rsid w:val="00D95B07"/>
    <w:rsid w:val="00D96828"/>
    <w:rsid w:val="00D97F17"/>
    <w:rsid w:val="00DA272A"/>
    <w:rsid w:val="00DB04ED"/>
    <w:rsid w:val="00DB11C5"/>
    <w:rsid w:val="00DB11D0"/>
    <w:rsid w:val="00DB60EB"/>
    <w:rsid w:val="00DB690E"/>
    <w:rsid w:val="00DC1485"/>
    <w:rsid w:val="00DC3F48"/>
    <w:rsid w:val="00DC4EC3"/>
    <w:rsid w:val="00DC60F8"/>
    <w:rsid w:val="00DC62B8"/>
    <w:rsid w:val="00DC7DC3"/>
    <w:rsid w:val="00DD02B2"/>
    <w:rsid w:val="00DD2590"/>
    <w:rsid w:val="00DD2EE2"/>
    <w:rsid w:val="00DD371D"/>
    <w:rsid w:val="00DD6F4F"/>
    <w:rsid w:val="00DE1CAA"/>
    <w:rsid w:val="00DE23E8"/>
    <w:rsid w:val="00DE5B1B"/>
    <w:rsid w:val="00DE7031"/>
    <w:rsid w:val="00DF0678"/>
    <w:rsid w:val="00DF0F9B"/>
    <w:rsid w:val="00DF2BF3"/>
    <w:rsid w:val="00DF5E90"/>
    <w:rsid w:val="00DF7F63"/>
    <w:rsid w:val="00E00617"/>
    <w:rsid w:val="00E00B2F"/>
    <w:rsid w:val="00E04F5E"/>
    <w:rsid w:val="00E05605"/>
    <w:rsid w:val="00E06192"/>
    <w:rsid w:val="00E067FF"/>
    <w:rsid w:val="00E0708D"/>
    <w:rsid w:val="00E122E0"/>
    <w:rsid w:val="00E12C40"/>
    <w:rsid w:val="00E13B4F"/>
    <w:rsid w:val="00E17EA1"/>
    <w:rsid w:val="00E210EA"/>
    <w:rsid w:val="00E22430"/>
    <w:rsid w:val="00E22D47"/>
    <w:rsid w:val="00E233FE"/>
    <w:rsid w:val="00E23763"/>
    <w:rsid w:val="00E312CA"/>
    <w:rsid w:val="00E34FF5"/>
    <w:rsid w:val="00E36E60"/>
    <w:rsid w:val="00E40A6D"/>
    <w:rsid w:val="00E41BD9"/>
    <w:rsid w:val="00E45C50"/>
    <w:rsid w:val="00E52111"/>
    <w:rsid w:val="00E53761"/>
    <w:rsid w:val="00E55EA0"/>
    <w:rsid w:val="00E565E6"/>
    <w:rsid w:val="00E56E6B"/>
    <w:rsid w:val="00E577A4"/>
    <w:rsid w:val="00E57E4F"/>
    <w:rsid w:val="00E6277E"/>
    <w:rsid w:val="00E63C42"/>
    <w:rsid w:val="00E6430E"/>
    <w:rsid w:val="00E658CF"/>
    <w:rsid w:val="00E674F7"/>
    <w:rsid w:val="00E7147D"/>
    <w:rsid w:val="00E72268"/>
    <w:rsid w:val="00E77017"/>
    <w:rsid w:val="00E773DF"/>
    <w:rsid w:val="00E81B38"/>
    <w:rsid w:val="00E84302"/>
    <w:rsid w:val="00E84DA6"/>
    <w:rsid w:val="00E86877"/>
    <w:rsid w:val="00E900B7"/>
    <w:rsid w:val="00E92988"/>
    <w:rsid w:val="00E945D4"/>
    <w:rsid w:val="00E946D6"/>
    <w:rsid w:val="00E958CE"/>
    <w:rsid w:val="00EA0C55"/>
    <w:rsid w:val="00EA28BF"/>
    <w:rsid w:val="00EA3DD3"/>
    <w:rsid w:val="00EA58C7"/>
    <w:rsid w:val="00EA6200"/>
    <w:rsid w:val="00EB3338"/>
    <w:rsid w:val="00EB3DE7"/>
    <w:rsid w:val="00EB4492"/>
    <w:rsid w:val="00EB73D4"/>
    <w:rsid w:val="00EC0949"/>
    <w:rsid w:val="00EC0AED"/>
    <w:rsid w:val="00EC384D"/>
    <w:rsid w:val="00EC505B"/>
    <w:rsid w:val="00EC7CB7"/>
    <w:rsid w:val="00ED1589"/>
    <w:rsid w:val="00ED1A98"/>
    <w:rsid w:val="00ED4BBF"/>
    <w:rsid w:val="00ED7627"/>
    <w:rsid w:val="00EE2CD3"/>
    <w:rsid w:val="00EE7D5D"/>
    <w:rsid w:val="00EF03EE"/>
    <w:rsid w:val="00EF06D3"/>
    <w:rsid w:val="00EF0C98"/>
    <w:rsid w:val="00EF0D39"/>
    <w:rsid w:val="00EF34BC"/>
    <w:rsid w:val="00EF4EAB"/>
    <w:rsid w:val="00EF5BC8"/>
    <w:rsid w:val="00EF5C4E"/>
    <w:rsid w:val="00EF6E7D"/>
    <w:rsid w:val="00EF6F5F"/>
    <w:rsid w:val="00EF7440"/>
    <w:rsid w:val="00EF7FDA"/>
    <w:rsid w:val="00F03D5C"/>
    <w:rsid w:val="00F1154B"/>
    <w:rsid w:val="00F13895"/>
    <w:rsid w:val="00F145CD"/>
    <w:rsid w:val="00F178B9"/>
    <w:rsid w:val="00F17FFB"/>
    <w:rsid w:val="00F20432"/>
    <w:rsid w:val="00F2055D"/>
    <w:rsid w:val="00F212BF"/>
    <w:rsid w:val="00F23B02"/>
    <w:rsid w:val="00F260EE"/>
    <w:rsid w:val="00F309C9"/>
    <w:rsid w:val="00F342FD"/>
    <w:rsid w:val="00F34592"/>
    <w:rsid w:val="00F34FFF"/>
    <w:rsid w:val="00F44021"/>
    <w:rsid w:val="00F466EB"/>
    <w:rsid w:val="00F47E80"/>
    <w:rsid w:val="00F509CC"/>
    <w:rsid w:val="00F54637"/>
    <w:rsid w:val="00F55416"/>
    <w:rsid w:val="00F573E1"/>
    <w:rsid w:val="00F600B5"/>
    <w:rsid w:val="00F650AC"/>
    <w:rsid w:val="00F65CC6"/>
    <w:rsid w:val="00F66AA7"/>
    <w:rsid w:val="00F701B9"/>
    <w:rsid w:val="00F73CD3"/>
    <w:rsid w:val="00F73FCF"/>
    <w:rsid w:val="00F84AD4"/>
    <w:rsid w:val="00F8617B"/>
    <w:rsid w:val="00F86AAF"/>
    <w:rsid w:val="00F912A6"/>
    <w:rsid w:val="00F9162A"/>
    <w:rsid w:val="00F921C7"/>
    <w:rsid w:val="00F92383"/>
    <w:rsid w:val="00F949D5"/>
    <w:rsid w:val="00F95530"/>
    <w:rsid w:val="00FA191A"/>
    <w:rsid w:val="00FA1ACC"/>
    <w:rsid w:val="00FA2140"/>
    <w:rsid w:val="00FA2F71"/>
    <w:rsid w:val="00FA5CF7"/>
    <w:rsid w:val="00FA7B3E"/>
    <w:rsid w:val="00FB0903"/>
    <w:rsid w:val="00FB3FDF"/>
    <w:rsid w:val="00FB7ADE"/>
    <w:rsid w:val="00FB7F92"/>
    <w:rsid w:val="00FC05E2"/>
    <w:rsid w:val="00FC0614"/>
    <w:rsid w:val="00FC185C"/>
    <w:rsid w:val="00FC190F"/>
    <w:rsid w:val="00FC1E1C"/>
    <w:rsid w:val="00FC6604"/>
    <w:rsid w:val="00FD0373"/>
    <w:rsid w:val="00FD08F3"/>
    <w:rsid w:val="00FD2958"/>
    <w:rsid w:val="00FD2B8E"/>
    <w:rsid w:val="00FD2F50"/>
    <w:rsid w:val="00FD39C0"/>
    <w:rsid w:val="00FD3C2B"/>
    <w:rsid w:val="00FD44E6"/>
    <w:rsid w:val="00FD550B"/>
    <w:rsid w:val="00FD724B"/>
    <w:rsid w:val="00FD7AB4"/>
    <w:rsid w:val="00FE0199"/>
    <w:rsid w:val="00FE092E"/>
    <w:rsid w:val="00FE0BC5"/>
    <w:rsid w:val="00FE29B9"/>
    <w:rsid w:val="00FE3AA3"/>
    <w:rsid w:val="00FE47AD"/>
    <w:rsid w:val="00FE685D"/>
    <w:rsid w:val="00FE6CB4"/>
    <w:rsid w:val="00FF3B64"/>
    <w:rsid w:val="00FF4232"/>
    <w:rsid w:val="00FF54E3"/>
    <w:rsid w:val="00FF5702"/>
    <w:rsid w:val="00FF59A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8" fill="f" fillcolor="white" stroke="f">
      <v:fill color="white" on="f"/>
      <v:stroke on="f"/>
    </o:shapedefaults>
    <o:shapelayout v:ext="edit">
      <o:idmap v:ext="edit" data="1"/>
    </o:shapelayout>
  </w:shapeDefaults>
  <w:decimalSymbol w:val="."/>
  <w:listSeparator w:val=","/>
  <w14:docId w14:val="78F71283"/>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pPr>
    <w:rPr>
      <w:rFonts w:ascii="Arial" w:hAnsi="Arial" w:cs="Arial"/>
      <w:sz w:val="24"/>
      <w:szCs w:val="24"/>
    </w:rPr>
  </w:style>
  <w:style w:type="paragraph" w:styleId="Heading1">
    <w:name w:val="heading 1"/>
    <w:basedOn w:val="Normal"/>
    <w:next w:val="Normal"/>
    <w:link w:val="Heading1Char"/>
    <w:uiPriority w:val="1"/>
    <w:qFormat/>
    <w:rsid w:val="009263FE"/>
    <w:pPr>
      <w:numPr>
        <w:numId w:val="27"/>
      </w:numPr>
      <w:tabs>
        <w:tab w:val="left" w:pos="388"/>
      </w:tabs>
      <w:kinsoku w:val="0"/>
      <w:overflowPunct w:val="0"/>
      <w:spacing w:before="120" w:after="120"/>
      <w:ind w:right="93"/>
      <w:outlineLvl w:val="0"/>
    </w:pPr>
    <w:rPr>
      <w:b/>
      <w:bCs/>
    </w:rPr>
  </w:style>
  <w:style w:type="paragraph" w:styleId="Heading2">
    <w:name w:val="heading 2"/>
    <w:basedOn w:val="Normal"/>
    <w:next w:val="Normal"/>
    <w:link w:val="Heading2Char"/>
    <w:uiPriority w:val="1"/>
    <w:qFormat/>
    <w:rsid w:val="00B2548C"/>
    <w:pPr>
      <w:numPr>
        <w:ilvl w:val="1"/>
        <w:numId w:val="27"/>
      </w:numPr>
      <w:tabs>
        <w:tab w:val="left" w:pos="490"/>
      </w:tabs>
      <w:kinsoku w:val="0"/>
      <w:overflowPunct w:val="0"/>
      <w:spacing w:before="120" w:after="120"/>
      <w:outlineLvl w:val="1"/>
    </w:pPr>
    <w:rPr>
      <w:b/>
      <w:bCs/>
      <w:i/>
      <w:iCs/>
      <w:sz w:val="22"/>
      <w:szCs w:val="22"/>
    </w:rPr>
  </w:style>
  <w:style w:type="paragraph" w:styleId="Heading3">
    <w:name w:val="heading 3"/>
    <w:basedOn w:val="Normal"/>
    <w:next w:val="Normal"/>
    <w:link w:val="Heading3Char"/>
    <w:uiPriority w:val="9"/>
    <w:unhideWhenUsed/>
    <w:qFormat/>
    <w:rsid w:val="00B13413"/>
    <w:pPr>
      <w:keepNext/>
      <w:numPr>
        <w:ilvl w:val="2"/>
        <w:numId w:val="27"/>
      </w:numPr>
      <w:spacing w:before="240" w:after="60"/>
      <w:outlineLvl w:val="2"/>
    </w:pPr>
    <w:rPr>
      <w:b/>
      <w:bCs/>
      <w:i/>
      <w:sz w:val="22"/>
      <w:szCs w:val="22"/>
    </w:rPr>
  </w:style>
  <w:style w:type="paragraph" w:styleId="Heading4">
    <w:name w:val="heading 4"/>
    <w:basedOn w:val="Normal"/>
    <w:next w:val="Normal"/>
    <w:link w:val="Heading4Char"/>
    <w:uiPriority w:val="9"/>
    <w:semiHidden/>
    <w:unhideWhenUsed/>
    <w:qFormat/>
    <w:rsid w:val="005E36E4"/>
    <w:pPr>
      <w:keepNext/>
      <w:numPr>
        <w:ilvl w:val="3"/>
        <w:numId w:val="27"/>
      </w:numPr>
      <w:spacing w:before="240" w:after="60"/>
      <w:outlineLvl w:val="3"/>
    </w:pPr>
    <w:rPr>
      <w:rFonts w:ascii="Calibri" w:hAnsi="Calibri" w:cs="Times New Roman"/>
      <w:b/>
      <w:bCs/>
      <w:sz w:val="28"/>
      <w:szCs w:val="28"/>
    </w:rPr>
  </w:style>
  <w:style w:type="paragraph" w:styleId="Heading5">
    <w:name w:val="heading 5"/>
    <w:basedOn w:val="Normal"/>
    <w:next w:val="Normal"/>
    <w:link w:val="Heading5Char"/>
    <w:uiPriority w:val="9"/>
    <w:semiHidden/>
    <w:unhideWhenUsed/>
    <w:qFormat/>
    <w:rsid w:val="005E36E4"/>
    <w:pPr>
      <w:numPr>
        <w:ilvl w:val="4"/>
        <w:numId w:val="27"/>
      </w:numPr>
      <w:spacing w:before="240" w:after="60"/>
      <w:outlineLvl w:val="4"/>
    </w:pPr>
    <w:rPr>
      <w:rFonts w:ascii="Calibri" w:hAnsi="Calibri" w:cs="Times New Roman"/>
      <w:b/>
      <w:bCs/>
      <w:i/>
      <w:iCs/>
      <w:sz w:val="26"/>
      <w:szCs w:val="26"/>
    </w:rPr>
  </w:style>
  <w:style w:type="paragraph" w:styleId="Heading6">
    <w:name w:val="heading 6"/>
    <w:basedOn w:val="Normal"/>
    <w:next w:val="Normal"/>
    <w:link w:val="Heading6Char"/>
    <w:uiPriority w:val="9"/>
    <w:semiHidden/>
    <w:unhideWhenUsed/>
    <w:qFormat/>
    <w:rsid w:val="005E36E4"/>
    <w:pPr>
      <w:numPr>
        <w:ilvl w:val="5"/>
        <w:numId w:val="27"/>
      </w:numPr>
      <w:spacing w:before="240" w:after="60"/>
      <w:outlineLvl w:val="5"/>
    </w:pPr>
    <w:rPr>
      <w:rFonts w:ascii="Calibri" w:hAnsi="Calibri" w:cs="Times New Roman"/>
      <w:b/>
      <w:bCs/>
      <w:sz w:val="22"/>
      <w:szCs w:val="22"/>
    </w:rPr>
  </w:style>
  <w:style w:type="paragraph" w:styleId="Heading7">
    <w:name w:val="heading 7"/>
    <w:basedOn w:val="Normal"/>
    <w:next w:val="Normal"/>
    <w:link w:val="Heading7Char"/>
    <w:uiPriority w:val="9"/>
    <w:semiHidden/>
    <w:unhideWhenUsed/>
    <w:qFormat/>
    <w:rsid w:val="005E36E4"/>
    <w:pPr>
      <w:numPr>
        <w:ilvl w:val="6"/>
        <w:numId w:val="27"/>
      </w:numPr>
      <w:spacing w:before="240" w:after="60"/>
      <w:outlineLvl w:val="6"/>
    </w:pPr>
    <w:rPr>
      <w:rFonts w:ascii="Calibri" w:hAnsi="Calibri" w:cs="Times New Roman"/>
    </w:rPr>
  </w:style>
  <w:style w:type="paragraph" w:styleId="Heading8">
    <w:name w:val="heading 8"/>
    <w:basedOn w:val="Normal"/>
    <w:next w:val="Normal"/>
    <w:link w:val="Heading8Char"/>
    <w:uiPriority w:val="9"/>
    <w:semiHidden/>
    <w:unhideWhenUsed/>
    <w:qFormat/>
    <w:rsid w:val="005E36E4"/>
    <w:pPr>
      <w:numPr>
        <w:ilvl w:val="7"/>
        <w:numId w:val="27"/>
      </w:numPr>
      <w:spacing w:before="240" w:after="60"/>
      <w:outlineLvl w:val="7"/>
    </w:pPr>
    <w:rPr>
      <w:rFonts w:ascii="Calibri" w:hAnsi="Calibri" w:cs="Times New Roman"/>
      <w:i/>
      <w:iCs/>
    </w:rPr>
  </w:style>
  <w:style w:type="paragraph" w:styleId="Heading9">
    <w:name w:val="heading 9"/>
    <w:basedOn w:val="Normal"/>
    <w:next w:val="Normal"/>
    <w:link w:val="Heading9Char"/>
    <w:uiPriority w:val="9"/>
    <w:semiHidden/>
    <w:unhideWhenUsed/>
    <w:qFormat/>
    <w:rsid w:val="005E36E4"/>
    <w:pPr>
      <w:numPr>
        <w:ilvl w:val="8"/>
        <w:numId w:val="27"/>
      </w:numPr>
      <w:spacing w:before="240" w:after="60"/>
      <w:outlineLvl w:val="8"/>
    </w:pPr>
    <w:rPr>
      <w:rFonts w:ascii="Calibri Light" w:hAnsi="Calibri Light"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2548C"/>
    <w:pPr>
      <w:spacing w:after="120"/>
    </w:pPr>
    <w:rPr>
      <w:sz w:val="22"/>
      <w:szCs w:val="22"/>
    </w:rPr>
  </w:style>
  <w:style w:type="character" w:customStyle="1" w:styleId="BodyTextChar">
    <w:name w:val="Body Text Char"/>
    <w:link w:val="BodyText"/>
    <w:uiPriority w:val="1"/>
    <w:rsid w:val="00B2548C"/>
    <w:rPr>
      <w:rFonts w:ascii="Arial" w:hAnsi="Arial" w:cs="Arial"/>
      <w:sz w:val="22"/>
      <w:szCs w:val="22"/>
    </w:rPr>
  </w:style>
  <w:style w:type="character" w:customStyle="1" w:styleId="Heading1Char">
    <w:name w:val="Heading 1 Char"/>
    <w:link w:val="Heading1"/>
    <w:uiPriority w:val="1"/>
    <w:rsid w:val="009263FE"/>
    <w:rPr>
      <w:rFonts w:ascii="Arial" w:hAnsi="Arial" w:cs="Arial"/>
      <w:b/>
      <w:bCs/>
      <w:sz w:val="24"/>
      <w:szCs w:val="24"/>
    </w:rPr>
  </w:style>
  <w:style w:type="character" w:customStyle="1" w:styleId="Heading2Char">
    <w:name w:val="Heading 2 Char"/>
    <w:link w:val="Heading2"/>
    <w:uiPriority w:val="1"/>
    <w:rsid w:val="00B2548C"/>
    <w:rPr>
      <w:rFonts w:ascii="Arial" w:hAnsi="Arial" w:cs="Arial"/>
      <w:b/>
      <w:bCs/>
      <w:i/>
      <w:iCs/>
      <w:sz w:val="22"/>
      <w:szCs w:val="22"/>
    </w:rPr>
  </w:style>
  <w:style w:type="paragraph" w:styleId="ListParagraph">
    <w:name w:val="List Paragraph"/>
    <w:basedOn w:val="Normal"/>
    <w:link w:val="ListParagraphChar"/>
    <w:uiPriority w:val="34"/>
    <w:qFormat/>
    <w:rsid w:val="000970C2"/>
    <w:pPr>
      <w:numPr>
        <w:numId w:val="19"/>
      </w:numPr>
      <w:spacing w:after="60"/>
      <w:ind w:left="425" w:hanging="357"/>
    </w:pPr>
    <w:rPr>
      <w:sz w:val="22"/>
    </w:rPr>
  </w:style>
  <w:style w:type="paragraph" w:customStyle="1" w:styleId="TableParagraph">
    <w:name w:val="Table Paragraph"/>
    <w:basedOn w:val="Normal"/>
    <w:uiPriority w:val="1"/>
    <w:qFormat/>
    <w:rsid w:val="001C0824"/>
    <w:pPr>
      <w:spacing w:after="120"/>
      <w:ind w:left="459" w:hanging="357"/>
    </w:pPr>
    <w:rPr>
      <w:sz w:val="22"/>
    </w:rPr>
  </w:style>
  <w:style w:type="character" w:styleId="Hyperlink">
    <w:name w:val="Hyperlink"/>
    <w:uiPriority w:val="99"/>
    <w:unhideWhenUsed/>
    <w:rsid w:val="0078268E"/>
    <w:rPr>
      <w:color w:val="0563C1"/>
      <w:sz w:val="20"/>
      <w:u w:val="single"/>
    </w:rPr>
  </w:style>
  <w:style w:type="character" w:customStyle="1" w:styleId="UnresolvedMention1">
    <w:name w:val="Unresolved Mention1"/>
    <w:uiPriority w:val="99"/>
    <w:semiHidden/>
    <w:unhideWhenUsed/>
    <w:rsid w:val="00E92988"/>
    <w:rPr>
      <w:color w:val="808080"/>
      <w:shd w:val="clear" w:color="auto" w:fill="E6E6E6"/>
    </w:rPr>
  </w:style>
  <w:style w:type="paragraph" w:styleId="Header">
    <w:name w:val="header"/>
    <w:basedOn w:val="Normal"/>
    <w:link w:val="HeaderChar"/>
    <w:uiPriority w:val="99"/>
    <w:unhideWhenUsed/>
    <w:rsid w:val="004328AA"/>
    <w:pPr>
      <w:tabs>
        <w:tab w:val="center" w:pos="4513"/>
        <w:tab w:val="right" w:pos="9026"/>
      </w:tabs>
      <w:spacing w:after="120"/>
    </w:pPr>
    <w:rPr>
      <w:noProof/>
      <w:sz w:val="22"/>
    </w:rPr>
  </w:style>
  <w:style w:type="character" w:customStyle="1" w:styleId="HeaderChar">
    <w:name w:val="Header Char"/>
    <w:link w:val="Header"/>
    <w:uiPriority w:val="99"/>
    <w:rsid w:val="004328AA"/>
    <w:rPr>
      <w:rFonts w:ascii="Arial" w:hAnsi="Arial" w:cs="Arial"/>
      <w:noProof/>
      <w:sz w:val="22"/>
      <w:szCs w:val="24"/>
    </w:rPr>
  </w:style>
  <w:style w:type="paragraph" w:styleId="Footer">
    <w:name w:val="footer"/>
    <w:basedOn w:val="Normal"/>
    <w:link w:val="FooterChar"/>
    <w:uiPriority w:val="99"/>
    <w:unhideWhenUsed/>
    <w:rsid w:val="00C801E5"/>
    <w:pPr>
      <w:tabs>
        <w:tab w:val="center" w:pos="4513"/>
        <w:tab w:val="right" w:pos="9498"/>
      </w:tabs>
      <w:spacing w:before="120"/>
    </w:pPr>
    <w:rPr>
      <w:rFonts w:cs="Times New Roman"/>
      <w:sz w:val="18"/>
      <w:lang w:val="x-none" w:eastAsia="x-none"/>
    </w:rPr>
  </w:style>
  <w:style w:type="character" w:customStyle="1" w:styleId="FooterChar">
    <w:name w:val="Footer Char"/>
    <w:link w:val="Footer"/>
    <w:uiPriority w:val="99"/>
    <w:rsid w:val="00C801E5"/>
    <w:rPr>
      <w:rFonts w:ascii="Arial" w:hAnsi="Arial"/>
      <w:sz w:val="18"/>
      <w:szCs w:val="24"/>
      <w:lang w:val="x-none" w:eastAsia="x-none"/>
    </w:rPr>
  </w:style>
  <w:style w:type="character" w:customStyle="1" w:styleId="ListParagraphChar">
    <w:name w:val="List Paragraph Char"/>
    <w:link w:val="ListParagraph"/>
    <w:uiPriority w:val="1"/>
    <w:rsid w:val="000970C2"/>
    <w:rPr>
      <w:rFonts w:ascii="Arial" w:hAnsi="Arial" w:cs="Arial"/>
      <w:sz w:val="22"/>
      <w:szCs w:val="24"/>
    </w:rPr>
  </w:style>
  <w:style w:type="paragraph" w:styleId="BalloonText">
    <w:name w:val="Balloon Text"/>
    <w:basedOn w:val="Normal"/>
    <w:link w:val="BalloonTextChar"/>
    <w:uiPriority w:val="99"/>
    <w:semiHidden/>
    <w:unhideWhenUsed/>
    <w:rsid w:val="002941D6"/>
    <w:rPr>
      <w:rFonts w:ascii="Segoe UI" w:hAnsi="Segoe UI" w:cs="Segoe UI"/>
      <w:sz w:val="18"/>
      <w:szCs w:val="18"/>
    </w:rPr>
  </w:style>
  <w:style w:type="character" w:customStyle="1" w:styleId="BalloonTextChar">
    <w:name w:val="Balloon Text Char"/>
    <w:link w:val="BalloonText"/>
    <w:uiPriority w:val="99"/>
    <w:semiHidden/>
    <w:rsid w:val="002941D6"/>
    <w:rPr>
      <w:rFonts w:ascii="Segoe UI" w:hAnsi="Segoe UI" w:cs="Segoe UI"/>
      <w:sz w:val="18"/>
      <w:szCs w:val="18"/>
    </w:rPr>
  </w:style>
  <w:style w:type="paragraph" w:customStyle="1" w:styleId="Bulletdot">
    <w:name w:val="Bullet_dot"/>
    <w:basedOn w:val="ListParagraph"/>
    <w:uiPriority w:val="1"/>
    <w:qFormat/>
    <w:rsid w:val="0072154B"/>
    <w:pPr>
      <w:numPr>
        <w:numId w:val="45"/>
      </w:numPr>
      <w:spacing w:after="120"/>
      <w:ind w:left="426"/>
    </w:pPr>
  </w:style>
  <w:style w:type="character" w:customStyle="1" w:styleId="Heading3Char">
    <w:name w:val="Heading 3 Char"/>
    <w:link w:val="Heading3"/>
    <w:uiPriority w:val="9"/>
    <w:rsid w:val="00B13413"/>
    <w:rPr>
      <w:rFonts w:ascii="Arial" w:hAnsi="Arial" w:cs="Arial"/>
      <w:b/>
      <w:bCs/>
      <w:i/>
      <w:sz w:val="22"/>
      <w:szCs w:val="22"/>
    </w:rPr>
  </w:style>
  <w:style w:type="character" w:customStyle="1" w:styleId="Heading4Char">
    <w:name w:val="Heading 4 Char"/>
    <w:link w:val="Heading4"/>
    <w:uiPriority w:val="9"/>
    <w:semiHidden/>
    <w:rsid w:val="005E36E4"/>
    <w:rPr>
      <w:rFonts w:ascii="Calibri" w:eastAsia="Times New Roman" w:hAnsi="Calibri" w:cs="Times New Roman"/>
      <w:b/>
      <w:bCs/>
      <w:sz w:val="28"/>
      <w:szCs w:val="28"/>
    </w:rPr>
  </w:style>
  <w:style w:type="character" w:customStyle="1" w:styleId="Heading5Char">
    <w:name w:val="Heading 5 Char"/>
    <w:link w:val="Heading5"/>
    <w:uiPriority w:val="9"/>
    <w:semiHidden/>
    <w:rsid w:val="005E36E4"/>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5E36E4"/>
    <w:rPr>
      <w:rFonts w:ascii="Calibri" w:eastAsia="Times New Roman" w:hAnsi="Calibri" w:cs="Times New Roman"/>
      <w:b/>
      <w:bCs/>
      <w:sz w:val="22"/>
      <w:szCs w:val="22"/>
    </w:rPr>
  </w:style>
  <w:style w:type="character" w:customStyle="1" w:styleId="Heading7Char">
    <w:name w:val="Heading 7 Char"/>
    <w:link w:val="Heading7"/>
    <w:uiPriority w:val="9"/>
    <w:semiHidden/>
    <w:rsid w:val="005E36E4"/>
    <w:rPr>
      <w:rFonts w:ascii="Calibri" w:eastAsia="Times New Roman" w:hAnsi="Calibri" w:cs="Times New Roman"/>
      <w:sz w:val="24"/>
      <w:szCs w:val="24"/>
    </w:rPr>
  </w:style>
  <w:style w:type="character" w:customStyle="1" w:styleId="Heading8Char">
    <w:name w:val="Heading 8 Char"/>
    <w:link w:val="Heading8"/>
    <w:uiPriority w:val="9"/>
    <w:semiHidden/>
    <w:rsid w:val="005E36E4"/>
    <w:rPr>
      <w:rFonts w:ascii="Calibri" w:eastAsia="Times New Roman" w:hAnsi="Calibri" w:cs="Times New Roman"/>
      <w:i/>
      <w:iCs/>
      <w:sz w:val="24"/>
      <w:szCs w:val="24"/>
    </w:rPr>
  </w:style>
  <w:style w:type="character" w:customStyle="1" w:styleId="Heading9Char">
    <w:name w:val="Heading 9 Char"/>
    <w:link w:val="Heading9"/>
    <w:uiPriority w:val="9"/>
    <w:semiHidden/>
    <w:rsid w:val="005E36E4"/>
    <w:rPr>
      <w:rFonts w:ascii="Calibri Light" w:eastAsia="Times New Roman" w:hAnsi="Calibri Light" w:cs="Times New Roman"/>
      <w:sz w:val="22"/>
      <w:szCs w:val="22"/>
    </w:rPr>
  </w:style>
  <w:style w:type="paragraph" w:customStyle="1" w:styleId="Bulletnum">
    <w:name w:val="Bullet_num"/>
    <w:basedOn w:val="BodyText"/>
    <w:next w:val="BodyText"/>
    <w:uiPriority w:val="1"/>
    <w:qFormat/>
    <w:rsid w:val="00B13413"/>
    <w:pPr>
      <w:numPr>
        <w:numId w:val="26"/>
      </w:numPr>
      <w:ind w:left="426"/>
    </w:pPr>
  </w:style>
  <w:style w:type="paragraph" w:customStyle="1" w:styleId="BodyTextindent">
    <w:name w:val="Body_Text_indent"/>
    <w:basedOn w:val="BodyText"/>
    <w:next w:val="BodyText"/>
    <w:uiPriority w:val="1"/>
    <w:qFormat/>
    <w:rsid w:val="00B13413"/>
    <w:pPr>
      <w:ind w:left="284"/>
    </w:pPr>
  </w:style>
  <w:style w:type="paragraph" w:styleId="FootnoteText">
    <w:name w:val="footnote text"/>
    <w:basedOn w:val="Normal"/>
    <w:link w:val="FootnoteTextChar"/>
    <w:uiPriority w:val="99"/>
    <w:semiHidden/>
    <w:unhideWhenUsed/>
    <w:rsid w:val="004B655D"/>
    <w:rPr>
      <w:sz w:val="20"/>
      <w:szCs w:val="20"/>
    </w:rPr>
  </w:style>
  <w:style w:type="character" w:customStyle="1" w:styleId="FootnoteTextChar">
    <w:name w:val="Footnote Text Char"/>
    <w:link w:val="FootnoteText"/>
    <w:uiPriority w:val="99"/>
    <w:semiHidden/>
    <w:rsid w:val="004B655D"/>
    <w:rPr>
      <w:rFonts w:ascii="Arial" w:hAnsi="Arial" w:cs="Arial"/>
    </w:rPr>
  </w:style>
  <w:style w:type="character" w:styleId="FootnoteReference">
    <w:name w:val="footnote reference"/>
    <w:uiPriority w:val="99"/>
    <w:unhideWhenUsed/>
    <w:rsid w:val="004B655D"/>
    <w:rPr>
      <w:vertAlign w:val="superscript"/>
    </w:rPr>
  </w:style>
  <w:style w:type="character" w:styleId="IntenseReference">
    <w:name w:val="Intense Reference"/>
    <w:uiPriority w:val="32"/>
    <w:qFormat/>
    <w:rsid w:val="004F157C"/>
    <w:rPr>
      <w:b/>
      <w:bCs/>
      <w:smallCaps/>
      <w:color w:val="4472C4"/>
      <w:spacing w:val="5"/>
    </w:rPr>
  </w:style>
  <w:style w:type="paragraph" w:styleId="EndnoteText">
    <w:name w:val="endnote text"/>
    <w:basedOn w:val="Normal"/>
    <w:link w:val="EndnoteTextChar"/>
    <w:uiPriority w:val="99"/>
    <w:semiHidden/>
    <w:unhideWhenUsed/>
    <w:rsid w:val="00FD39C0"/>
    <w:rPr>
      <w:sz w:val="20"/>
      <w:szCs w:val="20"/>
    </w:rPr>
  </w:style>
  <w:style w:type="character" w:customStyle="1" w:styleId="EndnoteTextChar">
    <w:name w:val="Endnote Text Char"/>
    <w:link w:val="EndnoteText"/>
    <w:uiPriority w:val="99"/>
    <w:semiHidden/>
    <w:rsid w:val="00FD39C0"/>
    <w:rPr>
      <w:rFonts w:ascii="Arial" w:hAnsi="Arial" w:cs="Arial"/>
    </w:rPr>
  </w:style>
  <w:style w:type="character" w:styleId="EndnoteReference">
    <w:name w:val="endnote reference"/>
    <w:uiPriority w:val="99"/>
    <w:semiHidden/>
    <w:unhideWhenUsed/>
    <w:rsid w:val="00FD39C0"/>
    <w:rPr>
      <w:vertAlign w:val="superscript"/>
    </w:rPr>
  </w:style>
  <w:style w:type="paragraph" w:styleId="Caption">
    <w:name w:val="caption"/>
    <w:basedOn w:val="BodyText"/>
    <w:next w:val="BodyText"/>
    <w:uiPriority w:val="35"/>
    <w:unhideWhenUsed/>
    <w:qFormat/>
    <w:rsid w:val="00C82454"/>
    <w:pPr>
      <w:spacing w:before="120"/>
    </w:pPr>
    <w:rPr>
      <w:b/>
      <w:bCs/>
      <w:szCs w:val="20"/>
    </w:rPr>
  </w:style>
  <w:style w:type="character" w:styleId="CommentReference">
    <w:name w:val="annotation reference"/>
    <w:uiPriority w:val="99"/>
    <w:semiHidden/>
    <w:unhideWhenUsed/>
    <w:rsid w:val="002528FB"/>
    <w:rPr>
      <w:sz w:val="16"/>
      <w:szCs w:val="16"/>
    </w:rPr>
  </w:style>
  <w:style w:type="paragraph" w:styleId="CommentText">
    <w:name w:val="annotation text"/>
    <w:basedOn w:val="Normal"/>
    <w:link w:val="CommentTextChar"/>
    <w:uiPriority w:val="99"/>
    <w:unhideWhenUsed/>
    <w:rsid w:val="002528FB"/>
    <w:rPr>
      <w:sz w:val="20"/>
      <w:szCs w:val="20"/>
    </w:rPr>
  </w:style>
  <w:style w:type="character" w:customStyle="1" w:styleId="CommentTextChar">
    <w:name w:val="Comment Text Char"/>
    <w:link w:val="CommentText"/>
    <w:uiPriority w:val="99"/>
    <w:rsid w:val="002528FB"/>
    <w:rPr>
      <w:rFonts w:ascii="Arial" w:hAnsi="Arial" w:cs="Arial"/>
    </w:rPr>
  </w:style>
  <w:style w:type="paragraph" w:styleId="CommentSubject">
    <w:name w:val="annotation subject"/>
    <w:basedOn w:val="CommentText"/>
    <w:next w:val="CommentText"/>
    <w:link w:val="CommentSubjectChar"/>
    <w:uiPriority w:val="99"/>
    <w:semiHidden/>
    <w:unhideWhenUsed/>
    <w:rsid w:val="002528FB"/>
    <w:rPr>
      <w:b/>
      <w:bCs/>
    </w:rPr>
  </w:style>
  <w:style w:type="character" w:customStyle="1" w:styleId="CommentSubjectChar">
    <w:name w:val="Comment Subject Char"/>
    <w:link w:val="CommentSubject"/>
    <w:uiPriority w:val="99"/>
    <w:semiHidden/>
    <w:rsid w:val="002528FB"/>
    <w:rPr>
      <w:rFonts w:ascii="Arial" w:hAnsi="Arial" w:cs="Arial"/>
      <w:b/>
      <w:bCs/>
    </w:rPr>
  </w:style>
  <w:style w:type="paragraph" w:styleId="Revision">
    <w:name w:val="Revision"/>
    <w:hidden/>
    <w:uiPriority w:val="99"/>
    <w:semiHidden/>
    <w:rsid w:val="002528FB"/>
    <w:rPr>
      <w:rFonts w:ascii="Arial" w:hAnsi="Arial" w:cs="Arial"/>
      <w:sz w:val="24"/>
      <w:szCs w:val="24"/>
    </w:rPr>
  </w:style>
  <w:style w:type="character" w:styleId="Emphasis">
    <w:name w:val="Emphasis"/>
    <w:uiPriority w:val="20"/>
    <w:qFormat/>
    <w:rsid w:val="007B03CD"/>
    <w:rPr>
      <w:i/>
      <w:iCs/>
    </w:rPr>
  </w:style>
  <w:style w:type="paragraph" w:styleId="Quote">
    <w:name w:val="Quote"/>
    <w:basedOn w:val="Normal"/>
    <w:next w:val="Normal"/>
    <w:link w:val="QuoteChar"/>
    <w:uiPriority w:val="29"/>
    <w:qFormat/>
    <w:rsid w:val="0003584D"/>
    <w:pPr>
      <w:spacing w:before="200" w:after="160"/>
      <w:ind w:left="426" w:right="864"/>
    </w:pPr>
    <w:rPr>
      <w:i/>
      <w:iCs/>
      <w:color w:val="404040"/>
      <w:sz w:val="22"/>
    </w:rPr>
  </w:style>
  <w:style w:type="character" w:customStyle="1" w:styleId="QuoteChar">
    <w:name w:val="Quote Char"/>
    <w:link w:val="Quote"/>
    <w:uiPriority w:val="29"/>
    <w:rsid w:val="0003584D"/>
    <w:rPr>
      <w:rFonts w:ascii="Arial" w:hAnsi="Arial" w:cs="Arial"/>
      <w:i/>
      <w:iCs/>
      <w:color w:val="404040"/>
      <w:sz w:val="22"/>
      <w:szCs w:val="24"/>
    </w:rPr>
  </w:style>
  <w:style w:type="paragraph" w:customStyle="1" w:styleId="TableParagraphbullet">
    <w:name w:val="Table Paragraph bullet"/>
    <w:basedOn w:val="Bulletdot"/>
    <w:uiPriority w:val="1"/>
    <w:qFormat/>
    <w:rsid w:val="00FC185C"/>
    <w:pPr>
      <w:numPr>
        <w:numId w:val="46"/>
      </w:numPr>
      <w:spacing w:after="60"/>
      <w:ind w:left="641" w:hanging="357"/>
    </w:pPr>
    <w:rPr>
      <w:szCs w:val="22"/>
    </w:rPr>
  </w:style>
  <w:style w:type="paragraph" w:styleId="TOCHeading">
    <w:name w:val="TOC Heading"/>
    <w:basedOn w:val="Heading1"/>
    <w:next w:val="Normal"/>
    <w:uiPriority w:val="39"/>
    <w:unhideWhenUsed/>
    <w:qFormat/>
    <w:rsid w:val="009263FE"/>
    <w:pPr>
      <w:keepNext/>
      <w:keepLines/>
      <w:widowControl/>
      <w:numPr>
        <w:numId w:val="0"/>
      </w:numPr>
      <w:tabs>
        <w:tab w:val="clear" w:pos="388"/>
      </w:tabs>
      <w:kinsoku/>
      <w:overflowPunct/>
      <w:autoSpaceDE/>
      <w:autoSpaceDN/>
      <w:adjustRightInd/>
      <w:spacing w:before="0" w:after="60"/>
      <w:ind w:right="0"/>
      <w:outlineLvl w:val="9"/>
    </w:pPr>
    <w:rPr>
      <w:rFonts w:asciiTheme="majorHAnsi" w:eastAsiaTheme="majorEastAsia" w:hAnsiTheme="majorHAnsi" w:cstheme="majorBidi"/>
      <w:bCs w:val="0"/>
      <w:color w:val="000000" w:themeColor="text1"/>
      <w:sz w:val="32"/>
      <w:szCs w:val="32"/>
      <w:u w:val="single"/>
      <w:lang w:val="en-US" w:eastAsia="en-US"/>
    </w:rPr>
  </w:style>
  <w:style w:type="paragraph" w:styleId="TOC1">
    <w:name w:val="toc 1"/>
    <w:basedOn w:val="Normal"/>
    <w:next w:val="Normal"/>
    <w:autoRedefine/>
    <w:uiPriority w:val="39"/>
    <w:unhideWhenUsed/>
    <w:rsid w:val="00FE6CB4"/>
    <w:pPr>
      <w:tabs>
        <w:tab w:val="left" w:pos="440"/>
        <w:tab w:val="right" w:leader="dot" w:pos="9581"/>
      </w:tabs>
      <w:spacing w:after="40"/>
    </w:pPr>
    <w:rPr>
      <w:noProof/>
      <w:sz w:val="20"/>
    </w:rPr>
  </w:style>
  <w:style w:type="paragraph" w:styleId="TOC2">
    <w:name w:val="toc 2"/>
    <w:basedOn w:val="Normal"/>
    <w:next w:val="Normal"/>
    <w:autoRedefine/>
    <w:uiPriority w:val="39"/>
    <w:unhideWhenUsed/>
    <w:rsid w:val="00FE6CB4"/>
    <w:pPr>
      <w:tabs>
        <w:tab w:val="left" w:pos="880"/>
        <w:tab w:val="right" w:leader="dot" w:pos="9581"/>
      </w:tabs>
      <w:spacing w:after="40"/>
      <w:ind w:left="238"/>
    </w:pPr>
    <w:rPr>
      <w:noProof/>
      <w:sz w:val="20"/>
    </w:rPr>
  </w:style>
  <w:style w:type="paragraph" w:styleId="TableofFigures">
    <w:name w:val="table of figures"/>
    <w:basedOn w:val="Normal"/>
    <w:next w:val="Normal"/>
    <w:uiPriority w:val="99"/>
    <w:unhideWhenUsed/>
    <w:rsid w:val="009E792F"/>
    <w:pPr>
      <w:ind w:left="480" w:hanging="480"/>
    </w:pPr>
    <w:rPr>
      <w:rFonts w:asciiTheme="minorHAnsi" w:hAnsiTheme="minorHAnsi"/>
      <w:b/>
      <w:bCs/>
      <w:sz w:val="20"/>
      <w:szCs w:val="20"/>
    </w:rPr>
  </w:style>
  <w:style w:type="paragraph" w:customStyle="1" w:styleId="Default">
    <w:name w:val="Default"/>
    <w:rsid w:val="00E773DF"/>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3D338A"/>
    <w:pPr>
      <w:widowControl/>
      <w:autoSpaceDE/>
      <w:autoSpaceDN/>
      <w:adjustRightInd/>
      <w:spacing w:before="100" w:beforeAutospacing="1" w:after="100" w:afterAutospacing="1"/>
    </w:pPr>
    <w:rPr>
      <w:rFonts w:ascii="Times New Roman" w:eastAsiaTheme="minorEastAsia" w:hAnsi="Times New Roman" w:cs="Times New Roman"/>
    </w:rPr>
  </w:style>
  <w:style w:type="character" w:customStyle="1" w:styleId="UnresolvedMention">
    <w:name w:val="Unresolved Mention"/>
    <w:basedOn w:val="DefaultParagraphFont"/>
    <w:uiPriority w:val="99"/>
    <w:semiHidden/>
    <w:unhideWhenUsed/>
    <w:rsid w:val="003D338A"/>
    <w:rPr>
      <w:color w:val="808080"/>
      <w:shd w:val="clear" w:color="auto" w:fill="E6E6E6"/>
    </w:rPr>
  </w:style>
  <w:style w:type="paragraph" w:customStyle="1" w:styleId="Head1Headings">
    <w:name w:val="Head_1 (Headings)"/>
    <w:basedOn w:val="Normal"/>
    <w:uiPriority w:val="99"/>
    <w:rsid w:val="007A3B92"/>
    <w:pPr>
      <w:pBdr>
        <w:top w:val="single" w:sz="4" w:space="28" w:color="auto"/>
        <w:bottom w:val="single" w:sz="4" w:space="14" w:color="auto"/>
      </w:pBdr>
      <w:suppressAutoHyphens/>
      <w:spacing w:after="397" w:line="288" w:lineRule="auto"/>
      <w:textAlignment w:val="center"/>
    </w:pPr>
    <w:rPr>
      <w:rFonts w:ascii="Calibri-Bold" w:eastAsia="MS Mincho" w:hAnsi="Calibri-Bold" w:cs="Calibri-Bold"/>
      <w:b/>
      <w:bCs/>
      <w:color w:val="00ADEF"/>
      <w:sz w:val="48"/>
      <w:szCs w:val="48"/>
      <w:lang w:val="en-GB" w:eastAsia="ja-JP"/>
    </w:rPr>
  </w:style>
  <w:style w:type="paragraph" w:styleId="Title">
    <w:name w:val="Title"/>
    <w:basedOn w:val="Normal"/>
    <w:next w:val="Normal"/>
    <w:link w:val="TitleChar"/>
    <w:uiPriority w:val="10"/>
    <w:qFormat/>
    <w:rsid w:val="00FA7B3E"/>
    <w:pPr>
      <w:framePr w:w="8505" w:h="1134" w:hSpace="181" w:vSpace="181" w:wrap="notBeside" w:hAnchor="text" w:y="1" w:anchorLock="1"/>
      <w:widowControl/>
      <w:autoSpaceDE/>
      <w:autoSpaceDN/>
      <w:adjustRightInd/>
      <w:contextualSpacing/>
    </w:pPr>
    <w:rPr>
      <w:rFonts w:asciiTheme="majorHAnsi" w:eastAsiaTheme="majorEastAsia" w:hAnsiTheme="majorHAnsi" w:cstheme="majorBidi"/>
      <w:b/>
      <w:spacing w:val="5"/>
      <w:kern w:val="28"/>
      <w:sz w:val="44"/>
      <w:szCs w:val="44"/>
      <w:lang w:val="en-US" w:eastAsia="ja-JP"/>
    </w:rPr>
  </w:style>
  <w:style w:type="character" w:customStyle="1" w:styleId="TitleChar">
    <w:name w:val="Title Char"/>
    <w:basedOn w:val="DefaultParagraphFont"/>
    <w:link w:val="Title"/>
    <w:uiPriority w:val="10"/>
    <w:rsid w:val="00FA7B3E"/>
    <w:rPr>
      <w:rFonts w:asciiTheme="majorHAnsi" w:eastAsiaTheme="majorEastAsia" w:hAnsiTheme="majorHAnsi" w:cstheme="majorBidi"/>
      <w:b/>
      <w:spacing w:val="5"/>
      <w:kern w:val="28"/>
      <w:sz w:val="44"/>
      <w:szCs w:val="4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639449">
      <w:bodyDiv w:val="1"/>
      <w:marLeft w:val="0"/>
      <w:marRight w:val="0"/>
      <w:marTop w:val="0"/>
      <w:marBottom w:val="0"/>
      <w:divBdr>
        <w:top w:val="none" w:sz="0" w:space="0" w:color="auto"/>
        <w:left w:val="none" w:sz="0" w:space="0" w:color="auto"/>
        <w:bottom w:val="none" w:sz="0" w:space="0" w:color="auto"/>
        <w:right w:val="none" w:sz="0" w:space="0" w:color="auto"/>
      </w:divBdr>
    </w:div>
    <w:div w:id="289408042">
      <w:bodyDiv w:val="1"/>
      <w:marLeft w:val="0"/>
      <w:marRight w:val="0"/>
      <w:marTop w:val="0"/>
      <w:marBottom w:val="0"/>
      <w:divBdr>
        <w:top w:val="none" w:sz="0" w:space="0" w:color="auto"/>
        <w:left w:val="none" w:sz="0" w:space="0" w:color="auto"/>
        <w:bottom w:val="none" w:sz="0" w:space="0" w:color="auto"/>
        <w:right w:val="none" w:sz="0" w:space="0" w:color="auto"/>
      </w:divBdr>
    </w:div>
    <w:div w:id="359865279">
      <w:bodyDiv w:val="1"/>
      <w:marLeft w:val="0"/>
      <w:marRight w:val="0"/>
      <w:marTop w:val="0"/>
      <w:marBottom w:val="0"/>
      <w:divBdr>
        <w:top w:val="none" w:sz="0" w:space="0" w:color="auto"/>
        <w:left w:val="none" w:sz="0" w:space="0" w:color="auto"/>
        <w:bottom w:val="none" w:sz="0" w:space="0" w:color="auto"/>
        <w:right w:val="none" w:sz="0" w:space="0" w:color="auto"/>
      </w:divBdr>
    </w:div>
    <w:div w:id="621769046">
      <w:bodyDiv w:val="1"/>
      <w:marLeft w:val="0"/>
      <w:marRight w:val="0"/>
      <w:marTop w:val="0"/>
      <w:marBottom w:val="0"/>
      <w:divBdr>
        <w:top w:val="none" w:sz="0" w:space="0" w:color="auto"/>
        <w:left w:val="none" w:sz="0" w:space="0" w:color="auto"/>
        <w:bottom w:val="none" w:sz="0" w:space="0" w:color="auto"/>
        <w:right w:val="none" w:sz="0" w:space="0" w:color="auto"/>
      </w:divBdr>
    </w:div>
    <w:div w:id="798036353">
      <w:bodyDiv w:val="1"/>
      <w:marLeft w:val="0"/>
      <w:marRight w:val="0"/>
      <w:marTop w:val="0"/>
      <w:marBottom w:val="0"/>
      <w:divBdr>
        <w:top w:val="none" w:sz="0" w:space="0" w:color="auto"/>
        <w:left w:val="none" w:sz="0" w:space="0" w:color="auto"/>
        <w:bottom w:val="none" w:sz="0" w:space="0" w:color="auto"/>
        <w:right w:val="none" w:sz="0" w:space="0" w:color="auto"/>
      </w:divBdr>
    </w:div>
    <w:div w:id="935946099">
      <w:bodyDiv w:val="1"/>
      <w:marLeft w:val="0"/>
      <w:marRight w:val="0"/>
      <w:marTop w:val="0"/>
      <w:marBottom w:val="0"/>
      <w:divBdr>
        <w:top w:val="none" w:sz="0" w:space="0" w:color="auto"/>
        <w:left w:val="none" w:sz="0" w:space="0" w:color="auto"/>
        <w:bottom w:val="none" w:sz="0" w:space="0" w:color="auto"/>
        <w:right w:val="none" w:sz="0" w:space="0" w:color="auto"/>
      </w:divBdr>
    </w:div>
    <w:div w:id="1009023975">
      <w:bodyDiv w:val="1"/>
      <w:marLeft w:val="0"/>
      <w:marRight w:val="0"/>
      <w:marTop w:val="0"/>
      <w:marBottom w:val="0"/>
      <w:divBdr>
        <w:top w:val="none" w:sz="0" w:space="0" w:color="auto"/>
        <w:left w:val="none" w:sz="0" w:space="0" w:color="auto"/>
        <w:bottom w:val="none" w:sz="0" w:space="0" w:color="auto"/>
        <w:right w:val="none" w:sz="0" w:space="0" w:color="auto"/>
      </w:divBdr>
    </w:div>
    <w:div w:id="1087654133">
      <w:bodyDiv w:val="1"/>
      <w:marLeft w:val="0"/>
      <w:marRight w:val="0"/>
      <w:marTop w:val="0"/>
      <w:marBottom w:val="0"/>
      <w:divBdr>
        <w:top w:val="none" w:sz="0" w:space="0" w:color="auto"/>
        <w:left w:val="none" w:sz="0" w:space="0" w:color="auto"/>
        <w:bottom w:val="none" w:sz="0" w:space="0" w:color="auto"/>
        <w:right w:val="none" w:sz="0" w:space="0" w:color="auto"/>
      </w:divBdr>
    </w:div>
    <w:div w:id="1164274534">
      <w:bodyDiv w:val="1"/>
      <w:marLeft w:val="0"/>
      <w:marRight w:val="0"/>
      <w:marTop w:val="0"/>
      <w:marBottom w:val="0"/>
      <w:divBdr>
        <w:top w:val="none" w:sz="0" w:space="0" w:color="auto"/>
        <w:left w:val="none" w:sz="0" w:space="0" w:color="auto"/>
        <w:bottom w:val="none" w:sz="0" w:space="0" w:color="auto"/>
        <w:right w:val="none" w:sz="0" w:space="0" w:color="auto"/>
      </w:divBdr>
    </w:div>
    <w:div w:id="1183978354">
      <w:bodyDiv w:val="1"/>
      <w:marLeft w:val="0"/>
      <w:marRight w:val="0"/>
      <w:marTop w:val="0"/>
      <w:marBottom w:val="0"/>
      <w:divBdr>
        <w:top w:val="none" w:sz="0" w:space="0" w:color="auto"/>
        <w:left w:val="none" w:sz="0" w:space="0" w:color="auto"/>
        <w:bottom w:val="none" w:sz="0" w:space="0" w:color="auto"/>
        <w:right w:val="none" w:sz="0" w:space="0" w:color="auto"/>
      </w:divBdr>
    </w:div>
    <w:div w:id="1270815789">
      <w:bodyDiv w:val="1"/>
      <w:marLeft w:val="0"/>
      <w:marRight w:val="0"/>
      <w:marTop w:val="0"/>
      <w:marBottom w:val="0"/>
      <w:divBdr>
        <w:top w:val="none" w:sz="0" w:space="0" w:color="auto"/>
        <w:left w:val="none" w:sz="0" w:space="0" w:color="auto"/>
        <w:bottom w:val="none" w:sz="0" w:space="0" w:color="auto"/>
        <w:right w:val="none" w:sz="0" w:space="0" w:color="auto"/>
      </w:divBdr>
    </w:div>
    <w:div w:id="1643806043">
      <w:bodyDiv w:val="1"/>
      <w:marLeft w:val="0"/>
      <w:marRight w:val="0"/>
      <w:marTop w:val="0"/>
      <w:marBottom w:val="0"/>
      <w:divBdr>
        <w:top w:val="none" w:sz="0" w:space="0" w:color="auto"/>
        <w:left w:val="none" w:sz="0" w:space="0" w:color="auto"/>
        <w:bottom w:val="none" w:sz="0" w:space="0" w:color="auto"/>
        <w:right w:val="none" w:sz="0" w:space="0" w:color="auto"/>
      </w:divBdr>
    </w:div>
    <w:div w:id="1705671957">
      <w:bodyDiv w:val="1"/>
      <w:marLeft w:val="0"/>
      <w:marRight w:val="0"/>
      <w:marTop w:val="0"/>
      <w:marBottom w:val="0"/>
      <w:divBdr>
        <w:top w:val="none" w:sz="0" w:space="0" w:color="auto"/>
        <w:left w:val="none" w:sz="0" w:space="0" w:color="auto"/>
        <w:bottom w:val="none" w:sz="0" w:space="0" w:color="auto"/>
        <w:right w:val="none" w:sz="0" w:space="0" w:color="auto"/>
      </w:divBdr>
    </w:div>
    <w:div w:id="1785494382">
      <w:bodyDiv w:val="1"/>
      <w:marLeft w:val="0"/>
      <w:marRight w:val="0"/>
      <w:marTop w:val="0"/>
      <w:marBottom w:val="0"/>
      <w:divBdr>
        <w:top w:val="none" w:sz="0" w:space="0" w:color="auto"/>
        <w:left w:val="none" w:sz="0" w:space="0" w:color="auto"/>
        <w:bottom w:val="none" w:sz="0" w:space="0" w:color="auto"/>
        <w:right w:val="none" w:sz="0" w:space="0" w:color="auto"/>
      </w:divBdr>
    </w:div>
    <w:div w:id="2004504350">
      <w:bodyDiv w:val="1"/>
      <w:marLeft w:val="0"/>
      <w:marRight w:val="0"/>
      <w:marTop w:val="0"/>
      <w:marBottom w:val="0"/>
      <w:divBdr>
        <w:top w:val="none" w:sz="0" w:space="0" w:color="auto"/>
        <w:left w:val="none" w:sz="0" w:space="0" w:color="auto"/>
        <w:bottom w:val="none" w:sz="0" w:space="0" w:color="auto"/>
        <w:right w:val="none" w:sz="0" w:space="0" w:color="auto"/>
      </w:divBdr>
    </w:div>
    <w:div w:id="2044670464">
      <w:bodyDiv w:val="1"/>
      <w:marLeft w:val="0"/>
      <w:marRight w:val="0"/>
      <w:marTop w:val="0"/>
      <w:marBottom w:val="0"/>
      <w:divBdr>
        <w:top w:val="none" w:sz="0" w:space="0" w:color="auto"/>
        <w:left w:val="none" w:sz="0" w:space="0" w:color="auto"/>
        <w:bottom w:val="none" w:sz="0" w:space="0" w:color="auto"/>
        <w:right w:val="none" w:sz="0" w:space="0" w:color="auto"/>
      </w:divBdr>
    </w:div>
    <w:div w:id="206609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image" Target="media/image8.png"/><Relationship Id="rId39" Type="http://schemas.openxmlformats.org/officeDocument/2006/relationships/hyperlink" Target="http://www.epa.wa.gov.au/sites/default/files/PER_documentation/Appendix%207%20-%20Rev%206%20EMP%20Hydrological%20Impact%20and%20Management%20Summary.pdf" TargetMode="Externa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hyperlink" Target="http://www.environment.gov.au/system/files/resources/d078caf3-3923-4416-a743-%200988ac3f1ee1/files/sig-water-resources.pdf" TargetMode="External"/><Relationship Id="rId47" Type="http://schemas.openxmlformats.org/officeDocument/2006/relationships/hyperlink" Target="http://www.pesthomepage.org" TargetMode="External"/><Relationship Id="rId50" Type="http://schemas.openxmlformats.org/officeDocument/2006/relationships/hyperlink" Target="https://www.water.wa.gov.au/__data/assets/pdf_file/0019/1819/105195.pdf" TargetMode="External"/><Relationship Id="rId55"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hyperlink" Target="http://www.epa.wa.gov.au/sites/default/files/PER_documentation/Appendix%207%20-%20Hydrological%20Impact%20Assessment.pdf" TargetMode="External"/><Relationship Id="rId46" Type="http://schemas.openxmlformats.org/officeDocument/2006/relationships/hyperlink" Target="http://www.bioregionalassessments.gov.au/" TargetMode="External"/><Relationship Id="rId2" Type="http://schemas.openxmlformats.org/officeDocument/2006/relationships/styles" Target="styles.xml"/><Relationship Id="rId16" Type="http://schemas.openxmlformats.org/officeDocument/2006/relationships/hyperlink" Target="http://www.iesc.environment.gov.au/" TargetMode="External"/><Relationship Id="rId20" Type="http://schemas.openxmlformats.org/officeDocument/2006/relationships/hyperlink" Target="http://iesc.environment.gov.au/" TargetMode="External"/><Relationship Id="rId41" Type="http://schemas.openxmlformats.org/officeDocument/2006/relationships/hyperlink" Target="http://www.environment.gov.au/system/files/resources/5f3fdad6-30ba-48f7-ab17-c99e8bcc8d78/files/final-report.pdf"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yperlink" Target="http://webarchive.nla.gov.au/gov/20160615064846/http://archive.nwc.gov.au/library/waterlines/82" TargetMode="External"/><Relationship Id="rId40" Type="http://schemas.openxmlformats.org/officeDocument/2006/relationships/hyperlink" Target="http://www.bom.gov.au/water/groundwater/gde/index.shtml" TargetMode="External"/><Relationship Id="rId45" Type="http://schemas.openxmlformats.org/officeDocument/2006/relationships/hyperlink" Target="http://www.environment.gov.au/system/files/resources/83770681-a40b-4fa2-bf6e-%208d41022873bd/files/modelling-water-related-ecological-responses-csg-extraction.pdf" TargetMode="External"/><Relationship Id="rId53" Type="http://schemas.openxmlformats.org/officeDocument/2006/relationships/hyperlink" Target="http://webarchive.nla.gov.au/gov/20160615084626/http://archive.nwc.gov.au/library/waterlines/69-70" TargetMode="External"/><Relationship Id="rId5" Type="http://schemas.openxmlformats.org/officeDocument/2006/relationships/footnotes" Target="footnotes.xml"/><Relationship Id="rId15" Type="http://schemas.openxmlformats.org/officeDocument/2006/relationships/hyperlink" Target="http://creativecommons.org/licenses/by/3.0/au/" TargetMode="External"/><Relationship Id="rId23" Type="http://schemas.openxmlformats.org/officeDocument/2006/relationships/image" Target="media/image5.png"/><Relationship Id="rId36" Type="http://schemas.openxmlformats.org/officeDocument/2006/relationships/header" Target="header7.xml"/><Relationship Id="rId49" Type="http://schemas.openxmlformats.org/officeDocument/2006/relationships/hyperlink" Target="http://www.pesthomepage.org" TargetMode="Externa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0.png"/><Relationship Id="rId44" Type="http://schemas.openxmlformats.org/officeDocument/2006/relationships/hyperlink" Target="http://iesc.environment.gov.au/" TargetMode="External"/><Relationship Id="rId52" Type="http://schemas.openxmlformats.org/officeDocument/2006/relationships/hyperlink" Target="http://data.bioregionalassessments.gov.au/product/NIC/MBC/2.3"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iesc.environment.gov.au/" TargetMode="External"/><Relationship Id="rId48" Type="http://schemas.openxmlformats.org/officeDocument/2006/relationships/hyperlink" Target="http://www.pesthomepage.org" TargetMode="External"/><Relationship Id="rId8" Type="http://schemas.openxmlformats.org/officeDocument/2006/relationships/header" Target="header2.xml"/><Relationship Id="rId51" Type="http://schemas.openxmlformats.org/officeDocument/2006/relationships/hyperlink" Target="https://www.youtube.com/watch?v=6YnYGwYSmQ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9CE6F2A6.dotm</Template>
  <TotalTime>0</TotalTime>
  <Pages>39</Pages>
  <Words>16965</Words>
  <Characters>106227</Characters>
  <Application>Microsoft Office Word</Application>
  <DocSecurity>0</DocSecurity>
  <Lines>885</Lines>
  <Paragraphs>245</Paragraphs>
  <ScaleCrop>false</ScaleCrop>
  <HeadingPairs>
    <vt:vector size="2" baseType="variant">
      <vt:variant>
        <vt:lpstr>Title</vt:lpstr>
      </vt:variant>
      <vt:variant>
        <vt:i4>1</vt:i4>
      </vt:variant>
    </vt:vector>
  </HeadingPairs>
  <TitlesOfParts>
    <vt:vector size="1" baseType="lpstr">
      <vt:lpstr>Consultation on Uncertainty Analysis in Groundwater Modelling Explanatory Note</vt:lpstr>
    </vt:vector>
  </TitlesOfParts>
  <Company/>
  <LinksUpToDate>false</LinksUpToDate>
  <CharactersWithSpaces>122947</CharactersWithSpaces>
  <SharedDoc>false</SharedDoc>
  <HLinks>
    <vt:vector size="132" baseType="variant">
      <vt:variant>
        <vt:i4>7274531</vt:i4>
      </vt:variant>
      <vt:variant>
        <vt:i4>123</vt:i4>
      </vt:variant>
      <vt:variant>
        <vt:i4>0</vt:i4>
      </vt:variant>
      <vt:variant>
        <vt:i4>5</vt:i4>
      </vt:variant>
      <vt:variant>
        <vt:lpwstr>http://webarchive.nla.gov.au/gov/20160615084626/http://archive.nwc.gov.au/library/waterlines/69-70</vt:lpwstr>
      </vt:variant>
      <vt:variant>
        <vt:lpwstr/>
      </vt:variant>
      <vt:variant>
        <vt:i4>2424880</vt:i4>
      </vt:variant>
      <vt:variant>
        <vt:i4>120</vt:i4>
      </vt:variant>
      <vt:variant>
        <vt:i4>0</vt:i4>
      </vt:variant>
      <vt:variant>
        <vt:i4>5</vt:i4>
      </vt:variant>
      <vt:variant>
        <vt:lpwstr>https://opus.lib.uts.edu.au/handle/10453/30195</vt:lpwstr>
      </vt:variant>
      <vt:variant>
        <vt:lpwstr/>
      </vt:variant>
      <vt:variant>
        <vt:i4>6356994</vt:i4>
      </vt:variant>
      <vt:variant>
        <vt:i4>117</vt:i4>
      </vt:variant>
      <vt:variant>
        <vt:i4>0</vt:i4>
      </vt:variant>
      <vt:variant>
        <vt:i4>5</vt:i4>
      </vt:variant>
      <vt:variant>
        <vt:lpwstr>http://www.dmp.wa.gov.au/Documents/Minerals/minerals-minerals_guidelines_and_environmental_notes-mine_void_water_resources.pdf</vt:lpwstr>
      </vt:variant>
      <vt:variant>
        <vt:lpwstr/>
      </vt:variant>
      <vt:variant>
        <vt:i4>5636171</vt:i4>
      </vt:variant>
      <vt:variant>
        <vt:i4>114</vt:i4>
      </vt:variant>
      <vt:variant>
        <vt:i4>0</vt:i4>
      </vt:variant>
      <vt:variant>
        <vt:i4>5</vt:i4>
      </vt:variant>
      <vt:variant>
        <vt:lpwstr>http://data.bioregionalassessments.gov.au/product/NIC/MBC/2.3</vt:lpwstr>
      </vt:variant>
      <vt:variant>
        <vt:lpwstr/>
      </vt:variant>
      <vt:variant>
        <vt:i4>1769547</vt:i4>
      </vt:variant>
      <vt:variant>
        <vt:i4>111</vt:i4>
      </vt:variant>
      <vt:variant>
        <vt:i4>0</vt:i4>
      </vt:variant>
      <vt:variant>
        <vt:i4>5</vt:i4>
      </vt:variant>
      <vt:variant>
        <vt:lpwstr>https://www.ausimm.com.au/publications/epublication.aspx?ID=2297</vt:lpwstr>
      </vt:variant>
      <vt:variant>
        <vt:lpwstr/>
      </vt:variant>
      <vt:variant>
        <vt:i4>2752612</vt:i4>
      </vt:variant>
      <vt:variant>
        <vt:i4>108</vt:i4>
      </vt:variant>
      <vt:variant>
        <vt:i4>0</vt:i4>
      </vt:variant>
      <vt:variant>
        <vt:i4>5</vt:i4>
      </vt:variant>
      <vt:variant>
        <vt:lpwstr>https://www.youtube.com/watch?v=6YnYGwYSmQk</vt:lpwstr>
      </vt:variant>
      <vt:variant>
        <vt:lpwstr/>
      </vt:variant>
      <vt:variant>
        <vt:i4>2424840</vt:i4>
      </vt:variant>
      <vt:variant>
        <vt:i4>105</vt:i4>
      </vt:variant>
      <vt:variant>
        <vt:i4>0</vt:i4>
      </vt:variant>
      <vt:variant>
        <vt:i4>5</vt:i4>
      </vt:variant>
      <vt:variant>
        <vt:lpwstr>https://www.water.wa.gov.au/__data/assets/pdf_file/0019/1819/105195.pdf</vt:lpwstr>
      </vt:variant>
      <vt:variant>
        <vt:lpwstr/>
      </vt:variant>
      <vt:variant>
        <vt:i4>4784199</vt:i4>
      </vt:variant>
      <vt:variant>
        <vt:i4>102</vt:i4>
      </vt:variant>
      <vt:variant>
        <vt:i4>0</vt:i4>
      </vt:variant>
      <vt:variant>
        <vt:i4>5</vt:i4>
      </vt:variant>
      <vt:variant>
        <vt:lpwstr>http://www.pesthomepage.org/</vt:lpwstr>
      </vt:variant>
      <vt:variant>
        <vt:lpwstr/>
      </vt:variant>
      <vt:variant>
        <vt:i4>4784199</vt:i4>
      </vt:variant>
      <vt:variant>
        <vt:i4>99</vt:i4>
      </vt:variant>
      <vt:variant>
        <vt:i4>0</vt:i4>
      </vt:variant>
      <vt:variant>
        <vt:i4>5</vt:i4>
      </vt:variant>
      <vt:variant>
        <vt:lpwstr>http://www.pesthomepage.org/</vt:lpwstr>
      </vt:variant>
      <vt:variant>
        <vt:lpwstr/>
      </vt:variant>
      <vt:variant>
        <vt:i4>4587587</vt:i4>
      </vt:variant>
      <vt:variant>
        <vt:i4>96</vt:i4>
      </vt:variant>
      <vt:variant>
        <vt:i4>0</vt:i4>
      </vt:variant>
      <vt:variant>
        <vt:i4>5</vt:i4>
      </vt:variant>
      <vt:variant>
        <vt:lpwstr>http://www.bioregionalassessments.gov.au/</vt:lpwstr>
      </vt:variant>
      <vt:variant>
        <vt:lpwstr/>
      </vt:variant>
      <vt:variant>
        <vt:i4>19</vt:i4>
      </vt:variant>
      <vt:variant>
        <vt:i4>93</vt:i4>
      </vt:variant>
      <vt:variant>
        <vt:i4>0</vt:i4>
      </vt:variant>
      <vt:variant>
        <vt:i4>5</vt:i4>
      </vt:variant>
      <vt:variant>
        <vt:lpwstr>http://www.environment.gov.au/system/files/resources/83770681-a40b-4fa2-bf6e- 8d41022873bd/files/modelling-water-related-ecological-responses-csg-extraction.pdf</vt:lpwstr>
      </vt:variant>
      <vt:variant>
        <vt:lpwstr/>
      </vt:variant>
      <vt:variant>
        <vt:i4>7209057</vt:i4>
      </vt:variant>
      <vt:variant>
        <vt:i4>90</vt:i4>
      </vt:variant>
      <vt:variant>
        <vt:i4>0</vt:i4>
      </vt:variant>
      <vt:variant>
        <vt:i4>5</vt:i4>
      </vt:variant>
      <vt:variant>
        <vt:lpwstr>http://iesc.environment.gov.au/</vt:lpwstr>
      </vt:variant>
      <vt:variant>
        <vt:lpwstr/>
      </vt:variant>
      <vt:variant>
        <vt:i4>7209057</vt:i4>
      </vt:variant>
      <vt:variant>
        <vt:i4>87</vt:i4>
      </vt:variant>
      <vt:variant>
        <vt:i4>0</vt:i4>
      </vt:variant>
      <vt:variant>
        <vt:i4>5</vt:i4>
      </vt:variant>
      <vt:variant>
        <vt:lpwstr>http://iesc.environment.gov.au/</vt:lpwstr>
      </vt:variant>
      <vt:variant>
        <vt:lpwstr/>
      </vt:variant>
      <vt:variant>
        <vt:i4>5505102</vt:i4>
      </vt:variant>
      <vt:variant>
        <vt:i4>84</vt:i4>
      </vt:variant>
      <vt:variant>
        <vt:i4>0</vt:i4>
      </vt:variant>
      <vt:variant>
        <vt:i4>5</vt:i4>
      </vt:variant>
      <vt:variant>
        <vt:lpwstr>http://www.environment.gov.au/system/files/resources/d078caf3-3923-4416-a743- 0988ac3f1ee1/files/sig-water-resources.pdf</vt:lpwstr>
      </vt:variant>
      <vt:variant>
        <vt:lpwstr/>
      </vt:variant>
      <vt:variant>
        <vt:i4>524293</vt:i4>
      </vt:variant>
      <vt:variant>
        <vt:i4>81</vt:i4>
      </vt:variant>
      <vt:variant>
        <vt:i4>0</vt:i4>
      </vt:variant>
      <vt:variant>
        <vt:i4>5</vt:i4>
      </vt:variant>
      <vt:variant>
        <vt:lpwstr>http://www.environment.gov.au/system/files/resources/5f3fdad6-30ba-48f7-ab17-c99e8bcc8d78/files/final-report.pdf</vt:lpwstr>
      </vt:variant>
      <vt:variant>
        <vt:lpwstr/>
      </vt:variant>
      <vt:variant>
        <vt:i4>7536691</vt:i4>
      </vt:variant>
      <vt:variant>
        <vt:i4>78</vt:i4>
      </vt:variant>
      <vt:variant>
        <vt:i4>0</vt:i4>
      </vt:variant>
      <vt:variant>
        <vt:i4>5</vt:i4>
      </vt:variant>
      <vt:variant>
        <vt:lpwstr>http://www.bom.gov.au/water/groundwater/gde/index.shtml</vt:lpwstr>
      </vt:variant>
      <vt:variant>
        <vt:lpwstr/>
      </vt:variant>
      <vt:variant>
        <vt:i4>5046392</vt:i4>
      </vt:variant>
      <vt:variant>
        <vt:i4>75</vt:i4>
      </vt:variant>
      <vt:variant>
        <vt:i4>0</vt:i4>
      </vt:variant>
      <vt:variant>
        <vt:i4>5</vt:i4>
      </vt:variant>
      <vt:variant>
        <vt:lpwstr>http://www.epa.wa.gov.au/sites/default/files/PER_documentation/Appendix 7 - Rev 6 EMP Hydrological Impact and Management Summary.pdf</vt:lpwstr>
      </vt:variant>
      <vt:variant>
        <vt:lpwstr/>
      </vt:variant>
      <vt:variant>
        <vt:i4>2949141</vt:i4>
      </vt:variant>
      <vt:variant>
        <vt:i4>72</vt:i4>
      </vt:variant>
      <vt:variant>
        <vt:i4>0</vt:i4>
      </vt:variant>
      <vt:variant>
        <vt:i4>5</vt:i4>
      </vt:variant>
      <vt:variant>
        <vt:lpwstr>http://www.epa.wa.gov.au/sites/default/files/PER_documentation/Appendix 7 - Hydrological Impact Assessment.pdf</vt:lpwstr>
      </vt:variant>
      <vt:variant>
        <vt:lpwstr/>
      </vt:variant>
      <vt:variant>
        <vt:i4>7995437</vt:i4>
      </vt:variant>
      <vt:variant>
        <vt:i4>69</vt:i4>
      </vt:variant>
      <vt:variant>
        <vt:i4>0</vt:i4>
      </vt:variant>
      <vt:variant>
        <vt:i4>5</vt:i4>
      </vt:variant>
      <vt:variant>
        <vt:lpwstr>http://webarchive.nla.gov.au/gov/20160615064846/http://archive.nwc.gov.au/library/waterlines/82</vt:lpwstr>
      </vt:variant>
      <vt:variant>
        <vt:lpwstr/>
      </vt:variant>
      <vt:variant>
        <vt:i4>1572893</vt:i4>
      </vt:variant>
      <vt:variant>
        <vt:i4>51</vt:i4>
      </vt:variant>
      <vt:variant>
        <vt:i4>0</vt:i4>
      </vt:variant>
      <vt:variant>
        <vt:i4>5</vt:i4>
      </vt:variant>
      <vt:variant>
        <vt:lpwstr>http://www.climatechangeinaustralia.gov.au/en/climate-projections/climate-analogues/about-analogues/</vt:lpwstr>
      </vt:variant>
      <vt:variant>
        <vt:lpwstr/>
      </vt:variant>
      <vt:variant>
        <vt:i4>917522</vt:i4>
      </vt:variant>
      <vt:variant>
        <vt:i4>3</vt:i4>
      </vt:variant>
      <vt:variant>
        <vt:i4>0</vt:i4>
      </vt:variant>
      <vt:variant>
        <vt:i4>5</vt:i4>
      </vt:variant>
      <vt:variant>
        <vt:lpwstr/>
      </vt:variant>
      <vt:variant>
        <vt:lpwstr>bookmark2</vt:lpwstr>
      </vt:variant>
      <vt:variant>
        <vt:i4>7209057</vt:i4>
      </vt:variant>
      <vt:variant>
        <vt:i4>0</vt:i4>
      </vt:variant>
      <vt:variant>
        <vt:i4>0</vt:i4>
      </vt:variant>
      <vt:variant>
        <vt:i4>5</vt:i4>
      </vt:variant>
      <vt:variant>
        <vt:lpwstr>http://iesc.environment.gov.au/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on Uncertainty Analysis in Groundwater Modelling Explanatory Note</dc:title>
  <dc:creator/>
  <cp:lastModifiedBy/>
  <cp:revision>1</cp:revision>
  <dcterms:created xsi:type="dcterms:W3CDTF">2018-11-09T03:04:00Z</dcterms:created>
  <dcterms:modified xsi:type="dcterms:W3CDTF">2018-11-09T03:04:00Z</dcterms:modified>
</cp:coreProperties>
</file>